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Default Extension="png" ContentType="image/png"/>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16pt;width:484.8pt;height:.1pt;mso-position-horizontal-relative:page;mso-position-vertical-relative:page;z-index:0" coordorigin="1104,983" coordsize="9696,2">
            <v:shape style="position:absolute;left:1104;top:983;width:9696;height:2" coordorigin="1104,983" coordsize="9696,0" path="m1104,983l10800,983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4"/>
          <w:szCs w:val="14"/>
        </w:rPr>
      </w:pPr>
    </w:p>
    <w:p>
      <w:pPr>
        <w:spacing w:line="1935" w:lineRule="exact"/>
        <w:ind w:left="174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8"/>
          <w:sz w:val="20"/>
          <w:szCs w:val="20"/>
        </w:rPr>
        <w:drawing>
          <wp:inline distT="0" distB="0" distL="0" distR="0">
            <wp:extent cx="4114089" cy="122872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4114089" cy="1228725"/>
                    </a:xfrm>
                    <a:prstGeom prst="rect">
                      <a:avLst/>
                    </a:prstGeom>
                  </pic:spPr>
                </pic:pic>
              </a:graphicData>
            </a:graphic>
          </wp:inline>
        </w:drawing>
      </w:r>
      <w:r>
        <w:rPr>
          <w:rFonts w:ascii="Times New Roman" w:hAnsi="Times New Roman" w:cs="Times New Roman" w:eastAsia="Times New Roman" w:hint="default"/>
          <w:position w:val="-38"/>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7"/>
          <w:szCs w:val="17"/>
        </w:rPr>
      </w:pPr>
    </w:p>
    <w:p>
      <w:pPr>
        <w:spacing w:line="501" w:lineRule="exact" w:before="0"/>
        <w:ind w:left="141" w:right="141"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上海安诺其集团股份有限公司</w:t>
      </w:r>
      <w:r>
        <w:rPr>
          <w:rFonts w:ascii="Microsoft JhengHei" w:hAnsi="Microsoft JhengHei" w:cs="Microsoft JhengHei" w:eastAsia="Microsoft JhengHei" w:hint="default"/>
          <w:sz w:val="36"/>
          <w:szCs w:val="36"/>
        </w:rPr>
      </w:r>
    </w:p>
    <w:p>
      <w:pPr>
        <w:spacing w:before="263"/>
        <w:ind w:left="141" w:right="142" w:firstLine="0"/>
        <w:jc w:val="center"/>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5"/>
          <w:sz w:val="32"/>
          <w:szCs w:val="32"/>
        </w:rPr>
        <w:t> </w:t>
      </w:r>
      <w:r>
        <w:rPr>
          <w:rFonts w:ascii="Microsoft JhengHei" w:hAnsi="Microsoft JhengHei" w:cs="Microsoft JhengHei" w:eastAsia="Microsoft JhengHei" w:hint="default"/>
          <w:b/>
          <w:bCs/>
          <w:sz w:val="32"/>
          <w:szCs w:val="32"/>
        </w:rPr>
        <w:t>年年度报告</w:t>
      </w:r>
      <w:r>
        <w:rPr>
          <w:rFonts w:ascii="Microsoft JhengHei" w:hAnsi="Microsoft JhengHei" w:cs="Microsoft JhengHei" w:eastAsia="Microsoft JhengHei" w:hint="default"/>
          <w:sz w:val="32"/>
          <w:szCs w:val="32"/>
        </w:rPr>
      </w:r>
    </w:p>
    <w:p>
      <w:pPr>
        <w:spacing w:line="240" w:lineRule="auto" w:before="2"/>
        <w:rPr>
          <w:rFonts w:ascii="Microsoft JhengHei" w:hAnsi="Microsoft JhengHei" w:cs="Microsoft JhengHei" w:eastAsia="Microsoft JhengHei" w:hint="default"/>
          <w:b/>
          <w:bCs/>
          <w:sz w:val="23"/>
          <w:szCs w:val="23"/>
        </w:rPr>
      </w:pPr>
    </w:p>
    <w:p>
      <w:pPr>
        <w:spacing w:before="0"/>
        <w:ind w:left="141" w:right="140" w:firstLine="0"/>
        <w:jc w:val="center"/>
        <w:rPr>
          <w:rFonts w:ascii="Times New Roman" w:hAnsi="Times New Roman" w:cs="Times New Roman" w:eastAsia="Times New Roman" w:hint="default"/>
          <w:sz w:val="32"/>
          <w:szCs w:val="32"/>
        </w:rPr>
      </w:pPr>
      <w:r>
        <w:rPr>
          <w:rFonts w:ascii="Times New Roman"/>
          <w:b/>
          <w:sz w:val="32"/>
        </w:rPr>
        <w:t>2015-016</w:t>
      </w:r>
      <w:r>
        <w:rPr>
          <w:rFonts w:ascii="Times New Roman"/>
          <w:sz w:val="32"/>
        </w:rPr>
      </w: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1"/>
        <w:rPr>
          <w:rFonts w:ascii="Times New Roman" w:hAnsi="Times New Roman" w:cs="Times New Roman" w:eastAsia="Times New Roman" w:hint="default"/>
          <w:b/>
          <w:bCs/>
          <w:sz w:val="29"/>
          <w:szCs w:val="29"/>
        </w:rPr>
      </w:pPr>
    </w:p>
    <w:p>
      <w:pPr>
        <w:spacing w:before="0"/>
        <w:ind w:left="141" w:right="144" w:firstLine="0"/>
        <w:jc w:val="center"/>
        <w:rPr>
          <w:rFonts w:ascii="Microsoft JhengHei" w:hAnsi="Microsoft JhengHei" w:cs="Microsoft JhengHei" w:eastAsia="Microsoft JhengHei" w:hint="default"/>
          <w:sz w:val="32"/>
          <w:szCs w:val="32"/>
        </w:rPr>
      </w:pPr>
      <w:r>
        <w:rPr>
          <w:rFonts w:ascii="Times New Roman" w:hAnsi="Times New Roman" w:cs="Times New Roman" w:eastAsia="Times New Roman" w:hint="default"/>
          <w:b/>
          <w:bCs/>
          <w:sz w:val="32"/>
          <w:szCs w:val="32"/>
        </w:rPr>
        <w:t>2015 </w:t>
      </w:r>
      <w:r>
        <w:rPr>
          <w:rFonts w:ascii="Microsoft JhengHei" w:hAnsi="Microsoft JhengHei" w:cs="Microsoft JhengHei" w:eastAsia="Microsoft JhengHei" w:hint="default"/>
          <w:b/>
          <w:bCs/>
          <w:sz w:val="32"/>
          <w:szCs w:val="32"/>
        </w:rPr>
        <w:t>年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Microsoft JhengHei" w:hAnsi="Microsoft JhengHei" w:cs="Microsoft JhengHei" w:eastAsia="Microsoft JhengHei" w:hint="default"/>
          <w:b/>
          <w:bCs/>
          <w:sz w:val="32"/>
          <w:szCs w:val="32"/>
        </w:rPr>
        <w:t>月</w:t>
      </w:r>
      <w:r>
        <w:rPr>
          <w:rFonts w:ascii="Microsoft JhengHei" w:hAnsi="Microsoft JhengHei" w:cs="Microsoft JhengHei" w:eastAsia="Microsoft JhengHei" w:hint="default"/>
          <w:sz w:val="32"/>
          <w:szCs w:val="32"/>
        </w:rPr>
      </w:r>
    </w:p>
    <w:p>
      <w:pPr>
        <w:spacing w:after="0"/>
        <w:jc w:val="center"/>
        <w:rPr>
          <w:rFonts w:ascii="Microsoft JhengHei" w:hAnsi="Microsoft JhengHei" w:cs="Microsoft JhengHei" w:eastAsia="Microsoft JhengHei" w:hint="default"/>
          <w:sz w:val="32"/>
          <w:szCs w:val="32"/>
        </w:rPr>
        <w:sectPr>
          <w:headerReference w:type="default" r:id="rId5"/>
          <w:footerReference w:type="default" r:id="rId6"/>
          <w:type w:val="continuous"/>
          <w:pgSz w:w="11900" w:h="16840"/>
          <w:pgMar w:header="742" w:footer="984" w:top="1060" w:bottom="1180" w:left="980" w:right="980"/>
        </w:sectPr>
      </w:pPr>
    </w:p>
    <w:p>
      <w:pPr>
        <w:spacing w:line="240" w:lineRule="auto" w:before="6"/>
        <w:rPr>
          <w:rFonts w:ascii="Microsoft JhengHei" w:hAnsi="Microsoft JhengHei" w:cs="Microsoft JhengHei" w:eastAsia="Microsoft JhengHei" w:hint="default"/>
          <w:b/>
          <w:bCs/>
          <w:sz w:val="2"/>
          <w:szCs w:val="2"/>
        </w:rPr>
      </w:pPr>
    </w:p>
    <w:p>
      <w:pPr>
        <w:spacing w:line="20" w:lineRule="exact"/>
        <w:ind w:left="1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24"/>
          <w:szCs w:val="24"/>
        </w:rPr>
      </w:pPr>
    </w:p>
    <w:p>
      <w:pPr>
        <w:pStyle w:val="Heading1"/>
        <w:spacing w:line="458" w:lineRule="exact"/>
        <w:ind w:left="2802" w:right="0"/>
        <w:jc w:val="left"/>
        <w:rPr>
          <w:b w:val="0"/>
          <w:bCs w:val="0"/>
        </w:rPr>
      </w:pPr>
      <w:bookmarkStart w:name="_TOC_250009" w:id="1"/>
      <w:r>
        <w:rPr/>
        <w:t>第一节 </w:t>
      </w:r>
      <w:r>
        <w:rPr>
          <w:spacing w:val="17"/>
        </w:rPr>
        <w:t> </w:t>
      </w:r>
      <w:r>
        <w:rPr/>
        <w:t>重要提示、目录和释义</w:t>
      </w:r>
      <w:bookmarkEnd w:id="1"/>
      <w:r>
        <w:rPr>
          <w:b w:val="0"/>
          <w:bCs w:val="0"/>
        </w:rPr>
      </w:r>
    </w:p>
    <w:p>
      <w:pPr>
        <w:spacing w:line="240" w:lineRule="auto" w:before="16"/>
        <w:rPr>
          <w:rFonts w:ascii="Microsoft JhengHei" w:hAnsi="Microsoft JhengHei" w:cs="Microsoft JhengHei" w:eastAsia="Microsoft JhengHei" w:hint="default"/>
          <w:b/>
          <w:bCs/>
          <w:sz w:val="33"/>
          <w:szCs w:val="33"/>
        </w:rPr>
      </w:pPr>
    </w:p>
    <w:p>
      <w:pPr>
        <w:pStyle w:val="Heading2"/>
        <w:spacing w:line="408" w:lineRule="auto"/>
        <w:ind w:right="153" w:firstLine="561"/>
        <w:jc w:val="both"/>
      </w:pPr>
      <w:r>
        <w:rPr>
          <w:spacing w:val="4"/>
          <w:w w:val="95"/>
        </w:rPr>
        <w:t>本公司董事会、监事会及董事、监事、高级管理人员保证本报告所载资料</w:t>
      </w:r>
      <w:r>
        <w:rPr>
          <w:w w:val="99"/>
        </w:rPr>
        <w:t> </w:t>
      </w:r>
      <w:r>
        <w:rPr>
          <w:spacing w:val="4"/>
          <w:w w:val="95"/>
        </w:rPr>
        <w:t>不存在任何虚假记载、误导性陈述或者重大遗漏，并对其内容的真实性、准确</w:t>
      </w:r>
      <w:r>
        <w:rPr>
          <w:spacing w:val="17"/>
          <w:w w:val="95"/>
        </w:rPr>
        <w:t> </w:t>
      </w:r>
      <w:r>
        <w:rPr>
          <w:spacing w:val="17"/>
          <w:w w:val="95"/>
        </w:rPr>
      </w:r>
      <w:r>
        <w:rPr/>
        <w:t>性和完整性承担个别及连带责任。</w:t>
      </w:r>
    </w:p>
    <w:p>
      <w:pPr>
        <w:pStyle w:val="Heading2"/>
        <w:spacing w:line="475" w:lineRule="auto" w:before="162"/>
        <w:ind w:left="714" w:right="0"/>
        <w:jc w:val="left"/>
      </w:pPr>
      <w:r>
        <w:rPr/>
        <w:t>所有董事均已出席了审议本报告的董事会会议。</w:t>
      </w:r>
      <w:r>
        <w:rPr>
          <w:w w:val="99"/>
        </w:rPr>
        <w:t> </w:t>
      </w:r>
      <w:r>
        <w:rPr>
          <w:spacing w:val="4"/>
          <w:w w:val="95"/>
        </w:rPr>
        <w:t>公司负责人纪立军、主管会计工作负责人陆荣及会计机构负责人王迎辉声</w:t>
      </w:r>
      <w:r>
        <w:rPr>
          <w:spacing w:val="4"/>
        </w:rPr>
      </w:r>
    </w:p>
    <w:p>
      <w:pPr>
        <w:pStyle w:val="Heading2"/>
        <w:spacing w:line="350" w:lineRule="exact"/>
        <w:ind w:right="0"/>
        <w:jc w:val="left"/>
      </w:pPr>
      <w:r>
        <w:rPr/>
        <w:t>明：保证年度报告中财务报告的真实、准确、完整。</w:t>
      </w:r>
    </w:p>
    <w:p>
      <w:pPr>
        <w:spacing w:line="240" w:lineRule="auto" w:before="5"/>
        <w:rPr>
          <w:rFonts w:ascii="宋体" w:hAnsi="宋体" w:cs="宋体" w:eastAsia="宋体" w:hint="default"/>
          <w:sz w:val="27"/>
          <w:szCs w:val="27"/>
        </w:rPr>
      </w:pPr>
    </w:p>
    <w:p>
      <w:pPr>
        <w:pStyle w:val="Heading2"/>
        <w:spacing w:line="408" w:lineRule="auto"/>
        <w:ind w:right="152" w:firstLine="561"/>
        <w:jc w:val="both"/>
      </w:pPr>
      <w:r>
        <w:rPr>
          <w:spacing w:val="4"/>
          <w:w w:val="95"/>
        </w:rPr>
        <w:t>本报告中如有涉及未来的计划、业绩预测等方面的内容，均不构成本公司</w:t>
      </w:r>
      <w:r>
        <w:rPr>
          <w:w w:val="99"/>
        </w:rPr>
        <w:t> </w:t>
      </w:r>
      <w:r>
        <w:rPr>
          <w:spacing w:val="4"/>
          <w:w w:val="95"/>
        </w:rPr>
        <w:t>对任何投资者及相关人士的承诺，投资者及相关人士均应对此保持足够的风险</w:t>
      </w:r>
      <w:r>
        <w:rPr>
          <w:spacing w:val="15"/>
          <w:w w:val="95"/>
        </w:rPr>
        <w:t> </w:t>
      </w:r>
      <w:r>
        <w:rPr>
          <w:spacing w:val="15"/>
          <w:w w:val="95"/>
        </w:rPr>
      </w:r>
      <w:r>
        <w:rPr/>
        <w:t>认识，并且应当理解计划、预测与承诺之间的差异。</w:t>
      </w:r>
    </w:p>
    <w:p>
      <w:pPr>
        <w:spacing w:after="0" w:line="408" w:lineRule="auto"/>
        <w:jc w:val="both"/>
        <w:sectPr>
          <w:footerReference w:type="default" r:id="rId8"/>
          <w:pgSz w:w="11900" w:h="16840"/>
          <w:pgMar w:footer="984" w:header="742" w:top="1060" w:bottom="1180" w:left="980" w:right="980"/>
          <w:pgNumType w:start="2"/>
        </w:sectPr>
      </w:pPr>
    </w:p>
    <w:p>
      <w:pPr>
        <w:spacing w:line="240" w:lineRule="auto" w:before="2"/>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line="501" w:lineRule="exact" w:before="0"/>
        <w:ind w:left="141" w:right="142"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目录</w:t>
      </w:r>
      <w:r>
        <w:rPr>
          <w:rFonts w:ascii="Microsoft JhengHei" w:hAnsi="Microsoft JhengHei" w:cs="Microsoft JhengHei" w:eastAsia="Microsoft JhengHei" w:hint="default"/>
          <w:sz w:val="36"/>
          <w:szCs w:val="36"/>
        </w:rPr>
      </w:r>
    </w:p>
    <w:p>
      <w:pPr>
        <w:spacing w:line="240" w:lineRule="auto" w:before="0"/>
        <w:rPr>
          <w:rFonts w:ascii="Microsoft JhengHei" w:hAnsi="Microsoft JhengHei" w:cs="Microsoft JhengHei" w:eastAsia="Microsoft JhengHei" w:hint="default"/>
          <w:b/>
          <w:bCs/>
          <w:sz w:val="36"/>
          <w:szCs w:val="36"/>
        </w:rPr>
      </w:pPr>
    </w:p>
    <w:p>
      <w:pPr>
        <w:spacing w:line="240" w:lineRule="auto" w:before="0"/>
        <w:rPr>
          <w:rFonts w:ascii="Microsoft JhengHei" w:hAnsi="Microsoft JhengHei" w:cs="Microsoft JhengHei" w:eastAsia="Microsoft JhengHei" w:hint="default"/>
          <w:b/>
          <w:bCs/>
          <w:sz w:val="36"/>
          <w:szCs w:val="36"/>
        </w:rPr>
      </w:pPr>
    </w:p>
    <w:p>
      <w:pPr>
        <w:spacing w:line="240" w:lineRule="auto" w:before="17"/>
        <w:rPr>
          <w:rFonts w:ascii="Microsoft JhengHei" w:hAnsi="Microsoft JhengHei" w:cs="Microsoft JhengHei" w:eastAsia="Microsoft JhengHei" w:hint="default"/>
          <w:b/>
          <w:bCs/>
          <w:sz w:val="18"/>
          <w:szCs w:val="18"/>
        </w:rPr>
      </w:pPr>
    </w:p>
    <w:sdt>
      <w:sdtPr>
        <w:docPartObj>
          <w:docPartGallery w:val="Table of Contents"/>
          <w:docPartUnique/>
        </w:docPartObj>
      </w:sdtPr>
      <w:sdtEndPr/>
      <w:sdtContent>
        <w:p>
          <w:pPr>
            <w:pStyle w:val="TOC1"/>
            <w:tabs>
              <w:tab w:pos="9781" w:val="right" w:leader="dot"/>
            </w:tabs>
            <w:spacing w:line="240" w:lineRule="auto" w:before="0"/>
            <w:ind w:right="0"/>
            <w:jc w:val="left"/>
          </w:pPr>
          <w:r>
            <w:fldChar w:fldCharType="begin"/>
          </w:r>
          <w:r>
            <w:instrText>TOC \o "1-1" \h \z \u </w:instrText>
          </w:r>
          <w:r>
            <w:fldChar w:fldCharType="separate"/>
          </w:r>
          <w:hyperlink w:history="true" w:anchor="_TOC_250009">
            <w:r>
              <w:rPr/>
              <w:t>第一节</w:t>
            </w:r>
            <w:r>
              <w:rPr>
                <w:spacing w:val="-2"/>
              </w:rPr>
              <w:t> </w:t>
            </w:r>
            <w:r>
              <w:rPr/>
              <w:t>重要提示、目录和释义</w:t>
            </w:r>
            <w:r>
              <w:rPr>
                <w:rFonts w:ascii="Times New Roman" w:hAnsi="Times New Roman" w:cs="Times New Roman" w:eastAsia="Times New Roman" w:hint="default"/>
              </w:rPr>
              <w:tab/>
            </w:r>
            <w:r>
              <w:rPr/>
              <w:t>2</w:t>
            </w:r>
          </w:hyperlink>
        </w:p>
        <w:p>
          <w:pPr>
            <w:pStyle w:val="TOC1"/>
            <w:tabs>
              <w:tab w:pos="9781" w:val="right" w:leader="dot"/>
            </w:tabs>
            <w:spacing w:line="240" w:lineRule="auto" w:before="300"/>
            <w:ind w:right="0"/>
            <w:jc w:val="left"/>
          </w:pPr>
          <w:hyperlink w:history="true" w:anchor="_TOC_250008">
            <w:r>
              <w:rPr/>
              <w:t>第二节</w:t>
            </w:r>
            <w:r>
              <w:rPr>
                <w:spacing w:val="-2"/>
              </w:rPr>
              <w:t> </w:t>
            </w:r>
            <w:r>
              <w:rPr/>
              <w:t>公司基本情况简介</w:t>
            </w:r>
            <w:r>
              <w:rPr>
                <w:rFonts w:ascii="Times New Roman" w:hAnsi="Times New Roman" w:cs="Times New Roman" w:eastAsia="Times New Roman" w:hint="default"/>
              </w:rPr>
              <w:tab/>
            </w:r>
            <w:r>
              <w:rPr/>
              <w:t>5</w:t>
            </w:r>
          </w:hyperlink>
        </w:p>
        <w:p>
          <w:pPr>
            <w:pStyle w:val="TOC1"/>
            <w:tabs>
              <w:tab w:pos="9781" w:val="right" w:leader="dot"/>
            </w:tabs>
            <w:spacing w:line="240" w:lineRule="auto"/>
            <w:ind w:right="0"/>
            <w:jc w:val="left"/>
          </w:pPr>
          <w:hyperlink w:history="true" w:anchor="_TOC_250007">
            <w:r>
              <w:rPr/>
              <w:t>第三节</w:t>
            </w:r>
            <w:r>
              <w:rPr>
                <w:spacing w:val="-2"/>
              </w:rPr>
              <w:t> </w:t>
            </w:r>
            <w:r>
              <w:rPr/>
              <w:t>会计数据和财务指标摘要</w:t>
            </w:r>
            <w:r>
              <w:rPr>
                <w:rFonts w:ascii="Times New Roman" w:hAnsi="Times New Roman" w:cs="Times New Roman" w:eastAsia="Times New Roman" w:hint="default"/>
              </w:rPr>
              <w:tab/>
            </w:r>
            <w:r>
              <w:rPr/>
              <w:t>7</w:t>
            </w:r>
          </w:hyperlink>
        </w:p>
        <w:p>
          <w:pPr>
            <w:pStyle w:val="TOC1"/>
            <w:tabs>
              <w:tab w:pos="9781" w:val="right" w:leader="dot"/>
            </w:tabs>
            <w:spacing w:line="240" w:lineRule="auto"/>
            <w:ind w:right="0"/>
            <w:jc w:val="left"/>
          </w:pPr>
          <w:hyperlink w:history="true" w:anchor="_TOC_250006">
            <w:r>
              <w:rPr/>
              <w:t>第四节</w:t>
            </w:r>
            <w:r>
              <w:rPr>
                <w:spacing w:val="-2"/>
              </w:rPr>
              <w:t> </w:t>
            </w:r>
            <w:r>
              <w:rPr/>
              <w:t>董事会报告</w:t>
            </w:r>
            <w:r>
              <w:rPr>
                <w:rFonts w:ascii="Times New Roman" w:hAnsi="Times New Roman" w:cs="Times New Roman" w:eastAsia="Times New Roman" w:hint="default"/>
              </w:rPr>
              <w:tab/>
            </w:r>
            <w:r>
              <w:rPr/>
              <w:t>10</w:t>
            </w:r>
          </w:hyperlink>
        </w:p>
        <w:p>
          <w:pPr>
            <w:pStyle w:val="TOC1"/>
            <w:tabs>
              <w:tab w:pos="9781" w:val="right" w:leader="dot"/>
            </w:tabs>
            <w:spacing w:line="240" w:lineRule="auto" w:before="300"/>
            <w:ind w:right="0"/>
            <w:jc w:val="left"/>
          </w:pPr>
          <w:hyperlink w:history="true" w:anchor="_TOC_250005">
            <w:r>
              <w:rPr/>
              <w:t>第五节</w:t>
            </w:r>
            <w:r>
              <w:rPr>
                <w:spacing w:val="-2"/>
              </w:rPr>
              <w:t> </w:t>
            </w:r>
            <w:r>
              <w:rPr/>
              <w:t>重要事项</w:t>
            </w:r>
            <w:r>
              <w:rPr>
                <w:rFonts w:ascii="Times New Roman" w:hAnsi="Times New Roman" w:cs="Times New Roman" w:eastAsia="Times New Roman" w:hint="default"/>
              </w:rPr>
              <w:tab/>
            </w:r>
            <w:r>
              <w:rPr/>
              <w:t>35</w:t>
            </w:r>
          </w:hyperlink>
        </w:p>
        <w:p>
          <w:pPr>
            <w:pStyle w:val="TOC1"/>
            <w:tabs>
              <w:tab w:pos="9781" w:val="right" w:leader="dot"/>
            </w:tabs>
            <w:spacing w:line="240" w:lineRule="auto"/>
            <w:ind w:right="0"/>
            <w:jc w:val="left"/>
          </w:pPr>
          <w:hyperlink w:history="true" w:anchor="_TOC_250004">
            <w:r>
              <w:rPr/>
              <w:t>第六节</w:t>
            </w:r>
            <w:r>
              <w:rPr>
                <w:spacing w:val="-2"/>
              </w:rPr>
              <w:t> </w:t>
            </w:r>
            <w:r>
              <w:rPr/>
              <w:t>股份变动及股东情况</w:t>
            </w:r>
            <w:r>
              <w:rPr>
                <w:rFonts w:ascii="Times New Roman" w:hAnsi="Times New Roman" w:cs="Times New Roman" w:eastAsia="Times New Roman" w:hint="default"/>
              </w:rPr>
              <w:tab/>
            </w:r>
            <w:r>
              <w:rPr/>
              <w:t>46</w:t>
            </w:r>
          </w:hyperlink>
        </w:p>
        <w:p>
          <w:pPr>
            <w:pStyle w:val="TOC1"/>
            <w:tabs>
              <w:tab w:pos="9781" w:val="right" w:leader="dot"/>
            </w:tabs>
            <w:spacing w:line="240" w:lineRule="auto"/>
            <w:ind w:right="0"/>
            <w:jc w:val="left"/>
          </w:pPr>
          <w:hyperlink w:history="true" w:anchor="_TOC_250003">
            <w:r>
              <w:rPr/>
              <w:t>第七节</w:t>
            </w:r>
            <w:r>
              <w:rPr>
                <w:spacing w:val="-2"/>
              </w:rPr>
              <w:t> </w:t>
            </w:r>
            <w:r>
              <w:rPr/>
              <w:t>董事、监事、高级管理人员和员工情况</w:t>
            </w:r>
            <w:r>
              <w:rPr>
                <w:rFonts w:ascii="Times New Roman" w:hAnsi="Times New Roman" w:cs="Times New Roman" w:eastAsia="Times New Roman" w:hint="default"/>
              </w:rPr>
              <w:tab/>
            </w:r>
            <w:r>
              <w:rPr/>
              <w:t>54</w:t>
            </w:r>
          </w:hyperlink>
        </w:p>
        <w:p>
          <w:pPr>
            <w:pStyle w:val="TOC1"/>
            <w:tabs>
              <w:tab w:pos="9781" w:val="right" w:leader="dot"/>
            </w:tabs>
            <w:spacing w:line="240" w:lineRule="auto" w:before="300"/>
            <w:ind w:right="0"/>
            <w:jc w:val="left"/>
          </w:pPr>
          <w:hyperlink w:history="true" w:anchor="_TOC_250002">
            <w:r>
              <w:rPr/>
              <w:t>第八节</w:t>
            </w:r>
            <w:r>
              <w:rPr>
                <w:spacing w:val="-2"/>
              </w:rPr>
              <w:t> </w:t>
            </w:r>
            <w:r>
              <w:rPr/>
              <w:t>公司治理</w:t>
            </w:r>
            <w:r>
              <w:rPr>
                <w:rFonts w:ascii="Times New Roman" w:hAnsi="Times New Roman" w:cs="Times New Roman" w:eastAsia="Times New Roman" w:hint="default"/>
              </w:rPr>
              <w:tab/>
            </w:r>
            <w:r>
              <w:rPr/>
              <w:t>64</w:t>
            </w:r>
          </w:hyperlink>
        </w:p>
        <w:p>
          <w:pPr>
            <w:pStyle w:val="TOC1"/>
            <w:tabs>
              <w:tab w:pos="9781" w:val="right" w:leader="dot"/>
            </w:tabs>
            <w:spacing w:line="240" w:lineRule="auto"/>
            <w:ind w:right="0"/>
            <w:jc w:val="left"/>
          </w:pPr>
          <w:hyperlink w:history="true" w:anchor="_TOC_250001">
            <w:r>
              <w:rPr/>
              <w:t>第九节</w:t>
            </w:r>
            <w:r>
              <w:rPr>
                <w:spacing w:val="-2"/>
              </w:rPr>
              <w:t> </w:t>
            </w:r>
            <w:r>
              <w:rPr/>
              <w:t>财务报告</w:t>
            </w:r>
            <w:r>
              <w:rPr>
                <w:rFonts w:ascii="Times New Roman" w:hAnsi="Times New Roman" w:cs="Times New Roman" w:eastAsia="Times New Roman" w:hint="default"/>
              </w:rPr>
              <w:tab/>
            </w:r>
            <w:r>
              <w:rPr/>
              <w:t>67</w:t>
            </w:r>
          </w:hyperlink>
        </w:p>
        <w:p>
          <w:pPr>
            <w:pStyle w:val="TOC1"/>
            <w:tabs>
              <w:tab w:pos="9781" w:val="right" w:leader="dot"/>
            </w:tabs>
            <w:spacing w:line="240" w:lineRule="auto"/>
            <w:ind w:right="0"/>
            <w:jc w:val="left"/>
          </w:pPr>
          <w:hyperlink w:history="true" w:anchor="_TOC_250000">
            <w:r>
              <w:rPr/>
              <w:t>第十节</w:t>
            </w:r>
            <w:r>
              <w:rPr>
                <w:spacing w:val="-2"/>
              </w:rPr>
              <w:t> </w:t>
            </w:r>
            <w:r>
              <w:rPr/>
              <w:t>备查文件目录</w:t>
            </w:r>
            <w:r>
              <w:rPr>
                <w:rFonts w:ascii="Times New Roman" w:hAnsi="Times New Roman" w:cs="Times New Roman" w:eastAsia="Times New Roman" w:hint="default"/>
              </w:rPr>
              <w:tab/>
            </w:r>
            <w:r>
              <w:rPr/>
              <w:t>151</w:t>
            </w:r>
          </w:hyperlink>
        </w:p>
        <w:p>
          <w:pPr/>
          <w:r>
            <w:fldChar w:fldCharType="end"/>
          </w:r>
        </w:p>
      </w:sdtContent>
    </w:sdt>
    <w:p>
      <w:pPr>
        <w:spacing w:after="0"/>
        <w:sectPr>
          <w:pgSz w:w="11900" w:h="16840"/>
          <w:pgMar w:header="742" w:footer="984" w:top="1060" w:bottom="1180" w:left="980" w:right="980"/>
        </w:sectPr>
      </w:pPr>
    </w:p>
    <w:p>
      <w:pPr>
        <w:spacing w:before="852"/>
        <w:ind w:left="141" w:right="144"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释义</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1"/>
        <w:rPr>
          <w:rFonts w:ascii="Microsoft JhengHei" w:hAnsi="Microsoft JhengHei" w:cs="Microsoft JhengHei" w:eastAsia="Microsoft JhengHei"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526"/>
        <w:gridCol w:w="619"/>
        <w:gridCol w:w="5426"/>
      </w:tblGrid>
      <w:tr>
        <w:trPr>
          <w:trHeight w:val="403" w:hRule="exact"/>
        </w:trPr>
        <w:tc>
          <w:tcPr>
            <w:tcW w:w="3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158" w:hRule="exact"/>
        </w:trPr>
        <w:tc>
          <w:tcPr>
            <w:tcW w:w="3526" w:type="dxa"/>
            <w:vMerge w:val="restart"/>
            <w:tcBorders>
              <w:top w:val="single" w:sz="4" w:space="0" w:color="000000"/>
              <w:left w:val="single" w:sz="4" w:space="0" w:color="000000"/>
              <w:right w:val="single" w:sz="10" w:space="0" w:color="D2D2D2"/>
            </w:tcBorders>
          </w:tcPr>
          <w:p>
            <w:pPr>
              <w:pStyle w:val="TableParagraph"/>
              <w:spacing w:line="316" w:lineRule="auto" w:before="53"/>
              <w:ind w:left="24" w:right="60"/>
              <w:jc w:val="left"/>
              <w:rPr>
                <w:rFonts w:ascii="宋体" w:hAnsi="宋体" w:cs="宋体" w:eastAsia="宋体" w:hint="default"/>
                <w:sz w:val="18"/>
                <w:szCs w:val="18"/>
              </w:rPr>
            </w:pPr>
            <w:r>
              <w:rPr>
                <w:rFonts w:ascii="宋体" w:hAnsi="宋体" w:cs="宋体" w:eastAsia="宋体" w:hint="default"/>
                <w:spacing w:val="-3"/>
                <w:sz w:val="18"/>
                <w:szCs w:val="18"/>
              </w:rPr>
              <w:t>公司、本公司、安诺其、上海安诺其、上海</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安诺其纺织化工股份有限公司</w:t>
            </w:r>
          </w:p>
        </w:tc>
        <w:tc>
          <w:tcPr>
            <w:tcW w:w="61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6" w:type="dxa"/>
            <w:vMerge w:val="restart"/>
            <w:tcBorders>
              <w:top w:val="single" w:sz="4" w:space="0" w:color="000000"/>
              <w:left w:val="single" w:sz="10" w:space="0" w:color="D2D2D2"/>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pacing w:val="-3"/>
                <w:sz w:val="18"/>
                <w:szCs w:val="18"/>
              </w:rPr>
              <w:t>上海安诺其集团股份有限公司。</w:t>
            </w:r>
          </w:p>
        </w:tc>
      </w:tr>
      <w:tr>
        <w:trPr>
          <w:trHeight w:val="393" w:hRule="exact"/>
        </w:trPr>
        <w:tc>
          <w:tcPr>
            <w:tcW w:w="3526" w:type="dxa"/>
            <w:vMerge/>
            <w:tcBorders>
              <w:left w:val="single" w:sz="4" w:space="0" w:color="000000"/>
              <w:right w:val="single" w:sz="10" w:space="0" w:color="D2D2D2"/>
            </w:tcBorders>
          </w:tcPr>
          <w:p>
            <w:pPr/>
          </w:p>
        </w:tc>
        <w:tc>
          <w:tcPr>
            <w:tcW w:w="6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vMerge/>
            <w:tcBorders>
              <w:left w:val="single" w:sz="10" w:space="0" w:color="D2D2D2"/>
              <w:right w:val="single" w:sz="4" w:space="0" w:color="000000"/>
            </w:tcBorders>
          </w:tcPr>
          <w:p>
            <w:pPr/>
          </w:p>
        </w:tc>
      </w:tr>
      <w:tr>
        <w:trPr>
          <w:trHeight w:val="164" w:hRule="exact"/>
        </w:trPr>
        <w:tc>
          <w:tcPr>
            <w:tcW w:w="3526" w:type="dxa"/>
            <w:vMerge/>
            <w:tcBorders>
              <w:left w:val="single" w:sz="4" w:space="0" w:color="000000"/>
              <w:bottom w:val="single" w:sz="4" w:space="0" w:color="000000"/>
              <w:right w:val="single" w:sz="10" w:space="0" w:color="D2D2D2"/>
            </w:tcBorders>
          </w:tcPr>
          <w:p>
            <w:pPr/>
          </w:p>
        </w:tc>
        <w:tc>
          <w:tcPr>
            <w:tcW w:w="61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6" w:type="dxa"/>
            <w:vMerge/>
            <w:tcBorders>
              <w:left w:val="single" w:sz="10" w:space="0" w:color="D2D2D2"/>
              <w:bottom w:val="single" w:sz="4" w:space="0" w:color="000000"/>
              <w:right w:val="single" w:sz="4" w:space="0" w:color="000000"/>
            </w:tcBorders>
          </w:tcPr>
          <w:p>
            <w:pPr/>
          </w:p>
        </w:tc>
      </w:tr>
      <w:tr>
        <w:trPr>
          <w:trHeight w:val="158" w:hRule="exact"/>
        </w:trPr>
        <w:tc>
          <w:tcPr>
            <w:tcW w:w="3526" w:type="dxa"/>
            <w:vMerge w:val="restart"/>
            <w:tcBorders>
              <w:top w:val="single" w:sz="4" w:space="0" w:color="000000"/>
              <w:left w:val="single" w:sz="4" w:space="0" w:color="000000"/>
              <w:right w:val="single" w:sz="10" w:space="0" w:color="D2D2D2"/>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东营子公司、东营安诺其</w:t>
            </w:r>
          </w:p>
        </w:tc>
        <w:tc>
          <w:tcPr>
            <w:tcW w:w="61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6" w:type="dxa"/>
            <w:vMerge w:val="restart"/>
            <w:tcBorders>
              <w:top w:val="single" w:sz="4" w:space="0" w:color="000000"/>
              <w:left w:val="single" w:sz="10" w:space="0" w:color="D2D2D2"/>
              <w:right w:val="single" w:sz="4" w:space="0" w:color="000000"/>
            </w:tcBorders>
          </w:tcPr>
          <w:p>
            <w:pPr>
              <w:pStyle w:val="TableParagraph"/>
              <w:spacing w:line="316" w:lineRule="auto" w:before="53"/>
              <w:ind w:left="14" w:right="22"/>
              <w:jc w:val="left"/>
              <w:rPr>
                <w:rFonts w:ascii="宋体" w:hAnsi="宋体" w:cs="宋体" w:eastAsia="宋体" w:hint="default"/>
                <w:sz w:val="18"/>
                <w:szCs w:val="18"/>
              </w:rPr>
            </w:pPr>
            <w:r>
              <w:rPr>
                <w:rFonts w:ascii="宋体" w:hAnsi="宋体" w:cs="宋体" w:eastAsia="宋体" w:hint="default"/>
                <w:spacing w:val="-4"/>
                <w:sz w:val="18"/>
                <w:szCs w:val="18"/>
              </w:rPr>
              <w:t>东营安诺其纺织材料有限公司，本公司全资子公司，位于山东省东营</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z w:val="18"/>
                <w:szCs w:val="18"/>
              </w:rPr>
              <w:t>市河口经济园区。</w:t>
            </w:r>
          </w:p>
        </w:tc>
      </w:tr>
      <w:tr>
        <w:trPr>
          <w:trHeight w:val="389" w:hRule="exact"/>
        </w:trPr>
        <w:tc>
          <w:tcPr>
            <w:tcW w:w="3526" w:type="dxa"/>
            <w:vMerge/>
            <w:tcBorders>
              <w:left w:val="single" w:sz="4" w:space="0" w:color="000000"/>
              <w:right w:val="single" w:sz="10" w:space="0" w:color="D2D2D2"/>
            </w:tcBorders>
          </w:tcPr>
          <w:p>
            <w:pPr/>
          </w:p>
        </w:tc>
        <w:tc>
          <w:tcPr>
            <w:tcW w:w="6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vMerge/>
            <w:tcBorders>
              <w:left w:val="single" w:sz="10" w:space="0" w:color="D2D2D2"/>
              <w:right w:val="single" w:sz="4" w:space="0" w:color="000000"/>
            </w:tcBorders>
          </w:tcPr>
          <w:p>
            <w:pPr/>
          </w:p>
        </w:tc>
      </w:tr>
      <w:tr>
        <w:trPr>
          <w:trHeight w:val="163" w:hRule="exact"/>
        </w:trPr>
        <w:tc>
          <w:tcPr>
            <w:tcW w:w="3526" w:type="dxa"/>
            <w:vMerge/>
            <w:tcBorders>
              <w:left w:val="single" w:sz="4" w:space="0" w:color="000000"/>
              <w:bottom w:val="single" w:sz="4" w:space="0" w:color="000000"/>
              <w:right w:val="single" w:sz="10" w:space="0" w:color="D2D2D2"/>
            </w:tcBorders>
          </w:tcPr>
          <w:p>
            <w:pPr/>
          </w:p>
        </w:tc>
        <w:tc>
          <w:tcPr>
            <w:tcW w:w="61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6" w:type="dxa"/>
            <w:vMerge/>
            <w:tcBorders>
              <w:left w:val="single" w:sz="10" w:space="0" w:color="D2D2D2"/>
              <w:bottom w:val="single" w:sz="4" w:space="0" w:color="000000"/>
              <w:right w:val="single" w:sz="4" w:space="0" w:color="000000"/>
            </w:tcBorders>
          </w:tcPr>
          <w:p>
            <w:pPr/>
          </w:p>
        </w:tc>
      </w:tr>
      <w:tr>
        <w:trPr>
          <w:trHeight w:val="158" w:hRule="exact"/>
        </w:trPr>
        <w:tc>
          <w:tcPr>
            <w:tcW w:w="3526" w:type="dxa"/>
            <w:vMerge w:val="restart"/>
            <w:tcBorders>
              <w:top w:val="single" w:sz="4" w:space="0" w:color="000000"/>
              <w:left w:val="single" w:sz="4" w:space="0" w:color="000000"/>
              <w:right w:val="single" w:sz="10" w:space="0" w:color="D2D2D2"/>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烟台子公司、烟台安诺其</w:t>
            </w:r>
          </w:p>
        </w:tc>
        <w:tc>
          <w:tcPr>
            <w:tcW w:w="61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6" w:type="dxa"/>
            <w:vMerge w:val="restart"/>
            <w:tcBorders>
              <w:top w:val="single" w:sz="4" w:space="0" w:color="000000"/>
              <w:left w:val="single" w:sz="10" w:space="0" w:color="D2D2D2"/>
              <w:right w:val="single" w:sz="4" w:space="0" w:color="000000"/>
            </w:tcBorders>
          </w:tcPr>
          <w:p>
            <w:pPr>
              <w:pStyle w:val="TableParagraph"/>
              <w:spacing w:line="321" w:lineRule="auto" w:before="53"/>
              <w:ind w:left="14" w:right="22"/>
              <w:jc w:val="left"/>
              <w:rPr>
                <w:rFonts w:ascii="宋体" w:hAnsi="宋体" w:cs="宋体" w:eastAsia="宋体" w:hint="default"/>
                <w:sz w:val="18"/>
                <w:szCs w:val="18"/>
              </w:rPr>
            </w:pPr>
            <w:r>
              <w:rPr>
                <w:rFonts w:ascii="宋体" w:hAnsi="宋体" w:cs="宋体" w:eastAsia="宋体" w:hint="default"/>
                <w:spacing w:val="-4"/>
                <w:sz w:val="18"/>
                <w:szCs w:val="18"/>
              </w:rPr>
              <w:t>烟台安诺其纺织材料有限公司，本公司全资子公司，位于山东省蓬莱</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z w:val="18"/>
                <w:szCs w:val="18"/>
              </w:rPr>
              <w:t>经济开发区。</w:t>
            </w:r>
          </w:p>
        </w:tc>
      </w:tr>
      <w:tr>
        <w:trPr>
          <w:trHeight w:val="394" w:hRule="exact"/>
        </w:trPr>
        <w:tc>
          <w:tcPr>
            <w:tcW w:w="3526" w:type="dxa"/>
            <w:vMerge/>
            <w:tcBorders>
              <w:left w:val="single" w:sz="4" w:space="0" w:color="000000"/>
              <w:right w:val="single" w:sz="10" w:space="0" w:color="D2D2D2"/>
            </w:tcBorders>
          </w:tcPr>
          <w:p>
            <w:pPr/>
          </w:p>
        </w:tc>
        <w:tc>
          <w:tcPr>
            <w:tcW w:w="6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vMerge/>
            <w:tcBorders>
              <w:left w:val="single" w:sz="10" w:space="0" w:color="D2D2D2"/>
              <w:right w:val="single" w:sz="4" w:space="0" w:color="000000"/>
            </w:tcBorders>
          </w:tcPr>
          <w:p>
            <w:pPr/>
          </w:p>
        </w:tc>
      </w:tr>
      <w:tr>
        <w:trPr>
          <w:trHeight w:val="163" w:hRule="exact"/>
        </w:trPr>
        <w:tc>
          <w:tcPr>
            <w:tcW w:w="3526" w:type="dxa"/>
            <w:vMerge/>
            <w:tcBorders>
              <w:left w:val="single" w:sz="4" w:space="0" w:color="000000"/>
              <w:bottom w:val="single" w:sz="4" w:space="0" w:color="000000"/>
              <w:right w:val="single" w:sz="10" w:space="0" w:color="D2D2D2"/>
            </w:tcBorders>
          </w:tcPr>
          <w:p>
            <w:pPr/>
          </w:p>
        </w:tc>
        <w:tc>
          <w:tcPr>
            <w:tcW w:w="61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6" w:type="dxa"/>
            <w:vMerge/>
            <w:tcBorders>
              <w:left w:val="single" w:sz="10" w:space="0" w:color="D2D2D2"/>
              <w:bottom w:val="single" w:sz="4" w:space="0" w:color="000000"/>
              <w:right w:val="single" w:sz="4" w:space="0" w:color="000000"/>
            </w:tcBorders>
          </w:tcPr>
          <w:p>
            <w:pPr/>
          </w:p>
        </w:tc>
      </w:tr>
      <w:tr>
        <w:trPr>
          <w:trHeight w:val="403" w:hRule="exact"/>
        </w:trPr>
        <w:tc>
          <w:tcPr>
            <w:tcW w:w="3526"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浙江子公司、浙江安诺其</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9" w:right="0"/>
              <w:jc w:val="left"/>
              <w:rPr>
                <w:rFonts w:ascii="宋体" w:hAnsi="宋体" w:cs="宋体" w:eastAsia="宋体" w:hint="default"/>
                <w:sz w:val="18"/>
                <w:szCs w:val="18"/>
              </w:rPr>
            </w:pPr>
            <w:r>
              <w:rPr>
                <w:rFonts w:ascii="宋体" w:hAnsi="宋体" w:cs="宋体" w:eastAsia="宋体" w:hint="default"/>
                <w:spacing w:val="-3"/>
                <w:sz w:val="18"/>
                <w:szCs w:val="18"/>
              </w:rPr>
              <w:t>浙江安诺其助剂有限公司，本公司全资子公司。</w:t>
            </w:r>
          </w:p>
        </w:tc>
      </w:tr>
      <w:tr>
        <w:trPr>
          <w:trHeight w:val="403" w:hRule="exact"/>
        </w:trPr>
        <w:tc>
          <w:tcPr>
            <w:tcW w:w="3526"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江苏子公司、江苏安诺其、江苏永庆</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9" w:right="0"/>
              <w:jc w:val="left"/>
              <w:rPr>
                <w:rFonts w:ascii="宋体" w:hAnsi="宋体" w:cs="宋体" w:eastAsia="宋体" w:hint="default"/>
                <w:sz w:val="18"/>
                <w:szCs w:val="18"/>
              </w:rPr>
            </w:pPr>
            <w:r>
              <w:rPr>
                <w:rFonts w:ascii="宋体" w:hAnsi="宋体" w:cs="宋体" w:eastAsia="宋体" w:hint="default"/>
                <w:spacing w:val="-3"/>
                <w:sz w:val="18"/>
                <w:szCs w:val="18"/>
              </w:rPr>
              <w:t>江苏安诺其化工有限公司，本公司控股子公司。</w:t>
            </w:r>
          </w:p>
        </w:tc>
      </w:tr>
      <w:tr>
        <w:trPr>
          <w:trHeight w:val="398" w:hRule="exact"/>
        </w:trPr>
        <w:tc>
          <w:tcPr>
            <w:tcW w:w="3526"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嘉兴子公司、嘉兴安诺其</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9" w:right="0"/>
              <w:jc w:val="left"/>
              <w:rPr>
                <w:rFonts w:ascii="宋体" w:hAnsi="宋体" w:cs="宋体" w:eastAsia="宋体" w:hint="default"/>
                <w:sz w:val="18"/>
                <w:szCs w:val="18"/>
              </w:rPr>
            </w:pPr>
            <w:r>
              <w:rPr>
                <w:rFonts w:ascii="宋体" w:hAnsi="宋体" w:cs="宋体" w:eastAsia="宋体" w:hint="default"/>
                <w:spacing w:val="-3"/>
                <w:sz w:val="18"/>
                <w:szCs w:val="18"/>
              </w:rPr>
              <w:t>嘉兴安诺其化工有限公司，本公司控股子公司。</w:t>
            </w:r>
          </w:p>
        </w:tc>
      </w:tr>
      <w:tr>
        <w:trPr>
          <w:trHeight w:val="403" w:hRule="exact"/>
        </w:trPr>
        <w:tc>
          <w:tcPr>
            <w:tcW w:w="3526"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烟台精细化工</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9" w:right="0"/>
              <w:jc w:val="left"/>
              <w:rPr>
                <w:rFonts w:ascii="宋体" w:hAnsi="宋体" w:cs="宋体" w:eastAsia="宋体" w:hint="default"/>
                <w:sz w:val="18"/>
                <w:szCs w:val="18"/>
              </w:rPr>
            </w:pPr>
            <w:r>
              <w:rPr>
                <w:rFonts w:ascii="宋体" w:hAnsi="宋体" w:cs="宋体" w:eastAsia="宋体" w:hint="default"/>
                <w:spacing w:val="-3"/>
                <w:sz w:val="18"/>
                <w:szCs w:val="18"/>
              </w:rPr>
              <w:t>烟台安诺其精细化工有限公司，本公司全资子公司。</w:t>
            </w:r>
          </w:p>
        </w:tc>
      </w:tr>
      <w:tr>
        <w:trPr>
          <w:trHeight w:val="403" w:hRule="exact"/>
        </w:trPr>
        <w:tc>
          <w:tcPr>
            <w:tcW w:w="3526"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众华沪银、众华</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9" w:right="0"/>
              <w:jc w:val="left"/>
              <w:rPr>
                <w:rFonts w:ascii="宋体" w:hAnsi="宋体" w:cs="宋体" w:eastAsia="宋体" w:hint="default"/>
                <w:sz w:val="18"/>
                <w:szCs w:val="18"/>
              </w:rPr>
            </w:pPr>
            <w:r>
              <w:rPr>
                <w:rFonts w:ascii="宋体" w:hAnsi="宋体" w:cs="宋体" w:eastAsia="宋体" w:hint="default"/>
                <w:spacing w:val="-3"/>
                <w:sz w:val="18"/>
                <w:szCs w:val="18"/>
              </w:rPr>
              <w:t>众华会计师事务所（特殊普通合伙）</w:t>
            </w:r>
          </w:p>
        </w:tc>
      </w:tr>
      <w:tr>
        <w:trPr>
          <w:trHeight w:val="403" w:hRule="exact"/>
        </w:trPr>
        <w:tc>
          <w:tcPr>
            <w:tcW w:w="3526"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9" w:right="0"/>
              <w:jc w:val="left"/>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pacing w:val="-5"/>
                <w:w w:val="101"/>
                <w:sz w:val="18"/>
                <w:szCs w:val="18"/>
              </w:rPr>
              <w:t>现</w:t>
            </w:r>
            <w:r>
              <w:rPr>
                <w:rFonts w:ascii="宋体" w:hAnsi="宋体" w:cs="宋体" w:eastAsia="宋体" w:hint="default"/>
                <w:w w:val="101"/>
                <w:sz w:val="18"/>
                <w:szCs w:val="18"/>
              </w:rPr>
              <w:t>行</w:t>
            </w:r>
            <w:r>
              <w:rPr>
                <w:rFonts w:ascii="宋体" w:hAnsi="宋体" w:cs="宋体" w:eastAsia="宋体" w:hint="default"/>
                <w:spacing w:val="-5"/>
                <w:w w:val="101"/>
                <w:sz w:val="18"/>
                <w:szCs w:val="18"/>
              </w:rPr>
              <w:t>《</w:t>
            </w:r>
            <w:r>
              <w:rPr>
                <w:rFonts w:ascii="宋体" w:hAnsi="宋体" w:cs="宋体" w:eastAsia="宋体" w:hint="default"/>
                <w:w w:val="101"/>
                <w:sz w:val="18"/>
                <w:szCs w:val="18"/>
              </w:rPr>
              <w:t>上</w:t>
            </w:r>
            <w:r>
              <w:rPr>
                <w:rFonts w:ascii="宋体" w:hAnsi="宋体" w:cs="宋体" w:eastAsia="宋体" w:hint="default"/>
                <w:spacing w:val="-5"/>
                <w:w w:val="101"/>
                <w:sz w:val="18"/>
                <w:szCs w:val="18"/>
              </w:rPr>
              <w:t>海</w:t>
            </w:r>
            <w:r>
              <w:rPr>
                <w:rFonts w:ascii="宋体" w:hAnsi="宋体" w:cs="宋体" w:eastAsia="宋体" w:hint="default"/>
                <w:w w:val="101"/>
                <w:sz w:val="18"/>
                <w:szCs w:val="18"/>
              </w:rPr>
              <w:t>安</w:t>
            </w:r>
            <w:r>
              <w:rPr>
                <w:rFonts w:ascii="宋体" w:hAnsi="宋体" w:cs="宋体" w:eastAsia="宋体" w:hint="default"/>
                <w:spacing w:val="-5"/>
                <w:w w:val="101"/>
                <w:sz w:val="18"/>
                <w:szCs w:val="18"/>
              </w:rPr>
              <w:t>诺</w:t>
            </w:r>
            <w:r>
              <w:rPr>
                <w:rFonts w:ascii="宋体" w:hAnsi="宋体" w:cs="宋体" w:eastAsia="宋体" w:hint="default"/>
                <w:w w:val="101"/>
                <w:sz w:val="18"/>
                <w:szCs w:val="18"/>
              </w:rPr>
              <w:t>其</w:t>
            </w:r>
            <w:r>
              <w:rPr>
                <w:rFonts w:ascii="宋体" w:hAnsi="宋体" w:cs="宋体" w:eastAsia="宋体" w:hint="default"/>
                <w:spacing w:val="-5"/>
                <w:w w:val="101"/>
                <w:sz w:val="18"/>
                <w:szCs w:val="18"/>
              </w:rPr>
              <w:t>集</w:t>
            </w:r>
            <w:r>
              <w:rPr>
                <w:rFonts w:ascii="宋体" w:hAnsi="宋体" w:cs="宋体" w:eastAsia="宋体" w:hint="default"/>
                <w:w w:val="101"/>
                <w:sz w:val="18"/>
                <w:szCs w:val="18"/>
              </w:rPr>
              <w:t>团</w:t>
            </w:r>
            <w:r>
              <w:rPr>
                <w:rFonts w:ascii="宋体" w:hAnsi="宋体" w:cs="宋体" w:eastAsia="宋体" w:hint="default"/>
                <w:spacing w:val="-5"/>
                <w:w w:val="101"/>
                <w:sz w:val="18"/>
                <w:szCs w:val="18"/>
              </w:rPr>
              <w:t>股</w:t>
            </w:r>
            <w:r>
              <w:rPr>
                <w:rFonts w:ascii="宋体" w:hAnsi="宋体" w:cs="宋体" w:eastAsia="宋体" w:hint="default"/>
                <w:w w:val="101"/>
                <w:sz w:val="18"/>
                <w:szCs w:val="18"/>
              </w:rPr>
              <w:t>份</w:t>
            </w:r>
            <w:r>
              <w:rPr>
                <w:rFonts w:ascii="宋体" w:hAnsi="宋体" w:cs="宋体" w:eastAsia="宋体" w:hint="default"/>
                <w:spacing w:val="-5"/>
                <w:w w:val="101"/>
                <w:sz w:val="18"/>
                <w:szCs w:val="18"/>
              </w:rPr>
              <w:t>有</w:t>
            </w:r>
            <w:r>
              <w:rPr>
                <w:rFonts w:ascii="宋体" w:hAnsi="宋体" w:cs="宋体" w:eastAsia="宋体" w:hint="default"/>
                <w:w w:val="101"/>
                <w:sz w:val="18"/>
                <w:szCs w:val="18"/>
              </w:rPr>
              <w:t>限</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章</w:t>
            </w:r>
            <w:r>
              <w:rPr>
                <w:rFonts w:ascii="宋体" w:hAnsi="宋体" w:cs="宋体" w:eastAsia="宋体" w:hint="default"/>
                <w:w w:val="101"/>
                <w:sz w:val="18"/>
                <w:szCs w:val="18"/>
              </w:rPr>
              <w:t>程</w:t>
            </w:r>
            <w:r>
              <w:rPr>
                <w:rFonts w:ascii="宋体" w:hAnsi="宋体" w:cs="宋体" w:eastAsia="宋体" w:hint="default"/>
                <w:spacing w:val="-91"/>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98" w:hRule="exact"/>
        </w:trPr>
        <w:tc>
          <w:tcPr>
            <w:tcW w:w="3526"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9" w:right="0"/>
              <w:jc w:val="left"/>
              <w:rPr>
                <w:rFonts w:ascii="宋体" w:hAnsi="宋体" w:cs="宋体" w:eastAsia="宋体" w:hint="default"/>
                <w:sz w:val="18"/>
                <w:szCs w:val="18"/>
              </w:rPr>
            </w:pPr>
            <w:r>
              <w:rPr>
                <w:rFonts w:ascii="宋体" w:hAnsi="宋体" w:cs="宋体" w:eastAsia="宋体" w:hint="default"/>
                <w:spacing w:val="-3"/>
                <w:sz w:val="18"/>
                <w:szCs w:val="18"/>
              </w:rPr>
              <w:t>指上海安诺其集团股份有限公司董事会。</w:t>
            </w:r>
          </w:p>
        </w:tc>
      </w:tr>
      <w:tr>
        <w:trPr>
          <w:trHeight w:val="403" w:hRule="exact"/>
        </w:trPr>
        <w:tc>
          <w:tcPr>
            <w:tcW w:w="3526"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9" w:right="0"/>
              <w:jc w:val="left"/>
              <w:rPr>
                <w:rFonts w:ascii="宋体" w:hAnsi="宋体" w:cs="宋体" w:eastAsia="宋体" w:hint="default"/>
                <w:sz w:val="18"/>
                <w:szCs w:val="18"/>
              </w:rPr>
            </w:pPr>
            <w:r>
              <w:rPr>
                <w:rFonts w:ascii="宋体" w:hAnsi="宋体" w:cs="宋体" w:eastAsia="宋体" w:hint="default"/>
                <w:spacing w:val="-3"/>
                <w:sz w:val="18"/>
                <w:szCs w:val="18"/>
              </w:rPr>
              <w:t>指上海安诺其集团股份有限公司监事会。</w:t>
            </w:r>
          </w:p>
        </w:tc>
      </w:tr>
      <w:tr>
        <w:trPr>
          <w:trHeight w:val="403" w:hRule="exact"/>
        </w:trPr>
        <w:tc>
          <w:tcPr>
            <w:tcW w:w="3526"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活性印花</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9" w:right="0"/>
              <w:jc w:val="left"/>
              <w:rPr>
                <w:rFonts w:ascii="宋体" w:hAnsi="宋体" w:cs="宋体" w:eastAsia="宋体" w:hint="default"/>
                <w:sz w:val="18"/>
                <w:szCs w:val="18"/>
              </w:rPr>
            </w:pPr>
            <w:r>
              <w:rPr>
                <w:rFonts w:ascii="宋体" w:hAnsi="宋体" w:cs="宋体" w:eastAsia="宋体" w:hint="default"/>
                <w:spacing w:val="-3"/>
                <w:sz w:val="18"/>
                <w:szCs w:val="18"/>
              </w:rPr>
              <w:t>使用活性染料渗透进面料，而形成的印花。</w:t>
            </w:r>
          </w:p>
        </w:tc>
      </w:tr>
      <w:tr>
        <w:trPr>
          <w:trHeight w:val="317" w:hRule="exact"/>
        </w:trPr>
        <w:tc>
          <w:tcPr>
            <w:tcW w:w="3526" w:type="dxa"/>
            <w:vMerge w:val="restart"/>
            <w:tcBorders>
              <w:top w:val="single" w:sz="4" w:space="0" w:color="000000"/>
              <w:left w:val="single" w:sz="4" w:space="0" w:color="000000"/>
              <w:right w:val="single" w:sz="10" w:space="0" w:color="D2D2D2"/>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牢度</w:t>
            </w:r>
          </w:p>
        </w:tc>
        <w:tc>
          <w:tcPr>
            <w:tcW w:w="61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6" w:type="dxa"/>
            <w:vMerge w:val="restart"/>
            <w:tcBorders>
              <w:top w:val="single" w:sz="4" w:space="0" w:color="000000"/>
              <w:left w:val="single" w:sz="10" w:space="0" w:color="D2D2D2"/>
              <w:right w:val="single" w:sz="4" w:space="0" w:color="000000"/>
            </w:tcBorders>
          </w:tcPr>
          <w:p>
            <w:pPr>
              <w:pStyle w:val="TableParagraph"/>
              <w:spacing w:line="316" w:lineRule="auto" w:before="53"/>
              <w:ind w:left="14" w:right="22"/>
              <w:jc w:val="both"/>
              <w:rPr>
                <w:rFonts w:ascii="宋体" w:hAnsi="宋体" w:cs="宋体" w:eastAsia="宋体" w:hint="default"/>
                <w:sz w:val="18"/>
                <w:szCs w:val="18"/>
              </w:rPr>
            </w:pPr>
            <w:r>
              <w:rPr>
                <w:rFonts w:ascii="宋体" w:hAnsi="宋体" w:cs="宋体" w:eastAsia="宋体" w:hint="default"/>
                <w:spacing w:val="-4"/>
                <w:sz w:val="18"/>
                <w:szCs w:val="18"/>
              </w:rPr>
              <w:t>是指染色纺织品在物理和化学作用下颜色保持坚牢的程度，即染色纺 织品色泽受外界影响坚牢程度称为染色牢度。一般包括摩擦牢度、日</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z w:val="18"/>
                <w:szCs w:val="18"/>
              </w:rPr>
              <w:t>晒牢度、水洗牢度等。</w:t>
            </w:r>
          </w:p>
        </w:tc>
      </w:tr>
      <w:tr>
        <w:trPr>
          <w:trHeight w:val="394" w:hRule="exact"/>
        </w:trPr>
        <w:tc>
          <w:tcPr>
            <w:tcW w:w="3526" w:type="dxa"/>
            <w:vMerge/>
            <w:tcBorders>
              <w:left w:val="single" w:sz="4" w:space="0" w:color="000000"/>
              <w:right w:val="single" w:sz="10" w:space="0" w:color="D2D2D2"/>
            </w:tcBorders>
          </w:tcPr>
          <w:p>
            <w:pPr/>
          </w:p>
        </w:tc>
        <w:tc>
          <w:tcPr>
            <w:tcW w:w="6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vMerge/>
            <w:tcBorders>
              <w:left w:val="single" w:sz="10" w:space="0" w:color="D2D2D2"/>
              <w:right w:val="single" w:sz="4" w:space="0" w:color="000000"/>
            </w:tcBorders>
          </w:tcPr>
          <w:p>
            <w:pPr/>
          </w:p>
        </w:tc>
      </w:tr>
      <w:tr>
        <w:trPr>
          <w:trHeight w:val="316" w:hRule="exact"/>
        </w:trPr>
        <w:tc>
          <w:tcPr>
            <w:tcW w:w="3526" w:type="dxa"/>
            <w:vMerge/>
            <w:tcBorders>
              <w:left w:val="single" w:sz="4" w:space="0" w:color="000000"/>
              <w:bottom w:val="single" w:sz="4" w:space="0" w:color="000000"/>
              <w:right w:val="single" w:sz="10" w:space="0" w:color="D2D2D2"/>
            </w:tcBorders>
          </w:tcPr>
          <w:p>
            <w:pPr/>
          </w:p>
        </w:tc>
        <w:tc>
          <w:tcPr>
            <w:tcW w:w="61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6" w:type="dxa"/>
            <w:vMerge/>
            <w:tcBorders>
              <w:left w:val="single" w:sz="10" w:space="0" w:color="D2D2D2"/>
              <w:bottom w:val="single" w:sz="4" w:space="0" w:color="000000"/>
              <w:right w:val="single" w:sz="4" w:space="0" w:color="000000"/>
            </w:tcBorders>
          </w:tcPr>
          <w:p>
            <w:pPr/>
          </w:p>
        </w:tc>
      </w:tr>
      <w:tr>
        <w:trPr>
          <w:trHeight w:val="628" w:hRule="exact"/>
        </w:trPr>
        <w:tc>
          <w:tcPr>
            <w:tcW w:w="3526"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6"/>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高温匀染剂</w:t>
            </w:r>
          </w:p>
        </w:tc>
        <w:tc>
          <w:tcPr>
            <w:tcW w:w="61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6" w:type="dxa"/>
            <w:vMerge w:val="restart"/>
            <w:tcBorders>
              <w:top w:val="single" w:sz="4" w:space="0" w:color="000000"/>
              <w:left w:val="single" w:sz="10" w:space="0" w:color="D2D2D2"/>
              <w:right w:val="single" w:sz="4" w:space="0" w:color="000000"/>
            </w:tcBorders>
          </w:tcPr>
          <w:p>
            <w:pPr>
              <w:pStyle w:val="TableParagraph"/>
              <w:spacing w:line="316" w:lineRule="auto" w:before="53"/>
              <w:ind w:left="14" w:right="22"/>
              <w:jc w:val="both"/>
              <w:rPr>
                <w:rFonts w:ascii="宋体" w:hAnsi="宋体" w:cs="宋体" w:eastAsia="宋体" w:hint="default"/>
                <w:sz w:val="18"/>
                <w:szCs w:val="18"/>
              </w:rPr>
            </w:pPr>
            <w:r>
              <w:rPr>
                <w:rFonts w:ascii="宋体" w:hAnsi="宋体" w:cs="宋体" w:eastAsia="宋体" w:hint="default"/>
                <w:spacing w:val="-4"/>
                <w:sz w:val="18"/>
                <w:szCs w:val="18"/>
              </w:rPr>
              <w:t>在纺织、印染行业上，用作涤纶纤维的高温高压分散匀染剂，适用于</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3"/>
                <w:sz w:val="18"/>
                <w:szCs w:val="18"/>
              </w:rPr>
              <w:t>快速染色工艺。 能够维持染浴在酸性条件下染色，有效避免敏感染</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料水解而引起的布面色光偏差。 不含溶剂及载体组分，有助于劳动</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4"/>
                <w:sz w:val="18"/>
                <w:szCs w:val="18"/>
              </w:rPr>
              <w:t>环境的改善，适用于涤纶高温深色染色以及需要暖色调的高温浅色染 </w:t>
            </w:r>
            <w:r>
              <w:rPr>
                <w:rFonts w:ascii="宋体" w:hAnsi="宋体" w:cs="宋体" w:eastAsia="宋体" w:hint="default"/>
                <w:spacing w:val="-4"/>
                <w:sz w:val="18"/>
                <w:szCs w:val="18"/>
              </w:rPr>
            </w:r>
            <w:r>
              <w:rPr>
                <w:rFonts w:ascii="宋体" w:hAnsi="宋体" w:cs="宋体" w:eastAsia="宋体" w:hint="default"/>
                <w:sz w:val="18"/>
                <w:szCs w:val="18"/>
              </w:rPr>
              <w:t>色。</w:t>
            </w:r>
          </w:p>
        </w:tc>
      </w:tr>
      <w:tr>
        <w:trPr>
          <w:trHeight w:val="389" w:hRule="exact"/>
        </w:trPr>
        <w:tc>
          <w:tcPr>
            <w:tcW w:w="3526" w:type="dxa"/>
            <w:vMerge/>
            <w:tcBorders>
              <w:left w:val="single" w:sz="4" w:space="0" w:color="000000"/>
              <w:right w:val="single" w:sz="10" w:space="0" w:color="D2D2D2"/>
            </w:tcBorders>
          </w:tcPr>
          <w:p>
            <w:pPr/>
          </w:p>
        </w:tc>
        <w:tc>
          <w:tcPr>
            <w:tcW w:w="6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vMerge/>
            <w:tcBorders>
              <w:left w:val="single" w:sz="10" w:space="0" w:color="D2D2D2"/>
              <w:right w:val="single" w:sz="4" w:space="0" w:color="000000"/>
            </w:tcBorders>
          </w:tcPr>
          <w:p>
            <w:pPr/>
          </w:p>
        </w:tc>
      </w:tr>
      <w:tr>
        <w:trPr>
          <w:trHeight w:val="629" w:hRule="exact"/>
        </w:trPr>
        <w:tc>
          <w:tcPr>
            <w:tcW w:w="3526" w:type="dxa"/>
            <w:vMerge/>
            <w:tcBorders>
              <w:left w:val="single" w:sz="4" w:space="0" w:color="000000"/>
              <w:bottom w:val="single" w:sz="4" w:space="0" w:color="000000"/>
              <w:right w:val="single" w:sz="10" w:space="0" w:color="D2D2D2"/>
            </w:tcBorders>
          </w:tcPr>
          <w:p>
            <w:pPr/>
          </w:p>
        </w:tc>
        <w:tc>
          <w:tcPr>
            <w:tcW w:w="61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6" w:type="dxa"/>
            <w:vMerge/>
            <w:tcBorders>
              <w:left w:val="single" w:sz="10" w:space="0" w:color="D2D2D2"/>
              <w:bottom w:val="single" w:sz="4" w:space="0" w:color="000000"/>
              <w:right w:val="single" w:sz="4" w:space="0" w:color="000000"/>
            </w:tcBorders>
          </w:tcPr>
          <w:p>
            <w:pPr/>
          </w:p>
        </w:tc>
      </w:tr>
      <w:tr>
        <w:trPr>
          <w:trHeight w:val="403" w:hRule="exact"/>
        </w:trPr>
        <w:tc>
          <w:tcPr>
            <w:tcW w:w="3526"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助剂</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9" w:right="0"/>
              <w:jc w:val="left"/>
              <w:rPr>
                <w:rFonts w:ascii="宋体" w:hAnsi="宋体" w:cs="宋体" w:eastAsia="宋体" w:hint="default"/>
                <w:sz w:val="18"/>
                <w:szCs w:val="18"/>
              </w:rPr>
            </w:pPr>
            <w:r>
              <w:rPr>
                <w:rFonts w:ascii="宋体" w:hAnsi="宋体" w:cs="宋体" w:eastAsia="宋体" w:hint="default"/>
                <w:spacing w:val="-3"/>
                <w:sz w:val="18"/>
                <w:szCs w:val="18"/>
              </w:rPr>
              <w:t>纺织品染整加工过程中需要添加的特定化学品的总称。</w:t>
            </w:r>
          </w:p>
        </w:tc>
      </w:tr>
      <w:tr>
        <w:trPr>
          <w:trHeight w:val="403" w:hRule="exact"/>
        </w:trPr>
        <w:tc>
          <w:tcPr>
            <w:tcW w:w="3526"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超细纤维</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9" w:right="0"/>
              <w:jc w:val="left"/>
              <w:rPr>
                <w:rFonts w:ascii="宋体" w:hAnsi="宋体" w:cs="宋体" w:eastAsia="宋体" w:hint="default"/>
                <w:sz w:val="18"/>
                <w:szCs w:val="18"/>
              </w:rPr>
            </w:pPr>
            <w:r>
              <w:rPr>
                <w:rFonts w:ascii="宋体" w:hAnsi="宋体" w:cs="宋体" w:eastAsia="宋体" w:hint="default"/>
                <w:sz w:val="18"/>
                <w:szCs w:val="18"/>
              </w:rPr>
              <w:t>一般把单纤维细度低于</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旦（直径</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微米）的纤维称为超细纤维。</w:t>
            </w:r>
          </w:p>
        </w:tc>
      </w:tr>
      <w:tr>
        <w:trPr>
          <w:trHeight w:val="159" w:hRule="exact"/>
        </w:trPr>
        <w:tc>
          <w:tcPr>
            <w:tcW w:w="3526" w:type="dxa"/>
            <w:vMerge w:val="restart"/>
            <w:tcBorders>
              <w:top w:val="single" w:sz="4" w:space="0" w:color="000000"/>
              <w:left w:val="single" w:sz="4" w:space="0" w:color="000000"/>
              <w:right w:val="single" w:sz="10" w:space="0" w:color="D2D2D2"/>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中间体</w:t>
            </w:r>
          </w:p>
        </w:tc>
        <w:tc>
          <w:tcPr>
            <w:tcW w:w="61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6" w:type="dxa"/>
            <w:vMerge w:val="restart"/>
            <w:tcBorders>
              <w:top w:val="single" w:sz="4" w:space="0" w:color="000000"/>
              <w:left w:val="single" w:sz="10" w:space="0" w:color="D2D2D2"/>
              <w:right w:val="single" w:sz="4" w:space="0" w:color="000000"/>
            </w:tcBorders>
          </w:tcPr>
          <w:p>
            <w:pPr>
              <w:pStyle w:val="TableParagraph"/>
              <w:spacing w:line="316" w:lineRule="auto" w:before="53"/>
              <w:ind w:left="14" w:right="171"/>
              <w:jc w:val="left"/>
              <w:rPr>
                <w:rFonts w:ascii="宋体" w:hAnsi="宋体" w:cs="宋体" w:eastAsia="宋体" w:hint="default"/>
                <w:sz w:val="18"/>
                <w:szCs w:val="18"/>
              </w:rPr>
            </w:pPr>
            <w:r>
              <w:rPr>
                <w:rFonts w:ascii="宋体" w:hAnsi="宋体" w:cs="宋体" w:eastAsia="宋体" w:hint="default"/>
                <w:spacing w:val="-3"/>
                <w:sz w:val="18"/>
                <w:szCs w:val="18"/>
              </w:rPr>
              <w:t>又称有机中间体。用煤焦油或石油产品为原料以制造染料的中间产</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z w:val="18"/>
                <w:szCs w:val="18"/>
              </w:rPr>
              <w:t>物。</w:t>
            </w:r>
          </w:p>
        </w:tc>
      </w:tr>
      <w:tr>
        <w:trPr>
          <w:trHeight w:val="393" w:hRule="exact"/>
        </w:trPr>
        <w:tc>
          <w:tcPr>
            <w:tcW w:w="3526" w:type="dxa"/>
            <w:vMerge/>
            <w:tcBorders>
              <w:left w:val="single" w:sz="4" w:space="0" w:color="000000"/>
              <w:right w:val="single" w:sz="10" w:space="0" w:color="D2D2D2"/>
            </w:tcBorders>
          </w:tcPr>
          <w:p>
            <w:pPr/>
          </w:p>
        </w:tc>
        <w:tc>
          <w:tcPr>
            <w:tcW w:w="6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vMerge/>
            <w:tcBorders>
              <w:left w:val="single" w:sz="10" w:space="0" w:color="D2D2D2"/>
              <w:right w:val="single" w:sz="4" w:space="0" w:color="000000"/>
            </w:tcBorders>
          </w:tcPr>
          <w:p>
            <w:pPr/>
          </w:p>
        </w:tc>
      </w:tr>
      <w:tr>
        <w:trPr>
          <w:trHeight w:val="164" w:hRule="exact"/>
        </w:trPr>
        <w:tc>
          <w:tcPr>
            <w:tcW w:w="3526" w:type="dxa"/>
            <w:vMerge/>
            <w:tcBorders>
              <w:left w:val="single" w:sz="4" w:space="0" w:color="000000"/>
              <w:bottom w:val="single" w:sz="4" w:space="0" w:color="000000"/>
              <w:right w:val="single" w:sz="10" w:space="0" w:color="D2D2D2"/>
            </w:tcBorders>
          </w:tcPr>
          <w:p>
            <w:pPr/>
          </w:p>
        </w:tc>
        <w:tc>
          <w:tcPr>
            <w:tcW w:w="61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6" w:type="dxa"/>
            <w:vMerge/>
            <w:tcBorders>
              <w:left w:val="single" w:sz="10" w:space="0" w:color="D2D2D2"/>
              <w:bottom w:val="single" w:sz="4" w:space="0" w:color="000000"/>
              <w:right w:val="single" w:sz="4" w:space="0" w:color="000000"/>
            </w:tcBorders>
          </w:tcPr>
          <w:p>
            <w:pPr/>
          </w:p>
        </w:tc>
      </w:tr>
    </w:tbl>
    <w:p>
      <w:pPr>
        <w:spacing w:after="0"/>
        <w:sectPr>
          <w:pgSz w:w="11900" w:h="16840"/>
          <w:pgMar w:header="742" w:footer="984" w:top="1060" w:bottom="1180" w:left="980" w:right="98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25"/>
          <w:szCs w:val="25"/>
        </w:rPr>
      </w:pPr>
    </w:p>
    <w:p>
      <w:pPr>
        <w:pStyle w:val="Heading1"/>
        <w:spacing w:line="458" w:lineRule="exact"/>
        <w:ind w:left="3119" w:right="0"/>
        <w:jc w:val="left"/>
        <w:rPr>
          <w:b w:val="0"/>
          <w:bCs w:val="0"/>
        </w:rPr>
      </w:pPr>
      <w:bookmarkStart w:name="_TOC_250008" w:id="2"/>
      <w:r>
        <w:rPr/>
        <w:t>第二节 </w:t>
      </w:r>
      <w:r>
        <w:rPr>
          <w:spacing w:val="14"/>
        </w:rPr>
        <w:t> </w:t>
      </w:r>
      <w:r>
        <w:rPr/>
        <w:t>公司基本情况简介</w:t>
      </w:r>
      <w:bookmarkEnd w:id="2"/>
      <w:r>
        <w:rPr>
          <w:b w:val="0"/>
          <w:bCs w:val="0"/>
        </w:rPr>
      </w:r>
    </w:p>
    <w:p>
      <w:pPr>
        <w:spacing w:line="240" w:lineRule="auto" w:before="3"/>
        <w:rPr>
          <w:rFonts w:ascii="Microsoft JhengHei" w:hAnsi="Microsoft JhengHei" w:cs="Microsoft JhengHei" w:eastAsia="Microsoft JhengHei" w:hint="default"/>
          <w:b/>
          <w:bCs/>
          <w:sz w:val="25"/>
          <w:szCs w:val="25"/>
        </w:rPr>
      </w:pPr>
    </w:p>
    <w:p>
      <w:pPr>
        <w:pStyle w:val="Heading3"/>
        <w:spacing w:line="367" w:lineRule="exact"/>
        <w:ind w:right="0"/>
        <w:jc w:val="left"/>
        <w:rPr>
          <w:b w:val="0"/>
          <w:bCs w:val="0"/>
        </w:rPr>
      </w:pPr>
      <w:r>
        <w:rPr/>
        <w:t>一、公司信息</w:t>
      </w:r>
      <w:r>
        <w:rPr>
          <w:b w:val="0"/>
          <w:bCs w:val="0"/>
        </w:rPr>
      </w:r>
    </w:p>
    <w:p>
      <w:pPr>
        <w:spacing w:line="240" w:lineRule="auto" w:before="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928"/>
        <w:gridCol w:w="2309"/>
        <w:gridCol w:w="2155"/>
        <w:gridCol w:w="2179"/>
      </w:tblGrid>
      <w:tr>
        <w:trPr>
          <w:trHeight w:val="398"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安诺其</w:t>
            </w:r>
          </w:p>
        </w:tc>
        <w:tc>
          <w:tcPr>
            <w:tcW w:w="2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300067</w:t>
            </w:r>
          </w:p>
        </w:tc>
      </w:tr>
      <w:tr>
        <w:trPr>
          <w:trHeight w:val="403"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公司的中文名称</w:t>
            </w:r>
          </w:p>
        </w:tc>
        <w:tc>
          <w:tcPr>
            <w:tcW w:w="66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上海安诺其集团股份有限公司</w:t>
            </w:r>
          </w:p>
        </w:tc>
      </w:tr>
      <w:tr>
        <w:trPr>
          <w:trHeight w:val="403"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公司的中文简称</w:t>
            </w:r>
          </w:p>
        </w:tc>
        <w:tc>
          <w:tcPr>
            <w:tcW w:w="66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安诺其</w:t>
            </w:r>
          </w:p>
        </w:tc>
      </w:tr>
      <w:tr>
        <w:trPr>
          <w:trHeight w:val="403"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公司的外文名称</w:t>
            </w:r>
          </w:p>
        </w:tc>
        <w:tc>
          <w:tcPr>
            <w:tcW w:w="66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Shanghai Anoky Group Co.,</w:t>
            </w:r>
            <w:r>
              <w:rPr>
                <w:rFonts w:ascii="Times New Roman"/>
                <w:spacing w:val="-16"/>
                <w:sz w:val="18"/>
              </w:rPr>
              <w:t> </w:t>
            </w:r>
            <w:r>
              <w:rPr>
                <w:rFonts w:ascii="Times New Roman"/>
                <w:sz w:val="18"/>
              </w:rPr>
              <w:t>Ltd</w:t>
            </w:r>
          </w:p>
        </w:tc>
      </w:tr>
      <w:tr>
        <w:trPr>
          <w:trHeight w:val="398"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公司的外文名称缩写</w:t>
            </w:r>
          </w:p>
        </w:tc>
        <w:tc>
          <w:tcPr>
            <w:tcW w:w="66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pacing w:val="-3"/>
                <w:sz w:val="18"/>
              </w:rPr>
              <w:t>ANOKY</w:t>
            </w:r>
          </w:p>
        </w:tc>
      </w:tr>
      <w:tr>
        <w:trPr>
          <w:trHeight w:val="403"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纪立军</w:t>
            </w:r>
          </w:p>
        </w:tc>
      </w:tr>
      <w:tr>
        <w:trPr>
          <w:trHeight w:val="403"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上海市青浦区崧华路 </w:t>
            </w:r>
            <w:r>
              <w:rPr>
                <w:rFonts w:ascii="Times New Roman" w:hAnsi="Times New Roman" w:cs="Times New Roman" w:eastAsia="Times New Roman" w:hint="default"/>
                <w:sz w:val="18"/>
                <w:szCs w:val="18"/>
              </w:rPr>
              <w:t>881 </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号</w:t>
            </w:r>
          </w:p>
        </w:tc>
      </w:tr>
      <w:tr>
        <w:trPr>
          <w:trHeight w:val="403"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注册地址的邮政编码</w:t>
            </w:r>
          </w:p>
        </w:tc>
        <w:tc>
          <w:tcPr>
            <w:tcW w:w="66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201703</w:t>
            </w:r>
          </w:p>
        </w:tc>
      </w:tr>
      <w:tr>
        <w:trPr>
          <w:trHeight w:val="398"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上海市青浦区崧华路 </w:t>
            </w:r>
            <w:r>
              <w:rPr>
                <w:rFonts w:ascii="Times New Roman" w:hAnsi="Times New Roman" w:cs="Times New Roman" w:eastAsia="Times New Roman" w:hint="default"/>
                <w:sz w:val="18"/>
                <w:szCs w:val="18"/>
              </w:rPr>
              <w:t>881 </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号</w:t>
            </w:r>
          </w:p>
        </w:tc>
      </w:tr>
      <w:tr>
        <w:trPr>
          <w:trHeight w:val="403"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办公地址的邮政编码</w:t>
            </w:r>
          </w:p>
        </w:tc>
        <w:tc>
          <w:tcPr>
            <w:tcW w:w="66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201703</w:t>
            </w:r>
          </w:p>
        </w:tc>
      </w:tr>
      <w:tr>
        <w:trPr>
          <w:trHeight w:val="403"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公司国际互联网网址</w:t>
            </w:r>
          </w:p>
        </w:tc>
        <w:tc>
          <w:tcPr>
            <w:tcW w:w="66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9">
              <w:r>
                <w:rPr>
                  <w:rFonts w:ascii="Times New Roman"/>
                  <w:spacing w:val="-4"/>
                  <w:sz w:val="18"/>
                </w:rPr>
                <w:t>www.anoky.com.cn</w:t>
              </w:r>
            </w:hyperlink>
          </w:p>
        </w:tc>
      </w:tr>
      <w:tr>
        <w:trPr>
          <w:trHeight w:val="403"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0">
              <w:r>
                <w:rPr>
                  <w:rFonts w:ascii="Times New Roman"/>
                  <w:spacing w:val="-3"/>
                  <w:sz w:val="18"/>
                </w:rPr>
                <w:t>investor@anoky.com.cn</w:t>
              </w:r>
            </w:hyperlink>
          </w:p>
        </w:tc>
      </w:tr>
      <w:tr>
        <w:trPr>
          <w:trHeight w:val="398"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公司聘请的会计师事务所名称</w:t>
            </w:r>
          </w:p>
        </w:tc>
        <w:tc>
          <w:tcPr>
            <w:tcW w:w="66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众华会计师事务所（特殊普通合伙</w:t>
            </w:r>
            <w:r>
              <w:rPr>
                <w:rFonts w:ascii="Times New Roman" w:hAnsi="Times New Roman" w:cs="Times New Roman" w:eastAsia="Times New Roman" w:hint="default"/>
                <w:spacing w:val="-3"/>
                <w:sz w:val="18"/>
                <w:szCs w:val="18"/>
              </w:rPr>
              <w:t>)</w:t>
            </w:r>
          </w:p>
        </w:tc>
      </w:tr>
      <w:tr>
        <w:trPr>
          <w:trHeight w:val="403"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公司聘请的会计师事务所办公地址</w:t>
            </w:r>
          </w:p>
        </w:tc>
        <w:tc>
          <w:tcPr>
            <w:tcW w:w="66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上海市延安东路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550 </w:t>
            </w:r>
            <w:r>
              <w:rPr>
                <w:rFonts w:ascii="宋体" w:hAnsi="宋体" w:cs="宋体" w:eastAsia="宋体" w:hint="default"/>
                <w:sz w:val="18"/>
                <w:szCs w:val="18"/>
              </w:rPr>
              <w:t>号海洋大厦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楼</w:t>
            </w:r>
          </w:p>
        </w:tc>
      </w:tr>
    </w:tbl>
    <w:p>
      <w:pPr>
        <w:spacing w:line="240" w:lineRule="auto" w:before="5"/>
        <w:rPr>
          <w:rFonts w:ascii="Microsoft JhengHei" w:hAnsi="Microsoft JhengHei" w:cs="Microsoft JhengHei" w:eastAsia="Microsoft JhengHei" w:hint="default"/>
          <w:b/>
          <w:bCs/>
          <w:sz w:val="13"/>
          <w:szCs w:val="13"/>
        </w:rPr>
      </w:pPr>
    </w:p>
    <w:p>
      <w:pPr>
        <w:pStyle w:val="Heading3"/>
        <w:spacing w:line="367" w:lineRule="exact"/>
        <w:ind w:right="0"/>
        <w:jc w:val="left"/>
        <w:rPr>
          <w:b w:val="0"/>
          <w:bCs w:val="0"/>
        </w:rPr>
      </w:pPr>
      <w:r>
        <w:rPr/>
        <w:t>二、联系人和联系方式</w:t>
      </w:r>
      <w:r>
        <w:rPr>
          <w:b w:val="0"/>
          <w:bCs w:val="0"/>
        </w:rPr>
      </w:r>
    </w:p>
    <w:p>
      <w:pPr>
        <w:spacing w:line="240" w:lineRule="auto" w:before="0"/>
        <w:rPr>
          <w:rFonts w:ascii="Microsoft JhengHei" w:hAnsi="Microsoft JhengHei" w:cs="Microsoft JhengHei" w:eastAsia="Microsoft JhengHei" w:hint="default"/>
          <w:b/>
          <w:bCs/>
          <w:sz w:val="18"/>
          <w:szCs w:val="18"/>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2"/>
      </w:tblGrid>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46"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陈昌文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李静</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上海市青浦区崧华路 </w:t>
            </w:r>
            <w:r>
              <w:rPr>
                <w:rFonts w:ascii="Times New Roman" w:hAnsi="Times New Roman" w:cs="Times New Roman" w:eastAsia="Times New Roman" w:hint="default"/>
                <w:sz w:val="18"/>
                <w:szCs w:val="18"/>
              </w:rPr>
              <w:t>881 </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号</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上海市青浦区崧华路 </w:t>
            </w:r>
            <w:r>
              <w:rPr>
                <w:rFonts w:ascii="Times New Roman" w:hAnsi="Times New Roman" w:cs="Times New Roman" w:eastAsia="Times New Roman" w:hint="default"/>
                <w:sz w:val="18"/>
                <w:szCs w:val="18"/>
              </w:rPr>
              <w:t>881 </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号</w:t>
            </w:r>
          </w:p>
        </w:tc>
      </w:tr>
      <w:tr>
        <w:trPr>
          <w:trHeight w:val="398"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021-59867500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021-59867500</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021-59867578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021-59867578</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hyperlink r:id="rId10">
              <w:r>
                <w:rPr>
                  <w:rFonts w:ascii="Times New Roman"/>
                  <w:spacing w:val="-3"/>
                  <w:sz w:val="18"/>
                </w:rPr>
                <w:t>investor@anoky.com.cn</w:t>
              </w:r>
            </w:hyperlink>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0">
              <w:r>
                <w:rPr>
                  <w:rFonts w:ascii="Times New Roman"/>
                  <w:spacing w:val="-3"/>
                  <w:sz w:val="18"/>
                </w:rPr>
                <w:t>investor@anoky.com.cn</w:t>
              </w:r>
            </w:hyperlink>
          </w:p>
        </w:tc>
      </w:tr>
    </w:tbl>
    <w:p>
      <w:pPr>
        <w:spacing w:line="240" w:lineRule="auto" w:before="5"/>
        <w:rPr>
          <w:rFonts w:ascii="Microsoft JhengHei" w:hAnsi="Microsoft JhengHei" w:cs="Microsoft JhengHei" w:eastAsia="Microsoft JhengHei" w:hint="default"/>
          <w:b/>
          <w:bCs/>
          <w:sz w:val="13"/>
          <w:szCs w:val="13"/>
        </w:rPr>
      </w:pPr>
    </w:p>
    <w:p>
      <w:pPr>
        <w:pStyle w:val="Heading3"/>
        <w:spacing w:line="367" w:lineRule="exact"/>
        <w:ind w:right="0"/>
        <w:jc w:val="left"/>
        <w:rPr>
          <w:b w:val="0"/>
          <w:bCs w:val="0"/>
        </w:rPr>
      </w:pPr>
      <w:r>
        <w:rPr/>
        <w:t>三、信息披露及备置地点</w:t>
      </w:r>
      <w:r>
        <w:rPr>
          <w:b w:val="0"/>
          <w:bCs w:val="0"/>
        </w:rPr>
      </w:r>
    </w:p>
    <w:p>
      <w:pPr>
        <w:spacing w:line="240" w:lineRule="auto" w:before="0"/>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859"/>
        <w:gridCol w:w="5707"/>
      </w:tblGrid>
      <w:tr>
        <w:trPr>
          <w:trHeight w:val="403" w:hRule="exact"/>
        </w:trPr>
        <w:tc>
          <w:tcPr>
            <w:tcW w:w="3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公司选定的信息披露媒体的名称</w:t>
            </w:r>
          </w:p>
        </w:tc>
        <w:tc>
          <w:tcPr>
            <w:tcW w:w="5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pacing w:val="-91"/>
                <w:w w:val="101"/>
                <w:sz w:val="18"/>
                <w:szCs w:val="18"/>
              </w:rPr>
              <w:t>》</w:t>
            </w:r>
            <w:r>
              <w:rPr>
                <w:rFonts w:ascii="宋体" w:hAnsi="宋体" w:cs="宋体" w:eastAsia="宋体" w:hint="default"/>
                <w:spacing w:val="-96"/>
                <w:w w:val="101"/>
                <w:sz w:val="18"/>
                <w:szCs w:val="18"/>
              </w:rPr>
              <w:t>、</w:t>
            </w:r>
            <w:r>
              <w:rPr>
                <w:rFonts w:ascii="宋体" w:hAnsi="宋体" w:cs="宋体" w:eastAsia="宋体" w:hint="default"/>
                <w:spacing w:val="-1"/>
                <w:w w:val="101"/>
                <w:sz w:val="18"/>
                <w:szCs w:val="18"/>
              </w:rPr>
              <w:t>《</w:t>
            </w:r>
            <w:r>
              <w:rPr>
                <w:rFonts w:ascii="宋体" w:hAnsi="宋体" w:cs="宋体" w:eastAsia="宋体" w:hint="default"/>
                <w:spacing w:val="-5"/>
                <w:w w:val="101"/>
                <w:sz w:val="18"/>
                <w:szCs w:val="18"/>
              </w:rPr>
              <w:t>中</w:t>
            </w:r>
            <w:r>
              <w:rPr>
                <w:rFonts w:ascii="宋体" w:hAnsi="宋体" w:cs="宋体" w:eastAsia="宋体" w:hint="default"/>
                <w:w w:val="101"/>
                <w:sz w:val="18"/>
                <w:szCs w:val="18"/>
              </w:rPr>
              <w:t>国</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报</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715" w:hRule="exact"/>
        </w:trPr>
        <w:tc>
          <w:tcPr>
            <w:tcW w:w="3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登载年度报告的中国证监会指定网站的网址</w:t>
            </w:r>
          </w:p>
        </w:tc>
        <w:tc>
          <w:tcPr>
            <w:tcW w:w="5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中国证监会指定的创业板信息披露网站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巨潮资讯网</w:t>
            </w:r>
          </w:p>
          <w:p>
            <w:pPr>
              <w:pStyle w:val="TableParagraph"/>
              <w:spacing w:line="240" w:lineRule="auto" w:before="105"/>
              <w:ind w:left="23" w:right="0"/>
              <w:jc w:val="left"/>
              <w:rPr>
                <w:rFonts w:ascii="Times New Roman" w:hAnsi="Times New Roman" w:cs="Times New Roman" w:eastAsia="Times New Roman" w:hint="default"/>
                <w:sz w:val="18"/>
                <w:szCs w:val="18"/>
              </w:rPr>
            </w:pPr>
            <w:hyperlink r:id="rId11">
              <w:r>
                <w:rPr>
                  <w:rFonts w:ascii="Times New Roman"/>
                  <w:spacing w:val="-3"/>
                  <w:sz w:val="18"/>
                </w:rPr>
                <w:t>http://www.cninfo.com.cn</w:t>
              </w:r>
            </w:hyperlink>
          </w:p>
        </w:tc>
      </w:tr>
      <w:tr>
        <w:trPr>
          <w:trHeight w:val="403" w:hRule="exact"/>
        </w:trPr>
        <w:tc>
          <w:tcPr>
            <w:tcW w:w="3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00" w:h="16840"/>
          <w:pgMar w:header="742" w:footer="984" w:top="1060" w:bottom="1180" w:left="980" w:right="980"/>
        </w:sectPr>
      </w:pPr>
    </w:p>
    <w:p>
      <w:pPr>
        <w:spacing w:line="240" w:lineRule="auto" w:before="15"/>
        <w:rPr>
          <w:rFonts w:ascii="Microsoft JhengHei" w:hAnsi="Microsoft JhengHei" w:cs="Microsoft JhengHei" w:eastAsia="Microsoft JhengHei" w:hint="default"/>
          <w:b/>
          <w:bCs/>
          <w:sz w:val="17"/>
          <w:szCs w:val="17"/>
        </w:rPr>
      </w:pPr>
    </w:p>
    <w:p>
      <w:pPr>
        <w:pStyle w:val="Heading3"/>
        <w:spacing w:line="367" w:lineRule="exact"/>
        <w:ind w:right="0"/>
        <w:jc w:val="left"/>
        <w:rPr>
          <w:b w:val="0"/>
          <w:bCs w:val="0"/>
        </w:rPr>
      </w:pPr>
      <w:r>
        <w:rPr/>
        <w:t>四、公司历史沿革</w:t>
      </w:r>
      <w:r>
        <w:rPr>
          <w:b w:val="0"/>
          <w:bCs w:val="0"/>
        </w:rPr>
      </w:r>
    </w:p>
    <w:p>
      <w:pPr>
        <w:spacing w:line="240" w:lineRule="auto" w:before="0"/>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598"/>
        <w:gridCol w:w="1594"/>
        <w:gridCol w:w="1594"/>
        <w:gridCol w:w="1594"/>
        <w:gridCol w:w="1594"/>
        <w:gridCol w:w="1594"/>
      </w:tblGrid>
      <w:tr>
        <w:trPr>
          <w:trHeight w:val="159" w:hRule="exact"/>
        </w:trPr>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518" w:right="65" w:hanging="447"/>
              <w:jc w:val="left"/>
              <w:rPr>
                <w:rFonts w:ascii="宋体" w:hAnsi="宋体" w:cs="宋体" w:eastAsia="宋体" w:hint="default"/>
                <w:sz w:val="18"/>
                <w:szCs w:val="18"/>
              </w:rPr>
            </w:pPr>
            <w:r>
              <w:rPr>
                <w:rFonts w:ascii="宋体" w:hAnsi="宋体" w:cs="宋体" w:eastAsia="宋体" w:hint="default"/>
                <w:spacing w:val="-2"/>
                <w:sz w:val="18"/>
                <w:szCs w:val="18"/>
              </w:rPr>
              <w:t>企业法人营业执照</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88" w:hRule="exact"/>
        </w:trPr>
        <w:tc>
          <w:tcPr>
            <w:tcW w:w="1598"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4"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247"/>
              <w:jc w:val="right"/>
              <w:rPr>
                <w:rFonts w:ascii="宋体" w:hAnsi="宋体" w:cs="宋体" w:eastAsia="宋体" w:hint="default"/>
                <w:sz w:val="18"/>
                <w:szCs w:val="18"/>
              </w:rPr>
            </w:pPr>
            <w:r>
              <w:rPr>
                <w:rFonts w:ascii="宋体" w:hAnsi="宋体" w:cs="宋体" w:eastAsia="宋体" w:hint="default"/>
                <w:spacing w:val="-2"/>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8" w:hRule="exact"/>
        </w:trPr>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58" w:hRule="exact"/>
        </w:trPr>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10" w:space="0" w:color="D2D2D2"/>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53"/>
              <w:ind w:left="19" w:right="26"/>
              <w:jc w:val="left"/>
              <w:rPr>
                <w:rFonts w:ascii="宋体" w:hAnsi="宋体" w:cs="宋体" w:eastAsia="宋体" w:hint="default"/>
                <w:sz w:val="18"/>
                <w:szCs w:val="18"/>
              </w:rPr>
            </w:pPr>
            <w:r>
              <w:rPr>
                <w:rFonts w:ascii="宋体" w:hAnsi="宋体" w:cs="宋体" w:eastAsia="宋体" w:hint="default"/>
                <w:sz w:val="18"/>
                <w:szCs w:val="18"/>
              </w:rPr>
              <w:t>上海青浦富民经济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开发区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3102292032555</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310229631520774</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63152077-4</w:t>
            </w:r>
          </w:p>
        </w:tc>
      </w:tr>
      <w:tr>
        <w:trPr>
          <w:trHeight w:val="389" w:hRule="exact"/>
        </w:trPr>
        <w:tc>
          <w:tcPr>
            <w:tcW w:w="1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10"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3" w:hRule="exact"/>
        </w:trPr>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10"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359" w:hRule="exact"/>
        </w:trPr>
        <w:tc>
          <w:tcPr>
            <w:tcW w:w="1598"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z w:val="18"/>
                <w:szCs w:val="18"/>
              </w:rPr>
              <w:t>上海青浦区练塘镇</w:t>
            </w: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r>
      <w:tr>
        <w:trPr>
          <w:trHeight w:val="319" w:hRule="exact"/>
        </w:trPr>
        <w:tc>
          <w:tcPr>
            <w:tcW w:w="15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股份公司成立变更</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z w:val="18"/>
                <w:szCs w:val="18"/>
              </w:rPr>
              <w:t>朱枫公路</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6188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sz w:val="18"/>
              </w:rPr>
              <w:t>310229000492439</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204"/>
              <w:jc w:val="right"/>
              <w:rPr>
                <w:rFonts w:ascii="Times New Roman" w:hAnsi="Times New Roman" w:cs="Times New Roman" w:eastAsia="Times New Roman" w:hint="default"/>
                <w:sz w:val="18"/>
                <w:szCs w:val="18"/>
              </w:rPr>
            </w:pPr>
            <w:r>
              <w:rPr>
                <w:rFonts w:ascii="Times New Roman"/>
                <w:spacing w:val="-1"/>
                <w:sz w:val="18"/>
              </w:rPr>
              <w:t>310229631520774</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sz w:val="18"/>
              </w:rPr>
              <w:t>63152077-4</w:t>
            </w:r>
          </w:p>
        </w:tc>
      </w:tr>
      <w:tr>
        <w:trPr>
          <w:trHeight w:val="349" w:hRule="exact"/>
        </w:trPr>
        <w:tc>
          <w:tcPr>
            <w:tcW w:w="1598"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室</w:t>
            </w: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598"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z w:val="18"/>
                <w:szCs w:val="18"/>
              </w:rPr>
              <w:t>上海青浦区练塘镇</w:t>
            </w: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r>
      <w:tr>
        <w:trPr>
          <w:trHeight w:val="319" w:hRule="exact"/>
        </w:trPr>
        <w:tc>
          <w:tcPr>
            <w:tcW w:w="159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首次公开发行股票</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9" w:right="0"/>
              <w:jc w:val="left"/>
              <w:rPr>
                <w:rFonts w:ascii="宋体" w:hAnsi="宋体" w:cs="宋体" w:eastAsia="宋体" w:hint="default"/>
                <w:sz w:val="18"/>
                <w:szCs w:val="18"/>
              </w:rPr>
            </w:pPr>
            <w:r>
              <w:rPr>
                <w:rFonts w:ascii="宋体" w:hAnsi="宋体" w:cs="宋体" w:eastAsia="宋体" w:hint="default"/>
                <w:sz w:val="18"/>
                <w:szCs w:val="18"/>
              </w:rPr>
              <w:t>朱枫公路</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6188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23" w:right="0"/>
              <w:jc w:val="left"/>
              <w:rPr>
                <w:rFonts w:ascii="Times New Roman" w:hAnsi="Times New Roman" w:cs="Times New Roman" w:eastAsia="Times New Roman" w:hint="default"/>
                <w:sz w:val="18"/>
                <w:szCs w:val="18"/>
              </w:rPr>
            </w:pPr>
            <w:r>
              <w:rPr>
                <w:rFonts w:ascii="Times New Roman"/>
                <w:sz w:val="18"/>
              </w:rPr>
              <w:t>310229000492439</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204"/>
              <w:jc w:val="right"/>
              <w:rPr>
                <w:rFonts w:ascii="Times New Roman" w:hAnsi="Times New Roman" w:cs="Times New Roman" w:eastAsia="Times New Roman" w:hint="default"/>
                <w:sz w:val="18"/>
                <w:szCs w:val="18"/>
              </w:rPr>
            </w:pPr>
            <w:r>
              <w:rPr>
                <w:rFonts w:ascii="Times New Roman"/>
                <w:spacing w:val="-1"/>
                <w:sz w:val="18"/>
              </w:rPr>
              <w:t>310229631520774</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23" w:right="0"/>
              <w:jc w:val="left"/>
              <w:rPr>
                <w:rFonts w:ascii="Times New Roman" w:hAnsi="Times New Roman" w:cs="Times New Roman" w:eastAsia="Times New Roman" w:hint="default"/>
                <w:sz w:val="18"/>
                <w:szCs w:val="18"/>
              </w:rPr>
            </w:pPr>
            <w:r>
              <w:rPr>
                <w:rFonts w:ascii="Times New Roman"/>
                <w:sz w:val="18"/>
              </w:rPr>
              <w:t>63152077-4</w:t>
            </w:r>
          </w:p>
        </w:tc>
      </w:tr>
      <w:tr>
        <w:trPr>
          <w:trHeight w:val="351" w:hRule="exact"/>
        </w:trPr>
        <w:tc>
          <w:tcPr>
            <w:tcW w:w="1598"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室</w:t>
            </w: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5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注</w:t>
            </w:r>
            <w:r>
              <w:rPr>
                <w:rFonts w:ascii="宋体" w:hAnsi="宋体" w:cs="宋体" w:eastAsia="宋体" w:hint="default"/>
                <w:spacing w:val="-5"/>
                <w:w w:val="101"/>
                <w:sz w:val="18"/>
                <w:szCs w:val="18"/>
              </w:rPr>
              <w:t>册</w:t>
            </w:r>
            <w:r>
              <w:rPr>
                <w:rFonts w:ascii="宋体" w:hAnsi="宋体" w:cs="宋体" w:eastAsia="宋体" w:hint="default"/>
                <w:w w:val="101"/>
                <w:sz w:val="18"/>
                <w:szCs w:val="18"/>
              </w:rPr>
              <w:t>资</w:t>
            </w:r>
            <w:r>
              <w:rPr>
                <w:rFonts w:ascii="宋体" w:hAnsi="宋体" w:cs="宋体" w:eastAsia="宋体" w:hint="default"/>
                <w:spacing w:val="-5"/>
                <w:w w:val="101"/>
                <w:sz w:val="18"/>
                <w:szCs w:val="18"/>
              </w:rPr>
              <w:t>本</w:t>
            </w:r>
            <w:r>
              <w:rPr>
                <w:rFonts w:ascii="宋体" w:hAnsi="宋体" w:cs="宋体" w:eastAsia="宋体" w:hint="default"/>
                <w:w w:val="101"/>
                <w:sz w:val="18"/>
                <w:szCs w:val="18"/>
              </w:rPr>
              <w:t>变更</w:t>
            </w:r>
            <w:r>
              <w:rPr>
                <w:rFonts w:ascii="宋体" w:hAnsi="宋体" w:cs="宋体" w:eastAsia="宋体" w:hint="default"/>
                <w:spacing w:val="-87"/>
                <w:w w:val="101"/>
                <w:sz w:val="18"/>
                <w:szCs w:val="18"/>
              </w:rPr>
              <w:t>：</w:t>
            </w:r>
            <w:r>
              <w:rPr>
                <w:rFonts w:ascii="宋体" w:hAnsi="宋体" w:cs="宋体" w:eastAsia="宋体" w:hint="default"/>
                <w:w w:val="101"/>
                <w:sz w:val="18"/>
                <w:szCs w:val="18"/>
              </w:rPr>
              <w:t>注册</w:t>
            </w:r>
            <w:r>
              <w:rPr>
                <w:rFonts w:ascii="宋体" w:hAnsi="宋体" w:cs="宋体" w:eastAsia="宋体" w:hint="default"/>
                <w:sz w:val="18"/>
                <w:szCs w:val="18"/>
              </w:rPr>
            </w: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z w:val="18"/>
                <w:szCs w:val="18"/>
              </w:rPr>
              <w:t>上海青浦区练塘镇</w:t>
            </w: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r>
      <w:tr>
        <w:trPr>
          <w:trHeight w:val="319" w:hRule="exact"/>
        </w:trPr>
        <w:tc>
          <w:tcPr>
            <w:tcW w:w="15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资本由</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10700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9" w:right="0"/>
              <w:jc w:val="left"/>
              <w:rPr>
                <w:rFonts w:ascii="宋体" w:hAnsi="宋体" w:cs="宋体" w:eastAsia="宋体" w:hint="default"/>
                <w:sz w:val="18"/>
                <w:szCs w:val="18"/>
              </w:rPr>
            </w:pPr>
            <w:r>
              <w:rPr>
                <w:rFonts w:ascii="宋体" w:hAnsi="宋体" w:cs="宋体" w:eastAsia="宋体" w:hint="default"/>
                <w:sz w:val="18"/>
                <w:szCs w:val="18"/>
              </w:rPr>
              <w:t>朱枫公路</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6188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23" w:right="0"/>
              <w:jc w:val="left"/>
              <w:rPr>
                <w:rFonts w:ascii="Times New Roman" w:hAnsi="Times New Roman" w:cs="Times New Roman" w:eastAsia="Times New Roman" w:hint="default"/>
                <w:sz w:val="18"/>
                <w:szCs w:val="18"/>
              </w:rPr>
            </w:pPr>
            <w:r>
              <w:rPr>
                <w:rFonts w:ascii="Times New Roman"/>
                <w:sz w:val="18"/>
              </w:rPr>
              <w:t>310229000492439</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204"/>
              <w:jc w:val="right"/>
              <w:rPr>
                <w:rFonts w:ascii="Times New Roman" w:hAnsi="Times New Roman" w:cs="Times New Roman" w:eastAsia="Times New Roman" w:hint="default"/>
                <w:sz w:val="18"/>
                <w:szCs w:val="18"/>
              </w:rPr>
            </w:pPr>
            <w:r>
              <w:rPr>
                <w:rFonts w:ascii="Times New Roman"/>
                <w:spacing w:val="-1"/>
                <w:sz w:val="18"/>
              </w:rPr>
              <w:t>310229631520774</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23" w:right="0"/>
              <w:jc w:val="left"/>
              <w:rPr>
                <w:rFonts w:ascii="Times New Roman" w:hAnsi="Times New Roman" w:cs="Times New Roman" w:eastAsia="Times New Roman" w:hint="default"/>
                <w:sz w:val="18"/>
                <w:szCs w:val="18"/>
              </w:rPr>
            </w:pPr>
            <w:r>
              <w:rPr>
                <w:rFonts w:ascii="Times New Roman"/>
                <w:sz w:val="18"/>
              </w:rPr>
              <w:t>63152077-4</w:t>
            </w:r>
          </w:p>
        </w:tc>
      </w:tr>
      <w:tr>
        <w:trPr>
          <w:trHeight w:val="351" w:hRule="exact"/>
        </w:trPr>
        <w:tc>
          <w:tcPr>
            <w:tcW w:w="15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变更为</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16050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室</w:t>
            </w: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r>
      <w:tr>
        <w:trPr>
          <w:trHeight w:val="710"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注册登记地点变更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9" w:right="118"/>
              <w:jc w:val="left"/>
              <w:rPr>
                <w:rFonts w:ascii="宋体" w:hAnsi="宋体" w:cs="宋体" w:eastAsia="宋体" w:hint="default"/>
                <w:sz w:val="18"/>
                <w:szCs w:val="18"/>
              </w:rPr>
            </w:pPr>
            <w:r>
              <w:rPr>
                <w:rFonts w:ascii="宋体" w:hAnsi="宋体" w:cs="宋体" w:eastAsia="宋体" w:hint="default"/>
                <w:spacing w:val="-2"/>
                <w:sz w:val="18"/>
                <w:szCs w:val="18"/>
              </w:rPr>
              <w:t>上海市青浦区崧华</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路 </w:t>
            </w:r>
            <w:r>
              <w:rPr>
                <w:rFonts w:ascii="Times New Roman" w:hAnsi="Times New Roman" w:cs="Times New Roman" w:eastAsia="Times New Roman" w:hint="default"/>
                <w:sz w:val="18"/>
                <w:szCs w:val="18"/>
              </w:rPr>
              <w:t>881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310229000492439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pacing w:val="-1"/>
                <w:sz w:val="18"/>
              </w:rPr>
              <w:t>310229631520774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63152077-4</w:t>
            </w:r>
          </w:p>
        </w:tc>
      </w:tr>
      <w:tr>
        <w:trPr>
          <w:trHeight w:val="1027"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11"/>
                <w:w w:val="101"/>
                <w:sz w:val="18"/>
                <w:szCs w:val="18"/>
              </w:rPr>
              <w:t>注册资本变更：注册</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资本由</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16050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变更为</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16356.6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321" w:lineRule="auto"/>
              <w:ind w:left="19" w:right="118"/>
              <w:jc w:val="left"/>
              <w:rPr>
                <w:rFonts w:ascii="宋体" w:hAnsi="宋体" w:cs="宋体" w:eastAsia="宋体" w:hint="default"/>
                <w:sz w:val="18"/>
                <w:szCs w:val="18"/>
              </w:rPr>
            </w:pPr>
            <w:r>
              <w:rPr>
                <w:rFonts w:ascii="宋体" w:hAnsi="宋体" w:cs="宋体" w:eastAsia="宋体" w:hint="default"/>
                <w:spacing w:val="-2"/>
                <w:sz w:val="18"/>
                <w:szCs w:val="18"/>
              </w:rPr>
              <w:t>上海市青浦区崧华</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路 </w:t>
            </w:r>
            <w:r>
              <w:rPr>
                <w:rFonts w:ascii="Times New Roman" w:hAnsi="Times New Roman" w:cs="Times New Roman" w:eastAsia="Times New Roman" w:hint="default"/>
                <w:sz w:val="18"/>
                <w:szCs w:val="18"/>
              </w:rPr>
              <w:t>881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310229000492439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pacing w:val="-1"/>
                <w:sz w:val="18"/>
              </w:rPr>
              <w:t>310229631520774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63152077-4</w:t>
            </w:r>
          </w:p>
        </w:tc>
      </w:tr>
      <w:tr>
        <w:trPr>
          <w:trHeight w:val="357" w:hRule="exact"/>
        </w:trPr>
        <w:tc>
          <w:tcPr>
            <w:tcW w:w="15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注</w:t>
            </w:r>
            <w:r>
              <w:rPr>
                <w:rFonts w:ascii="宋体" w:hAnsi="宋体" w:cs="宋体" w:eastAsia="宋体" w:hint="default"/>
                <w:spacing w:val="-5"/>
                <w:w w:val="101"/>
                <w:sz w:val="18"/>
                <w:szCs w:val="18"/>
              </w:rPr>
              <w:t>册</w:t>
            </w:r>
            <w:r>
              <w:rPr>
                <w:rFonts w:ascii="宋体" w:hAnsi="宋体" w:cs="宋体" w:eastAsia="宋体" w:hint="default"/>
                <w:w w:val="101"/>
                <w:sz w:val="18"/>
                <w:szCs w:val="18"/>
              </w:rPr>
              <w:t>资</w:t>
            </w:r>
            <w:r>
              <w:rPr>
                <w:rFonts w:ascii="宋体" w:hAnsi="宋体" w:cs="宋体" w:eastAsia="宋体" w:hint="default"/>
                <w:spacing w:val="-5"/>
                <w:w w:val="101"/>
                <w:sz w:val="18"/>
                <w:szCs w:val="18"/>
              </w:rPr>
              <w:t>本</w:t>
            </w:r>
            <w:r>
              <w:rPr>
                <w:rFonts w:ascii="宋体" w:hAnsi="宋体" w:cs="宋体" w:eastAsia="宋体" w:hint="default"/>
                <w:w w:val="101"/>
                <w:sz w:val="18"/>
                <w:szCs w:val="18"/>
              </w:rPr>
              <w:t>变更</w:t>
            </w:r>
            <w:r>
              <w:rPr>
                <w:rFonts w:ascii="宋体" w:hAnsi="宋体" w:cs="宋体" w:eastAsia="宋体" w:hint="default"/>
                <w:spacing w:val="-87"/>
                <w:w w:val="101"/>
                <w:sz w:val="18"/>
                <w:szCs w:val="18"/>
              </w:rPr>
              <w:t>：</w:t>
            </w:r>
            <w:r>
              <w:rPr>
                <w:rFonts w:ascii="宋体" w:hAnsi="宋体" w:cs="宋体" w:eastAsia="宋体" w:hint="default"/>
                <w:w w:val="101"/>
                <w:sz w:val="18"/>
                <w:szCs w:val="18"/>
              </w:rPr>
              <w:t>注册</w:t>
            </w:r>
            <w:r>
              <w:rPr>
                <w:rFonts w:ascii="宋体" w:hAnsi="宋体" w:cs="宋体" w:eastAsia="宋体" w:hint="default"/>
                <w:sz w:val="18"/>
                <w:szCs w:val="18"/>
              </w:rPr>
            </w: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r>
      <w:tr>
        <w:trPr>
          <w:trHeight w:val="631" w:hRule="exact"/>
        </w:trPr>
        <w:tc>
          <w:tcPr>
            <w:tcW w:w="15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资本由</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16356.6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万元</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万元变更为</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32713.2</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316" w:lineRule="auto" w:before="13"/>
              <w:ind w:left="19" w:right="118"/>
              <w:jc w:val="left"/>
              <w:rPr>
                <w:rFonts w:ascii="宋体" w:hAnsi="宋体" w:cs="宋体" w:eastAsia="宋体" w:hint="default"/>
                <w:sz w:val="18"/>
                <w:szCs w:val="18"/>
              </w:rPr>
            </w:pPr>
            <w:r>
              <w:rPr>
                <w:rFonts w:ascii="宋体" w:hAnsi="宋体" w:cs="宋体" w:eastAsia="宋体" w:hint="default"/>
                <w:spacing w:val="-2"/>
                <w:sz w:val="18"/>
                <w:szCs w:val="18"/>
              </w:rPr>
              <w:t>上海市青浦区崧华</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路 </w:t>
            </w:r>
            <w:r>
              <w:rPr>
                <w:rFonts w:ascii="Times New Roman" w:hAnsi="Times New Roman" w:cs="Times New Roman" w:eastAsia="Times New Roman" w:hint="default"/>
                <w:sz w:val="18"/>
                <w:szCs w:val="18"/>
              </w:rPr>
              <w:t>881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310229000492439</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pacing w:val="-1"/>
                <w:sz w:val="18"/>
              </w:rPr>
              <w:t>310229631520774</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63152077-4</w:t>
            </w:r>
          </w:p>
        </w:tc>
      </w:tr>
      <w:tr>
        <w:trPr>
          <w:trHeight w:val="351" w:hRule="exact"/>
        </w:trPr>
        <w:tc>
          <w:tcPr>
            <w:tcW w:w="15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万股</w:t>
            </w: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集团公司成立变更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9" w:right="118"/>
              <w:jc w:val="left"/>
              <w:rPr>
                <w:rFonts w:ascii="宋体" w:hAnsi="宋体" w:cs="宋体" w:eastAsia="宋体" w:hint="default"/>
                <w:sz w:val="18"/>
                <w:szCs w:val="18"/>
              </w:rPr>
            </w:pPr>
            <w:r>
              <w:rPr>
                <w:rFonts w:ascii="宋体" w:hAnsi="宋体" w:cs="宋体" w:eastAsia="宋体" w:hint="default"/>
                <w:spacing w:val="-2"/>
                <w:sz w:val="18"/>
                <w:szCs w:val="18"/>
              </w:rPr>
              <w:t>上海市青浦区崧华</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路 </w:t>
            </w:r>
            <w:r>
              <w:rPr>
                <w:rFonts w:ascii="Times New Roman" w:hAnsi="Times New Roman" w:cs="Times New Roman" w:eastAsia="Times New Roman" w:hint="default"/>
                <w:sz w:val="18"/>
                <w:szCs w:val="18"/>
              </w:rPr>
              <w:t>881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310229000492439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04"/>
              <w:jc w:val="right"/>
              <w:rPr>
                <w:rFonts w:ascii="Times New Roman" w:hAnsi="Times New Roman" w:cs="Times New Roman" w:eastAsia="Times New Roman" w:hint="default"/>
                <w:sz w:val="18"/>
                <w:szCs w:val="18"/>
              </w:rPr>
            </w:pPr>
            <w:r>
              <w:rPr>
                <w:rFonts w:ascii="Times New Roman"/>
                <w:spacing w:val="-1"/>
                <w:sz w:val="18"/>
              </w:rPr>
              <w:t>310229631520774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63152077-4</w:t>
            </w:r>
          </w:p>
        </w:tc>
      </w:tr>
    </w:tbl>
    <w:p>
      <w:pPr>
        <w:spacing w:after="0" w:line="240" w:lineRule="auto"/>
        <w:jc w:val="left"/>
        <w:rPr>
          <w:rFonts w:ascii="Times New Roman" w:hAnsi="Times New Roman" w:cs="Times New Roman" w:eastAsia="Times New Roman" w:hint="default"/>
          <w:sz w:val="18"/>
          <w:szCs w:val="18"/>
        </w:rPr>
        <w:sectPr>
          <w:pgSz w:w="11900" w:h="16840"/>
          <w:pgMar w:header="742" w:footer="984" w:top="1060" w:bottom="1180" w:left="980" w:right="980"/>
        </w:sectPr>
      </w:pPr>
    </w:p>
    <w:p>
      <w:pPr>
        <w:spacing w:line="240" w:lineRule="auto" w:before="0"/>
        <w:rPr>
          <w:rFonts w:ascii="Microsoft JhengHei" w:hAnsi="Microsoft JhengHei" w:cs="Microsoft JhengHei" w:eastAsia="Microsoft JhengHei" w:hint="default"/>
          <w:b/>
          <w:bCs/>
          <w:sz w:val="20"/>
          <w:szCs w:val="20"/>
        </w:rPr>
      </w:pPr>
      <w:r>
        <w:rPr/>
        <w:pict>
          <v:group style="position:absolute;margin-left:189.839996pt;margin-top:362.519989pt;width:87.6pt;height:28.1pt;mso-position-horizontal-relative:page;mso-position-vertical-relative:page;z-index:-881176" coordorigin="3797,7250" coordsize="1752,562">
            <v:group style="position:absolute;left:3797;top:7652;width:1752;height:160" coordorigin="3797,7652" coordsize="1752,160">
              <v:shape style="position:absolute;left:3797;top:7652;width:1752;height:160" coordorigin="3797,7652" coordsize="1752,160" path="m3797,7812l5549,7812,5549,7652,3797,7652,3797,7812xe" filled="true" fillcolor="#ffffff" stroked="false">
                <v:path arrowok="t"/>
                <v:fill type="solid"/>
              </v:shape>
            </v:group>
            <v:group style="position:absolute;left:3806;top:7260;width:2;height:392" coordorigin="3806,7260" coordsize="2,392">
              <v:shape style="position:absolute;left:3806;top:7260;width:2;height:392" coordorigin="3806,7260" coordsize="0,392" path="m3806,7260l3806,7652e" filled="false" stroked="true" strokeweight=".96pt" strokecolor="#ffffff">
                <v:path arrowok="t"/>
              </v:shape>
            </v:group>
            <v:group style="position:absolute;left:3816;top:7259;width:1709;height:394" coordorigin="3816,7259" coordsize="1709,394">
              <v:shape style="position:absolute;left:3816;top:7259;width:1709;height:394" coordorigin="3816,7259" coordsize="1709,394" path="m3816,7653l5525,7653,5525,7259,3816,7259,3816,7653xe" filled="true" fillcolor="#ffffff" stroked="false">
                <v:path arrowok="t"/>
                <v:fill type="solid"/>
              </v:shape>
            </v:group>
            <w10:wrap type="none"/>
          </v:group>
        </w:pict>
      </w:r>
    </w:p>
    <w:p>
      <w:pPr>
        <w:spacing w:line="240" w:lineRule="auto" w:before="10"/>
        <w:rPr>
          <w:rFonts w:ascii="Microsoft JhengHei" w:hAnsi="Microsoft JhengHei" w:cs="Microsoft JhengHei" w:eastAsia="Microsoft JhengHei" w:hint="default"/>
          <w:b/>
          <w:bCs/>
          <w:sz w:val="25"/>
          <w:szCs w:val="25"/>
        </w:rPr>
      </w:pPr>
    </w:p>
    <w:p>
      <w:pPr>
        <w:pStyle w:val="Heading1"/>
        <w:spacing w:line="458" w:lineRule="exact"/>
        <w:ind w:left="2639" w:right="0"/>
        <w:jc w:val="left"/>
        <w:rPr>
          <w:b w:val="0"/>
          <w:bCs w:val="0"/>
        </w:rPr>
      </w:pPr>
      <w:bookmarkStart w:name="_TOC_250007" w:id="3"/>
      <w:r>
        <w:rPr/>
        <w:t>第三节 </w:t>
      </w:r>
      <w:r>
        <w:rPr>
          <w:spacing w:val="19"/>
        </w:rPr>
        <w:t> </w:t>
      </w:r>
      <w:r>
        <w:rPr/>
        <w:t>会计数据和财务指标摘要</w:t>
      </w:r>
      <w:bookmarkEnd w:id="3"/>
      <w:r>
        <w:rPr>
          <w:b w:val="0"/>
          <w:bCs w:val="0"/>
        </w:rPr>
      </w:r>
    </w:p>
    <w:p>
      <w:pPr>
        <w:spacing w:line="240" w:lineRule="auto" w:before="5"/>
        <w:rPr>
          <w:rFonts w:ascii="Microsoft JhengHei" w:hAnsi="Microsoft JhengHei" w:cs="Microsoft JhengHei" w:eastAsia="Microsoft JhengHei" w:hint="default"/>
          <w:b/>
          <w:bCs/>
          <w:sz w:val="22"/>
          <w:szCs w:val="22"/>
        </w:rPr>
      </w:pPr>
    </w:p>
    <w:p>
      <w:pPr>
        <w:pStyle w:val="Heading3"/>
        <w:spacing w:line="240" w:lineRule="auto"/>
        <w:ind w:right="0"/>
        <w:jc w:val="left"/>
        <w:rPr>
          <w:b w:val="0"/>
          <w:bCs w:val="0"/>
        </w:rPr>
      </w:pPr>
      <w:r>
        <w:rPr/>
        <w:t>一、主要会计数据和财务指标</w:t>
      </w:r>
      <w:r>
        <w:rPr>
          <w:b w:val="0"/>
          <w:bCs w:val="0"/>
        </w:rPr>
      </w:r>
    </w:p>
    <w:p>
      <w:pPr>
        <w:spacing w:line="240" w:lineRule="auto" w:before="5"/>
        <w:rPr>
          <w:rFonts w:ascii="Microsoft JhengHei" w:hAnsi="Microsoft JhengHei" w:cs="Microsoft JhengHei" w:eastAsia="Microsoft JhengHei" w:hint="default"/>
          <w:b/>
          <w:bCs/>
          <w:sz w:val="18"/>
          <w:szCs w:val="18"/>
        </w:rPr>
      </w:pPr>
    </w:p>
    <w:p>
      <w:pPr>
        <w:pStyle w:val="Heading4"/>
        <w:spacing w:line="240" w:lineRule="auto"/>
        <w:ind w:left="575" w:right="0"/>
        <w:jc w:val="left"/>
        <w:rPr>
          <w:b w:val="0"/>
          <w:bCs w:val="0"/>
        </w:rPr>
      </w:pPr>
      <w:r>
        <w:rPr/>
        <w:t>公司是否因会计政策变更及会计差错更正等追溯调整或重述以前年度会计数据</w:t>
      </w:r>
      <w:r>
        <w:rPr>
          <w:b w:val="0"/>
          <w:bCs w:val="0"/>
        </w:rPr>
      </w:r>
    </w:p>
    <w:p>
      <w:pPr>
        <w:pStyle w:val="BodyText"/>
        <w:spacing w:line="240" w:lineRule="auto" w:before="167"/>
        <w:ind w:left="575" w:right="0"/>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40"/>
        </w:rPr>
        <w:t> </w:t>
      </w:r>
      <w:r>
        <w:rPr/>
        <w:t>否</w:t>
      </w:r>
    </w:p>
    <w:p>
      <w:pPr>
        <w:spacing w:line="240" w:lineRule="auto" w:before="9"/>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635"/>
        <w:gridCol w:w="1774"/>
        <w:gridCol w:w="1762"/>
        <w:gridCol w:w="1762"/>
        <w:gridCol w:w="1622"/>
      </w:tblGrid>
      <w:tr>
        <w:trPr>
          <w:trHeight w:val="398"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4" w:right="0"/>
              <w:jc w:val="left"/>
              <w:rPr>
                <w:rFonts w:ascii="宋体" w:hAnsi="宋体" w:cs="宋体" w:eastAsia="宋体" w:hint="default"/>
                <w:sz w:val="18"/>
                <w:szCs w:val="18"/>
              </w:rPr>
            </w:pPr>
            <w:r>
              <w:rPr>
                <w:rFonts w:ascii="宋体" w:hAnsi="宋体" w:cs="宋体" w:eastAsia="宋体" w:hint="default"/>
                <w:spacing w:val="-3"/>
                <w:sz w:val="18"/>
                <w:szCs w:val="18"/>
              </w:rPr>
              <w:t>本年比上年增减</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403"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营业收入（元）</w:t>
            </w:r>
          </w:p>
        </w:tc>
        <w:tc>
          <w:tcPr>
            <w:tcW w:w="17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746,362,290.97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506,744,128.60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47.29%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262,449,750.47</w:t>
            </w:r>
          </w:p>
        </w:tc>
      </w:tr>
      <w:tr>
        <w:trPr>
          <w:trHeight w:val="403"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营业成本（元）</w:t>
            </w:r>
          </w:p>
        </w:tc>
        <w:tc>
          <w:tcPr>
            <w:tcW w:w="17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492,713,924.11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351,687,576.53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40.10%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182,428,959.93</w:t>
            </w:r>
          </w:p>
        </w:tc>
      </w:tr>
      <w:tr>
        <w:trPr>
          <w:trHeight w:val="403"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营业利润（元）</w:t>
            </w:r>
          </w:p>
        </w:tc>
        <w:tc>
          <w:tcPr>
            <w:tcW w:w="17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126,427,929.61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59,458,914.88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112.63%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22,840,709.34</w:t>
            </w:r>
          </w:p>
        </w:tc>
      </w:tr>
      <w:tr>
        <w:trPr>
          <w:trHeight w:val="398"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利润总额（元）</w:t>
            </w:r>
          </w:p>
        </w:tc>
        <w:tc>
          <w:tcPr>
            <w:tcW w:w="17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130,853,214.03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61,367,013.05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113.23%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26,995,128.07</w:t>
            </w:r>
          </w:p>
        </w:tc>
      </w:tr>
      <w:tr>
        <w:trPr>
          <w:trHeight w:val="715"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86"/>
              <w:jc w:val="left"/>
              <w:rPr>
                <w:rFonts w:ascii="宋体" w:hAnsi="宋体" w:cs="宋体" w:eastAsia="宋体" w:hint="default"/>
                <w:sz w:val="18"/>
                <w:szCs w:val="18"/>
              </w:rPr>
            </w:pPr>
            <w:r>
              <w:rPr>
                <w:rFonts w:ascii="宋体" w:hAnsi="宋体" w:cs="宋体" w:eastAsia="宋体" w:hint="default"/>
                <w:spacing w:val="-3"/>
                <w:sz w:val="18"/>
                <w:szCs w:val="18"/>
              </w:rPr>
              <w:t>归属于上市公司普通股股东的净</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利润（元）</w:t>
            </w:r>
          </w:p>
        </w:tc>
        <w:tc>
          <w:tcPr>
            <w:tcW w:w="17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100,871,442.71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47,726,565.71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3"/>
                <w:sz w:val="18"/>
              </w:rPr>
              <w:t>111.35%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22,889,031.23</w:t>
            </w:r>
          </w:p>
        </w:tc>
      </w:tr>
      <w:tr>
        <w:trPr>
          <w:trHeight w:val="715"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88"/>
              <w:jc w:val="left"/>
              <w:rPr>
                <w:rFonts w:ascii="宋体" w:hAnsi="宋体" w:cs="宋体" w:eastAsia="宋体" w:hint="default"/>
                <w:sz w:val="18"/>
                <w:szCs w:val="18"/>
              </w:rPr>
            </w:pPr>
            <w:r>
              <w:rPr>
                <w:rFonts w:ascii="宋体" w:hAnsi="宋体" w:cs="宋体" w:eastAsia="宋体" w:hint="default"/>
                <w:spacing w:val="-3"/>
                <w:sz w:val="18"/>
                <w:szCs w:val="18"/>
              </w:rPr>
              <w:t>归属于上市公司普通股股东的扣</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除非经常性损益后的净利润（元</w:t>
            </w:r>
          </w:p>
        </w:tc>
        <w:tc>
          <w:tcPr>
            <w:tcW w:w="17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162" w:lineRule="exact"/>
              <w:ind w:left="686" w:right="0"/>
              <w:jc w:val="left"/>
              <w:rPr>
                <w:rFonts w:ascii="Times New Roman" w:hAnsi="Times New Roman" w:cs="Times New Roman" w:eastAsia="Times New Roman" w:hint="default"/>
                <w:sz w:val="18"/>
                <w:szCs w:val="18"/>
              </w:rPr>
            </w:pPr>
            <w:r>
              <w:rPr>
                <w:rFonts w:ascii="Times New Roman"/>
                <w:sz w:val="18"/>
              </w:rPr>
              <w:t>97,019,054.68</w:t>
            </w:r>
          </w:p>
          <w:p>
            <w:pPr>
              <w:pStyle w:val="TableParagraph"/>
              <w:spacing w:line="190" w:lineRule="exact"/>
              <w:ind w:left="-12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45,841,218.04</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3"/>
                <w:sz w:val="18"/>
              </w:rPr>
              <w:t>111.64%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19,455,836.95</w:t>
            </w:r>
          </w:p>
        </w:tc>
      </w:tr>
      <w:tr>
        <w:trPr>
          <w:trHeight w:val="715"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46,772.65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-26,913,523.45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-100.17%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13,502,479.28</w:t>
            </w:r>
          </w:p>
        </w:tc>
      </w:tr>
      <w:tr>
        <w:trPr>
          <w:trHeight w:val="710"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88"/>
              <w:jc w:val="left"/>
              <w:rPr>
                <w:rFonts w:ascii="宋体" w:hAnsi="宋体" w:cs="宋体" w:eastAsia="宋体" w:hint="default"/>
                <w:sz w:val="18"/>
                <w:szCs w:val="18"/>
              </w:rPr>
            </w:pPr>
            <w:r>
              <w:rPr>
                <w:rFonts w:ascii="宋体" w:hAnsi="宋体" w:cs="宋体" w:eastAsia="宋体" w:hint="default"/>
                <w:spacing w:val="-3"/>
                <w:sz w:val="18"/>
                <w:szCs w:val="18"/>
              </w:rPr>
              <w:t>每股经营活动产生的现金流量净</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0.0001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-0.1645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-0.01%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0.0841</w:t>
            </w:r>
          </w:p>
        </w:tc>
      </w:tr>
      <w:tr>
        <w:trPr>
          <w:trHeight w:val="403"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p>
        </w:tc>
        <w:tc>
          <w:tcPr>
            <w:tcW w:w="17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0.31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0.15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106.67%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0.14</w:t>
            </w:r>
          </w:p>
        </w:tc>
      </w:tr>
      <w:tr>
        <w:trPr>
          <w:trHeight w:val="403"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p>
        </w:tc>
        <w:tc>
          <w:tcPr>
            <w:tcW w:w="17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0.31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0.15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106.67%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0.14</w:t>
            </w:r>
          </w:p>
        </w:tc>
      </w:tr>
      <w:tr>
        <w:trPr>
          <w:trHeight w:val="403"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12.13%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6.37%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5.76%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3.14%</w:t>
            </w:r>
          </w:p>
        </w:tc>
      </w:tr>
      <w:tr>
        <w:trPr>
          <w:trHeight w:val="710"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88"/>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扣除非经常性损益后的加权平均</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净资产收益率</w:t>
            </w:r>
          </w:p>
        </w:tc>
        <w:tc>
          <w:tcPr>
            <w:tcW w:w="17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3"/>
                <w:sz w:val="18"/>
              </w:rPr>
              <w:t>11.67%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6.12%</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2.66%</w:t>
            </w:r>
          </w:p>
        </w:tc>
      </w:tr>
      <w:tr>
        <w:trPr>
          <w:trHeight w:val="403"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年末</w:t>
            </w:r>
          </w:p>
        </w:tc>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年末</w:t>
            </w:r>
          </w:p>
        </w:tc>
        <w:tc>
          <w:tcPr>
            <w:tcW w:w="1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0"/>
              <w:jc w:val="right"/>
              <w:rPr>
                <w:rFonts w:ascii="宋体" w:hAnsi="宋体" w:cs="宋体" w:eastAsia="宋体" w:hint="default"/>
                <w:sz w:val="18"/>
                <w:szCs w:val="18"/>
              </w:rPr>
            </w:pPr>
            <w:r>
              <w:rPr>
                <w:rFonts w:ascii="宋体" w:hAnsi="宋体" w:cs="宋体" w:eastAsia="宋体" w:hint="default"/>
                <w:spacing w:val="-3"/>
                <w:sz w:val="18"/>
                <w:szCs w:val="18"/>
              </w:rPr>
              <w:t>本年末比上年末增减</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年末</w:t>
            </w:r>
          </w:p>
        </w:tc>
      </w:tr>
      <w:tr>
        <w:trPr>
          <w:trHeight w:val="403"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329,162,000.00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163,566,000.00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101.24%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160,500,000.00</w:t>
            </w:r>
          </w:p>
        </w:tc>
      </w:tr>
      <w:tr>
        <w:trPr>
          <w:trHeight w:val="403"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资产总额（元）</w:t>
            </w:r>
          </w:p>
        </w:tc>
        <w:tc>
          <w:tcPr>
            <w:tcW w:w="17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1,026,933,540.40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890,125,110.17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15.37%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746,446,410.48</w:t>
            </w:r>
          </w:p>
        </w:tc>
      </w:tr>
      <w:tr>
        <w:trPr>
          <w:trHeight w:val="398"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负债总额（元）</w:t>
            </w:r>
          </w:p>
        </w:tc>
        <w:tc>
          <w:tcPr>
            <w:tcW w:w="17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131,426,834.25</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89,713,347.67</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46.50%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10,427,601.91</w:t>
            </w:r>
          </w:p>
        </w:tc>
      </w:tr>
      <w:tr>
        <w:trPr>
          <w:trHeight w:val="715"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88"/>
              <w:jc w:val="left"/>
              <w:rPr>
                <w:rFonts w:ascii="宋体" w:hAnsi="宋体" w:cs="宋体" w:eastAsia="宋体" w:hint="default"/>
                <w:sz w:val="18"/>
                <w:szCs w:val="18"/>
              </w:rPr>
            </w:pPr>
            <w:r>
              <w:rPr>
                <w:rFonts w:ascii="宋体" w:hAnsi="宋体" w:cs="宋体" w:eastAsia="宋体" w:hint="default"/>
                <w:spacing w:val="-3"/>
                <w:sz w:val="18"/>
                <w:szCs w:val="18"/>
              </w:rPr>
              <w:t>归属于上市公司普通股股东的所</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有者权益（元）</w:t>
            </w:r>
          </w:p>
        </w:tc>
        <w:tc>
          <w:tcPr>
            <w:tcW w:w="17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879,867,234.99</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788,934,448.28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3"/>
                <w:sz w:val="18"/>
              </w:rPr>
              <w:t>11.53%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733,272,374.99</w:t>
            </w:r>
          </w:p>
        </w:tc>
      </w:tr>
      <w:tr>
        <w:trPr>
          <w:trHeight w:val="715"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88"/>
              <w:jc w:val="left"/>
              <w:rPr>
                <w:rFonts w:ascii="宋体" w:hAnsi="宋体" w:cs="宋体" w:eastAsia="宋体" w:hint="default"/>
                <w:sz w:val="18"/>
                <w:szCs w:val="18"/>
              </w:rPr>
            </w:pPr>
            <w:r>
              <w:rPr>
                <w:rFonts w:ascii="宋体" w:hAnsi="宋体" w:cs="宋体" w:eastAsia="宋体" w:hint="default"/>
                <w:spacing w:val="-3"/>
                <w:sz w:val="18"/>
                <w:szCs w:val="18"/>
              </w:rPr>
              <w:t>归属于上市公司普通股股东的每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股净资产（元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p>
        </w:tc>
        <w:tc>
          <w:tcPr>
            <w:tcW w:w="17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2.6731</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4.8233</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-44.58%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4.5687</w:t>
            </w:r>
          </w:p>
        </w:tc>
      </w:tr>
      <w:tr>
        <w:trPr>
          <w:trHeight w:val="403"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7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12.80%</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10.08%</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1.39%</w:t>
            </w:r>
          </w:p>
        </w:tc>
      </w:tr>
    </w:tbl>
    <w:p>
      <w:pPr>
        <w:spacing w:after="0" w:line="240" w:lineRule="auto"/>
        <w:jc w:val="right"/>
        <w:rPr>
          <w:rFonts w:ascii="Times New Roman" w:hAnsi="Times New Roman" w:cs="Times New Roman" w:eastAsia="Times New Roman" w:hint="default"/>
          <w:sz w:val="18"/>
          <w:szCs w:val="18"/>
        </w:rPr>
        <w:sectPr>
          <w:pgSz w:w="11900" w:h="16840"/>
          <w:pgMar w:header="742" w:footer="984" w:top="1060" w:bottom="1180" w:left="980" w:right="980"/>
        </w:sectPr>
      </w:pPr>
    </w:p>
    <w:p>
      <w:pPr>
        <w:spacing w:line="240" w:lineRule="auto" w:before="10"/>
        <w:rPr>
          <w:rFonts w:ascii="宋体" w:hAnsi="宋体" w:cs="宋体" w:eastAsia="宋体" w:hint="default"/>
          <w:sz w:val="23"/>
          <w:szCs w:val="23"/>
        </w:rPr>
      </w:pPr>
    </w:p>
    <w:p>
      <w:pPr>
        <w:pStyle w:val="Heading3"/>
        <w:spacing w:line="367" w:lineRule="exact"/>
        <w:ind w:right="111"/>
        <w:jc w:val="left"/>
        <w:rPr>
          <w:b w:val="0"/>
          <w:bCs w:val="0"/>
        </w:rPr>
      </w:pPr>
      <w:r>
        <w:rPr/>
        <w:t>二、境内外会计准则下会计数据差异</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111"/>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405" w:lineRule="auto"/>
        <w:ind w:left="575" w:right="111"/>
        <w:jc w:val="left"/>
      </w:pPr>
      <w:r>
        <w:rPr/>
        <w:t>□ 适用 √ 不适用</w:t>
      </w:r>
      <w:r>
        <w:rPr>
          <w:spacing w:val="-102"/>
        </w:rPr>
        <w:t> </w:t>
      </w:r>
      <w:r>
        <w:rPr>
          <w:spacing w:val="-102"/>
        </w:rPr>
      </w:r>
      <w:r>
        <w:rPr>
          <w:spacing w:val="2"/>
        </w:rPr>
        <w:t>公司报告期不存在按照国际会计准则与按照中国会计准则披露的财务报告中净利润和净资产差异情</w:t>
      </w:r>
    </w:p>
    <w:p>
      <w:pPr>
        <w:pStyle w:val="BodyText"/>
        <w:spacing w:line="240" w:lineRule="auto" w:before="50"/>
        <w:ind w:right="111"/>
        <w:jc w:val="left"/>
      </w:pPr>
      <w:r>
        <w:rPr/>
        <w:t>况。</w:t>
      </w:r>
    </w:p>
    <w:p>
      <w:pPr>
        <w:spacing w:line="240" w:lineRule="auto" w:before="5"/>
        <w:rPr>
          <w:rFonts w:ascii="宋体" w:hAnsi="宋体" w:cs="宋体" w:eastAsia="宋体" w:hint="default"/>
          <w:sz w:val="26"/>
          <w:szCs w:val="26"/>
        </w:rPr>
      </w:pPr>
    </w:p>
    <w:p>
      <w:pPr>
        <w:pStyle w:val="Heading4"/>
        <w:spacing w:line="240" w:lineRule="auto"/>
        <w:ind w:right="111"/>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10" w:lineRule="auto"/>
        <w:ind w:left="575" w:right="111"/>
        <w:jc w:val="left"/>
      </w:pPr>
      <w:r>
        <w:rPr/>
        <w:t>□ 适用 √ 不适用</w:t>
      </w:r>
      <w:r>
        <w:rPr>
          <w:spacing w:val="-102"/>
        </w:rPr>
        <w:t> </w:t>
      </w:r>
      <w:r>
        <w:rPr>
          <w:spacing w:val="-102"/>
        </w:rPr>
      </w:r>
      <w:r>
        <w:rPr>
          <w:spacing w:val="2"/>
        </w:rPr>
        <w:t>公司报告期不存在按照境外会计准则与按照中国会计准则披露的财务报告中净利润和净资产差异情</w:t>
      </w:r>
    </w:p>
    <w:p>
      <w:pPr>
        <w:pStyle w:val="BodyText"/>
        <w:spacing w:line="240" w:lineRule="auto" w:before="41"/>
        <w:ind w:right="111"/>
        <w:jc w:val="left"/>
      </w:pPr>
      <w:r>
        <w:rPr/>
        <w:t>况。</w:t>
      </w:r>
    </w:p>
    <w:p>
      <w:pPr>
        <w:spacing w:line="240" w:lineRule="auto" w:before="9"/>
        <w:rPr>
          <w:rFonts w:ascii="宋体" w:hAnsi="宋体" w:cs="宋体" w:eastAsia="宋体" w:hint="default"/>
          <w:sz w:val="23"/>
          <w:szCs w:val="23"/>
        </w:rPr>
      </w:pPr>
    </w:p>
    <w:p>
      <w:pPr>
        <w:pStyle w:val="Heading3"/>
        <w:spacing w:line="240" w:lineRule="auto"/>
        <w:ind w:right="111"/>
        <w:jc w:val="left"/>
        <w:rPr>
          <w:b w:val="0"/>
          <w:bCs w:val="0"/>
        </w:rPr>
      </w:pPr>
      <w:r>
        <w:rPr/>
        <w:t>三、非经常性损益的项目及金额</w:t>
      </w:r>
      <w:r>
        <w:rPr>
          <w:b w:val="0"/>
          <w:bCs w:val="0"/>
        </w:rPr>
      </w:r>
    </w:p>
    <w:p>
      <w:pPr>
        <w:spacing w:line="240" w:lineRule="auto" w:before="15"/>
        <w:rPr>
          <w:rFonts w:ascii="Microsoft JhengHei" w:hAnsi="Microsoft JhengHei" w:cs="Microsoft JhengHei" w:eastAsia="Microsoft JhengHei" w:hint="default"/>
          <w:b/>
          <w:bCs/>
          <w:sz w:val="21"/>
          <w:szCs w:val="21"/>
        </w:rPr>
      </w:pPr>
    </w:p>
    <w:p>
      <w:pPr>
        <w:pStyle w:val="BodyText"/>
        <w:spacing w:line="240" w:lineRule="auto"/>
        <w:ind w:left="575" w:right="111"/>
        <w:jc w:val="left"/>
      </w:pPr>
      <w:r>
        <w:rPr/>
        <w:t>√ 适用 □</w:t>
      </w:r>
      <w:r>
        <w:rPr>
          <w:spacing w:val="3"/>
        </w:rPr>
        <w:t> </w:t>
      </w:r>
      <w:r>
        <w:rPr/>
        <w:t>不适用</w:t>
      </w:r>
    </w:p>
    <w:p>
      <w:pPr>
        <w:spacing w:line="240" w:lineRule="auto" w:before="13"/>
        <w:rPr>
          <w:rFonts w:ascii="宋体" w:hAnsi="宋体" w:cs="宋体" w:eastAsia="宋体" w:hint="default"/>
          <w:sz w:val="13"/>
          <w:szCs w:val="13"/>
        </w:rPr>
      </w:pPr>
    </w:p>
    <w:p>
      <w:pPr>
        <w:spacing w:before="0"/>
        <w:ind w:left="0" w:right="226"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286"/>
        <w:gridCol w:w="1529"/>
        <w:gridCol w:w="1522"/>
        <w:gridCol w:w="1522"/>
        <w:gridCol w:w="1709"/>
      </w:tblGrid>
      <w:tr>
        <w:trPr>
          <w:trHeight w:val="403" w:hRule="exact"/>
        </w:trPr>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年金额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5"/>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非流动资产处置损益（包括已计提资产减</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值准备的冲销部分）</w:t>
            </w:r>
          </w:p>
        </w:tc>
        <w:tc>
          <w:tcPr>
            <w:tcW w:w="15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-561,843.49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-1,012,859.58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-3,625.15</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328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w:t>
            </w:r>
          </w:p>
        </w:tc>
        <w:tc>
          <w:tcPr>
            <w:tcW w:w="1529" w:type="dxa"/>
            <w:tcBorders>
              <w:top w:val="single" w:sz="4" w:space="0" w:color="000000"/>
              <w:left w:val="single" w:sz="10" w:space="0" w:color="D2D2D2"/>
              <w:bottom w:val="nil" w:sz="6" w:space="0" w:color="auto"/>
              <w:right w:val="single" w:sz="4" w:space="0" w:color="000000"/>
            </w:tcBorders>
          </w:tcPr>
          <w:p>
            <w:pPr/>
          </w:p>
        </w:tc>
        <w:tc>
          <w:tcPr>
            <w:tcW w:w="1522" w:type="dxa"/>
            <w:tcBorders>
              <w:top w:val="single" w:sz="4" w:space="0" w:color="000000"/>
              <w:left w:val="single" w:sz="4" w:space="0" w:color="000000"/>
              <w:bottom w:val="nil" w:sz="6" w:space="0" w:color="auto"/>
              <w:right w:val="single" w:sz="4" w:space="0" w:color="000000"/>
            </w:tcBorders>
          </w:tcPr>
          <w:p>
            <w:pPr/>
          </w:p>
        </w:tc>
        <w:tc>
          <w:tcPr>
            <w:tcW w:w="1522" w:type="dxa"/>
            <w:tcBorders>
              <w:top w:val="single" w:sz="4" w:space="0" w:color="000000"/>
              <w:left w:val="single" w:sz="4" w:space="0" w:color="000000"/>
              <w:bottom w:val="nil" w:sz="6" w:space="0" w:color="auto"/>
              <w:right w:val="single" w:sz="4" w:space="0" w:color="000000"/>
            </w:tcBorders>
          </w:tcPr>
          <w:p>
            <w:pPr/>
          </w:p>
        </w:tc>
        <w:tc>
          <w:tcPr>
            <w:tcW w:w="1709" w:type="dxa"/>
            <w:vMerge w:val="restart"/>
            <w:tcBorders>
              <w:top w:val="single" w:sz="4" w:space="0" w:color="000000"/>
              <w:left w:val="single" w:sz="4" w:space="0" w:color="000000"/>
              <w:right w:val="single" w:sz="4" w:space="0" w:color="000000"/>
            </w:tcBorders>
          </w:tcPr>
          <w:p>
            <w:pPr/>
          </w:p>
        </w:tc>
      </w:tr>
      <w:tr>
        <w:trPr>
          <w:trHeight w:val="319" w:hRule="exact"/>
        </w:trPr>
        <w:tc>
          <w:tcPr>
            <w:tcW w:w="32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pacing w:val="-3"/>
                <w:sz w:val="18"/>
                <w:szCs w:val="18"/>
              </w:rPr>
              <w:t>切相关，按照国家统一标准定额或定量享</w:t>
            </w:r>
          </w:p>
        </w:tc>
        <w:tc>
          <w:tcPr>
            <w:tcW w:w="1529" w:type="dxa"/>
            <w:tcBorders>
              <w:top w:val="nil" w:sz="6" w:space="0" w:color="auto"/>
              <w:left w:val="single" w:sz="10" w:space="0" w:color="D2D2D2"/>
              <w:bottom w:val="nil" w:sz="6" w:space="0" w:color="auto"/>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18"/>
                <w:szCs w:val="18"/>
              </w:rPr>
            </w:pPr>
            <w:r>
              <w:rPr>
                <w:rFonts w:ascii="Times New Roman"/>
                <w:spacing w:val="-1"/>
                <w:sz w:val="18"/>
              </w:rPr>
              <w:t>5,254,435.00</w:t>
            </w:r>
          </w:p>
        </w:tc>
        <w:tc>
          <w:tcPr>
            <w:tcW w:w="1522"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22"/>
              <w:jc w:val="right"/>
              <w:rPr>
                <w:rFonts w:ascii="Times New Roman" w:hAnsi="Times New Roman" w:cs="Times New Roman" w:eastAsia="Times New Roman" w:hint="default"/>
                <w:sz w:val="18"/>
                <w:szCs w:val="18"/>
              </w:rPr>
            </w:pPr>
            <w:r>
              <w:rPr>
                <w:rFonts w:ascii="Times New Roman"/>
                <w:spacing w:val="-1"/>
                <w:sz w:val="18"/>
              </w:rPr>
              <w:t>4,334,982.00</w:t>
            </w:r>
          </w:p>
        </w:tc>
        <w:tc>
          <w:tcPr>
            <w:tcW w:w="1522"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22"/>
              <w:jc w:val="right"/>
              <w:rPr>
                <w:rFonts w:ascii="Times New Roman" w:hAnsi="Times New Roman" w:cs="Times New Roman" w:eastAsia="Times New Roman" w:hint="default"/>
                <w:sz w:val="18"/>
                <w:szCs w:val="18"/>
              </w:rPr>
            </w:pPr>
            <w:r>
              <w:rPr>
                <w:rFonts w:ascii="Times New Roman"/>
                <w:spacing w:val="-1"/>
                <w:sz w:val="18"/>
              </w:rPr>
              <w:t>4,148,796.00</w:t>
            </w:r>
          </w:p>
        </w:tc>
        <w:tc>
          <w:tcPr>
            <w:tcW w:w="1709" w:type="dxa"/>
            <w:vMerge/>
            <w:tcBorders>
              <w:left w:val="single" w:sz="4" w:space="0" w:color="000000"/>
              <w:right w:val="single" w:sz="4" w:space="0" w:color="000000"/>
            </w:tcBorders>
          </w:tcPr>
          <w:p>
            <w:pPr/>
          </w:p>
        </w:tc>
      </w:tr>
      <w:tr>
        <w:trPr>
          <w:trHeight w:val="346" w:hRule="exact"/>
        </w:trPr>
        <w:tc>
          <w:tcPr>
            <w:tcW w:w="328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3"/>
                <w:sz w:val="18"/>
                <w:szCs w:val="18"/>
              </w:rPr>
              <w:t>受的政府补助除外）</w:t>
            </w:r>
          </w:p>
        </w:tc>
        <w:tc>
          <w:tcPr>
            <w:tcW w:w="1529" w:type="dxa"/>
            <w:tcBorders>
              <w:top w:val="nil" w:sz="6" w:space="0" w:color="auto"/>
              <w:left w:val="single" w:sz="10" w:space="0" w:color="D2D2D2"/>
              <w:bottom w:val="single" w:sz="4" w:space="0" w:color="000000"/>
              <w:right w:val="single" w:sz="4" w:space="0" w:color="000000"/>
            </w:tcBorders>
          </w:tcPr>
          <w:p>
            <w:pPr/>
          </w:p>
        </w:tc>
        <w:tc>
          <w:tcPr>
            <w:tcW w:w="1522" w:type="dxa"/>
            <w:tcBorders>
              <w:top w:val="nil" w:sz="6" w:space="0" w:color="auto"/>
              <w:left w:val="single" w:sz="4" w:space="0" w:color="000000"/>
              <w:bottom w:val="single" w:sz="4" w:space="0" w:color="000000"/>
              <w:right w:val="single" w:sz="4" w:space="0" w:color="000000"/>
            </w:tcBorders>
          </w:tcPr>
          <w:p>
            <w:pPr/>
          </w:p>
        </w:tc>
        <w:tc>
          <w:tcPr>
            <w:tcW w:w="1522" w:type="dxa"/>
            <w:tcBorders>
              <w:top w:val="nil" w:sz="6" w:space="0" w:color="auto"/>
              <w:left w:val="single" w:sz="4" w:space="0" w:color="000000"/>
              <w:bottom w:val="single" w:sz="4" w:space="0" w:color="000000"/>
              <w:right w:val="single" w:sz="4" w:space="0" w:color="000000"/>
            </w:tcBorders>
          </w:tcPr>
          <w:p>
            <w:pPr/>
          </w:p>
        </w:tc>
        <w:tc>
          <w:tcPr>
            <w:tcW w:w="1709" w:type="dxa"/>
            <w:vMerge/>
            <w:tcBorders>
              <w:left w:val="single" w:sz="4" w:space="0" w:color="000000"/>
              <w:bottom w:val="single" w:sz="4" w:space="0" w:color="000000"/>
              <w:right w:val="single" w:sz="4" w:space="0" w:color="000000"/>
            </w:tcBorders>
          </w:tcPr>
          <w:p>
            <w:pPr/>
          </w:p>
        </w:tc>
      </w:tr>
      <w:tr>
        <w:trPr>
          <w:trHeight w:val="403" w:hRule="exact"/>
        </w:trPr>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15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-267,307.09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-1,414,024.25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9,247.88</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660,044.35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206,236.69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717,889.39</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少数股东权益影响额（税后）</w:t>
            </w:r>
          </w:p>
        </w:tc>
        <w:tc>
          <w:tcPr>
            <w:tcW w:w="15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-87,147.96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-183,486.19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3,335.06</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3,852,388.03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1,885,347.67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3,433,194.28</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Heading4"/>
        <w:spacing w:line="240" w:lineRule="auto"/>
        <w:ind w:left="575" w:right="111"/>
        <w:jc w:val="left"/>
        <w:rPr>
          <w:b w:val="0"/>
          <w:bCs w:val="0"/>
        </w:rPr>
      </w:pPr>
      <w:r>
        <w:rPr/>
        <w:t>对公司根据《公开发行证券的公司信息披露解释性公告第 </w:t>
      </w:r>
      <w:r>
        <w:rPr>
          <w:rFonts w:ascii="Arial" w:hAnsi="Arial" w:cs="Arial" w:eastAsia="Arial" w:hint="default"/>
        </w:rPr>
        <w:t>1</w:t>
      </w:r>
      <w:r>
        <w:rPr>
          <w:rFonts w:ascii="Arial" w:hAnsi="Arial" w:cs="Arial" w:eastAsia="Arial" w:hint="default"/>
          <w:spacing w:val="-21"/>
        </w:rPr>
        <w:t> </w:t>
      </w:r>
      <w:r>
        <w:rPr>
          <w:spacing w:val="-3"/>
        </w:rPr>
        <w:t>号——非经常性损益》定义界定的非经常</w:t>
      </w:r>
      <w:r>
        <w:rPr>
          <w:b w:val="0"/>
          <w:bCs w:val="0"/>
          <w:spacing w:val="-3"/>
        </w:rPr>
      </w:r>
    </w:p>
    <w:p>
      <w:pPr>
        <w:pStyle w:val="Heading4"/>
        <w:spacing w:line="309" w:lineRule="auto" w:before="100"/>
        <w:ind w:right="214"/>
        <w:jc w:val="left"/>
        <w:rPr>
          <w:b w:val="0"/>
          <w:bCs w:val="0"/>
        </w:rPr>
      </w:pPr>
      <w:r>
        <w:rPr>
          <w:spacing w:val="-2"/>
        </w:rPr>
        <w:t>性损益项目，以及把《公开发行证券的公司信息披露解释性公告第</w:t>
      </w:r>
      <w:r>
        <w:rPr/>
        <w:t> </w:t>
      </w:r>
      <w:r>
        <w:rPr>
          <w:rFonts w:ascii="Arial" w:hAnsi="Arial" w:cs="Arial" w:eastAsia="Arial" w:hint="default"/>
        </w:rPr>
        <w:t>1</w:t>
      </w:r>
      <w:r>
        <w:rPr>
          <w:rFonts w:ascii="Arial" w:hAnsi="Arial" w:cs="Arial" w:eastAsia="Arial" w:hint="default"/>
          <w:spacing w:val="12"/>
        </w:rPr>
        <w:t> </w:t>
      </w:r>
      <w:r>
        <w:rPr>
          <w:spacing w:val="-2"/>
        </w:rPr>
        <w:t>号——非经常性损益》中列举的非经</w:t>
      </w:r>
      <w:r>
        <w:rPr>
          <w:w w:val="100"/>
        </w:rPr>
        <w:t> </w:t>
      </w:r>
      <w:r>
        <w:rPr/>
        <w:t>常性损益项目界定为经常性损益的项目，应说明原因</w:t>
      </w:r>
      <w:r>
        <w:rPr>
          <w:b w:val="0"/>
          <w:bCs w:val="0"/>
        </w:rPr>
      </w:r>
    </w:p>
    <w:p>
      <w:pPr>
        <w:pStyle w:val="BodyText"/>
        <w:spacing w:line="240" w:lineRule="auto" w:before="86"/>
        <w:ind w:left="575" w:right="111"/>
        <w:jc w:val="left"/>
      </w:pPr>
      <w:r>
        <w:rPr/>
        <w:t>□ 适用 √</w:t>
      </w:r>
      <w:r>
        <w:rPr>
          <w:spacing w:val="3"/>
        </w:rPr>
        <w:t> </w:t>
      </w:r>
      <w:r>
        <w:rPr/>
        <w:t>不适用</w:t>
      </w:r>
    </w:p>
    <w:p>
      <w:pPr>
        <w:spacing w:line="240" w:lineRule="auto" w:before="12"/>
        <w:rPr>
          <w:rFonts w:ascii="宋体" w:hAnsi="宋体" w:cs="宋体" w:eastAsia="宋体" w:hint="default"/>
          <w:sz w:val="14"/>
          <w:szCs w:val="14"/>
        </w:rPr>
      </w:pPr>
    </w:p>
    <w:p>
      <w:pPr>
        <w:pStyle w:val="BodyText"/>
        <w:spacing w:line="386" w:lineRule="auto"/>
        <w:ind w:right="111" w:firstLine="422"/>
        <w:jc w:val="left"/>
      </w:pPr>
      <w:r>
        <w:rPr>
          <w:spacing w:val="-4"/>
        </w:rPr>
        <w:t>公司报告期不存在将根据《公开发行证券的公司信息披露解释性公告第 </w:t>
      </w:r>
      <w:r>
        <w:rPr>
          <w:rFonts w:ascii="Arial" w:hAnsi="Arial" w:cs="Arial" w:eastAsia="Arial" w:hint="default"/>
        </w:rPr>
        <w:t>1</w:t>
      </w:r>
      <w:r>
        <w:rPr>
          <w:rFonts w:ascii="Arial" w:hAnsi="Arial" w:cs="Arial" w:eastAsia="Arial" w:hint="default"/>
          <w:spacing w:val="13"/>
        </w:rPr>
        <w:t> </w:t>
      </w:r>
      <w:r>
        <w:rPr>
          <w:spacing w:val="-7"/>
        </w:rPr>
        <w:t>号——非经常性损益》定义、</w:t>
      </w:r>
      <w:r>
        <w:rPr>
          <w:w w:val="100"/>
        </w:rPr>
        <w:t> </w:t>
      </w:r>
      <w:r>
        <w:rPr/>
        <w:t>列举的非经常性损益项目界定为经常性损益的项目的情形。</w:t>
      </w:r>
    </w:p>
    <w:p>
      <w:pPr>
        <w:spacing w:after="0" w:line="386" w:lineRule="auto"/>
        <w:jc w:val="left"/>
        <w:sectPr>
          <w:pgSz w:w="11900" w:h="16840"/>
          <w:pgMar w:header="742" w:footer="984" w:top="1060" w:bottom="1180" w:left="980" w:right="900"/>
        </w:sectPr>
      </w:pPr>
    </w:p>
    <w:p>
      <w:pPr>
        <w:spacing w:line="240" w:lineRule="auto" w:before="10"/>
        <w:rPr>
          <w:rFonts w:ascii="宋体" w:hAnsi="宋体" w:cs="宋体" w:eastAsia="宋体" w:hint="default"/>
          <w:sz w:val="23"/>
          <w:szCs w:val="23"/>
        </w:rPr>
      </w:pPr>
    </w:p>
    <w:p>
      <w:pPr>
        <w:pStyle w:val="Heading3"/>
        <w:spacing w:line="367" w:lineRule="exact"/>
        <w:ind w:right="111"/>
        <w:jc w:val="left"/>
        <w:rPr>
          <w:b w:val="0"/>
          <w:bCs w:val="0"/>
        </w:rPr>
      </w:pPr>
      <w:r>
        <w:rPr/>
        <w:t>四、重大风险提示</w:t>
      </w:r>
      <w:r>
        <w:rPr>
          <w:b w:val="0"/>
          <w:bCs w:val="0"/>
        </w:rPr>
      </w:r>
    </w:p>
    <w:p>
      <w:pPr>
        <w:spacing w:line="240" w:lineRule="auto" w:before="17"/>
        <w:rPr>
          <w:rFonts w:ascii="Microsoft JhengHei" w:hAnsi="Microsoft JhengHei" w:cs="Microsoft JhengHei" w:eastAsia="Microsoft JhengHei" w:hint="default"/>
          <w:b/>
          <w:bCs/>
          <w:sz w:val="17"/>
          <w:szCs w:val="17"/>
        </w:rPr>
      </w:pPr>
    </w:p>
    <w:p>
      <w:pPr>
        <w:pStyle w:val="Heading4"/>
        <w:spacing w:line="240" w:lineRule="auto"/>
        <w:ind w:left="575" w:right="111"/>
        <w:jc w:val="left"/>
        <w:rPr>
          <w:b w:val="0"/>
          <w:bCs w:val="0"/>
        </w:rPr>
      </w:pPr>
      <w:r>
        <w:rPr/>
        <w:t>（一）经营风险及对策</w:t>
      </w:r>
      <w:r>
        <w:rPr>
          <w:b w:val="0"/>
          <w:bCs w:val="0"/>
        </w:rPr>
      </w:r>
    </w:p>
    <w:p>
      <w:pPr>
        <w:pStyle w:val="BodyText"/>
        <w:spacing w:line="410" w:lineRule="auto" w:before="167"/>
        <w:ind w:left="575" w:right="111"/>
        <w:jc w:val="left"/>
      </w:pPr>
      <w:r>
        <w:rPr/>
        <w:t>染料行业中原材料市场价格的变化，将影响公司产品成本，从而可能影响到公司的盈利水平。</w:t>
      </w:r>
      <w:r>
        <w:rPr>
          <w:w w:val="100"/>
        </w:rPr>
        <w:t> </w:t>
      </w:r>
      <w:r>
        <w:rPr>
          <w:spacing w:val="-2"/>
        </w:rPr>
        <w:t>为避免原材料市场波动带来的风险，公司将继续坚持技术和产品创新的策略，不断调整产品结构，努</w:t>
      </w:r>
    </w:p>
    <w:p>
      <w:pPr>
        <w:pStyle w:val="BodyText"/>
        <w:spacing w:line="408" w:lineRule="auto" w:before="41"/>
        <w:ind w:right="222"/>
        <w:jc w:val="both"/>
        <w:rPr>
          <w:rFonts w:ascii="Arial" w:hAnsi="Arial" w:cs="Arial" w:eastAsia="Arial" w:hint="default"/>
        </w:rPr>
      </w:pPr>
      <w:r>
        <w:rPr>
          <w:spacing w:val="-2"/>
        </w:rPr>
        <w:t>力提高产品的性能，并加强产品的科技含量，在企业内部加强生产经营管理，向内挖掘潜力，降低生产成</w:t>
      </w:r>
      <w:r>
        <w:rPr>
          <w:spacing w:val="-36"/>
        </w:rPr>
        <w:t> </w:t>
      </w:r>
      <w:r>
        <w:rPr>
          <w:spacing w:val="-36"/>
        </w:rPr>
      </w:r>
      <w:r>
        <w:rPr>
          <w:spacing w:val="-2"/>
        </w:rPr>
        <w:t>本。对各子公司原材料采购实行总公司统一集中采购管控，提高整体议价能力，降低原料价格波动对公司</w:t>
      </w:r>
      <w:r>
        <w:rPr>
          <w:spacing w:val="-35"/>
        </w:rPr>
        <w:t> </w:t>
      </w:r>
      <w:r>
        <w:rPr>
          <w:spacing w:val="-35"/>
        </w:rPr>
      </w:r>
      <w:r>
        <w:rPr/>
        <w:t>经营产生的影响。另外，公司规划建设的“烟台年产 </w:t>
      </w:r>
      <w:r>
        <w:rPr>
          <w:rFonts w:ascii="Arial" w:hAnsi="Arial" w:cs="Arial" w:eastAsia="Arial" w:hint="default"/>
        </w:rPr>
        <w:t>30000 </w:t>
      </w:r>
      <w:r>
        <w:rPr/>
        <w:t>吨精细化工中间体建设项目”于 </w:t>
      </w:r>
      <w:r>
        <w:rPr>
          <w:rFonts w:ascii="Arial" w:hAnsi="Arial" w:cs="Arial" w:eastAsia="Arial" w:hint="default"/>
          <w:spacing w:val="-3"/>
        </w:rPr>
        <w:t>2014 </w:t>
      </w:r>
      <w:r>
        <w:rPr/>
        <w:t>年</w:t>
      </w:r>
      <w:r>
        <w:rPr>
          <w:spacing w:val="-46"/>
        </w:rPr>
        <w:t> </w:t>
      </w:r>
      <w:r>
        <w:rPr>
          <w:rFonts w:ascii="Arial" w:hAnsi="Arial" w:cs="Arial" w:eastAsia="Arial" w:hint="default"/>
          <w:spacing w:val="-9"/>
        </w:rPr>
        <w:t>11</w:t>
      </w:r>
    </w:p>
    <w:p>
      <w:pPr>
        <w:pStyle w:val="BodyText"/>
        <w:spacing w:line="398" w:lineRule="auto" w:before="16"/>
        <w:ind w:right="111"/>
        <w:jc w:val="left"/>
      </w:pPr>
      <w:r>
        <w:rPr>
          <w:spacing w:val="-4"/>
        </w:rPr>
        <w:t>月取得了《山东省环境保护厅关于烟台安诺其精细化工有限公司年产</w:t>
      </w:r>
      <w:r>
        <w:rPr>
          <w:spacing w:val="-42"/>
        </w:rPr>
        <w:t> </w:t>
      </w:r>
      <w:r>
        <w:rPr>
          <w:rFonts w:ascii="Arial" w:hAnsi="Arial" w:cs="Arial" w:eastAsia="Arial" w:hint="default"/>
          <w:spacing w:val="-3"/>
        </w:rPr>
        <w:t>30000</w:t>
      </w:r>
      <w:r>
        <w:rPr>
          <w:rFonts w:ascii="Arial" w:hAnsi="Arial" w:cs="Arial" w:eastAsia="Arial" w:hint="default"/>
          <w:spacing w:val="2"/>
        </w:rPr>
        <w:t> </w:t>
      </w:r>
      <w:r>
        <w:rPr/>
        <w:t>吨精细化工中间体建设项目环</w:t>
      </w:r>
      <w:r>
        <w:rPr>
          <w:spacing w:val="-79"/>
        </w:rPr>
        <w:t> </w:t>
      </w:r>
      <w:r>
        <w:rPr>
          <w:spacing w:val="-79"/>
        </w:rPr>
      </w:r>
      <w:r>
        <w:rPr>
          <w:spacing w:val="-4"/>
        </w:rPr>
        <w:t>境影响报告书的批复》批准该项目的建设，该项目后续建设将降低化工原料供应的市场波动对公司的影响，</w:t>
      </w:r>
      <w:r>
        <w:rPr>
          <w:spacing w:val="-49"/>
        </w:rPr>
        <w:t> </w:t>
      </w:r>
      <w:r>
        <w:rPr>
          <w:spacing w:val="-49"/>
        </w:rPr>
      </w:r>
      <w:r>
        <w:rPr/>
        <w:t>实现公司产品线向上游延伸和完善产业链战略目标。</w:t>
      </w:r>
    </w:p>
    <w:p>
      <w:pPr>
        <w:pStyle w:val="Heading4"/>
        <w:spacing w:line="351" w:lineRule="exact"/>
        <w:ind w:left="575" w:right="111"/>
        <w:jc w:val="left"/>
        <w:rPr>
          <w:b w:val="0"/>
          <w:bCs w:val="0"/>
        </w:rPr>
      </w:pPr>
      <w:r>
        <w:rPr/>
        <w:t>（二）政策风险及对策</w:t>
      </w:r>
      <w:r>
        <w:rPr>
          <w:b w:val="0"/>
          <w:bCs w:val="0"/>
        </w:rPr>
      </w:r>
    </w:p>
    <w:p>
      <w:pPr>
        <w:pStyle w:val="BodyText"/>
        <w:spacing w:line="408" w:lineRule="auto" w:before="171"/>
        <w:ind w:right="217" w:firstLine="422"/>
        <w:jc w:val="both"/>
      </w:pPr>
      <w:r>
        <w:rPr>
          <w:spacing w:val="-2"/>
        </w:rPr>
        <w:t>国家在十二五期间以及以后更长的时间内，都会逐渐加大对污染的治理力度，无论是印染企业、染料</w:t>
      </w:r>
      <w:r>
        <w:rPr>
          <w:w w:val="100"/>
        </w:rPr>
        <w:t> </w:t>
      </w:r>
      <w:r>
        <w:rPr>
          <w:spacing w:val="-2"/>
        </w:rPr>
        <w:t>企业及染料中间体原料企业中一部分因环保治理不达标、运营不规范而导致减产、停产或破产，从而加大</w:t>
      </w:r>
      <w:r>
        <w:rPr>
          <w:spacing w:val="-35"/>
        </w:rPr>
        <w:t> </w:t>
      </w:r>
      <w:r>
        <w:rPr>
          <w:spacing w:val="-35"/>
        </w:rPr>
      </w:r>
      <w:r>
        <w:rPr/>
        <w:t>企业的经营风险。</w:t>
      </w:r>
    </w:p>
    <w:p>
      <w:pPr>
        <w:pStyle w:val="BodyText"/>
        <w:spacing w:line="408" w:lineRule="auto" w:before="43"/>
        <w:ind w:right="217" w:firstLine="422"/>
        <w:jc w:val="both"/>
      </w:pPr>
      <w:r>
        <w:rPr>
          <w:spacing w:val="-2"/>
        </w:rPr>
        <w:t>公司一贯遵守国家环保政策法规，不断加大三废处理的投入资金，并通过不断调整产品结构，不断开</w:t>
      </w:r>
      <w:r>
        <w:rPr>
          <w:w w:val="100"/>
        </w:rPr>
        <w:t> </w:t>
      </w:r>
      <w:r>
        <w:rPr>
          <w:spacing w:val="-2"/>
        </w:rPr>
        <w:t>发节能环保型染料产品减少染料生产和下游印染用户的废水排放，使未来的产品发展方向完全符合国家环</w:t>
      </w:r>
      <w:r>
        <w:rPr>
          <w:spacing w:val="-34"/>
        </w:rPr>
        <w:t> </w:t>
      </w:r>
      <w:r>
        <w:rPr>
          <w:spacing w:val="-34"/>
        </w:rPr>
      </w:r>
      <w:r>
        <w:rPr/>
        <w:t>保升级的趋势。公司将加强与原料中间体生产规范企业的战略合作，以保证公司原料供应的稳定性。</w:t>
      </w:r>
    </w:p>
    <w:p>
      <w:pPr>
        <w:pStyle w:val="Heading4"/>
        <w:spacing w:line="347" w:lineRule="exact"/>
        <w:ind w:left="575" w:right="111"/>
        <w:jc w:val="left"/>
        <w:rPr>
          <w:b w:val="0"/>
          <w:bCs w:val="0"/>
        </w:rPr>
      </w:pPr>
      <w:r>
        <w:rPr/>
        <w:t>（三）产能扩张风险及对策</w:t>
      </w:r>
      <w:r>
        <w:rPr>
          <w:b w:val="0"/>
          <w:bCs w:val="0"/>
        </w:rPr>
      </w:r>
    </w:p>
    <w:p>
      <w:pPr>
        <w:pStyle w:val="BodyText"/>
        <w:spacing w:line="388" w:lineRule="auto" w:before="167"/>
        <w:ind w:left="575" w:right="112"/>
        <w:jc w:val="left"/>
      </w:pPr>
      <w:r>
        <w:rPr/>
        <w:t>根据公司制定的</w:t>
      </w:r>
      <w:r>
        <w:rPr>
          <w:spacing w:val="-46"/>
        </w:rPr>
        <w:t> </w:t>
      </w:r>
      <w:r>
        <w:rPr>
          <w:rFonts w:ascii="Arial" w:hAnsi="Arial" w:cs="Arial" w:eastAsia="Arial" w:hint="default"/>
        </w:rPr>
        <w:t>5</w:t>
      </w:r>
      <w:r>
        <w:rPr>
          <w:rFonts w:ascii="Arial" w:hAnsi="Arial" w:cs="Arial" w:eastAsia="Arial" w:hint="default"/>
          <w:spacing w:val="-1"/>
        </w:rPr>
        <w:t> </w:t>
      </w:r>
      <w:r>
        <w:rPr>
          <w:spacing w:val="-4"/>
        </w:rPr>
        <w:t>年发展规划，公司未来的染料产能目标是具有分散染料</w:t>
      </w:r>
      <w:r>
        <w:rPr>
          <w:spacing w:val="-45"/>
        </w:rPr>
        <w:t> </w:t>
      </w:r>
      <w:r>
        <w:rPr>
          <w:rFonts w:ascii="Arial" w:hAnsi="Arial" w:cs="Arial" w:eastAsia="Arial" w:hint="default"/>
        </w:rPr>
        <w:t>3.6</w:t>
      </w:r>
      <w:r>
        <w:rPr>
          <w:rFonts w:ascii="Arial" w:hAnsi="Arial" w:cs="Arial" w:eastAsia="Arial" w:hint="default"/>
          <w:spacing w:val="-1"/>
        </w:rPr>
        <w:t> </w:t>
      </w:r>
      <w:r>
        <w:rPr>
          <w:spacing w:val="-11"/>
        </w:rPr>
        <w:t>万吨、活性染料</w:t>
      </w:r>
      <w:r>
        <w:rPr>
          <w:spacing w:val="-46"/>
        </w:rPr>
        <w:t> </w:t>
      </w:r>
      <w:r>
        <w:rPr>
          <w:rFonts w:ascii="Arial" w:hAnsi="Arial" w:cs="Arial" w:eastAsia="Arial" w:hint="default"/>
        </w:rPr>
        <w:t>2</w:t>
      </w:r>
      <w:r>
        <w:rPr>
          <w:rFonts w:ascii="Arial" w:hAnsi="Arial" w:cs="Arial" w:eastAsia="Arial" w:hint="default"/>
          <w:spacing w:val="-1"/>
        </w:rPr>
        <w:t> </w:t>
      </w:r>
      <w:r>
        <w:rPr/>
        <w:t>万吨。</w:t>
      </w:r>
      <w:r>
        <w:rPr>
          <w:w w:val="100"/>
        </w:rPr>
        <w:t> </w:t>
      </w:r>
      <w:r>
        <w:rPr/>
        <w:t>市场需求的变化和原料供应的变化都会响产能的释放，为保证产能释放后的市场承接，公司将不断优</w:t>
      </w:r>
    </w:p>
    <w:p>
      <w:pPr>
        <w:pStyle w:val="BodyText"/>
        <w:spacing w:line="410" w:lineRule="auto" w:before="60"/>
        <w:ind w:right="111"/>
        <w:jc w:val="left"/>
      </w:pPr>
      <w:r>
        <w:rPr>
          <w:spacing w:val="-2"/>
        </w:rPr>
        <w:t>化完善现行的销售架构，不断拓展销售网络，使公司直营和经销网络覆盖中国全部区域，通过大力开拓新</w:t>
      </w:r>
      <w:r>
        <w:rPr>
          <w:spacing w:val="-35"/>
        </w:rPr>
        <w:t> </w:t>
      </w:r>
      <w:r>
        <w:rPr>
          <w:spacing w:val="-35"/>
        </w:rPr>
      </w:r>
      <w:r>
        <w:rPr/>
        <w:t>客户，将对新增产能消化起到重要作用。</w:t>
      </w:r>
    </w:p>
    <w:p>
      <w:pPr>
        <w:pStyle w:val="Heading4"/>
        <w:spacing w:line="340" w:lineRule="exact"/>
        <w:ind w:left="575" w:right="111"/>
        <w:jc w:val="left"/>
        <w:rPr>
          <w:b w:val="0"/>
          <w:bCs w:val="0"/>
        </w:rPr>
      </w:pPr>
      <w:r>
        <w:rPr/>
        <w:t>（四）应收账款无法及时收回的风险及对策</w:t>
      </w:r>
      <w:r>
        <w:rPr>
          <w:b w:val="0"/>
          <w:bCs w:val="0"/>
        </w:rPr>
      </w:r>
    </w:p>
    <w:p>
      <w:pPr>
        <w:pStyle w:val="BodyText"/>
        <w:spacing w:line="408" w:lineRule="auto" w:before="171"/>
        <w:ind w:right="221" w:firstLine="422"/>
        <w:jc w:val="both"/>
      </w:pPr>
      <w:r>
        <w:rPr>
          <w:spacing w:val="-2"/>
        </w:rPr>
        <w:t>报告期内公司销售业务有较大幅度的增长，因此公司应收账款也增长较快。若催收不力或下游客户经</w:t>
      </w:r>
      <w:r>
        <w:rPr>
          <w:w w:val="100"/>
        </w:rPr>
        <w:t> </w:t>
      </w:r>
      <w:r>
        <w:rPr>
          <w:spacing w:val="-2"/>
        </w:rPr>
        <w:t>营出现问题，可能存在应收账款不能及时收回而形成坏账的风险。公司通过制定合理的信用政策，同时加</w:t>
      </w:r>
      <w:r>
        <w:rPr>
          <w:spacing w:val="-35"/>
        </w:rPr>
        <w:t> </w:t>
      </w:r>
      <w:r>
        <w:rPr>
          <w:spacing w:val="-35"/>
        </w:rPr>
      </w:r>
      <w:r>
        <w:rPr>
          <w:spacing w:val="-2"/>
        </w:rPr>
        <w:t>强应收账款的内部控制、建立和完善应收账款制度，销售部门、财务部门、法务部门联动，加大应收账款</w:t>
      </w:r>
      <w:r>
        <w:rPr>
          <w:spacing w:val="-40"/>
        </w:rPr>
        <w:t> </w:t>
      </w:r>
      <w:r>
        <w:rPr>
          <w:spacing w:val="-40"/>
        </w:rPr>
      </w:r>
      <w:r>
        <w:rPr>
          <w:spacing w:val="-2"/>
        </w:rPr>
        <w:t>的催收力度，加强应收账款的管控力度以应对上述风险。对受政策及经营风险影响较大的中小客户采用严</w:t>
      </w:r>
      <w:r>
        <w:rPr>
          <w:spacing w:val="-35"/>
        </w:rPr>
        <w:t> </w:t>
      </w:r>
      <w:r>
        <w:rPr>
          <w:spacing w:val="-35"/>
        </w:rPr>
      </w:r>
      <w:r>
        <w:rPr/>
        <w:t>格的信用管理制度。</w:t>
      </w:r>
    </w:p>
    <w:p>
      <w:pPr>
        <w:spacing w:after="0" w:line="408" w:lineRule="auto"/>
        <w:jc w:val="both"/>
        <w:sectPr>
          <w:pgSz w:w="11900" w:h="16840"/>
          <w:pgMar w:header="742" w:footer="984" w:top="1060" w:bottom="118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1"/>
        <w:spacing w:line="458" w:lineRule="exact"/>
        <w:ind w:left="3585" w:right="3664"/>
        <w:jc w:val="center"/>
        <w:rPr>
          <w:b w:val="0"/>
          <w:bCs w:val="0"/>
        </w:rPr>
      </w:pPr>
      <w:bookmarkStart w:name="_TOC_250006" w:id="4"/>
      <w:r>
        <w:rPr/>
        <w:t>第四节 </w:t>
      </w:r>
      <w:r>
        <w:rPr>
          <w:spacing w:val="10"/>
        </w:rPr>
        <w:t> </w:t>
      </w:r>
      <w:r>
        <w:rPr/>
        <w:t>董事会报告</w:t>
      </w:r>
      <w:bookmarkEnd w:id="4"/>
      <w:r>
        <w:rPr>
          <w:b w:val="0"/>
          <w:bCs w:val="0"/>
        </w:rPr>
      </w:r>
    </w:p>
    <w:p>
      <w:pPr>
        <w:spacing w:line="240" w:lineRule="auto" w:before="15"/>
        <w:rPr>
          <w:rFonts w:ascii="Microsoft JhengHei" w:hAnsi="Microsoft JhengHei" w:cs="Microsoft JhengHei" w:eastAsia="Microsoft JhengHei" w:hint="default"/>
          <w:b/>
          <w:bCs/>
          <w:sz w:val="24"/>
          <w:szCs w:val="24"/>
        </w:rPr>
      </w:pPr>
    </w:p>
    <w:p>
      <w:pPr>
        <w:pStyle w:val="Heading3"/>
        <w:spacing w:line="367" w:lineRule="exact"/>
        <w:ind w:right="111"/>
        <w:jc w:val="left"/>
        <w:rPr>
          <w:b w:val="0"/>
          <w:bCs w:val="0"/>
        </w:rPr>
      </w:pPr>
      <w:r>
        <w:rPr/>
        <w:t>一、管理层讨论与分析</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4"/>
        <w:spacing w:line="240" w:lineRule="auto"/>
        <w:ind w:right="111"/>
        <w:jc w:val="left"/>
        <w:rPr>
          <w:b w:val="0"/>
          <w:bCs w:val="0"/>
        </w:rPr>
      </w:pPr>
      <w:r>
        <w:rPr>
          <w:rFonts w:ascii="Times New Roman" w:hAnsi="Times New Roman" w:cs="Times New Roman" w:eastAsia="Times New Roman" w:hint="default"/>
        </w:rPr>
        <w:t>1</w:t>
      </w:r>
      <w:r>
        <w:rPr/>
        <w:t>、报告期内主要业务回顾</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400" w:lineRule="auto"/>
        <w:ind w:right="202" w:firstLine="422"/>
        <w:jc w:val="both"/>
      </w:pPr>
      <w:r>
        <w:rPr>
          <w:rFonts w:ascii="Arial" w:hAnsi="Arial" w:cs="Arial" w:eastAsia="Arial" w:hint="default"/>
          <w:spacing w:val="-3"/>
        </w:rPr>
        <w:t>2014</w:t>
      </w:r>
      <w:r>
        <w:rPr>
          <w:rFonts w:ascii="Arial" w:hAnsi="Arial" w:cs="Arial" w:eastAsia="Arial" w:hint="default"/>
          <w:spacing w:val="26"/>
        </w:rPr>
        <w:t> </w:t>
      </w:r>
      <w:r>
        <w:rPr/>
        <w:t>年，随着国家环保力度的不断加大，染料行业进入了新一轮的整合期，通过调整产业结构，加</w:t>
      </w:r>
      <w:r>
        <w:rPr>
          <w:w w:val="100"/>
        </w:rPr>
        <w:t> </w:t>
      </w:r>
      <w:r>
        <w:rPr>
          <w:spacing w:val="-2"/>
        </w:rPr>
        <w:t>大环保基础投入，实施中长期发展规划，染料行业的发展也愈加趋于理性，走上良性发展的轨道。同时，</w:t>
      </w:r>
      <w:r>
        <w:rPr>
          <w:spacing w:val="-16"/>
        </w:rPr>
        <w:t> </w:t>
      </w:r>
      <w:r>
        <w:rPr>
          <w:spacing w:val="-16"/>
        </w:rPr>
      </w:r>
      <w:r>
        <w:rPr>
          <w:spacing w:val="-2"/>
        </w:rPr>
        <w:t>相关行业的逐步升级，染料品种升级换代加快，对高端染料、环保型、功能性染料的需求也在不断增长。</w:t>
      </w:r>
      <w:r>
        <w:rPr>
          <w:spacing w:val="-17"/>
        </w:rPr>
        <w:t> </w:t>
      </w:r>
      <w:r>
        <w:rPr>
          <w:spacing w:val="-17"/>
        </w:rPr>
      </w:r>
      <w:r>
        <w:rPr/>
        <w:t>借此契机，公司保持了良好的发展势头，不断增强公司综合竞争实力，巩固在行业中的地位。</w:t>
      </w:r>
    </w:p>
    <w:p>
      <w:pPr>
        <w:pStyle w:val="BodyText"/>
        <w:spacing w:line="400" w:lineRule="auto" w:before="55"/>
        <w:ind w:right="111" w:firstLine="422"/>
        <w:jc w:val="left"/>
      </w:pPr>
      <w:r>
        <w:rPr>
          <w:rFonts w:ascii="Arial" w:hAnsi="Arial" w:cs="Arial" w:eastAsia="Arial" w:hint="default"/>
          <w:spacing w:val="-3"/>
        </w:rPr>
        <w:t>2014</w:t>
      </w:r>
      <w:r>
        <w:rPr>
          <w:rFonts w:ascii="Arial" w:hAnsi="Arial" w:cs="Arial" w:eastAsia="Arial" w:hint="default"/>
          <w:spacing w:val="11"/>
        </w:rPr>
        <w:t> </w:t>
      </w:r>
      <w:r>
        <w:rPr/>
        <w:t>年，公司以五年发展战略规划的指导思想为基础，管理层围绕“实现集团化管理及资源整合、</w:t>
      </w:r>
      <w:r>
        <w:rPr>
          <w:w w:val="100"/>
        </w:rPr>
        <w:t> </w:t>
      </w:r>
      <w:r>
        <w:rPr/>
        <w:t>提升产品市场占有率、加快项目建设、大幅提升经营业绩”指导方针开展各项工作， 在集团整合、项目</w:t>
      </w:r>
      <w:r>
        <w:rPr>
          <w:spacing w:val="-34"/>
        </w:rPr>
        <w:t> </w:t>
      </w:r>
      <w:r>
        <w:rPr>
          <w:spacing w:val="-34"/>
        </w:rPr>
      </w:r>
      <w:r>
        <w:rPr>
          <w:spacing w:val="-3"/>
        </w:rPr>
        <w:t>建设方面均按照既定目标实施，</w:t>
      </w:r>
      <w:r>
        <w:rPr>
          <w:rFonts w:ascii="Arial" w:hAnsi="Arial" w:cs="Arial" w:eastAsia="Arial" w:hint="default"/>
          <w:spacing w:val="-3"/>
        </w:rPr>
        <w:t>2014</w:t>
      </w:r>
      <w:r>
        <w:rPr>
          <w:rFonts w:ascii="Arial" w:hAnsi="Arial" w:cs="Arial" w:eastAsia="Arial" w:hint="default"/>
          <w:spacing w:val="2"/>
        </w:rPr>
        <w:t> </w:t>
      </w:r>
      <w:r>
        <w:rPr/>
        <w:t>年</w:t>
      </w:r>
      <w:r>
        <w:rPr>
          <w:spacing w:val="-41"/>
        </w:rPr>
        <w:t> </w:t>
      </w:r>
      <w:r>
        <w:rPr>
          <w:rFonts w:ascii="Arial" w:hAnsi="Arial" w:cs="Arial" w:eastAsia="Arial" w:hint="default"/>
        </w:rPr>
        <w:t>10</w:t>
      </w:r>
      <w:r>
        <w:rPr>
          <w:rFonts w:ascii="Arial" w:hAnsi="Arial" w:cs="Arial" w:eastAsia="Arial" w:hint="default"/>
          <w:spacing w:val="3"/>
        </w:rPr>
        <w:t> </w:t>
      </w:r>
      <w:r>
        <w:rPr/>
        <w:t>月</w:t>
      </w:r>
      <w:r>
        <w:rPr>
          <w:spacing w:val="-41"/>
        </w:rPr>
        <w:t> </w:t>
      </w:r>
      <w:r>
        <w:rPr>
          <w:rFonts w:ascii="Arial" w:hAnsi="Arial" w:cs="Arial" w:eastAsia="Arial" w:hint="default"/>
        </w:rPr>
        <w:t>18</w:t>
      </w:r>
      <w:r>
        <w:rPr>
          <w:rFonts w:ascii="Arial" w:hAnsi="Arial" w:cs="Arial" w:eastAsia="Arial" w:hint="default"/>
          <w:spacing w:val="3"/>
        </w:rPr>
        <w:t> </w:t>
      </w:r>
      <w:r>
        <w:rPr>
          <w:spacing w:val="-3"/>
        </w:rPr>
        <w:t>日，在公司成立十五周年之际，公司正式组建集团公司，</w:t>
      </w:r>
      <w:r>
        <w:rPr>
          <w:spacing w:val="-101"/>
        </w:rPr>
        <w:t> </w:t>
      </w:r>
      <w:r>
        <w:rPr>
          <w:spacing w:val="-101"/>
        </w:rPr>
      </w:r>
      <w:r>
        <w:rPr/>
        <w:t>建立和完善集团统一的管理体系，引入信息化管理系统，充分发挥集团公司的优势，完善各项内控制度和</w:t>
      </w:r>
      <w:r>
        <w:rPr>
          <w:w w:val="100"/>
        </w:rPr>
        <w:t> </w:t>
      </w:r>
      <w:r>
        <w:rPr>
          <w:spacing w:val="-5"/>
        </w:rPr>
        <w:t>内控流程，加强监督，贯彻落实各项管理制度的执行，以期实现管理的规范化、精细化、流程化、透明化。</w:t>
      </w:r>
      <w:r>
        <w:rPr>
          <w:spacing w:val="-6"/>
        </w:rPr>
        <w:t> </w:t>
      </w:r>
      <w:r>
        <w:rPr>
          <w:spacing w:val="-6"/>
        </w:rPr>
      </w:r>
      <w:r>
        <w:rPr>
          <w:spacing w:val="-3"/>
        </w:rPr>
        <w:t>在项目建设上，东营</w:t>
      </w:r>
      <w:r>
        <w:rPr>
          <w:spacing w:val="-39"/>
        </w:rPr>
        <w:t> </w:t>
      </w:r>
      <w:r>
        <w:rPr>
          <w:rFonts w:ascii="Arial" w:hAnsi="Arial" w:cs="Arial" w:eastAsia="Arial" w:hint="default"/>
          <w:spacing w:val="-3"/>
        </w:rPr>
        <w:t>25000</w:t>
      </w:r>
      <w:r>
        <w:rPr>
          <w:rFonts w:ascii="Arial" w:hAnsi="Arial" w:cs="Arial" w:eastAsia="Arial" w:hint="default"/>
          <w:spacing w:val="4"/>
        </w:rPr>
        <w:t> </w:t>
      </w:r>
      <w:r>
        <w:rPr>
          <w:spacing w:val="-3"/>
        </w:rPr>
        <w:t>吨分散染料建设项目、烟台</w:t>
      </w:r>
      <w:r>
        <w:rPr>
          <w:spacing w:val="-39"/>
        </w:rPr>
        <w:t> </w:t>
      </w:r>
      <w:r>
        <w:rPr>
          <w:rFonts w:ascii="Arial" w:hAnsi="Arial" w:cs="Arial" w:eastAsia="Arial" w:hint="default"/>
          <w:spacing w:val="-3"/>
        </w:rPr>
        <w:t>30000</w:t>
      </w:r>
      <w:r>
        <w:rPr>
          <w:rFonts w:ascii="Arial" w:hAnsi="Arial" w:cs="Arial" w:eastAsia="Arial" w:hint="default"/>
          <w:spacing w:val="4"/>
        </w:rPr>
        <w:t> </w:t>
      </w:r>
      <w:r>
        <w:rPr/>
        <w:t>吨中间体建设项目都取得了实质性的进展。</w:t>
      </w:r>
    </w:p>
    <w:p>
      <w:pPr>
        <w:pStyle w:val="BodyText"/>
        <w:spacing w:line="240" w:lineRule="auto" w:before="23"/>
        <w:ind w:left="575" w:right="111"/>
        <w:jc w:val="left"/>
      </w:pPr>
      <w:r>
        <w:rPr>
          <w:rFonts w:ascii="Arial" w:hAnsi="Arial" w:cs="Arial" w:eastAsia="Arial" w:hint="default"/>
          <w:spacing w:val="-3"/>
        </w:rPr>
        <w:t>2014   </w:t>
      </w:r>
      <w:r>
        <w:rPr>
          <w:spacing w:val="9"/>
        </w:rPr>
        <w:t>年，公司整体经营业绩较上年同期相比有较大幅度的增长。</w:t>
      </w:r>
      <w:r>
        <w:rPr>
          <w:rFonts w:ascii="Arial" w:hAnsi="Arial" w:cs="Arial" w:eastAsia="Arial" w:hint="default"/>
          <w:spacing w:val="9"/>
        </w:rPr>
        <w:t>2014 </w:t>
      </w:r>
      <w:r>
        <w:rPr>
          <w:rFonts w:ascii="Arial" w:hAnsi="Arial" w:cs="Arial" w:eastAsia="Arial" w:hint="default"/>
          <w:spacing w:val="53"/>
        </w:rPr>
        <w:t> </w:t>
      </w:r>
      <w:r>
        <w:rPr>
          <w:spacing w:val="10"/>
        </w:rPr>
        <w:t>年公司实现营业总收入</w:t>
      </w:r>
    </w:p>
    <w:p>
      <w:pPr>
        <w:pStyle w:val="BodyText"/>
        <w:spacing w:line="240" w:lineRule="auto" w:before="176"/>
        <w:ind w:right="111"/>
        <w:jc w:val="left"/>
      </w:pPr>
      <w:r>
        <w:rPr>
          <w:rFonts w:ascii="Arial" w:hAnsi="Arial" w:cs="Arial" w:eastAsia="Arial" w:hint="default"/>
        </w:rPr>
        <w:t>74,636.23 </w:t>
      </w:r>
      <w:r>
        <w:rPr/>
        <w:t>万元，比上年同期增长 </w:t>
      </w:r>
      <w:r>
        <w:rPr>
          <w:rFonts w:ascii="Arial" w:hAnsi="Arial" w:cs="Arial" w:eastAsia="Arial" w:hint="default"/>
        </w:rPr>
        <w:t>47.29%</w:t>
      </w:r>
      <w:r>
        <w:rPr/>
        <w:t>；营业利润为 </w:t>
      </w:r>
      <w:r>
        <w:rPr>
          <w:rFonts w:ascii="Arial" w:hAnsi="Arial" w:cs="Arial" w:eastAsia="Arial" w:hint="default"/>
        </w:rPr>
        <w:t>12,642.79 </w:t>
      </w:r>
      <w:r>
        <w:rPr/>
        <w:t>万元，比上年同期增长</w:t>
      </w:r>
      <w:r>
        <w:rPr>
          <w:spacing w:val="-74"/>
        </w:rPr>
        <w:t> </w:t>
      </w:r>
      <w:r>
        <w:rPr>
          <w:rFonts w:ascii="Arial" w:hAnsi="Arial" w:cs="Arial" w:eastAsia="Arial" w:hint="default"/>
          <w:spacing w:val="-4"/>
        </w:rPr>
        <w:t>112.63%</w:t>
      </w:r>
      <w:r>
        <w:rPr>
          <w:spacing w:val="-4"/>
        </w:rPr>
        <w:t>；利</w:t>
      </w:r>
    </w:p>
    <w:p>
      <w:pPr>
        <w:pStyle w:val="BodyText"/>
        <w:spacing w:line="388" w:lineRule="auto" w:before="180"/>
        <w:ind w:right="111"/>
        <w:jc w:val="left"/>
      </w:pPr>
      <w:r>
        <w:rPr/>
        <w:t>润总额为</w:t>
      </w:r>
      <w:r>
        <w:rPr>
          <w:spacing w:val="-45"/>
        </w:rPr>
        <w:t> </w:t>
      </w:r>
      <w:r>
        <w:rPr>
          <w:rFonts w:ascii="Arial" w:hAnsi="Arial" w:cs="Arial" w:eastAsia="Arial" w:hint="default"/>
          <w:spacing w:val="-3"/>
        </w:rPr>
        <w:t>13,085.32</w:t>
      </w:r>
      <w:r>
        <w:rPr>
          <w:rFonts w:ascii="Arial" w:hAnsi="Arial" w:cs="Arial" w:eastAsia="Arial" w:hint="default"/>
          <w:spacing w:val="-1"/>
        </w:rPr>
        <w:t> </w:t>
      </w:r>
      <w:r>
        <w:rPr/>
        <w:t>万元，比去年同期增长</w:t>
      </w:r>
      <w:r>
        <w:rPr>
          <w:spacing w:val="-44"/>
        </w:rPr>
        <w:t> </w:t>
      </w:r>
      <w:r>
        <w:rPr>
          <w:rFonts w:ascii="Arial" w:hAnsi="Arial" w:cs="Arial" w:eastAsia="Arial" w:hint="default"/>
          <w:spacing w:val="-3"/>
        </w:rPr>
        <w:t>113.23%</w:t>
      </w:r>
      <w:r>
        <w:rPr>
          <w:spacing w:val="-3"/>
        </w:rPr>
        <w:t>；归属于上市公司股东净利润为</w:t>
      </w:r>
      <w:r>
        <w:rPr>
          <w:spacing w:val="-45"/>
        </w:rPr>
        <w:t> </w:t>
      </w:r>
      <w:r>
        <w:rPr>
          <w:rFonts w:ascii="Arial" w:hAnsi="Arial" w:cs="Arial" w:eastAsia="Arial" w:hint="default"/>
          <w:spacing w:val="-3"/>
        </w:rPr>
        <w:t>10,087.14</w:t>
      </w:r>
      <w:r>
        <w:rPr>
          <w:rFonts w:ascii="Arial" w:hAnsi="Arial" w:cs="Arial" w:eastAsia="Arial" w:hint="default"/>
          <w:spacing w:val="-1"/>
        </w:rPr>
        <w:t> </w:t>
      </w:r>
      <w:r>
        <w:rPr>
          <w:spacing w:val="-3"/>
        </w:rPr>
        <w:t>万元，比</w:t>
      </w:r>
      <w:r>
        <w:rPr>
          <w:spacing w:val="-85"/>
        </w:rPr>
        <w:t> </w:t>
      </w:r>
      <w:r>
        <w:rPr>
          <w:spacing w:val="-85"/>
        </w:rPr>
      </w:r>
      <w:r>
        <w:rPr/>
        <w:t>去年同期增长</w:t>
      </w:r>
      <w:r>
        <w:rPr>
          <w:spacing w:val="-48"/>
        </w:rPr>
        <w:t> </w:t>
      </w:r>
      <w:r>
        <w:rPr>
          <w:rFonts w:ascii="Arial" w:hAnsi="Arial" w:cs="Arial" w:eastAsia="Arial" w:hint="default"/>
          <w:spacing w:val="-4"/>
        </w:rPr>
        <w:t>111.35%</w:t>
      </w:r>
      <w:r>
        <w:rPr>
          <w:spacing w:val="-4"/>
        </w:rPr>
        <w:t>；基本每股收益为</w:t>
      </w:r>
      <w:r>
        <w:rPr>
          <w:spacing w:val="-48"/>
        </w:rPr>
        <w:t> </w:t>
      </w:r>
      <w:r>
        <w:rPr>
          <w:rFonts w:ascii="Arial" w:hAnsi="Arial" w:cs="Arial" w:eastAsia="Arial" w:hint="default"/>
        </w:rPr>
        <w:t>0.31</w:t>
      </w:r>
      <w:r>
        <w:rPr>
          <w:rFonts w:ascii="Arial" w:hAnsi="Arial" w:cs="Arial" w:eastAsia="Arial" w:hint="default"/>
          <w:spacing w:val="-3"/>
        </w:rPr>
        <w:t> </w:t>
      </w:r>
      <w:r>
        <w:rPr/>
        <w:t>元，比去年同期增长</w:t>
      </w:r>
      <w:r>
        <w:rPr>
          <w:spacing w:val="-48"/>
        </w:rPr>
        <w:t> </w:t>
      </w:r>
      <w:r>
        <w:rPr>
          <w:rFonts w:ascii="Arial" w:hAnsi="Arial" w:cs="Arial" w:eastAsia="Arial" w:hint="default"/>
        </w:rPr>
        <w:t>106.67%</w:t>
      </w:r>
      <w:r>
        <w:rPr/>
        <w:t>；净资产收益率为</w:t>
      </w:r>
      <w:r>
        <w:rPr>
          <w:spacing w:val="-47"/>
        </w:rPr>
        <w:t> </w:t>
      </w:r>
      <w:r>
        <w:rPr>
          <w:rFonts w:ascii="Arial" w:hAnsi="Arial" w:cs="Arial" w:eastAsia="Arial" w:hint="default"/>
          <w:spacing w:val="-3"/>
        </w:rPr>
        <w:t>12.13%</w:t>
      </w:r>
      <w:r>
        <w:rPr>
          <w:spacing w:val="-3"/>
        </w:rPr>
        <w:t>，</w:t>
      </w:r>
      <w:r>
        <w:rPr>
          <w:spacing w:val="-103"/>
        </w:rPr>
        <w:t> </w:t>
      </w:r>
      <w:r>
        <w:rPr/>
        <w:t>比去年同期增长</w:t>
      </w:r>
      <w:r>
        <w:rPr>
          <w:spacing w:val="-46"/>
        </w:rPr>
        <w:t> </w:t>
      </w:r>
      <w:r>
        <w:rPr>
          <w:rFonts w:ascii="Arial" w:hAnsi="Arial" w:cs="Arial" w:eastAsia="Arial" w:hint="default"/>
          <w:spacing w:val="-2"/>
        </w:rPr>
        <w:t>5.76%</w:t>
      </w:r>
      <w:r>
        <w:rPr>
          <w:spacing w:val="-2"/>
        </w:rPr>
        <w:t>。</w:t>
      </w:r>
    </w:p>
    <w:p>
      <w:pPr>
        <w:pStyle w:val="BodyText"/>
        <w:spacing w:line="240" w:lineRule="auto" w:before="30"/>
        <w:ind w:left="575" w:right="111"/>
        <w:jc w:val="left"/>
      </w:pPr>
      <w:r>
        <w:rPr/>
        <w:t>公司按照董事会制定的年度经营计划，积极推进各项业务：</w:t>
      </w:r>
    </w:p>
    <w:p>
      <w:pPr>
        <w:pStyle w:val="Heading4"/>
        <w:spacing w:line="240" w:lineRule="auto" w:before="128"/>
        <w:ind w:left="575" w:right="111"/>
        <w:jc w:val="left"/>
        <w:rPr>
          <w:b w:val="0"/>
          <w:bCs w:val="0"/>
        </w:rPr>
      </w:pPr>
      <w:r>
        <w:rPr/>
        <w:t>（</w:t>
      </w:r>
      <w:r>
        <w:rPr>
          <w:rFonts w:ascii="Arial" w:hAnsi="Arial" w:cs="Arial" w:eastAsia="Arial" w:hint="default"/>
        </w:rPr>
        <w:t>1</w:t>
      </w:r>
      <w:r>
        <w:rPr/>
        <w:t>）市场销售超额完成全年目标，再创新高</w:t>
      </w:r>
      <w:r>
        <w:rPr>
          <w:b w:val="0"/>
          <w:bCs w:val="0"/>
        </w:rPr>
      </w:r>
    </w:p>
    <w:p>
      <w:pPr>
        <w:pStyle w:val="BodyText"/>
        <w:spacing w:line="388" w:lineRule="auto" w:before="167"/>
        <w:ind w:right="217" w:firstLine="422"/>
        <w:jc w:val="both"/>
      </w:pPr>
      <w:r>
        <w:rPr>
          <w:rFonts w:ascii="Arial" w:hAnsi="Arial" w:cs="Arial" w:eastAsia="Arial" w:hint="default"/>
          <w:spacing w:val="-3"/>
        </w:rPr>
        <w:t>2014 </w:t>
      </w:r>
      <w:r>
        <w:rPr/>
        <w:t>年，全年实现销售收入 </w:t>
      </w:r>
      <w:r>
        <w:rPr>
          <w:rFonts w:ascii="Arial" w:hAnsi="Arial" w:cs="Arial" w:eastAsia="Arial" w:hint="default"/>
        </w:rPr>
        <w:t>7.42 </w:t>
      </w:r>
      <w:r>
        <w:rPr/>
        <w:t>亿元，与去年同比增长 </w:t>
      </w:r>
      <w:r>
        <w:rPr>
          <w:rFonts w:ascii="Arial" w:hAnsi="Arial" w:cs="Arial" w:eastAsia="Arial" w:hint="default"/>
          <w:spacing w:val="-3"/>
        </w:rPr>
        <w:t>49.3% </w:t>
      </w:r>
      <w:r>
        <w:rPr/>
        <w:t>，利润总额为 </w:t>
      </w:r>
      <w:r>
        <w:rPr>
          <w:rFonts w:ascii="Arial" w:hAnsi="Arial" w:cs="Arial" w:eastAsia="Arial" w:hint="default"/>
        </w:rPr>
        <w:t>1.3</w:t>
      </w:r>
      <w:r>
        <w:rPr>
          <w:rFonts w:ascii="Arial" w:hAnsi="Arial" w:cs="Arial" w:eastAsia="Arial" w:hint="default"/>
          <w:spacing w:val="2"/>
        </w:rPr>
        <w:t> </w:t>
      </w:r>
      <w:r>
        <w:rPr/>
        <w:t>亿元，比去年同</w:t>
      </w:r>
      <w:r>
        <w:rPr>
          <w:w w:val="100"/>
        </w:rPr>
        <w:t> </w:t>
      </w:r>
      <w:r>
        <w:rPr/>
        <w:t>期增长 </w:t>
      </w:r>
      <w:r>
        <w:rPr>
          <w:rFonts w:ascii="Arial" w:hAnsi="Arial" w:cs="Arial" w:eastAsia="Arial" w:hint="default"/>
          <w:spacing w:val="-3"/>
        </w:rPr>
        <w:t>113.23%</w:t>
      </w:r>
      <w:r>
        <w:rPr>
          <w:spacing w:val="-3"/>
        </w:rPr>
        <w:t>，超额完成全年既定目标。全年新开发产品和开发新客户实现的销售收入占公司全年销售</w:t>
      </w:r>
      <w:r>
        <w:rPr>
          <w:spacing w:val="-88"/>
        </w:rPr>
        <w:t> </w:t>
      </w:r>
      <w:r>
        <w:rPr>
          <w:spacing w:val="-88"/>
        </w:rPr>
      </w:r>
      <w:r>
        <w:rPr/>
        <w:t>额的近</w:t>
      </w:r>
      <w:r>
        <w:rPr>
          <w:spacing w:val="-54"/>
        </w:rPr>
        <w:t> </w:t>
      </w:r>
      <w:r>
        <w:rPr>
          <w:rFonts w:ascii="Arial" w:hAnsi="Arial" w:cs="Arial" w:eastAsia="Arial" w:hint="default"/>
        </w:rPr>
        <w:t>15%</w:t>
      </w:r>
      <w:r>
        <w:rPr/>
        <w:t>。</w:t>
      </w:r>
    </w:p>
    <w:p>
      <w:pPr>
        <w:pStyle w:val="BodyText"/>
        <w:spacing w:line="408" w:lineRule="auto" w:before="35"/>
        <w:ind w:right="111" w:firstLine="422"/>
        <w:jc w:val="left"/>
      </w:pPr>
      <w:r>
        <w:rPr>
          <w:spacing w:val="-9"/>
          <w:w w:val="100"/>
        </w:rPr>
        <w:t>在公司和产品推广方面，公司参加了“第十四届中国国际染料展”、“纺织化学品展”，并分别在青岛、</w:t>
      </w:r>
      <w:r>
        <w:rPr>
          <w:w w:val="100"/>
        </w:rPr>
        <w:t> </w:t>
      </w:r>
      <w:r>
        <w:rPr/>
        <w:t>南通成功召开两场大型技术交流会，会上主要就活性印花产品、锦棉一浴用染料及染色工艺、高水洗牢度</w:t>
      </w:r>
      <w:r>
        <w:rPr>
          <w:w w:val="100"/>
        </w:rPr>
        <w:t> </w:t>
      </w:r>
      <w:r>
        <w:rPr/>
        <w:t>分散染料主题与各地同行进行了深入的交流与探讨， 同时为了更好地促进与客户的交流、让客户更深入</w:t>
      </w:r>
      <w:r>
        <w:rPr>
          <w:spacing w:val="-31"/>
        </w:rPr>
        <w:t> </w:t>
      </w:r>
      <w:r>
        <w:rPr>
          <w:spacing w:val="-31"/>
        </w:rPr>
      </w:r>
      <w:r>
        <w:rPr/>
        <w:t>地了解安诺其，公司在上海召开经销商会议及组织部分客户到山东工厂参观考察，均取得了良好反响，有</w:t>
      </w:r>
    </w:p>
    <w:p>
      <w:pPr>
        <w:spacing w:after="0" w:line="408" w:lineRule="auto"/>
        <w:jc w:val="left"/>
        <w:sectPr>
          <w:pgSz w:w="11900" w:h="16840"/>
          <w:pgMar w:header="742" w:footer="984" w:top="1060" w:bottom="1180" w:left="980" w:right="9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right="0"/>
        <w:jc w:val="left"/>
      </w:pPr>
      <w:r>
        <w:rPr/>
        <w:t>效地提升了公司品牌形象，促进公司产品的对外销售。</w:t>
      </w:r>
    </w:p>
    <w:p>
      <w:pPr>
        <w:pStyle w:val="Heading4"/>
        <w:spacing w:line="240" w:lineRule="auto" w:before="124"/>
        <w:ind w:left="575" w:right="0"/>
        <w:jc w:val="left"/>
        <w:rPr>
          <w:b w:val="0"/>
          <w:bCs w:val="0"/>
        </w:rPr>
      </w:pPr>
      <w:r>
        <w:rPr/>
        <w:t>（</w:t>
      </w:r>
      <w:r>
        <w:rPr>
          <w:rFonts w:ascii="Arial" w:hAnsi="Arial" w:cs="Arial" w:eastAsia="Arial" w:hint="default"/>
        </w:rPr>
        <w:t>2</w:t>
      </w:r>
      <w:r>
        <w:rPr/>
        <w:t>）产品研发实力进一步增强</w:t>
      </w:r>
      <w:r>
        <w:rPr>
          <w:b w:val="0"/>
          <w:bCs w:val="0"/>
        </w:rPr>
      </w:r>
    </w:p>
    <w:p>
      <w:pPr>
        <w:pStyle w:val="BodyText"/>
        <w:spacing w:line="386" w:lineRule="auto" w:before="171"/>
        <w:ind w:right="142" w:firstLine="422"/>
        <w:jc w:val="both"/>
      </w:pPr>
      <w:r>
        <w:rPr>
          <w:rFonts w:ascii="Arial" w:hAnsi="Arial" w:cs="Arial" w:eastAsia="Arial" w:hint="default"/>
          <w:spacing w:val="-3"/>
        </w:rPr>
        <w:t>2014</w:t>
      </w:r>
      <w:r>
        <w:rPr>
          <w:rFonts w:ascii="Arial" w:hAnsi="Arial" w:cs="Arial" w:eastAsia="Arial" w:hint="default"/>
          <w:spacing w:val="33"/>
        </w:rPr>
        <w:t> </w:t>
      </w:r>
      <w:r>
        <w:rPr/>
        <w:t>年度，公司进一步加强了染料、中间体、助剂一体化战略的实施，研发管理工作进一步规范，</w:t>
      </w:r>
      <w:r>
        <w:rPr>
          <w:w w:val="100"/>
        </w:rPr>
        <w:t> </w:t>
      </w:r>
      <w:r>
        <w:rPr/>
        <w:t>染料、中间体、助剂联合研发实力进一步增强。</w:t>
      </w:r>
    </w:p>
    <w:p>
      <w:pPr>
        <w:pStyle w:val="BodyText"/>
        <w:spacing w:line="396" w:lineRule="auto" w:before="67"/>
        <w:ind w:right="141" w:firstLine="422"/>
        <w:jc w:val="both"/>
      </w:pPr>
      <w:r>
        <w:rPr/>
        <w:t>公司着眼于研发战略、客户市场需求，在积极开展市场调研的基础上，进行新产品研发，</w:t>
      </w:r>
      <w:r>
        <w:rPr>
          <w:rFonts w:ascii="Arial" w:hAnsi="Arial" w:cs="Arial" w:eastAsia="Arial" w:hint="default"/>
        </w:rPr>
        <w:t>2014</w:t>
      </w:r>
      <w:r>
        <w:rPr>
          <w:rFonts w:ascii="Arial" w:hAnsi="Arial" w:cs="Arial" w:eastAsia="Arial" w:hint="default"/>
          <w:spacing w:val="13"/>
        </w:rPr>
        <w:t> </w:t>
      </w:r>
      <w:r>
        <w:rPr/>
        <w:t>年全</w:t>
      </w:r>
      <w:r>
        <w:rPr>
          <w:w w:val="100"/>
        </w:rPr>
        <w:t> </w:t>
      </w:r>
      <w:r>
        <w:rPr/>
        <w:t>年完成研发项目近 </w:t>
      </w:r>
      <w:r>
        <w:rPr>
          <w:rFonts w:ascii="Arial" w:hAnsi="Arial" w:cs="Arial" w:eastAsia="Arial" w:hint="default"/>
        </w:rPr>
        <w:t>40</w:t>
      </w:r>
      <w:r>
        <w:rPr>
          <w:rFonts w:ascii="Arial" w:hAnsi="Arial" w:cs="Arial" w:eastAsia="Arial" w:hint="default"/>
          <w:spacing w:val="-1"/>
        </w:rPr>
        <w:t> </w:t>
      </w:r>
      <w:r>
        <w:rPr/>
        <w:t>项，在染料方面，针对市场需求推出了高牢度的紫色和深蓝色品种，更好地补充了</w:t>
      </w:r>
      <w:r>
        <w:rPr>
          <w:w w:val="100"/>
        </w:rPr>
        <w:t> </w:t>
      </w:r>
      <w:r>
        <w:rPr>
          <w:spacing w:val="-2"/>
        </w:rPr>
        <w:t>产品系列，补充了活性染色品种的生产工艺技术；结合市场使用反馈对锦棉一浴品种进行了改进以更好地</w:t>
      </w:r>
      <w:r>
        <w:rPr>
          <w:spacing w:val="-35"/>
        </w:rPr>
        <w:t> </w:t>
      </w:r>
      <w:r>
        <w:rPr>
          <w:spacing w:val="-35"/>
        </w:rPr>
      </w:r>
      <w:r>
        <w:rPr>
          <w:spacing w:val="-4"/>
        </w:rPr>
        <w:t>适应市场需求；在染料中间体方面，为确保烟台 </w:t>
      </w:r>
      <w:r>
        <w:rPr>
          <w:rFonts w:ascii="Arial" w:hAnsi="Arial" w:cs="Arial" w:eastAsia="Arial" w:hint="default"/>
        </w:rPr>
        <w:t>30000 </w:t>
      </w:r>
      <w:r>
        <w:rPr>
          <w:spacing w:val="-3"/>
        </w:rPr>
        <w:t>吨精细化工中间体建设项目的顺利实施，公司研发</w:t>
      </w:r>
      <w:r>
        <w:rPr>
          <w:spacing w:val="-94"/>
        </w:rPr>
        <w:t> </w:t>
      </w:r>
      <w:r>
        <w:rPr>
          <w:spacing w:val="-94"/>
        </w:rPr>
      </w:r>
      <w:r>
        <w:rPr>
          <w:spacing w:val="-2"/>
        </w:rPr>
        <w:t>团队针对染料中间体进行了产品研发，完成了预期目标。在助剂方面完成了工作包括高温匀染剂、环保皂</w:t>
      </w:r>
      <w:r>
        <w:rPr>
          <w:spacing w:val="-35"/>
        </w:rPr>
        <w:t> </w:t>
      </w:r>
      <w:r>
        <w:rPr>
          <w:spacing w:val="-35"/>
        </w:rPr>
      </w:r>
      <w:r>
        <w:rPr/>
        <w:t>洗剂等</w:t>
      </w:r>
      <w:r>
        <w:rPr>
          <w:spacing w:val="-52"/>
        </w:rPr>
        <w:t> </w:t>
      </w:r>
      <w:r>
        <w:rPr>
          <w:rFonts w:ascii="Arial" w:hAnsi="Arial" w:cs="Arial" w:eastAsia="Arial" w:hint="default"/>
        </w:rPr>
        <w:t>14</w:t>
      </w:r>
      <w:r>
        <w:rPr>
          <w:rFonts w:ascii="Arial" w:hAnsi="Arial" w:cs="Arial" w:eastAsia="Arial" w:hint="default"/>
          <w:spacing w:val="-7"/>
        </w:rPr>
        <w:t> </w:t>
      </w:r>
      <w:r>
        <w:rPr/>
        <w:t>项产品研发。</w:t>
      </w:r>
    </w:p>
    <w:p>
      <w:pPr>
        <w:pStyle w:val="Heading4"/>
        <w:spacing w:line="327" w:lineRule="exact"/>
        <w:ind w:left="575" w:right="0"/>
        <w:jc w:val="left"/>
        <w:rPr>
          <w:b w:val="0"/>
          <w:bCs w:val="0"/>
        </w:rPr>
      </w:pPr>
      <w:r>
        <w:rPr/>
        <w:t>（</w:t>
      </w:r>
      <w:r>
        <w:rPr>
          <w:rFonts w:ascii="Arial" w:hAnsi="Arial" w:cs="Arial" w:eastAsia="Arial" w:hint="default"/>
        </w:rPr>
        <w:t>3</w:t>
      </w:r>
      <w:r>
        <w:rPr/>
        <w:t>）技术应用支持与质量管理</w:t>
      </w:r>
      <w:r>
        <w:rPr>
          <w:b w:val="0"/>
          <w:bCs w:val="0"/>
        </w:rPr>
      </w:r>
    </w:p>
    <w:p>
      <w:pPr>
        <w:pStyle w:val="BodyText"/>
        <w:spacing w:line="398" w:lineRule="auto" w:before="167"/>
        <w:ind w:right="142" w:firstLine="422"/>
        <w:jc w:val="both"/>
      </w:pPr>
      <w:r>
        <w:rPr/>
        <w:t>公司的应用工程师团队全年为客户提供了 </w:t>
      </w:r>
      <w:r>
        <w:rPr>
          <w:rFonts w:ascii="Arial" w:hAnsi="Arial" w:cs="Arial" w:eastAsia="Arial" w:hint="default"/>
        </w:rPr>
        <w:t>400</w:t>
      </w:r>
      <w:r>
        <w:rPr>
          <w:rFonts w:ascii="Arial" w:hAnsi="Arial" w:cs="Arial" w:eastAsia="Arial" w:hint="default"/>
          <w:spacing w:val="-27"/>
        </w:rPr>
        <w:t> </w:t>
      </w:r>
      <w:r>
        <w:rPr>
          <w:spacing w:val="-4"/>
        </w:rPr>
        <w:t>余次现场技术支持，及时为客户提供包括染料选择、染</w:t>
      </w:r>
      <w:r>
        <w:rPr>
          <w:w w:val="100"/>
        </w:rPr>
        <w:t> </w:t>
      </w:r>
      <w:r>
        <w:rPr>
          <w:spacing w:val="-2"/>
        </w:rPr>
        <w:t>料应用方案、印染工艺等方面的全套染色解决方案，依靠自身较强的技术优势，建立与客户密切联系的纽</w:t>
      </w:r>
      <w:r>
        <w:rPr>
          <w:spacing w:val="-35"/>
        </w:rPr>
        <w:t> </w:t>
      </w:r>
      <w:r>
        <w:rPr>
          <w:spacing w:val="-35"/>
        </w:rPr>
      </w:r>
      <w:r>
        <w:rPr/>
        <w:t>带。</w:t>
      </w:r>
    </w:p>
    <w:p>
      <w:pPr>
        <w:pStyle w:val="BodyText"/>
        <w:spacing w:line="405" w:lineRule="auto" w:before="57"/>
        <w:ind w:right="142" w:firstLine="422"/>
        <w:jc w:val="both"/>
      </w:pPr>
      <w:r>
        <w:rPr>
          <w:spacing w:val="-2"/>
        </w:rPr>
        <w:t>公司通过建立公司产品技术档案、标准样管理制度、质量管理专题会议、质量交流会议、质量事故应</w:t>
      </w:r>
      <w:r>
        <w:rPr>
          <w:w w:val="100"/>
        </w:rPr>
        <w:t> </w:t>
      </w:r>
      <w:r>
        <w:rPr/>
        <w:t>急方案等措施对公司各染料工厂加强产品质量管理。</w:t>
      </w:r>
    </w:p>
    <w:p>
      <w:pPr>
        <w:pStyle w:val="Heading4"/>
        <w:spacing w:line="349" w:lineRule="exact"/>
        <w:ind w:left="575" w:right="0"/>
        <w:jc w:val="left"/>
        <w:rPr>
          <w:b w:val="0"/>
          <w:bCs w:val="0"/>
        </w:rPr>
      </w:pPr>
      <w:r>
        <w:rPr/>
        <w:t>（</w:t>
      </w:r>
      <w:r>
        <w:rPr>
          <w:rFonts w:ascii="Arial" w:hAnsi="Arial" w:cs="Arial" w:eastAsia="Arial" w:hint="default"/>
        </w:rPr>
        <w:t>4</w:t>
      </w:r>
      <w:r>
        <w:rPr/>
        <w:t>）科技项目及荣誉</w:t>
      </w:r>
      <w:r>
        <w:rPr>
          <w:b w:val="0"/>
          <w:bCs w:val="0"/>
        </w:rPr>
      </w:r>
    </w:p>
    <w:p>
      <w:pPr>
        <w:pStyle w:val="BodyText"/>
        <w:spacing w:line="240" w:lineRule="auto" w:before="167"/>
        <w:ind w:left="575" w:right="0"/>
        <w:jc w:val="left"/>
      </w:pPr>
      <w:r>
        <w:rPr/>
        <w:t>公司全年申请各类科技项目</w:t>
      </w:r>
      <w:r>
        <w:rPr>
          <w:spacing w:val="-46"/>
        </w:rPr>
        <w:t> </w:t>
      </w:r>
      <w:r>
        <w:rPr>
          <w:rFonts w:ascii="Arial" w:hAnsi="Arial" w:cs="Arial" w:eastAsia="Arial" w:hint="default"/>
        </w:rPr>
        <w:t>28</w:t>
      </w:r>
      <w:r>
        <w:rPr>
          <w:rFonts w:ascii="Arial" w:hAnsi="Arial" w:cs="Arial" w:eastAsia="Arial" w:hint="default"/>
          <w:spacing w:val="-3"/>
        </w:rPr>
        <w:t> </w:t>
      </w:r>
      <w:r>
        <w:rPr>
          <w:spacing w:val="-10"/>
        </w:rPr>
        <w:t>项，其中</w:t>
      </w:r>
      <w:r>
        <w:rPr>
          <w:spacing w:val="-47"/>
        </w:rPr>
        <w:t> </w:t>
      </w:r>
      <w:r>
        <w:rPr>
          <w:rFonts w:ascii="Arial" w:hAnsi="Arial" w:cs="Arial" w:eastAsia="Arial" w:hint="default"/>
        </w:rPr>
        <w:t>16</w:t>
      </w:r>
      <w:r>
        <w:rPr>
          <w:rFonts w:ascii="Arial" w:hAnsi="Arial" w:cs="Arial" w:eastAsia="Arial" w:hint="default"/>
          <w:spacing w:val="-3"/>
        </w:rPr>
        <w:t> </w:t>
      </w:r>
      <w:r>
        <w:rPr>
          <w:spacing w:val="-5"/>
        </w:rPr>
        <w:t>项获评定；承担国家</w:t>
      </w:r>
      <w:r>
        <w:rPr>
          <w:spacing w:val="-47"/>
        </w:rPr>
        <w:t> </w:t>
      </w:r>
      <w:r>
        <w:rPr>
          <w:rFonts w:ascii="Arial" w:hAnsi="Arial" w:cs="Arial" w:eastAsia="Arial" w:hint="default"/>
        </w:rPr>
        <w:t>863</w:t>
      </w:r>
      <w:r>
        <w:rPr>
          <w:rFonts w:ascii="Arial" w:hAnsi="Arial" w:cs="Arial" w:eastAsia="Arial" w:hint="default"/>
          <w:spacing w:val="-3"/>
        </w:rPr>
        <w:t> </w:t>
      </w:r>
      <w:r>
        <w:rPr>
          <w:spacing w:val="-4"/>
        </w:rPr>
        <w:t>项目一项。获得上海市诚信创建</w:t>
      </w:r>
    </w:p>
    <w:p>
      <w:pPr>
        <w:pStyle w:val="BodyText"/>
        <w:spacing w:line="240" w:lineRule="auto" w:before="180"/>
        <w:ind w:right="0"/>
        <w:jc w:val="left"/>
        <w:rPr>
          <w:rFonts w:ascii="Arial" w:hAnsi="Arial" w:cs="Arial" w:eastAsia="Arial" w:hint="default"/>
        </w:rPr>
      </w:pPr>
      <w:r>
        <w:rPr>
          <w:spacing w:val="-4"/>
        </w:rPr>
        <w:t>企业、通过上海市专利工作试点企业验收、通过上海高新技术企业复审等科技荣誉。申请国家发明专利</w:t>
      </w:r>
      <w:r>
        <w:rPr>
          <w:spacing w:val="20"/>
        </w:rPr>
        <w:t> </w:t>
      </w:r>
      <w:r>
        <w:rPr>
          <w:rFonts w:ascii="Arial" w:hAnsi="Arial" w:cs="Arial" w:eastAsia="Arial" w:hint="default"/>
        </w:rPr>
        <w:t>27</w:t>
      </w:r>
    </w:p>
    <w:p>
      <w:pPr>
        <w:pStyle w:val="BodyText"/>
        <w:spacing w:line="240" w:lineRule="auto" w:before="176"/>
        <w:ind w:right="0"/>
        <w:jc w:val="left"/>
      </w:pPr>
      <w:r>
        <w:rPr/>
        <w:t>件，获专利授权</w:t>
      </w:r>
      <w:r>
        <w:rPr>
          <w:spacing w:val="-52"/>
        </w:rPr>
        <w:t> </w:t>
      </w:r>
      <w:r>
        <w:rPr>
          <w:rFonts w:ascii="Arial" w:hAnsi="Arial" w:cs="Arial" w:eastAsia="Arial" w:hint="default"/>
        </w:rPr>
        <w:t>13</w:t>
      </w:r>
      <w:r>
        <w:rPr>
          <w:rFonts w:ascii="Arial" w:hAnsi="Arial" w:cs="Arial" w:eastAsia="Arial" w:hint="default"/>
          <w:spacing w:val="-7"/>
        </w:rPr>
        <w:t> </w:t>
      </w:r>
      <w:r>
        <w:rPr/>
        <w:t>件。</w:t>
      </w:r>
    </w:p>
    <w:p>
      <w:pPr>
        <w:pStyle w:val="Heading4"/>
        <w:spacing w:line="240" w:lineRule="auto" w:before="114"/>
        <w:ind w:left="575" w:right="0"/>
        <w:jc w:val="left"/>
        <w:rPr>
          <w:b w:val="0"/>
          <w:bCs w:val="0"/>
        </w:rPr>
      </w:pPr>
      <w:r>
        <w:rPr/>
        <w:t>（</w:t>
      </w:r>
      <w:r>
        <w:rPr>
          <w:rFonts w:ascii="Arial" w:hAnsi="Arial" w:cs="Arial" w:eastAsia="Arial" w:hint="default"/>
        </w:rPr>
        <w:t>5</w:t>
      </w:r>
      <w:r>
        <w:rPr/>
        <w:t>）对外投资项目进展</w:t>
      </w:r>
      <w:r>
        <w:rPr>
          <w:b w:val="0"/>
          <w:bCs w:val="0"/>
        </w:rPr>
      </w:r>
    </w:p>
    <w:p>
      <w:pPr>
        <w:pStyle w:val="Heading4"/>
        <w:spacing w:line="240" w:lineRule="auto" w:before="100"/>
        <w:ind w:left="575" w:right="0"/>
        <w:jc w:val="left"/>
        <w:rPr>
          <w:b w:val="0"/>
          <w:bCs w:val="0"/>
        </w:rPr>
      </w:pPr>
      <w:r>
        <w:rPr/>
        <w:t>①东营年产分散染料 </w:t>
      </w:r>
      <w:r>
        <w:rPr>
          <w:rFonts w:ascii="Arial" w:hAnsi="Arial" w:cs="Arial" w:eastAsia="Arial" w:hint="default"/>
          <w:spacing w:val="-3"/>
        </w:rPr>
        <w:t>25000</w:t>
      </w:r>
      <w:r>
        <w:rPr>
          <w:rFonts w:ascii="Arial" w:hAnsi="Arial" w:cs="Arial" w:eastAsia="Arial" w:hint="default"/>
          <w:spacing w:val="18"/>
        </w:rPr>
        <w:t> </w:t>
      </w:r>
      <w:r>
        <w:rPr/>
        <w:t>吨生产项目</w:t>
      </w:r>
      <w:r>
        <w:rPr>
          <w:b w:val="0"/>
          <w:bCs w:val="0"/>
        </w:rPr>
      </w:r>
    </w:p>
    <w:p>
      <w:pPr>
        <w:pStyle w:val="BodyText"/>
        <w:spacing w:line="398" w:lineRule="auto" w:before="171"/>
        <w:ind w:right="142" w:firstLine="422"/>
        <w:jc w:val="both"/>
      </w:pPr>
      <w:r>
        <w:rPr/>
        <w:t>截至</w:t>
      </w:r>
      <w:r>
        <w:rPr>
          <w:spacing w:val="-47"/>
        </w:rPr>
        <w:t> </w:t>
      </w:r>
      <w:r>
        <w:rPr>
          <w:rFonts w:ascii="Arial" w:hAnsi="Arial" w:cs="Arial" w:eastAsia="Arial" w:hint="default"/>
          <w:spacing w:val="-3"/>
        </w:rPr>
        <w:t>2014 </w:t>
      </w:r>
      <w:r>
        <w:rPr/>
        <w:t>年</w:t>
      </w:r>
      <w:r>
        <w:rPr>
          <w:spacing w:val="-47"/>
        </w:rPr>
        <w:t> </w:t>
      </w:r>
      <w:r>
        <w:rPr>
          <w:rFonts w:ascii="Arial" w:hAnsi="Arial" w:cs="Arial" w:eastAsia="Arial" w:hint="default"/>
        </w:rPr>
        <w:t>12</w:t>
      </w:r>
      <w:r>
        <w:rPr>
          <w:rFonts w:ascii="Arial" w:hAnsi="Arial" w:cs="Arial" w:eastAsia="Arial" w:hint="default"/>
          <w:spacing w:val="-3"/>
        </w:rPr>
        <w:t> </w:t>
      </w:r>
      <w:r>
        <w:rPr/>
        <w:t>月</w:t>
      </w:r>
      <w:r>
        <w:rPr>
          <w:spacing w:val="-47"/>
        </w:rPr>
        <w:t> </w:t>
      </w:r>
      <w:r>
        <w:rPr>
          <w:rFonts w:ascii="Arial" w:hAnsi="Arial" w:cs="Arial" w:eastAsia="Arial" w:hint="default"/>
        </w:rPr>
        <w:t>31</w:t>
      </w:r>
      <w:r>
        <w:rPr>
          <w:rFonts w:ascii="Arial" w:hAnsi="Arial" w:cs="Arial" w:eastAsia="Arial" w:hint="default"/>
          <w:spacing w:val="-3"/>
        </w:rPr>
        <w:t> </w:t>
      </w:r>
      <w:r>
        <w:rPr/>
        <w:t>日，公司已完成该项目的土建工程，正在进行设备安装，预计</w:t>
      </w:r>
      <w:r>
        <w:rPr>
          <w:spacing w:val="-47"/>
        </w:rPr>
        <w:t> </w:t>
      </w:r>
      <w:r>
        <w:rPr>
          <w:rFonts w:ascii="Arial" w:hAnsi="Arial" w:cs="Arial" w:eastAsia="Arial" w:hint="default"/>
          <w:spacing w:val="-3"/>
        </w:rPr>
        <w:t>2015 </w:t>
      </w:r>
      <w:r>
        <w:rPr/>
        <w:t>年</w:t>
      </w:r>
      <w:r>
        <w:rPr>
          <w:spacing w:val="-47"/>
        </w:rPr>
        <w:t> </w:t>
      </w:r>
      <w:r>
        <w:rPr>
          <w:rFonts w:ascii="Arial" w:hAnsi="Arial" w:cs="Arial" w:eastAsia="Arial" w:hint="default"/>
        </w:rPr>
        <w:t>3</w:t>
      </w:r>
      <w:r>
        <w:rPr>
          <w:rFonts w:ascii="Arial" w:hAnsi="Arial" w:cs="Arial" w:eastAsia="Arial" w:hint="default"/>
          <w:spacing w:val="-2"/>
        </w:rPr>
        <w:t> </w:t>
      </w:r>
      <w:r>
        <w:rPr/>
        <w:t>月底</w:t>
      </w:r>
      <w:r>
        <w:rPr>
          <w:w w:val="100"/>
        </w:rPr>
        <w:t> </w:t>
      </w:r>
      <w:r>
        <w:rPr>
          <w:spacing w:val="-2"/>
        </w:rPr>
        <w:t>全部安装完毕，公司采取边建设边投产的方式，截至目前已有部分投产，公司将根据市场需求情况，逐步</w:t>
      </w:r>
      <w:r>
        <w:rPr>
          <w:spacing w:val="-35"/>
        </w:rPr>
        <w:t> </w:t>
      </w:r>
      <w:r>
        <w:rPr>
          <w:spacing w:val="-35"/>
        </w:rPr>
      </w:r>
      <w:r>
        <w:rPr/>
        <w:t>释放产能。</w:t>
      </w:r>
    </w:p>
    <w:p>
      <w:pPr>
        <w:pStyle w:val="Heading4"/>
        <w:spacing w:line="351" w:lineRule="exact"/>
        <w:ind w:left="575" w:right="0"/>
        <w:jc w:val="left"/>
        <w:rPr>
          <w:b w:val="0"/>
          <w:bCs w:val="0"/>
        </w:rPr>
      </w:pPr>
      <w:r>
        <w:rPr/>
        <w:t>②烟台 </w:t>
      </w:r>
      <w:r>
        <w:rPr>
          <w:rFonts w:ascii="Arial" w:hAnsi="Arial" w:cs="Arial" w:eastAsia="Arial" w:hint="default"/>
          <w:spacing w:val="-3"/>
        </w:rPr>
        <w:t>30000</w:t>
      </w:r>
      <w:r>
        <w:rPr>
          <w:rFonts w:ascii="Arial" w:hAnsi="Arial" w:cs="Arial" w:eastAsia="Arial" w:hint="default"/>
          <w:spacing w:val="19"/>
        </w:rPr>
        <w:t> </w:t>
      </w:r>
      <w:r>
        <w:rPr/>
        <w:t>吨精细化工中间体建设项目</w:t>
      </w:r>
      <w:r>
        <w:rPr>
          <w:b w:val="0"/>
          <w:bCs w:val="0"/>
        </w:rPr>
      </w:r>
    </w:p>
    <w:p>
      <w:pPr>
        <w:pStyle w:val="BodyText"/>
        <w:spacing w:line="398" w:lineRule="auto" w:before="171"/>
        <w:ind w:right="145" w:firstLine="422"/>
        <w:jc w:val="both"/>
      </w:pPr>
      <w:r>
        <w:rPr/>
        <w:t>公司年产</w:t>
      </w:r>
      <w:r>
        <w:rPr>
          <w:spacing w:val="-51"/>
        </w:rPr>
        <w:t> </w:t>
      </w:r>
      <w:r>
        <w:rPr>
          <w:rFonts w:ascii="Arial" w:hAnsi="Arial" w:cs="Arial" w:eastAsia="Arial" w:hint="default"/>
          <w:spacing w:val="-3"/>
        </w:rPr>
        <w:t>30000</w:t>
      </w:r>
      <w:r>
        <w:rPr>
          <w:rFonts w:ascii="Arial" w:hAnsi="Arial" w:cs="Arial" w:eastAsia="Arial" w:hint="default"/>
          <w:spacing w:val="-7"/>
        </w:rPr>
        <w:t> </w:t>
      </w:r>
      <w:r>
        <w:rPr/>
        <w:t>吨精细化工中间体建设项目为公司</w:t>
      </w:r>
      <w:r>
        <w:rPr>
          <w:spacing w:val="-51"/>
        </w:rPr>
        <w:t> </w:t>
      </w:r>
      <w:r>
        <w:rPr>
          <w:rFonts w:ascii="Arial" w:hAnsi="Arial" w:cs="Arial" w:eastAsia="Arial" w:hint="default"/>
          <w:spacing w:val="-4"/>
        </w:rPr>
        <w:t>2014</w:t>
      </w:r>
      <w:r>
        <w:rPr>
          <w:rFonts w:ascii="Arial" w:hAnsi="Arial" w:cs="Arial" w:eastAsia="Arial" w:hint="default"/>
          <w:spacing w:val="-6"/>
        </w:rPr>
        <w:t> </w:t>
      </w:r>
      <w:r>
        <w:rPr/>
        <w:t>年重点项目，截至</w:t>
      </w:r>
      <w:r>
        <w:rPr>
          <w:spacing w:val="-51"/>
        </w:rPr>
        <w:t> </w:t>
      </w:r>
      <w:r>
        <w:rPr>
          <w:rFonts w:ascii="Arial" w:hAnsi="Arial" w:cs="Arial" w:eastAsia="Arial" w:hint="default"/>
          <w:spacing w:val="-3"/>
        </w:rPr>
        <w:t>2014</w:t>
      </w:r>
      <w:r>
        <w:rPr>
          <w:rFonts w:ascii="Arial" w:hAnsi="Arial" w:cs="Arial" w:eastAsia="Arial" w:hint="default"/>
          <w:spacing w:val="-7"/>
        </w:rPr>
        <w:t> </w:t>
      </w:r>
      <w:r>
        <w:rPr/>
        <w:t>年</w:t>
      </w:r>
      <w:r>
        <w:rPr>
          <w:spacing w:val="-51"/>
        </w:rPr>
        <w:t> </w:t>
      </w:r>
      <w:r>
        <w:rPr>
          <w:rFonts w:ascii="Arial" w:hAnsi="Arial" w:cs="Arial" w:eastAsia="Arial" w:hint="default"/>
        </w:rPr>
        <w:t>12</w:t>
      </w:r>
      <w:r>
        <w:rPr>
          <w:rFonts w:ascii="Arial" w:hAnsi="Arial" w:cs="Arial" w:eastAsia="Arial" w:hint="default"/>
          <w:spacing w:val="-6"/>
        </w:rPr>
        <w:t> </w:t>
      </w:r>
      <w:r>
        <w:rPr/>
        <w:t>月</w:t>
      </w:r>
      <w:r>
        <w:rPr>
          <w:spacing w:val="-51"/>
        </w:rPr>
        <w:t> </w:t>
      </w:r>
      <w:r>
        <w:rPr>
          <w:rFonts w:ascii="Arial" w:hAnsi="Arial" w:cs="Arial" w:eastAsia="Arial" w:hint="default"/>
        </w:rPr>
        <w:t>31</w:t>
      </w:r>
      <w:r>
        <w:rPr>
          <w:rFonts w:ascii="Arial" w:hAnsi="Arial" w:cs="Arial" w:eastAsia="Arial" w:hint="default"/>
          <w:spacing w:val="-6"/>
        </w:rPr>
        <w:t> </w:t>
      </w:r>
      <w:r>
        <w:rPr/>
        <w:t>日已完</w:t>
      </w:r>
      <w:r>
        <w:rPr>
          <w:w w:val="100"/>
        </w:rPr>
        <w:t> </w:t>
      </w:r>
      <w:r>
        <w:rPr>
          <w:spacing w:val="6"/>
        </w:rPr>
        <w:t>成该项目前期各项审批工作，并已取得了《山东省环境保护厅关于烟台安诺其精细化工有限公司年产</w:t>
      </w:r>
      <w:r>
        <w:rPr>
          <w:spacing w:val="5"/>
        </w:rPr>
        <w:t> </w:t>
      </w:r>
      <w:r>
        <w:rPr>
          <w:spacing w:val="5"/>
        </w:rPr>
      </w:r>
      <w:r>
        <w:rPr>
          <w:rFonts w:ascii="Arial" w:hAnsi="Arial" w:cs="Arial" w:eastAsia="Arial" w:hint="default"/>
          <w:spacing w:val="-2"/>
        </w:rPr>
        <w:t>30000</w:t>
      </w:r>
      <w:r>
        <w:rPr>
          <w:rFonts w:ascii="Arial" w:hAnsi="Arial" w:cs="Arial" w:eastAsia="Arial" w:hint="default"/>
          <w:spacing w:val="51"/>
        </w:rPr>
        <w:t> </w:t>
      </w:r>
      <w:r>
        <w:rPr>
          <w:spacing w:val="-2"/>
        </w:rPr>
        <w:t>吨精细化工中间体建设项目环境影响报告书的批复》批准该项目的建设。公司已根据上述批复完善</w:t>
      </w:r>
    </w:p>
    <w:p>
      <w:pPr>
        <w:pStyle w:val="BodyText"/>
        <w:spacing w:line="240" w:lineRule="auto" w:before="21"/>
        <w:ind w:right="0"/>
        <w:jc w:val="left"/>
      </w:pPr>
      <w:r>
        <w:rPr/>
        <w:t>该项目的可行性研究报告，并提交公司第三届董事会第六次会议审议通过，尚需提交 </w:t>
      </w:r>
      <w:r>
        <w:rPr>
          <w:rFonts w:ascii="Arial" w:hAnsi="Arial" w:cs="Arial" w:eastAsia="Arial" w:hint="default"/>
          <w:spacing w:val="-3"/>
        </w:rPr>
        <w:t>2014</w:t>
      </w:r>
      <w:r>
        <w:rPr>
          <w:rFonts w:ascii="Arial" w:hAnsi="Arial" w:cs="Arial" w:eastAsia="Arial" w:hint="default"/>
          <w:spacing w:val="-13"/>
        </w:rPr>
        <w:t> </w:t>
      </w:r>
      <w:r>
        <w:rPr/>
        <w:t>年年度股东大</w:t>
      </w:r>
    </w:p>
    <w:p>
      <w:pPr>
        <w:spacing w:after="0" w:line="240" w:lineRule="auto"/>
        <w:jc w:val="left"/>
        <w:sectPr>
          <w:footerReference w:type="default" r:id="rId12"/>
          <w:pgSz w:w="11900" w:h="16840"/>
          <w:pgMar w:footer="984" w:header="742" w:top="1060" w:bottom="1180" w:left="980" w:right="980"/>
          <w:pgNumType w:start="11"/>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98" w:lineRule="auto"/>
        <w:ind w:right="222"/>
        <w:jc w:val="both"/>
      </w:pPr>
      <w:r>
        <w:rPr/>
        <w:t>会审核批准。另外，公司前期在 </w:t>
      </w:r>
      <w:r>
        <w:rPr>
          <w:rFonts w:ascii="Arial" w:hAnsi="Arial" w:cs="Arial" w:eastAsia="Arial" w:hint="default"/>
          <w:spacing w:val="-3"/>
        </w:rPr>
        <w:t>2013 </w:t>
      </w:r>
      <w:r>
        <w:rPr/>
        <w:t>年第二次临时股东大会授权的 </w:t>
      </w:r>
      <w:r>
        <w:rPr>
          <w:rFonts w:ascii="Arial" w:hAnsi="Arial" w:cs="Arial" w:eastAsia="Arial" w:hint="default"/>
          <w:spacing w:val="-3"/>
        </w:rPr>
        <w:t>5000</w:t>
      </w:r>
      <w:r>
        <w:rPr>
          <w:rFonts w:ascii="Arial" w:hAnsi="Arial" w:cs="Arial" w:eastAsia="Arial" w:hint="default"/>
          <w:spacing w:val="-4"/>
        </w:rPr>
        <w:t> </w:t>
      </w:r>
      <w:r>
        <w:rPr/>
        <w:t>万元投资内，投资成立了烟台</w:t>
      </w:r>
      <w:r>
        <w:rPr>
          <w:w w:val="100"/>
        </w:rPr>
        <w:t> </w:t>
      </w:r>
      <w:r>
        <w:rPr>
          <w:spacing w:val="-2"/>
        </w:rPr>
        <w:t>精细化工有限公司，并对该项目所需研发、生产、管理等各方面进行了人才、技术储备，可确保该项目后</w:t>
      </w:r>
      <w:r>
        <w:rPr>
          <w:spacing w:val="-41"/>
        </w:rPr>
        <w:t> </w:t>
      </w:r>
      <w:r>
        <w:rPr>
          <w:spacing w:val="-41"/>
        </w:rPr>
      </w:r>
      <w:r>
        <w:rPr/>
        <w:t>续顺利开展。</w:t>
      </w:r>
    </w:p>
    <w:p>
      <w:pPr>
        <w:spacing w:line="240" w:lineRule="auto" w:before="10"/>
        <w:rPr>
          <w:rFonts w:ascii="宋体" w:hAnsi="宋体" w:cs="宋体" w:eastAsia="宋体" w:hint="default"/>
          <w:sz w:val="15"/>
          <w:szCs w:val="15"/>
        </w:rPr>
      </w:pPr>
    </w:p>
    <w:p>
      <w:pPr>
        <w:pStyle w:val="Heading4"/>
        <w:spacing w:line="240" w:lineRule="auto"/>
        <w:ind w:right="0"/>
        <w:jc w:val="both"/>
        <w:rPr>
          <w:b w:val="0"/>
          <w:bCs w:val="0"/>
        </w:rPr>
      </w:pPr>
      <w:r>
        <w:rPr>
          <w:rFonts w:ascii="Times New Roman" w:hAnsi="Times New Roman" w:cs="Times New Roman" w:eastAsia="Times New Roman" w:hint="default"/>
        </w:rPr>
        <w:t>2</w:t>
      </w:r>
      <w:r>
        <w:rPr/>
        <w:t>、报告期内主要经营情况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）主营业务分析</w:t>
      </w:r>
      <w:r>
        <w:rPr>
          <w:b w:val="0"/>
          <w:bCs w:val="0"/>
        </w:rPr>
      </w:r>
    </w:p>
    <w:p>
      <w:pPr>
        <w:spacing w:line="240" w:lineRule="auto" w:before="17"/>
        <w:rPr>
          <w:rFonts w:ascii="Microsoft JhengHei" w:hAnsi="Microsoft JhengHei" w:cs="Microsoft JhengHei" w:eastAsia="Microsoft JhengHei" w:hint="default"/>
          <w:b/>
          <w:bCs/>
          <w:sz w:val="18"/>
          <w:szCs w:val="18"/>
        </w:rPr>
      </w:pPr>
    </w:p>
    <w:p>
      <w:pPr>
        <w:pStyle w:val="Heading4"/>
        <w:spacing w:line="240" w:lineRule="auto"/>
        <w:ind w:left="575" w:right="111"/>
        <w:jc w:val="left"/>
        <w:rPr>
          <w:b w:val="0"/>
          <w:bCs w:val="0"/>
        </w:rPr>
      </w:pPr>
      <w:r>
        <w:rPr>
          <w:rFonts w:ascii="Arial" w:hAnsi="Arial" w:cs="Arial" w:eastAsia="Arial" w:hint="default"/>
        </w:rPr>
        <w:t>1</w:t>
      </w:r>
      <w:r>
        <w:rPr/>
        <w:t>）概述</w:t>
      </w:r>
      <w:r>
        <w:rPr>
          <w:b w:val="0"/>
          <w:bCs w:val="0"/>
        </w:rPr>
      </w:r>
    </w:p>
    <w:p>
      <w:pPr>
        <w:pStyle w:val="BodyText"/>
        <w:spacing w:line="240" w:lineRule="auto" w:before="167"/>
        <w:ind w:left="575" w:right="111"/>
        <w:jc w:val="left"/>
      </w:pPr>
      <w:r>
        <w:rPr>
          <w:rFonts w:ascii="Arial" w:hAnsi="Arial" w:cs="Arial" w:eastAsia="Arial" w:hint="default"/>
        </w:rPr>
        <w:t>1</w:t>
      </w:r>
      <w:r>
        <w:rPr/>
        <w:t>、营业收入同比增加</w:t>
      </w:r>
      <w:r>
        <w:rPr>
          <w:spacing w:val="-49"/>
        </w:rPr>
        <w:t> </w:t>
      </w:r>
      <w:r>
        <w:rPr>
          <w:rFonts w:ascii="Arial" w:hAnsi="Arial" w:cs="Arial" w:eastAsia="Arial" w:hint="default"/>
          <w:spacing w:val="-3"/>
        </w:rPr>
        <w:t>23,962</w:t>
      </w:r>
      <w:r>
        <w:rPr>
          <w:rFonts w:ascii="Arial" w:hAnsi="Arial" w:cs="Arial" w:eastAsia="Arial" w:hint="default"/>
          <w:spacing w:val="-6"/>
        </w:rPr>
        <w:t> </w:t>
      </w:r>
      <w:r>
        <w:rPr/>
        <w:t>万元，增幅</w:t>
      </w:r>
      <w:r>
        <w:rPr>
          <w:spacing w:val="-50"/>
        </w:rPr>
        <w:t> </w:t>
      </w:r>
      <w:r>
        <w:rPr>
          <w:rFonts w:ascii="Arial" w:hAnsi="Arial" w:cs="Arial" w:eastAsia="Arial" w:hint="default"/>
        </w:rPr>
        <w:t>47.29%</w:t>
      </w:r>
      <w:r>
        <w:rPr/>
        <w:t>，主要是：</w:t>
      </w:r>
    </w:p>
    <w:p>
      <w:pPr>
        <w:pStyle w:val="BodyText"/>
        <w:spacing w:line="405" w:lineRule="auto" w:before="180"/>
        <w:ind w:right="104" w:firstLine="422"/>
        <w:jc w:val="left"/>
      </w:pPr>
      <w:r>
        <w:rPr/>
        <w:t>①</w:t>
      </w:r>
      <w:r>
        <w:rPr>
          <w:spacing w:val="-23"/>
        </w:rPr>
        <w:t> </w:t>
      </w:r>
      <w:r>
        <w:rPr/>
        <w:t>在上年完成东营募集资金项目建设投产基础上，报告期内继续稳步推进市场渠道建设、整合资源，</w:t>
      </w:r>
      <w:r>
        <w:rPr>
          <w:w w:val="100"/>
        </w:rPr>
        <w:t> </w:t>
      </w:r>
      <w:r>
        <w:rPr/>
        <w:t>开拓市场，加大产品市场销售力度。</w:t>
      </w:r>
    </w:p>
    <w:p>
      <w:pPr>
        <w:pStyle w:val="BodyText"/>
        <w:spacing w:line="240" w:lineRule="auto" w:before="50"/>
        <w:ind w:left="575" w:right="111"/>
        <w:jc w:val="left"/>
      </w:pPr>
      <w:r>
        <w:rPr/>
        <w:t>②</w:t>
      </w:r>
      <w:r>
        <w:rPr>
          <w:spacing w:val="3"/>
        </w:rPr>
        <w:t> </w:t>
      </w:r>
      <w:r>
        <w:rPr>
          <w:rFonts w:ascii="Arial" w:hAnsi="Arial" w:cs="Arial" w:eastAsia="Arial" w:hint="default"/>
          <w:spacing w:val="-3"/>
        </w:rPr>
        <w:t>2013</w:t>
      </w:r>
      <w:r>
        <w:rPr>
          <w:rFonts w:ascii="Arial" w:hAnsi="Arial" w:cs="Arial" w:eastAsia="Arial" w:hint="default"/>
          <w:spacing w:val="8"/>
        </w:rPr>
        <w:t> </w:t>
      </w:r>
      <w:r>
        <w:rPr/>
        <w:t>年</w:t>
      </w:r>
      <w:r>
        <w:rPr>
          <w:spacing w:val="-36"/>
        </w:rPr>
        <w:t> </w:t>
      </w:r>
      <w:r>
        <w:rPr>
          <w:rFonts w:ascii="Arial" w:hAnsi="Arial" w:cs="Arial" w:eastAsia="Arial" w:hint="default"/>
        </w:rPr>
        <w:t>8</w:t>
      </w:r>
      <w:r>
        <w:rPr>
          <w:rFonts w:ascii="Arial" w:hAnsi="Arial" w:cs="Arial" w:eastAsia="Arial" w:hint="default"/>
          <w:spacing w:val="8"/>
        </w:rPr>
        <w:t> </w:t>
      </w:r>
      <w:r>
        <w:rPr/>
        <w:t>月收购江苏永庆项目，报告期实现的营业收入比上年并入合并报表数据增加</w:t>
      </w:r>
      <w:r>
        <w:rPr>
          <w:spacing w:val="-36"/>
        </w:rPr>
        <w:t> </w:t>
      </w:r>
      <w:r>
        <w:rPr>
          <w:rFonts w:ascii="Arial" w:hAnsi="Arial" w:cs="Arial" w:eastAsia="Arial" w:hint="default"/>
          <w:spacing w:val="-3"/>
        </w:rPr>
        <w:t>13,072</w:t>
      </w:r>
      <w:r>
        <w:rPr>
          <w:rFonts w:ascii="Arial" w:hAnsi="Arial" w:cs="Arial" w:eastAsia="Arial" w:hint="default"/>
          <w:spacing w:val="8"/>
        </w:rPr>
        <w:t> </w:t>
      </w:r>
      <w:r>
        <w:rPr/>
        <w:t>万</w:t>
      </w:r>
    </w:p>
    <w:p>
      <w:pPr>
        <w:pStyle w:val="BodyText"/>
        <w:spacing w:line="240" w:lineRule="auto" w:before="176"/>
        <w:ind w:right="0"/>
        <w:jc w:val="both"/>
      </w:pPr>
      <w:r>
        <w:rPr/>
        <w:t>元。</w:t>
      </w:r>
    </w:p>
    <w:p>
      <w:pPr>
        <w:spacing w:line="240" w:lineRule="auto" w:before="12"/>
        <w:rPr>
          <w:rFonts w:ascii="宋体" w:hAnsi="宋体" w:cs="宋体" w:eastAsia="宋体" w:hint="default"/>
          <w:sz w:val="14"/>
          <w:szCs w:val="14"/>
        </w:rPr>
      </w:pPr>
    </w:p>
    <w:p>
      <w:pPr>
        <w:pStyle w:val="BodyText"/>
        <w:spacing w:line="240" w:lineRule="auto"/>
        <w:ind w:left="575" w:right="111"/>
        <w:jc w:val="left"/>
      </w:pPr>
      <w:r>
        <w:rPr>
          <w:rFonts w:ascii="Arial" w:hAnsi="Arial" w:cs="Arial" w:eastAsia="Arial" w:hint="default"/>
        </w:rPr>
        <w:t>2</w:t>
      </w:r>
      <w:r>
        <w:rPr/>
        <w:t>、营业毛利率同比上升</w:t>
      </w:r>
      <w:r>
        <w:rPr>
          <w:spacing w:val="-53"/>
        </w:rPr>
        <w:t> </w:t>
      </w:r>
      <w:r>
        <w:rPr>
          <w:rFonts w:ascii="Arial" w:hAnsi="Arial" w:cs="Arial" w:eastAsia="Arial" w:hint="default"/>
        </w:rPr>
        <w:t>3.39</w:t>
      </w:r>
      <w:r>
        <w:rPr>
          <w:rFonts w:ascii="Arial" w:hAnsi="Arial" w:cs="Arial" w:eastAsia="Arial" w:hint="default"/>
          <w:spacing w:val="-9"/>
        </w:rPr>
        <w:t> </w:t>
      </w:r>
      <w:r>
        <w:rPr/>
        <w:t>个百分点，主要是：</w:t>
      </w:r>
    </w:p>
    <w:p>
      <w:pPr>
        <w:pStyle w:val="BodyText"/>
        <w:spacing w:line="240" w:lineRule="auto" w:before="176"/>
        <w:ind w:left="575" w:right="111"/>
        <w:jc w:val="left"/>
      </w:pPr>
      <w:r>
        <w:rPr/>
        <w:t>①</w:t>
      </w:r>
      <w:r>
        <w:rPr>
          <w:spacing w:val="-1"/>
        </w:rPr>
        <w:t> </w:t>
      </w:r>
      <w:r>
        <w:rPr/>
        <w:t>东营募集资金项目建设投产，产能逐步释放，固定生产成本摊薄相应减少。</w:t>
      </w:r>
    </w:p>
    <w:p>
      <w:pPr>
        <w:spacing w:line="240" w:lineRule="auto" w:before="12"/>
        <w:rPr>
          <w:rFonts w:ascii="宋体" w:hAnsi="宋体" w:cs="宋体" w:eastAsia="宋体" w:hint="default"/>
          <w:sz w:val="14"/>
          <w:szCs w:val="14"/>
        </w:rPr>
      </w:pPr>
    </w:p>
    <w:p>
      <w:pPr>
        <w:pStyle w:val="BodyText"/>
        <w:spacing w:line="240" w:lineRule="auto"/>
        <w:ind w:left="575" w:right="111"/>
        <w:jc w:val="left"/>
      </w:pPr>
      <w:r>
        <w:rPr/>
        <w:t>② 公司上年研发产品逐步投放市场，销量增加，相应促进公司产品总体营业毛利率上升。</w:t>
      </w:r>
    </w:p>
    <w:p>
      <w:pPr>
        <w:spacing w:line="240" w:lineRule="auto" w:before="8"/>
        <w:rPr>
          <w:rFonts w:ascii="宋体" w:hAnsi="宋体" w:cs="宋体" w:eastAsia="宋体" w:hint="default"/>
          <w:sz w:val="14"/>
          <w:szCs w:val="14"/>
        </w:rPr>
      </w:pPr>
    </w:p>
    <w:p>
      <w:pPr>
        <w:pStyle w:val="BodyText"/>
        <w:spacing w:line="240" w:lineRule="auto"/>
        <w:ind w:left="575" w:right="111"/>
        <w:jc w:val="left"/>
      </w:pPr>
      <w:r>
        <w:rPr/>
        <w:t>③</w:t>
      </w:r>
      <w:r>
        <w:rPr>
          <w:spacing w:val="-3"/>
        </w:rPr>
        <w:t> </w:t>
      </w:r>
      <w:r>
        <w:rPr/>
        <w:t>随着市场原材料及产品价格上涨，公司部分产品价格进行上调</w:t>
      </w:r>
    </w:p>
    <w:p>
      <w:pPr>
        <w:spacing w:line="240" w:lineRule="auto" w:before="12"/>
        <w:rPr>
          <w:rFonts w:ascii="宋体" w:hAnsi="宋体" w:cs="宋体" w:eastAsia="宋体" w:hint="default"/>
          <w:sz w:val="14"/>
          <w:szCs w:val="14"/>
        </w:rPr>
      </w:pPr>
    </w:p>
    <w:p>
      <w:pPr>
        <w:pStyle w:val="BodyText"/>
        <w:spacing w:line="240" w:lineRule="auto"/>
        <w:ind w:left="575" w:right="111"/>
        <w:jc w:val="left"/>
      </w:pPr>
      <w:r>
        <w:rPr>
          <w:rFonts w:ascii="Arial" w:hAnsi="Arial" w:cs="Arial" w:eastAsia="Arial" w:hint="default"/>
        </w:rPr>
        <w:t>3</w:t>
      </w:r>
      <w:r>
        <w:rPr/>
        <w:t>、销售费用同比增加 </w:t>
      </w:r>
      <w:r>
        <w:rPr>
          <w:rFonts w:ascii="Arial" w:hAnsi="Arial" w:cs="Arial" w:eastAsia="Arial" w:hint="default"/>
          <w:spacing w:val="-3"/>
        </w:rPr>
        <w:t>1,151</w:t>
      </w:r>
      <w:r>
        <w:rPr>
          <w:rFonts w:ascii="Arial" w:hAnsi="Arial" w:cs="Arial" w:eastAsia="Arial" w:hint="default"/>
          <w:spacing w:val="26"/>
        </w:rPr>
        <w:t> </w:t>
      </w:r>
      <w:r>
        <w:rPr/>
        <w:t>万元，主要是：报告期内，随着营业收入增加，相应增加销售人员工资</w:t>
      </w:r>
    </w:p>
    <w:p>
      <w:pPr>
        <w:pStyle w:val="BodyText"/>
        <w:spacing w:line="388" w:lineRule="auto" w:before="176"/>
        <w:ind w:right="222"/>
        <w:jc w:val="both"/>
      </w:pPr>
      <w:r>
        <w:rPr>
          <w:spacing w:val="-3"/>
        </w:rPr>
        <w:t>奖金、差旅等业务费用。随着</w:t>
      </w:r>
      <w:r>
        <w:rPr>
          <w:spacing w:val="-49"/>
        </w:rPr>
        <w:t> </w:t>
      </w:r>
      <w:r>
        <w:rPr>
          <w:rFonts w:ascii="Arial" w:hAnsi="Arial" w:cs="Arial" w:eastAsia="Arial" w:hint="default"/>
          <w:spacing w:val="-3"/>
        </w:rPr>
        <w:t>2014</w:t>
      </w:r>
      <w:r>
        <w:rPr>
          <w:rFonts w:ascii="Arial" w:hAnsi="Arial" w:cs="Arial" w:eastAsia="Arial" w:hint="default"/>
          <w:spacing w:val="-6"/>
        </w:rPr>
        <w:t> </w:t>
      </w:r>
      <w:r>
        <w:rPr/>
        <w:t>年公司主营业务收入同比增长</w:t>
      </w:r>
      <w:r>
        <w:rPr>
          <w:spacing w:val="-49"/>
        </w:rPr>
        <w:t> </w:t>
      </w:r>
      <w:r>
        <w:rPr>
          <w:rFonts w:ascii="Arial" w:hAnsi="Arial" w:cs="Arial" w:eastAsia="Arial" w:hint="default"/>
        </w:rPr>
        <w:t>47%</w:t>
      </w:r>
      <w:r>
        <w:rPr/>
        <w:t>，而销售费用率同比下降</w:t>
      </w:r>
      <w:r>
        <w:rPr>
          <w:spacing w:val="-49"/>
        </w:rPr>
        <w:t> </w:t>
      </w:r>
      <w:r>
        <w:rPr>
          <w:rFonts w:ascii="Arial" w:hAnsi="Arial" w:cs="Arial" w:eastAsia="Arial" w:hint="default"/>
        </w:rPr>
        <w:t>1</w:t>
      </w:r>
      <w:r>
        <w:rPr>
          <w:rFonts w:ascii="Arial" w:hAnsi="Arial" w:cs="Arial" w:eastAsia="Arial" w:hint="default"/>
          <w:spacing w:val="-4"/>
        </w:rPr>
        <w:t> </w:t>
      </w:r>
      <w:r>
        <w:rPr/>
        <w:t>个百分</w:t>
      </w:r>
      <w:r>
        <w:rPr>
          <w:w w:val="100"/>
        </w:rPr>
        <w:t> </w:t>
      </w:r>
      <w:r>
        <w:rPr/>
        <w:t>点为</w:t>
      </w:r>
      <w:r>
        <w:rPr>
          <w:spacing w:val="-47"/>
        </w:rPr>
        <w:t> </w:t>
      </w:r>
      <w:r>
        <w:rPr>
          <w:rFonts w:ascii="Arial" w:hAnsi="Arial" w:cs="Arial" w:eastAsia="Arial" w:hint="default"/>
          <w:spacing w:val="-2"/>
        </w:rPr>
        <w:t>6.92%</w:t>
      </w:r>
      <w:r>
        <w:rPr>
          <w:spacing w:val="-2"/>
        </w:rPr>
        <w:t>。</w:t>
      </w:r>
    </w:p>
    <w:p>
      <w:pPr>
        <w:pStyle w:val="BodyText"/>
        <w:spacing w:line="240" w:lineRule="auto" w:before="30"/>
        <w:ind w:left="575" w:right="111"/>
        <w:jc w:val="left"/>
      </w:pPr>
      <w:r>
        <w:rPr>
          <w:rFonts w:ascii="Arial" w:hAnsi="Arial" w:cs="Arial" w:eastAsia="Arial" w:hint="default"/>
        </w:rPr>
        <w:t>4</w:t>
      </w:r>
      <w:r>
        <w:rPr/>
        <w:t>、管理费用同比增加</w:t>
      </w:r>
      <w:r>
        <w:rPr>
          <w:spacing w:val="-43"/>
        </w:rPr>
        <w:t> </w:t>
      </w:r>
      <w:r>
        <w:rPr>
          <w:rFonts w:ascii="Arial" w:hAnsi="Arial" w:cs="Arial" w:eastAsia="Arial" w:hint="default"/>
          <w:spacing w:val="-3"/>
        </w:rPr>
        <w:t>1,857</w:t>
      </w:r>
      <w:r>
        <w:rPr>
          <w:rFonts w:ascii="Arial" w:hAnsi="Arial" w:cs="Arial" w:eastAsia="Arial" w:hint="default"/>
          <w:spacing w:val="-1"/>
        </w:rPr>
        <w:t> </w:t>
      </w:r>
      <w:r>
        <w:rPr/>
        <w:t>万元，主要是：</w:t>
      </w:r>
    </w:p>
    <w:p>
      <w:pPr>
        <w:pStyle w:val="BodyText"/>
        <w:spacing w:line="240" w:lineRule="auto" w:before="180"/>
        <w:ind w:left="575" w:right="111"/>
        <w:jc w:val="left"/>
      </w:pPr>
      <w:r>
        <w:rPr/>
        <w:t>①报告期内，公司持续加大产品研发投入，研发费用比上年同期增加</w:t>
      </w:r>
      <w:r>
        <w:rPr>
          <w:spacing w:val="-54"/>
        </w:rPr>
        <w:t> </w:t>
      </w:r>
      <w:r>
        <w:rPr>
          <w:rFonts w:ascii="Arial" w:hAnsi="Arial" w:cs="Arial" w:eastAsia="Arial" w:hint="default"/>
        </w:rPr>
        <w:t>729</w:t>
      </w:r>
      <w:r>
        <w:rPr>
          <w:rFonts w:ascii="Arial" w:hAnsi="Arial" w:cs="Arial" w:eastAsia="Arial" w:hint="default"/>
          <w:spacing w:val="-9"/>
        </w:rPr>
        <w:t> </w:t>
      </w:r>
      <w:r>
        <w:rPr/>
        <w:t>万元。</w:t>
      </w:r>
    </w:p>
    <w:p>
      <w:pPr>
        <w:pStyle w:val="BodyText"/>
        <w:spacing w:line="410" w:lineRule="auto" w:before="176"/>
        <w:ind w:right="111" w:firstLine="422"/>
        <w:jc w:val="left"/>
      </w:pPr>
      <w:r>
        <w:rPr>
          <w:spacing w:val="-2"/>
        </w:rPr>
        <w:t>②报告期内，随着公司经营规模持续增长及项目建设需求，公司管理人员相应增加，人事费用比上年</w:t>
      </w:r>
      <w:r>
        <w:rPr>
          <w:w w:val="100"/>
        </w:rPr>
        <w:t> </w:t>
      </w:r>
      <w:r>
        <w:rPr/>
        <w:t>同期增加</w:t>
      </w:r>
      <w:r>
        <w:rPr>
          <w:spacing w:val="-51"/>
        </w:rPr>
        <w:t> </w:t>
      </w:r>
      <w:r>
        <w:rPr>
          <w:rFonts w:ascii="Arial" w:hAnsi="Arial" w:cs="Arial" w:eastAsia="Arial" w:hint="default"/>
        </w:rPr>
        <w:t>686</w:t>
      </w:r>
      <w:r>
        <w:rPr>
          <w:rFonts w:ascii="Arial" w:hAnsi="Arial" w:cs="Arial" w:eastAsia="Arial" w:hint="default"/>
          <w:spacing w:val="-7"/>
        </w:rPr>
        <w:t> </w:t>
      </w:r>
      <w:r>
        <w:rPr/>
        <w:t>万元。</w:t>
      </w:r>
    </w:p>
    <w:p>
      <w:pPr>
        <w:pStyle w:val="BodyText"/>
        <w:spacing w:line="240" w:lineRule="auto" w:before="9"/>
        <w:ind w:left="575" w:right="111"/>
        <w:jc w:val="left"/>
      </w:pPr>
      <w:r>
        <w:rPr>
          <w:rFonts w:ascii="Arial" w:hAnsi="Arial" w:cs="Arial" w:eastAsia="Arial" w:hint="default"/>
        </w:rPr>
        <w:t>5</w:t>
      </w:r>
      <w:r>
        <w:rPr/>
        <w:t>、所得税费用同比增加</w:t>
      </w:r>
      <w:r>
        <w:rPr>
          <w:spacing w:val="-49"/>
        </w:rPr>
        <w:t> </w:t>
      </w:r>
      <w:r>
        <w:rPr>
          <w:rFonts w:ascii="Arial" w:hAnsi="Arial" w:cs="Arial" w:eastAsia="Arial" w:hint="default"/>
          <w:spacing w:val="-3"/>
        </w:rPr>
        <w:t>1288</w:t>
      </w:r>
      <w:r>
        <w:rPr>
          <w:rFonts w:ascii="Arial" w:hAnsi="Arial" w:cs="Arial" w:eastAsia="Arial" w:hint="default"/>
          <w:spacing w:val="-6"/>
        </w:rPr>
        <w:t> </w:t>
      </w:r>
      <w:r>
        <w:rPr/>
        <w:t>万元，主要是：报告期随着公司盈利增加，相应增加所得税费用。</w:t>
      </w:r>
    </w:p>
    <w:p>
      <w:pPr>
        <w:pStyle w:val="BodyText"/>
        <w:spacing w:line="398" w:lineRule="auto" w:before="180"/>
        <w:ind w:right="222" w:firstLine="422"/>
        <w:jc w:val="both"/>
      </w:pPr>
      <w:r>
        <w:rPr>
          <w:rFonts w:ascii="Arial" w:hAnsi="Arial" w:cs="Arial" w:eastAsia="Arial" w:hint="default"/>
          <w:spacing w:val="-3"/>
        </w:rPr>
        <w:t>6</w:t>
      </w:r>
      <w:r>
        <w:rPr>
          <w:spacing w:val="-3"/>
        </w:rPr>
        <w:t>、</w:t>
      </w:r>
      <w:r>
        <w:rPr>
          <w:rFonts w:ascii="Arial" w:hAnsi="Arial" w:cs="Arial" w:eastAsia="Arial" w:hint="default"/>
          <w:spacing w:val="-3"/>
        </w:rPr>
        <w:t>2014 </w:t>
      </w:r>
      <w:r>
        <w:rPr/>
        <w:t>年度经营活动现金流量净额</w:t>
      </w:r>
      <w:r>
        <w:rPr>
          <w:spacing w:val="-46"/>
        </w:rPr>
        <w:t> </w:t>
      </w:r>
      <w:r>
        <w:rPr>
          <w:rFonts w:ascii="Arial" w:hAnsi="Arial" w:cs="Arial" w:eastAsia="Arial" w:hint="default"/>
        </w:rPr>
        <w:t>5</w:t>
      </w:r>
      <w:r>
        <w:rPr>
          <w:rFonts w:ascii="Arial" w:hAnsi="Arial" w:cs="Arial" w:eastAsia="Arial" w:hint="default"/>
          <w:spacing w:val="-3"/>
        </w:rPr>
        <w:t> </w:t>
      </w:r>
      <w:r>
        <w:rPr/>
        <w:t>万元，比上年同期增加</w:t>
      </w:r>
      <w:r>
        <w:rPr>
          <w:spacing w:val="-47"/>
        </w:rPr>
        <w:t> </w:t>
      </w:r>
      <w:r>
        <w:rPr>
          <w:rFonts w:ascii="Arial" w:hAnsi="Arial" w:cs="Arial" w:eastAsia="Arial" w:hint="default"/>
          <w:spacing w:val="-3"/>
        </w:rPr>
        <w:t>2,696</w:t>
      </w:r>
      <w:r>
        <w:rPr>
          <w:rFonts w:ascii="Arial" w:hAnsi="Arial" w:cs="Arial" w:eastAsia="Arial" w:hint="default"/>
          <w:spacing w:val="-4"/>
        </w:rPr>
        <w:t> </w:t>
      </w:r>
      <w:r>
        <w:rPr>
          <w:spacing w:val="-3"/>
        </w:rPr>
        <w:t>万元，主要是：报告期内，公司</w:t>
      </w:r>
      <w:r>
        <w:rPr>
          <w:w w:val="100"/>
        </w:rPr>
        <w:t> </w:t>
      </w:r>
      <w:r>
        <w:rPr>
          <w:spacing w:val="-2"/>
        </w:rPr>
        <w:t>继续加强对应收账款管控，催收到期应收账款，加速经营资金回笼，报告期内，应收账款及应收票据增加</w:t>
      </w:r>
      <w:r>
        <w:rPr>
          <w:spacing w:val="-35"/>
        </w:rPr>
        <w:t> </w:t>
      </w:r>
      <w:r>
        <w:rPr>
          <w:spacing w:val="-35"/>
        </w:rPr>
      </w:r>
      <w:r>
        <w:rPr>
          <w:rFonts w:ascii="Arial" w:hAnsi="Arial" w:cs="Arial" w:eastAsia="Arial" w:hint="default"/>
          <w:spacing w:val="-3"/>
        </w:rPr>
        <w:t>6,802</w:t>
      </w:r>
      <w:r>
        <w:rPr>
          <w:rFonts w:ascii="Arial" w:hAnsi="Arial" w:cs="Arial" w:eastAsia="Arial" w:hint="default"/>
          <w:spacing w:val="-1"/>
        </w:rPr>
        <w:t> </w:t>
      </w:r>
      <w:r>
        <w:rPr/>
        <w:t>万元，比上年同期增加数减少</w:t>
      </w:r>
      <w:r>
        <w:rPr>
          <w:spacing w:val="-44"/>
        </w:rPr>
        <w:t> </w:t>
      </w:r>
      <w:r>
        <w:rPr>
          <w:rFonts w:ascii="Arial" w:hAnsi="Arial" w:cs="Arial" w:eastAsia="Arial" w:hint="default"/>
          <w:spacing w:val="-3"/>
        </w:rPr>
        <w:t>2,500</w:t>
      </w:r>
      <w:r>
        <w:rPr>
          <w:rFonts w:ascii="Arial" w:hAnsi="Arial" w:cs="Arial" w:eastAsia="Arial" w:hint="default"/>
          <w:spacing w:val="-1"/>
        </w:rPr>
        <w:t> </w:t>
      </w:r>
      <w:r>
        <w:rPr/>
        <w:t>万元，相应增加经营现金流入。</w:t>
      </w:r>
    </w:p>
    <w:p>
      <w:pPr>
        <w:pStyle w:val="BodyText"/>
        <w:spacing w:line="388" w:lineRule="auto" w:before="21"/>
        <w:ind w:right="216" w:firstLine="422"/>
        <w:jc w:val="left"/>
      </w:pPr>
      <w:r>
        <w:rPr>
          <w:rFonts w:ascii="Arial" w:hAnsi="Arial" w:cs="Arial" w:eastAsia="Arial" w:hint="default"/>
          <w:spacing w:val="-4"/>
        </w:rPr>
        <w:t>7</w:t>
      </w:r>
      <w:r>
        <w:rPr>
          <w:spacing w:val="-4"/>
        </w:rPr>
        <w:t>、</w:t>
      </w:r>
      <w:r>
        <w:rPr>
          <w:rFonts w:ascii="Arial" w:hAnsi="Arial" w:cs="Arial" w:eastAsia="Arial" w:hint="default"/>
          <w:spacing w:val="-4"/>
        </w:rPr>
        <w:t>2014</w:t>
      </w:r>
      <w:r>
        <w:rPr>
          <w:rFonts w:ascii="Arial" w:hAnsi="Arial" w:cs="Arial" w:eastAsia="Arial" w:hint="default"/>
          <w:spacing w:val="-1"/>
        </w:rPr>
        <w:t> </w:t>
      </w:r>
      <w:r>
        <w:rPr/>
        <w:t>年投资活动现金流量净额</w:t>
      </w:r>
      <w:r>
        <w:rPr>
          <w:rFonts w:ascii="Arial" w:hAnsi="Arial" w:cs="Arial" w:eastAsia="Arial" w:hint="default"/>
        </w:rPr>
        <w:t>-3,201</w:t>
      </w:r>
      <w:r>
        <w:rPr>
          <w:rFonts w:ascii="Arial" w:hAnsi="Arial" w:cs="Arial" w:eastAsia="Arial" w:hint="default"/>
          <w:spacing w:val="-1"/>
        </w:rPr>
        <w:t> </w:t>
      </w:r>
      <w:r>
        <w:rPr/>
        <w:t>万元，比上年同期减少</w:t>
      </w:r>
      <w:r>
        <w:rPr>
          <w:spacing w:val="-45"/>
        </w:rPr>
        <w:t> </w:t>
      </w:r>
      <w:r>
        <w:rPr>
          <w:rFonts w:ascii="Arial" w:hAnsi="Arial" w:cs="Arial" w:eastAsia="Arial" w:hint="default"/>
          <w:spacing w:val="-3"/>
        </w:rPr>
        <w:t>4,224</w:t>
      </w:r>
      <w:r>
        <w:rPr>
          <w:rFonts w:ascii="Arial" w:hAnsi="Arial" w:cs="Arial" w:eastAsia="Arial" w:hint="default"/>
          <w:spacing w:val="-1"/>
        </w:rPr>
        <w:t> </w:t>
      </w:r>
      <w:r>
        <w:rPr>
          <w:spacing w:val="-4"/>
        </w:rPr>
        <w:t>万元，主要是：报告期内，烟</w:t>
      </w:r>
      <w:r>
        <w:rPr>
          <w:w w:val="100"/>
        </w:rPr>
        <w:t> </w:t>
      </w:r>
      <w:r>
        <w:rPr/>
        <w:t>台精细化工 </w:t>
      </w:r>
      <w:r>
        <w:rPr>
          <w:rFonts w:ascii="Arial" w:hAnsi="Arial" w:cs="Arial" w:eastAsia="Arial" w:hint="default"/>
          <w:spacing w:val="-3"/>
        </w:rPr>
        <w:t>30000 </w:t>
      </w:r>
      <w:r>
        <w:rPr/>
        <w:t>吨中间体项目、东营年产 </w:t>
      </w:r>
      <w:r>
        <w:rPr>
          <w:rFonts w:ascii="Arial" w:hAnsi="Arial" w:cs="Arial" w:eastAsia="Arial" w:hint="default"/>
          <w:spacing w:val="-3"/>
        </w:rPr>
        <w:t>25000</w:t>
      </w:r>
      <w:r>
        <w:rPr>
          <w:rFonts w:ascii="Arial" w:hAnsi="Arial" w:cs="Arial" w:eastAsia="Arial" w:hint="default"/>
          <w:spacing w:val="-20"/>
        </w:rPr>
        <w:t> </w:t>
      </w:r>
      <w:r>
        <w:rPr/>
        <w:t>吨分散染料项目逐步建设投入，报告期内购建固定资</w:t>
      </w:r>
    </w:p>
    <w:p>
      <w:pPr>
        <w:spacing w:after="0" w:line="388" w:lineRule="auto"/>
        <w:jc w:val="left"/>
        <w:sectPr>
          <w:pgSz w:w="11900" w:h="16840"/>
          <w:pgMar w:header="742" w:footer="984" w:top="1060" w:bottom="1180" w:left="980" w:right="900"/>
        </w:sectPr>
      </w:pPr>
    </w:p>
    <w:p>
      <w:pPr>
        <w:spacing w:line="240" w:lineRule="auto" w:before="0"/>
        <w:rPr>
          <w:rFonts w:ascii="宋体" w:hAnsi="宋体" w:cs="宋体" w:eastAsia="宋体" w:hint="default"/>
          <w:sz w:val="20"/>
          <w:szCs w:val="20"/>
        </w:rPr>
      </w:pPr>
    </w:p>
    <w:p>
      <w:pPr>
        <w:pStyle w:val="BodyText"/>
        <w:spacing w:line="240" w:lineRule="auto" w:before="182"/>
        <w:ind w:right="0"/>
        <w:jc w:val="left"/>
      </w:pPr>
      <w:r>
        <w:rPr/>
        <w:t>产、无形资产和其他长期资产所支付的现金比上年同期增加</w:t>
      </w:r>
      <w:r>
        <w:rPr>
          <w:spacing w:val="-48"/>
        </w:rPr>
        <w:t> </w:t>
      </w:r>
      <w:r>
        <w:rPr>
          <w:rFonts w:ascii="Arial" w:hAnsi="Arial" w:cs="Arial" w:eastAsia="Arial" w:hint="default"/>
          <w:spacing w:val="-3"/>
        </w:rPr>
        <w:t>5,448</w:t>
      </w:r>
      <w:r>
        <w:rPr>
          <w:rFonts w:ascii="Arial" w:hAnsi="Arial" w:cs="Arial" w:eastAsia="Arial" w:hint="default"/>
          <w:spacing w:val="-4"/>
        </w:rPr>
        <w:t> </w:t>
      </w:r>
      <w:r>
        <w:rPr/>
        <w:t>万元。</w:t>
      </w:r>
    </w:p>
    <w:p>
      <w:pPr>
        <w:pStyle w:val="BodyText"/>
        <w:spacing w:line="240" w:lineRule="auto" w:before="176"/>
        <w:ind w:left="575" w:right="0"/>
        <w:jc w:val="left"/>
      </w:pPr>
      <w:r>
        <w:rPr>
          <w:rFonts w:ascii="Arial" w:hAnsi="Arial" w:cs="Arial" w:eastAsia="Arial" w:hint="default"/>
          <w:spacing w:val="-3"/>
        </w:rPr>
        <w:t>8</w:t>
      </w:r>
      <w:r>
        <w:rPr>
          <w:spacing w:val="-3"/>
        </w:rPr>
        <w:t>、</w:t>
      </w:r>
      <w:r>
        <w:rPr>
          <w:rFonts w:ascii="Arial" w:hAnsi="Arial" w:cs="Arial" w:eastAsia="Arial" w:hint="default"/>
          <w:spacing w:val="-3"/>
        </w:rPr>
        <w:t>2014</w:t>
      </w:r>
      <w:r>
        <w:rPr>
          <w:rFonts w:ascii="Arial" w:hAnsi="Arial" w:cs="Arial" w:eastAsia="Arial" w:hint="default"/>
          <w:spacing w:val="-6"/>
        </w:rPr>
        <w:t> </w:t>
      </w:r>
      <w:r>
        <w:rPr/>
        <w:t>年筹资活动现金流量净额</w:t>
      </w:r>
      <w:r>
        <w:rPr>
          <w:spacing w:val="-50"/>
        </w:rPr>
        <w:t> </w:t>
      </w:r>
      <w:r>
        <w:rPr>
          <w:rFonts w:ascii="Arial" w:hAnsi="Arial" w:cs="Arial" w:eastAsia="Arial" w:hint="default"/>
          <w:spacing w:val="-3"/>
        </w:rPr>
        <w:t>1,927</w:t>
      </w:r>
      <w:r>
        <w:rPr>
          <w:rFonts w:ascii="Arial" w:hAnsi="Arial" w:cs="Arial" w:eastAsia="Arial" w:hint="default"/>
          <w:spacing w:val="-7"/>
        </w:rPr>
        <w:t> </w:t>
      </w:r>
      <w:r>
        <w:rPr/>
        <w:t>万元，比上年同期增加</w:t>
      </w:r>
      <w:r>
        <w:rPr>
          <w:spacing w:val="-51"/>
        </w:rPr>
        <w:t> </w:t>
      </w:r>
      <w:r>
        <w:rPr>
          <w:rFonts w:ascii="Arial" w:hAnsi="Arial" w:cs="Arial" w:eastAsia="Arial" w:hint="default"/>
          <w:spacing w:val="-3"/>
        </w:rPr>
        <w:t>1,592</w:t>
      </w:r>
      <w:r>
        <w:rPr>
          <w:rFonts w:ascii="Arial" w:hAnsi="Arial" w:cs="Arial" w:eastAsia="Arial" w:hint="default"/>
          <w:spacing w:val="-7"/>
        </w:rPr>
        <w:t> </w:t>
      </w:r>
      <w:r>
        <w:rPr/>
        <w:t>万元，主要是：报告期内公司</w:t>
      </w:r>
    </w:p>
    <w:p>
      <w:pPr>
        <w:pStyle w:val="BodyText"/>
        <w:spacing w:line="240" w:lineRule="auto" w:before="180"/>
        <w:ind w:right="0"/>
        <w:jc w:val="left"/>
      </w:pPr>
      <w:r>
        <w:rPr/>
        <w:t>根据经营资金需求，新增银行短期借款</w:t>
      </w:r>
      <w:r>
        <w:rPr>
          <w:spacing w:val="-45"/>
        </w:rPr>
        <w:t> </w:t>
      </w:r>
      <w:r>
        <w:rPr>
          <w:rFonts w:ascii="Arial" w:hAnsi="Arial" w:cs="Arial" w:eastAsia="Arial" w:hint="default"/>
          <w:spacing w:val="-3"/>
        </w:rPr>
        <w:t>2,500</w:t>
      </w:r>
      <w:r>
        <w:rPr>
          <w:rFonts w:ascii="Arial" w:hAnsi="Arial" w:cs="Arial" w:eastAsia="Arial" w:hint="default"/>
          <w:spacing w:val="-2"/>
        </w:rPr>
        <w:t> </w:t>
      </w:r>
      <w:r>
        <w:rPr/>
        <w:t>万元。</w:t>
      </w:r>
    </w:p>
    <w:p>
      <w:pPr>
        <w:pStyle w:val="Heading4"/>
        <w:spacing w:line="240" w:lineRule="auto" w:before="109"/>
        <w:ind w:left="575" w:right="0"/>
        <w:jc w:val="left"/>
        <w:rPr>
          <w:b w:val="0"/>
          <w:bCs w:val="0"/>
        </w:rPr>
      </w:pPr>
      <w:r>
        <w:rPr>
          <w:rFonts w:ascii="Arial" w:hAnsi="Arial" w:cs="Arial" w:eastAsia="Arial" w:hint="default"/>
        </w:rPr>
        <w:t>2</w:t>
      </w:r>
      <w:r>
        <w:rPr/>
        <w:t>）报告期利润构成或利润来源发生重大变动的说明</w:t>
      </w:r>
      <w:r>
        <w:rPr>
          <w:b w:val="0"/>
          <w:bCs w:val="0"/>
        </w:rPr>
      </w:r>
    </w:p>
    <w:p>
      <w:pPr>
        <w:pStyle w:val="BodyText"/>
        <w:spacing w:line="240" w:lineRule="auto" w:before="171"/>
        <w:ind w:left="575" w:right="0"/>
        <w:jc w:val="left"/>
      </w:pPr>
      <w:r>
        <w:rPr/>
        <w:t>□ 适用 √</w:t>
      </w:r>
      <w:r>
        <w:rPr>
          <w:spacing w:val="3"/>
        </w:rPr>
        <w:t> </w:t>
      </w:r>
      <w:r>
        <w:rPr/>
        <w:t>不适用</w:t>
      </w:r>
    </w:p>
    <w:p>
      <w:pPr>
        <w:pStyle w:val="Heading4"/>
        <w:spacing w:line="240" w:lineRule="auto" w:before="124"/>
        <w:ind w:left="575" w:right="0"/>
        <w:jc w:val="left"/>
        <w:rPr>
          <w:b w:val="0"/>
          <w:bCs w:val="0"/>
        </w:rPr>
      </w:pPr>
      <w:r>
        <w:rPr>
          <w:rFonts w:ascii="Arial" w:hAnsi="Arial" w:cs="Arial" w:eastAsia="Arial" w:hint="default"/>
        </w:rPr>
        <w:t>3</w:t>
      </w:r>
      <w:r>
        <w:rPr/>
        <w:t>）收入</w:t>
      </w:r>
      <w:r>
        <w:rPr>
          <w:b w:val="0"/>
          <w:bCs w:val="0"/>
        </w:rPr>
      </w:r>
    </w:p>
    <w:p>
      <w:pPr>
        <w:spacing w:line="240" w:lineRule="auto" w:before="1"/>
        <w:rPr>
          <w:rFonts w:ascii="Microsoft JhengHei" w:hAnsi="Microsoft JhengHei" w:cs="Microsoft JhengHei" w:eastAsia="Microsoft JhengHei" w:hint="default"/>
          <w:b/>
          <w:bCs/>
          <w:sz w:val="6"/>
          <w:szCs w:val="6"/>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0"/>
        <w:gridCol w:w="2390"/>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7" w:right="0"/>
              <w:jc w:val="left"/>
              <w:rPr>
                <w:rFonts w:ascii="宋体" w:hAnsi="宋体" w:cs="宋体" w:eastAsia="宋体" w:hint="default"/>
                <w:sz w:val="18"/>
                <w:szCs w:val="18"/>
              </w:rPr>
            </w:pPr>
            <w:r>
              <w:rPr>
                <w:rFonts w:ascii="宋体" w:hAnsi="宋体" w:cs="宋体" w:eastAsia="宋体" w:hint="default"/>
                <w:sz w:val="18"/>
                <w:szCs w:val="18"/>
              </w:rPr>
              <w:t>同比增减情况</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40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238" w:right="0"/>
              <w:jc w:val="left"/>
              <w:rPr>
                <w:rFonts w:ascii="Times New Roman" w:hAnsi="Times New Roman" w:cs="Times New Roman" w:eastAsia="Times New Roman" w:hint="default"/>
                <w:sz w:val="18"/>
                <w:szCs w:val="18"/>
              </w:rPr>
            </w:pPr>
            <w:r>
              <w:rPr>
                <w:rFonts w:ascii="Times New Roman"/>
                <w:sz w:val="18"/>
              </w:rPr>
              <w:t>746,362,290.97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33" w:right="0"/>
              <w:jc w:val="left"/>
              <w:rPr>
                <w:rFonts w:ascii="Times New Roman" w:hAnsi="Times New Roman" w:cs="Times New Roman" w:eastAsia="Times New Roman" w:hint="default"/>
                <w:sz w:val="18"/>
                <w:szCs w:val="18"/>
              </w:rPr>
            </w:pPr>
            <w:r>
              <w:rPr>
                <w:rFonts w:ascii="Times New Roman"/>
                <w:sz w:val="18"/>
              </w:rPr>
              <w:t>506,744,128.60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47.29%</w:t>
            </w:r>
          </w:p>
        </w:tc>
      </w:tr>
    </w:tbl>
    <w:p>
      <w:pPr>
        <w:pStyle w:val="Heading4"/>
        <w:spacing w:line="240" w:lineRule="auto"/>
        <w:ind w:left="575" w:right="0"/>
        <w:jc w:val="left"/>
        <w:rPr>
          <w:b w:val="0"/>
          <w:bCs w:val="0"/>
        </w:rPr>
      </w:pPr>
      <w:r>
        <w:rPr/>
        <w:t>驱动收入变化的因素</w:t>
      </w:r>
      <w:r>
        <w:rPr>
          <w:b w:val="0"/>
          <w:bCs w:val="0"/>
        </w:rPr>
      </w:r>
    </w:p>
    <w:p>
      <w:pPr>
        <w:pStyle w:val="BodyText"/>
        <w:spacing w:line="240" w:lineRule="auto" w:before="167"/>
        <w:ind w:left="575" w:right="0"/>
        <w:jc w:val="left"/>
      </w:pPr>
      <w:r>
        <w:rPr/>
        <w:t>本报告期，公司实现营业收入</w:t>
      </w:r>
      <w:r>
        <w:rPr>
          <w:spacing w:val="-46"/>
        </w:rPr>
        <w:t> </w:t>
      </w:r>
      <w:r>
        <w:rPr>
          <w:rFonts w:ascii="Arial" w:hAnsi="Arial" w:cs="Arial" w:eastAsia="Arial" w:hint="default"/>
          <w:spacing w:val="-3"/>
        </w:rPr>
        <w:t>74,636.23</w:t>
      </w:r>
      <w:r>
        <w:rPr>
          <w:rFonts w:ascii="Arial" w:hAnsi="Arial" w:cs="Arial" w:eastAsia="Arial" w:hint="default"/>
          <w:spacing w:val="-4"/>
        </w:rPr>
        <w:t> </w:t>
      </w:r>
      <w:r>
        <w:rPr/>
        <w:t>万元，与上年同期相比增幅</w:t>
      </w:r>
      <w:r>
        <w:rPr>
          <w:spacing w:val="-46"/>
        </w:rPr>
        <w:t> </w:t>
      </w:r>
      <w:r>
        <w:rPr>
          <w:rFonts w:ascii="Arial" w:hAnsi="Arial" w:cs="Arial" w:eastAsia="Arial" w:hint="default"/>
        </w:rPr>
        <w:t>47.29%</w:t>
      </w:r>
      <w:r>
        <w:rPr/>
        <w:t>，主要是：</w:t>
      </w:r>
    </w:p>
    <w:p>
      <w:pPr>
        <w:pStyle w:val="BodyText"/>
        <w:spacing w:line="386" w:lineRule="auto" w:before="180"/>
        <w:ind w:right="0" w:firstLine="422"/>
        <w:jc w:val="left"/>
      </w:pPr>
      <w:r>
        <w:rPr/>
        <w:t>（</w:t>
      </w:r>
      <w:r>
        <w:rPr>
          <w:rFonts w:ascii="Arial" w:hAnsi="Arial" w:cs="Arial" w:eastAsia="Arial" w:hint="default"/>
        </w:rPr>
        <w:t>1</w:t>
      </w:r>
      <w:r>
        <w:rPr/>
        <w:t>）在上年完成东营募集资金项目建设投产基础上，报告期内继续稳步推进市场渠道建设、整合资</w:t>
      </w:r>
      <w:r>
        <w:rPr>
          <w:w w:val="100"/>
        </w:rPr>
        <w:t> </w:t>
      </w:r>
      <w:r>
        <w:rPr/>
        <w:t>源，开拓市场，加大产品市场销售力度。</w:t>
      </w:r>
    </w:p>
    <w:p>
      <w:pPr>
        <w:pStyle w:val="BodyText"/>
        <w:spacing w:line="240" w:lineRule="auto" w:before="67"/>
        <w:ind w:left="575" w:right="0"/>
        <w:jc w:val="left"/>
        <w:rPr>
          <w:rFonts w:ascii="Arial" w:hAnsi="Arial" w:cs="Arial" w:eastAsia="Arial" w:hint="default"/>
        </w:rPr>
      </w:pPr>
      <w:r>
        <w:rPr/>
        <w:t>（</w:t>
      </w:r>
      <w:r>
        <w:rPr>
          <w:rFonts w:ascii="Arial" w:hAnsi="Arial" w:cs="Arial" w:eastAsia="Arial" w:hint="default"/>
        </w:rPr>
        <w:t>2</w:t>
      </w:r>
      <w:r>
        <w:rPr/>
        <w:t>）</w:t>
      </w:r>
      <w:r>
        <w:rPr>
          <w:rFonts w:ascii="Arial" w:hAnsi="Arial" w:cs="Arial" w:eastAsia="Arial" w:hint="default"/>
        </w:rPr>
        <w:t>2013 </w:t>
      </w:r>
      <w:r>
        <w:rPr/>
        <w:t>年 </w:t>
      </w:r>
      <w:r>
        <w:rPr>
          <w:rFonts w:ascii="Arial" w:hAnsi="Arial" w:cs="Arial" w:eastAsia="Arial" w:hint="default"/>
        </w:rPr>
        <w:t>8 </w:t>
      </w:r>
      <w:r>
        <w:rPr/>
        <w:t>月收购江苏永庆项目，报告期实现的营业收入比上年并入合并报表数据增加</w:t>
      </w:r>
      <w:r>
        <w:rPr>
          <w:spacing w:val="-5"/>
        </w:rPr>
        <w:t> </w:t>
      </w:r>
      <w:r>
        <w:rPr>
          <w:rFonts w:ascii="Arial" w:hAnsi="Arial" w:cs="Arial" w:eastAsia="Arial" w:hint="default"/>
          <w:spacing w:val="-3"/>
        </w:rPr>
        <w:t>13,072</w:t>
      </w:r>
    </w:p>
    <w:p>
      <w:pPr>
        <w:pStyle w:val="BodyText"/>
        <w:spacing w:line="240" w:lineRule="auto" w:before="176"/>
        <w:ind w:right="0"/>
        <w:jc w:val="left"/>
      </w:pPr>
      <w:r>
        <w:rPr/>
        <w:t>万元。</w:t>
      </w:r>
    </w:p>
    <w:p>
      <w:pPr>
        <w:pStyle w:val="Heading4"/>
        <w:spacing w:line="240" w:lineRule="auto" w:before="128"/>
        <w:ind w:left="575" w:right="0"/>
        <w:jc w:val="left"/>
        <w:rPr>
          <w:b w:val="0"/>
          <w:bCs w:val="0"/>
        </w:rPr>
      </w:pPr>
      <w:r>
        <w:rPr/>
        <w:t>公司实物销售收入是否大于劳务收入</w:t>
      </w:r>
      <w:r>
        <w:rPr>
          <w:b w:val="0"/>
          <w:bCs w:val="0"/>
        </w:rPr>
      </w:r>
    </w:p>
    <w:p>
      <w:pPr>
        <w:pStyle w:val="BodyText"/>
        <w:spacing w:line="240" w:lineRule="auto" w:before="167"/>
        <w:ind w:left="575" w:right="0"/>
        <w:jc w:val="left"/>
      </w:pPr>
      <w:r>
        <w:rPr/>
        <w:t>√ 是 □</w:t>
      </w:r>
      <w:r>
        <w:rPr>
          <w:spacing w:val="4"/>
        </w:rPr>
        <w:t> </w:t>
      </w:r>
      <w:r>
        <w:rPr/>
        <w:t>否</w:t>
      </w:r>
    </w:p>
    <w:p>
      <w:pPr>
        <w:spacing w:line="240" w:lineRule="auto" w:before="11"/>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1608"/>
        <w:gridCol w:w="1572"/>
        <w:gridCol w:w="1606"/>
        <w:gridCol w:w="1594"/>
        <w:gridCol w:w="1594"/>
        <w:gridCol w:w="1594"/>
      </w:tblGrid>
      <w:tr>
        <w:trPr>
          <w:trHeight w:val="398"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行业分类</w:t>
            </w:r>
            <w:r>
              <w:rPr>
                <w:rFonts w:ascii="Times New Roman" w:hAnsi="Times New Roman" w:cs="Times New Roman" w:eastAsia="Times New Roman" w:hint="default"/>
                <w:sz w:val="18"/>
                <w:szCs w:val="18"/>
              </w:rPr>
              <w:t>/</w:t>
            </w:r>
            <w:r>
              <w:rPr>
                <w:rFonts w:ascii="宋体" w:hAnsi="宋体" w:cs="宋体" w:eastAsia="宋体" w:hint="default"/>
                <w:sz w:val="18"/>
                <w:szCs w:val="18"/>
              </w:rPr>
              <w:t>产品</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608" w:type="dxa"/>
            <w:vMerge w:val="restart"/>
            <w:tcBorders>
              <w:top w:val="single" w:sz="4" w:space="0" w:color="000000"/>
              <w:left w:val="single" w:sz="4" w:space="0" w:color="000000"/>
              <w:right w:val="single" w:sz="12"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染料</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w w:val="101"/>
                <w:sz w:val="18"/>
                <w:szCs w:val="18"/>
              </w:rPr>
              <w:t>吨</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18,969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16,582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14.40%</w:t>
            </w:r>
          </w:p>
        </w:tc>
      </w:tr>
      <w:tr>
        <w:trPr>
          <w:trHeight w:val="403" w:hRule="exact"/>
        </w:trPr>
        <w:tc>
          <w:tcPr>
            <w:tcW w:w="1608" w:type="dxa"/>
            <w:vMerge/>
            <w:tcBorders>
              <w:left w:val="single" w:sz="4" w:space="0" w:color="000000"/>
              <w:right w:val="single" w:sz="12" w:space="0" w:color="D2D2D2"/>
            </w:tcBorders>
          </w:tcPr>
          <w:p>
            <w:pP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w w:val="101"/>
                <w:sz w:val="18"/>
                <w:szCs w:val="18"/>
              </w:rPr>
              <w:t>吨</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17,472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13,168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32.69%</w:t>
            </w:r>
          </w:p>
        </w:tc>
      </w:tr>
      <w:tr>
        <w:trPr>
          <w:trHeight w:val="403" w:hRule="exact"/>
        </w:trPr>
        <w:tc>
          <w:tcPr>
            <w:tcW w:w="1608" w:type="dxa"/>
            <w:vMerge/>
            <w:tcBorders>
              <w:left w:val="single" w:sz="4" w:space="0" w:color="000000"/>
              <w:bottom w:val="single" w:sz="4" w:space="0" w:color="000000"/>
              <w:right w:val="single" w:sz="12" w:space="0" w:color="D2D2D2"/>
            </w:tcBorders>
          </w:tcPr>
          <w:p>
            <w:pP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w w:val="101"/>
                <w:sz w:val="18"/>
                <w:szCs w:val="18"/>
              </w:rPr>
              <w:t>吨</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3,893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4,091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-4.84%</w:t>
            </w:r>
          </w:p>
        </w:tc>
      </w:tr>
    </w:tbl>
    <w:p>
      <w:pPr>
        <w:pStyle w:val="Heading4"/>
        <w:spacing w:line="240" w:lineRule="auto"/>
        <w:ind w:left="575" w:right="0"/>
        <w:jc w:val="left"/>
        <w:rPr>
          <w:b w:val="0"/>
          <w:bCs w:val="0"/>
        </w:rPr>
      </w:pPr>
      <w:r>
        <w:rPr/>
        <w:t>相关数据同比发生变动</w:t>
      </w:r>
      <w:r>
        <w:rPr>
          <w:spacing w:val="14"/>
        </w:rPr>
        <w:t> </w:t>
      </w:r>
      <w:r>
        <w:rPr>
          <w:rFonts w:ascii="Arial" w:hAnsi="Arial" w:cs="Arial" w:eastAsia="Arial" w:hint="default"/>
        </w:rPr>
        <w:t>30%</w:t>
      </w:r>
      <w:r>
        <w:rPr/>
        <w:t>以上的原因说明</w:t>
      </w:r>
      <w:r>
        <w:rPr>
          <w:b w:val="0"/>
          <w:bCs w:val="0"/>
        </w:rPr>
      </w:r>
    </w:p>
    <w:p>
      <w:pPr>
        <w:pStyle w:val="BodyText"/>
        <w:spacing w:line="240" w:lineRule="auto" w:before="167"/>
        <w:ind w:left="575" w:right="0"/>
        <w:jc w:val="left"/>
      </w:pPr>
      <w:r>
        <w:rPr/>
        <w:t>√ 适用 □</w:t>
      </w:r>
      <w:r>
        <w:rPr>
          <w:spacing w:val="3"/>
        </w:rPr>
        <w:t> </w:t>
      </w:r>
      <w:r>
        <w:rPr/>
        <w:t>不适用</w:t>
      </w:r>
    </w:p>
    <w:p>
      <w:pPr>
        <w:spacing w:line="240" w:lineRule="auto" w:before="12"/>
        <w:rPr>
          <w:rFonts w:ascii="宋体" w:hAnsi="宋体" w:cs="宋体" w:eastAsia="宋体" w:hint="default"/>
          <w:sz w:val="14"/>
          <w:szCs w:val="14"/>
        </w:rPr>
      </w:pPr>
    </w:p>
    <w:p>
      <w:pPr>
        <w:pStyle w:val="BodyText"/>
        <w:spacing w:line="386" w:lineRule="auto"/>
        <w:ind w:right="133" w:firstLine="422"/>
        <w:jc w:val="left"/>
      </w:pPr>
      <w:r>
        <w:rPr/>
        <w:t>染料产品生产量比上年同期增幅</w:t>
      </w:r>
      <w:r>
        <w:rPr>
          <w:spacing w:val="-5"/>
        </w:rPr>
        <w:t> </w:t>
      </w:r>
      <w:r>
        <w:rPr>
          <w:rFonts w:ascii="Arial" w:hAnsi="Arial" w:cs="Arial" w:eastAsia="Arial" w:hint="default"/>
        </w:rPr>
        <w:t>32.69%</w:t>
      </w:r>
      <w:r>
        <w:rPr/>
        <w:t>，主要是：①东营募集资金项目在上年建设完成基础上，报</w:t>
      </w:r>
      <w:r>
        <w:rPr>
          <w:w w:val="100"/>
        </w:rPr>
        <w:t> </w:t>
      </w:r>
      <w:r>
        <w:rPr/>
        <w:t>告期内产能逐步释放。②江苏安诺其上年</w:t>
      </w:r>
      <w:r>
        <w:rPr>
          <w:spacing w:val="-51"/>
        </w:rPr>
        <w:t> </w:t>
      </w:r>
      <w:r>
        <w:rPr>
          <w:rFonts w:ascii="Arial" w:hAnsi="Arial" w:cs="Arial" w:eastAsia="Arial" w:hint="default"/>
        </w:rPr>
        <w:t>8</w:t>
      </w:r>
      <w:r>
        <w:rPr>
          <w:rFonts w:ascii="Arial" w:hAnsi="Arial" w:cs="Arial" w:eastAsia="Arial" w:hint="default"/>
          <w:spacing w:val="-6"/>
        </w:rPr>
        <w:t> </w:t>
      </w:r>
      <w:r>
        <w:rPr/>
        <w:t>月份纳入合并范围，报告期内产量相应比上年同期增加。</w:t>
      </w:r>
    </w:p>
    <w:p>
      <w:pPr>
        <w:pStyle w:val="Heading4"/>
        <w:spacing w:line="336" w:lineRule="exact"/>
        <w:ind w:left="575" w:right="0"/>
        <w:jc w:val="left"/>
        <w:rPr>
          <w:b w:val="0"/>
          <w:bCs w:val="0"/>
        </w:rPr>
      </w:pPr>
      <w:r>
        <w:rPr/>
        <w:t>公司重大的在手订单情况</w:t>
      </w:r>
      <w:r>
        <w:rPr>
          <w:b w:val="0"/>
          <w:bCs w:val="0"/>
        </w:rPr>
      </w:r>
    </w:p>
    <w:p>
      <w:pPr>
        <w:pStyle w:val="BodyText"/>
        <w:spacing w:line="240" w:lineRule="auto" w:before="167"/>
        <w:ind w:left="575" w:right="0"/>
        <w:jc w:val="left"/>
      </w:pPr>
      <w:r>
        <w:rPr/>
        <w:t>□ 适用 √</w:t>
      </w:r>
      <w:r>
        <w:rPr>
          <w:spacing w:val="3"/>
        </w:rPr>
        <w:t> </w:t>
      </w:r>
      <w:r>
        <w:rPr/>
        <w:t>不适用</w:t>
      </w:r>
    </w:p>
    <w:p>
      <w:pPr>
        <w:pStyle w:val="Heading4"/>
        <w:spacing w:line="240" w:lineRule="auto" w:before="128"/>
        <w:ind w:left="575" w:right="0"/>
        <w:jc w:val="left"/>
        <w:rPr>
          <w:b w:val="0"/>
          <w:bCs w:val="0"/>
        </w:rPr>
      </w:pPr>
      <w:r>
        <w:rPr/>
        <w:t>数量分散的订单情况</w:t>
      </w:r>
      <w:r>
        <w:rPr>
          <w:b w:val="0"/>
          <w:bCs w:val="0"/>
        </w:rPr>
      </w:r>
    </w:p>
    <w:p>
      <w:pPr>
        <w:pStyle w:val="BodyText"/>
        <w:spacing w:line="240" w:lineRule="auto" w:before="167"/>
        <w:ind w:left="575" w:right="0"/>
        <w:jc w:val="left"/>
      </w:pPr>
      <w:r>
        <w:rPr/>
        <w:t>□ 适用 √</w:t>
      </w:r>
      <w:r>
        <w:rPr>
          <w:spacing w:val="3"/>
        </w:rPr>
        <w:t> </w:t>
      </w:r>
      <w:r>
        <w:rPr/>
        <w:t>不适用</w:t>
      </w:r>
    </w:p>
    <w:p>
      <w:pPr>
        <w:pStyle w:val="Heading4"/>
        <w:spacing w:line="240" w:lineRule="auto" w:before="128"/>
        <w:ind w:left="575" w:right="0"/>
        <w:jc w:val="left"/>
        <w:rPr>
          <w:b w:val="0"/>
          <w:bCs w:val="0"/>
        </w:rPr>
      </w:pPr>
      <w:r>
        <w:rPr/>
        <w:t>公司报告期内产品或服务发生重大变化或调整有关情况</w:t>
      </w:r>
      <w:r>
        <w:rPr>
          <w:b w:val="0"/>
          <w:bCs w:val="0"/>
        </w:rPr>
      </w:r>
    </w:p>
    <w:p>
      <w:pPr>
        <w:pStyle w:val="BodyText"/>
        <w:spacing w:line="240" w:lineRule="auto" w:before="167"/>
        <w:ind w:left="575" w:right="0"/>
        <w:jc w:val="left"/>
      </w:pPr>
      <w:r>
        <w:rPr/>
        <w:t>□ 适用 √</w:t>
      </w:r>
      <w:r>
        <w:rPr>
          <w:spacing w:val="3"/>
        </w:rPr>
        <w:t> </w:t>
      </w:r>
      <w:r>
        <w:rPr/>
        <w:t>不适用</w:t>
      </w:r>
    </w:p>
    <w:p>
      <w:pPr>
        <w:spacing w:after="0" w:line="240" w:lineRule="auto"/>
        <w:jc w:val="left"/>
        <w:sectPr>
          <w:pgSz w:w="11900" w:h="16840"/>
          <w:pgMar w:header="742" w:footer="984" w:top="1060" w:bottom="1180" w:left="980" w:right="980"/>
        </w:sectPr>
      </w:pPr>
    </w:p>
    <w:p>
      <w:pPr>
        <w:spacing w:line="240" w:lineRule="auto" w:before="0"/>
        <w:rPr>
          <w:rFonts w:ascii="宋体" w:hAnsi="宋体" w:cs="宋体" w:eastAsia="宋体" w:hint="default"/>
          <w:sz w:val="20"/>
          <w:szCs w:val="20"/>
        </w:rPr>
      </w:pPr>
    </w:p>
    <w:p>
      <w:pPr>
        <w:pStyle w:val="Heading4"/>
        <w:spacing w:line="240" w:lineRule="auto" w:before="115"/>
        <w:ind w:left="575" w:right="0"/>
        <w:jc w:val="left"/>
        <w:rPr>
          <w:b w:val="0"/>
          <w:bCs w:val="0"/>
        </w:rPr>
      </w:pPr>
      <w:r>
        <w:rPr>
          <w:rFonts w:ascii="Arial" w:hAnsi="Arial" w:cs="Arial" w:eastAsia="Arial" w:hint="default"/>
        </w:rPr>
        <w:t>4</w:t>
      </w:r>
      <w:r>
        <w:rPr/>
        <w:t>）成本</w:t>
      </w:r>
      <w:r>
        <w:rPr>
          <w:b w:val="0"/>
          <w:bCs w:val="0"/>
        </w:rPr>
      </w:r>
    </w:p>
    <w:p>
      <w:pPr>
        <w:spacing w:line="240" w:lineRule="auto" w:before="3"/>
        <w:rPr>
          <w:rFonts w:ascii="Microsoft JhengHei" w:hAnsi="Microsoft JhengHei" w:cs="Microsoft JhengHei" w:eastAsia="Microsoft JhengHei" w:hint="default"/>
          <w:b/>
          <w:bCs/>
          <w:sz w:val="6"/>
          <w:szCs w:val="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8"/>
        <w:gridCol w:w="1594"/>
        <w:gridCol w:w="1594"/>
        <w:gridCol w:w="1594"/>
        <w:gridCol w:w="1594"/>
        <w:gridCol w:w="1594"/>
      </w:tblGrid>
      <w:tr>
        <w:trPr>
          <w:trHeight w:val="403"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3" w:right="0"/>
              <w:jc w:val="lef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分散染料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242,308,563.59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8"/>
              <w:jc w:val="right"/>
              <w:rPr>
                <w:rFonts w:ascii="Times New Roman" w:hAnsi="Times New Roman" w:cs="Times New Roman" w:eastAsia="Times New Roman" w:hint="default"/>
                <w:sz w:val="18"/>
                <w:szCs w:val="18"/>
              </w:rPr>
            </w:pPr>
            <w:r>
              <w:rPr>
                <w:rFonts w:ascii="Times New Roman"/>
                <w:spacing w:val="-1"/>
                <w:sz w:val="18"/>
              </w:rPr>
              <w:t>49.55%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181,147,137.20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52.84%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-3.29%</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活性染料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210,668,462.25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8"/>
              <w:jc w:val="right"/>
              <w:rPr>
                <w:rFonts w:ascii="Times New Roman" w:hAnsi="Times New Roman" w:cs="Times New Roman" w:eastAsia="Times New Roman" w:hint="default"/>
                <w:sz w:val="18"/>
                <w:szCs w:val="18"/>
              </w:rPr>
            </w:pPr>
            <w:r>
              <w:rPr>
                <w:rFonts w:ascii="Times New Roman"/>
                <w:spacing w:val="-1"/>
                <w:sz w:val="18"/>
              </w:rPr>
              <w:t>43.08%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113,793,664.80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33.19%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9.89%</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酸性染料及其他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16,976,803.49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8"/>
              <w:jc w:val="right"/>
              <w:rPr>
                <w:rFonts w:ascii="Times New Roman" w:hAnsi="Times New Roman" w:cs="Times New Roman" w:eastAsia="Times New Roman" w:hint="default"/>
                <w:sz w:val="18"/>
                <w:szCs w:val="18"/>
              </w:rPr>
            </w:pPr>
            <w:r>
              <w:rPr>
                <w:rFonts w:ascii="Times New Roman"/>
                <w:spacing w:val="-1"/>
                <w:sz w:val="18"/>
              </w:rPr>
              <w:t>3.47%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12,519,986.60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-0.18%</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助剂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19,045,306.04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8"/>
              <w:jc w:val="right"/>
              <w:rPr>
                <w:rFonts w:ascii="Times New Roman" w:hAnsi="Times New Roman" w:cs="Times New Roman" w:eastAsia="Times New Roman" w:hint="default"/>
                <w:sz w:val="18"/>
                <w:szCs w:val="18"/>
              </w:rPr>
            </w:pPr>
            <w:r>
              <w:rPr>
                <w:rFonts w:ascii="Times New Roman"/>
                <w:spacing w:val="-1"/>
                <w:sz w:val="18"/>
              </w:rPr>
              <w:t>3.90%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35,355,713.27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-6.42%</w:t>
            </w:r>
          </w:p>
        </w:tc>
      </w:tr>
      <w:tr>
        <w:trPr>
          <w:trHeight w:val="398"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488,999,135.37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8"/>
              <w:jc w:val="right"/>
              <w:rPr>
                <w:rFonts w:ascii="Times New Roman" w:hAnsi="Times New Roman" w:cs="Times New Roman" w:eastAsia="Times New Roman" w:hint="default"/>
                <w:sz w:val="18"/>
                <w:szCs w:val="18"/>
              </w:rPr>
            </w:pPr>
            <w:r>
              <w:rPr>
                <w:rFonts w:ascii="Times New Roman"/>
                <w:spacing w:val="-2"/>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342,816,501.87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
        </w:tc>
      </w:tr>
    </w:tbl>
    <w:p>
      <w:pPr>
        <w:pStyle w:val="Heading4"/>
        <w:spacing w:line="240" w:lineRule="auto"/>
        <w:ind w:left="575" w:right="0"/>
        <w:jc w:val="left"/>
        <w:rPr>
          <w:b w:val="0"/>
          <w:bCs w:val="0"/>
        </w:rPr>
      </w:pPr>
      <w:r>
        <w:rPr>
          <w:rFonts w:ascii="Arial" w:hAnsi="Arial" w:cs="Arial" w:eastAsia="Arial" w:hint="default"/>
        </w:rPr>
        <w:t>5</w:t>
      </w:r>
      <w:r>
        <w:rPr/>
        <w:t>）费用</w:t>
      </w:r>
      <w:r>
        <w:rPr>
          <w:b w:val="0"/>
          <w:bCs w:val="0"/>
        </w:rPr>
      </w:r>
    </w:p>
    <w:p>
      <w:pPr>
        <w:spacing w:line="240" w:lineRule="auto" w:before="8"/>
        <w:rPr>
          <w:rFonts w:ascii="Microsoft JhengHei" w:hAnsi="Microsoft JhengHei" w:cs="Microsoft JhengHei" w:eastAsia="Microsoft JhengHei" w:hint="default"/>
          <w:b/>
          <w:bCs/>
          <w:sz w:val="6"/>
          <w:szCs w:val="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spacing w:before="46"/>
        <w:ind w:left="0" w:right="151" w:firstLine="0"/>
        <w:jc w:val="right"/>
        <w:rPr>
          <w:rFonts w:ascii="宋体" w:hAnsi="宋体" w:cs="宋体" w:eastAsia="宋体" w:hint="default"/>
          <w:sz w:val="18"/>
          <w:szCs w:val="18"/>
        </w:rPr>
      </w:pPr>
      <w:r>
        <w:rPr/>
        <w:pict>
          <v:shape style="position:absolute;margin-left:57pt;margin-top:-36.388279pt;width:478.45pt;height:412.8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03"/>
                    <w:gridCol w:w="1637"/>
                    <w:gridCol w:w="1637"/>
                    <w:gridCol w:w="1459"/>
                    <w:gridCol w:w="2918"/>
                  </w:tblGrid>
                  <w:tr>
                    <w:trPr>
                      <w:trHeight w:val="398" w:hRule="exact"/>
                    </w:trPr>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1"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941" w:hRule="exact"/>
                    </w:trPr>
                    <w:tc>
                      <w:tcPr>
                        <w:tcW w:w="19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8"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56" w:right="0"/>
                          <w:jc w:val="left"/>
                          <w:rPr>
                            <w:rFonts w:ascii="Times New Roman" w:hAnsi="Times New Roman" w:cs="Times New Roman" w:eastAsia="Times New Roman" w:hint="default"/>
                            <w:sz w:val="18"/>
                            <w:szCs w:val="18"/>
                          </w:rPr>
                        </w:pPr>
                        <w:r>
                          <w:rPr>
                            <w:rFonts w:ascii="Times New Roman"/>
                            <w:sz w:val="18"/>
                          </w:rPr>
                          <w:t>51,659,845.68</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61" w:right="0"/>
                          <w:jc w:val="left"/>
                          <w:rPr>
                            <w:rFonts w:ascii="Times New Roman" w:hAnsi="Times New Roman" w:cs="Times New Roman" w:eastAsia="Times New Roman" w:hint="default"/>
                            <w:sz w:val="18"/>
                            <w:szCs w:val="18"/>
                          </w:rPr>
                        </w:pPr>
                        <w:r>
                          <w:rPr>
                            <w:rFonts w:ascii="Times New Roman"/>
                            <w:sz w:val="18"/>
                          </w:rPr>
                          <w:t>40,150,696.52</w:t>
                        </w:r>
                      </w:p>
                    </w:tc>
                    <w:tc>
                      <w:tcPr>
                        <w:tcW w:w="14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68" w:right="0"/>
                          <w:jc w:val="left"/>
                          <w:rPr>
                            <w:rFonts w:ascii="Times New Roman" w:hAnsi="Times New Roman" w:cs="Times New Roman" w:eastAsia="Times New Roman" w:hint="default"/>
                            <w:sz w:val="18"/>
                            <w:szCs w:val="18"/>
                          </w:rPr>
                        </w:pPr>
                        <w:r>
                          <w:rPr>
                            <w:rFonts w:ascii="Times New Roman"/>
                            <w:sz w:val="18"/>
                          </w:rPr>
                          <w:t>28.66%</w:t>
                        </w:r>
                      </w:p>
                    </w:tc>
                    <w:tc>
                      <w:tcPr>
                        <w:tcW w:w="2918" w:type="dxa"/>
                        <w:vMerge w:val="restart"/>
                        <w:tcBorders>
                          <w:top w:val="single" w:sz="4" w:space="0" w:color="000000"/>
                          <w:left w:val="single" w:sz="4" w:space="0" w:color="000000"/>
                          <w:right w:val="single" w:sz="4" w:space="0" w:color="000000"/>
                        </w:tcBorders>
                      </w:tcPr>
                      <w:p>
                        <w:pPr>
                          <w:pStyle w:val="TableParagraph"/>
                          <w:spacing w:line="309"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销售费用比上年同期增加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1,151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宋体" w:hAnsi="宋体" w:cs="宋体" w:eastAsia="宋体" w:hint="default"/>
                            <w:spacing w:val="-86"/>
                            <w:sz w:val="18"/>
                            <w:szCs w:val="18"/>
                          </w:rPr>
                          <w:t> </w:t>
                        </w:r>
                        <w:r>
                          <w:rPr>
                            <w:rFonts w:ascii="宋体" w:hAnsi="宋体" w:cs="宋体" w:eastAsia="宋体" w:hint="default"/>
                            <w:spacing w:val="-15"/>
                            <w:sz w:val="18"/>
                            <w:szCs w:val="18"/>
                          </w:rPr>
                          <w:t>元，增幅</w:t>
                        </w:r>
                        <w:r>
                          <w:rPr>
                            <w:rFonts w:ascii="宋体" w:hAnsi="宋体" w:cs="宋体" w:eastAsia="宋体" w:hint="default"/>
                            <w:spacing w:val="-40"/>
                            <w:sz w:val="18"/>
                            <w:szCs w:val="18"/>
                          </w:rPr>
                          <w:t> </w:t>
                        </w:r>
                        <w:r>
                          <w:rPr>
                            <w:rFonts w:ascii="Times New Roman" w:hAnsi="Times New Roman" w:cs="Times New Roman" w:eastAsia="Times New Roman" w:hint="default"/>
                            <w:spacing w:val="-10"/>
                            <w:sz w:val="18"/>
                            <w:szCs w:val="18"/>
                          </w:rPr>
                          <w:t>28.66%</w:t>
                        </w:r>
                        <w:r>
                          <w:rPr>
                            <w:rFonts w:ascii="宋体" w:hAnsi="宋体" w:cs="宋体" w:eastAsia="宋体" w:hint="default"/>
                            <w:spacing w:val="-10"/>
                            <w:sz w:val="18"/>
                            <w:szCs w:val="18"/>
                          </w:rPr>
                          <w:t>，主要是：报告期内</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4"/>
                            <w:sz w:val="18"/>
                            <w:szCs w:val="18"/>
                          </w:rPr>
                          <w:t>随着营业收入增加，相应增加销售人</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4"/>
                            <w:sz w:val="18"/>
                            <w:szCs w:val="18"/>
                          </w:rPr>
                          <w:t>员工资奖金、差旅等业务费用。随着</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2"/>
                            <w:sz w:val="18"/>
                            <w:szCs w:val="18"/>
                          </w:rPr>
                          <w:t> </w:t>
                        </w:r>
                        <w:r>
                          <w:rPr>
                            <w:rFonts w:ascii="宋体" w:hAnsi="宋体" w:cs="宋体" w:eastAsia="宋体" w:hint="default"/>
                            <w:spacing w:val="-3"/>
                            <w:sz w:val="18"/>
                            <w:szCs w:val="18"/>
                          </w:rPr>
                          <w:t>年公司主营业务收入同比增长</w:t>
                        </w:r>
                      </w:p>
                      <w:p>
                        <w:pPr>
                          <w:pStyle w:val="TableParagraph"/>
                          <w:spacing w:line="304" w:lineRule="auto" w:before="5"/>
                          <w:ind w:left="23"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47%</w:t>
                        </w:r>
                        <w:r>
                          <w:rPr>
                            <w:rFonts w:ascii="宋体" w:hAnsi="宋体" w:cs="宋体" w:eastAsia="宋体" w:hint="default"/>
                            <w:sz w:val="18"/>
                            <w:szCs w:val="18"/>
                          </w:rPr>
                          <w:t>，而销售费用率同比下降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个百</w:t>
                        </w:r>
                        <w:r>
                          <w:rPr>
                            <w:rFonts w:ascii="宋体" w:hAnsi="宋体" w:cs="宋体" w:eastAsia="宋体" w:hint="default"/>
                            <w:spacing w:val="-88"/>
                            <w:sz w:val="18"/>
                            <w:szCs w:val="18"/>
                          </w:rPr>
                          <w:t> </w:t>
                        </w:r>
                        <w:r>
                          <w:rPr>
                            <w:rFonts w:ascii="宋体" w:hAnsi="宋体" w:cs="宋体" w:eastAsia="宋体" w:hint="default"/>
                            <w:sz w:val="18"/>
                            <w:szCs w:val="18"/>
                          </w:rPr>
                          <w:t>分点为</w:t>
                        </w:r>
                        <w:r>
                          <w:rPr>
                            <w:rFonts w:ascii="宋体" w:hAnsi="宋体" w:cs="宋体" w:eastAsia="宋体" w:hint="default"/>
                            <w:spacing w:val="-26"/>
                            <w:sz w:val="18"/>
                            <w:szCs w:val="18"/>
                          </w:rPr>
                          <w:t> </w:t>
                        </w:r>
                        <w:r>
                          <w:rPr>
                            <w:rFonts w:ascii="Times New Roman" w:hAnsi="Times New Roman" w:cs="Times New Roman" w:eastAsia="Times New Roman" w:hint="default"/>
                            <w:spacing w:val="-3"/>
                            <w:sz w:val="18"/>
                            <w:szCs w:val="18"/>
                          </w:rPr>
                          <w:t>6.92%</w:t>
                        </w:r>
                        <w:r>
                          <w:rPr>
                            <w:rFonts w:ascii="宋体" w:hAnsi="宋体" w:cs="宋体" w:eastAsia="宋体" w:hint="default"/>
                            <w:spacing w:val="-3"/>
                            <w:sz w:val="18"/>
                            <w:szCs w:val="18"/>
                          </w:rPr>
                          <w:t>。</w:t>
                        </w:r>
                      </w:p>
                    </w:tc>
                  </w:tr>
                  <w:tr>
                    <w:trPr>
                      <w:trHeight w:val="393" w:hRule="exact"/>
                    </w:trPr>
                    <w:tc>
                      <w:tcPr>
                        <w:tcW w:w="19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8"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59"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941" w:hRule="exact"/>
                    </w:trPr>
                    <w:tc>
                      <w:tcPr>
                        <w:tcW w:w="19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8"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59"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094" w:hRule="exact"/>
                    </w:trPr>
                    <w:tc>
                      <w:tcPr>
                        <w:tcW w:w="19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8"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56" w:right="0"/>
                          <w:jc w:val="left"/>
                          <w:rPr>
                            <w:rFonts w:ascii="Times New Roman" w:hAnsi="Times New Roman" w:cs="Times New Roman" w:eastAsia="Times New Roman" w:hint="default"/>
                            <w:sz w:val="18"/>
                            <w:szCs w:val="18"/>
                          </w:rPr>
                        </w:pPr>
                        <w:r>
                          <w:rPr>
                            <w:rFonts w:ascii="Times New Roman"/>
                            <w:sz w:val="18"/>
                          </w:rPr>
                          <w:t>70,303,716.98</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61" w:right="0"/>
                          <w:jc w:val="left"/>
                          <w:rPr>
                            <w:rFonts w:ascii="Times New Roman" w:hAnsi="Times New Roman" w:cs="Times New Roman" w:eastAsia="Times New Roman" w:hint="default"/>
                            <w:sz w:val="18"/>
                            <w:szCs w:val="18"/>
                          </w:rPr>
                        </w:pPr>
                        <w:r>
                          <w:rPr>
                            <w:rFonts w:ascii="Times New Roman"/>
                            <w:sz w:val="18"/>
                          </w:rPr>
                          <w:t>51,737,220.23</w:t>
                        </w:r>
                      </w:p>
                    </w:tc>
                    <w:tc>
                      <w:tcPr>
                        <w:tcW w:w="14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868" w:right="0"/>
                          <w:jc w:val="left"/>
                          <w:rPr>
                            <w:rFonts w:ascii="Times New Roman" w:hAnsi="Times New Roman" w:cs="Times New Roman" w:eastAsia="Times New Roman" w:hint="default"/>
                            <w:sz w:val="18"/>
                            <w:szCs w:val="18"/>
                          </w:rPr>
                        </w:pPr>
                        <w:r>
                          <w:rPr>
                            <w:rFonts w:ascii="Times New Roman"/>
                            <w:sz w:val="18"/>
                          </w:rPr>
                          <w:t>35.89%</w:t>
                        </w:r>
                      </w:p>
                    </w:tc>
                    <w:tc>
                      <w:tcPr>
                        <w:tcW w:w="2918" w:type="dxa"/>
                        <w:vMerge w:val="restart"/>
                        <w:tcBorders>
                          <w:top w:val="single" w:sz="4" w:space="0" w:color="000000"/>
                          <w:left w:val="single" w:sz="4" w:space="0" w:color="000000"/>
                          <w:right w:val="single" w:sz="4" w:space="0" w:color="000000"/>
                        </w:tcBorders>
                      </w:tcPr>
                      <w:p>
                        <w:pPr>
                          <w:pStyle w:val="TableParagraph"/>
                          <w:spacing w:line="304"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管理费用比上年同期增加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1,857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宋体" w:hAnsi="宋体" w:cs="宋体" w:eastAsia="宋体" w:hint="default"/>
                            <w:spacing w:val="-86"/>
                            <w:sz w:val="18"/>
                            <w:szCs w:val="18"/>
                          </w:rPr>
                          <w:t> </w:t>
                        </w:r>
                        <w:r>
                          <w:rPr>
                            <w:rFonts w:ascii="宋体" w:hAnsi="宋体" w:cs="宋体" w:eastAsia="宋体" w:hint="default"/>
                            <w:sz w:val="18"/>
                            <w:szCs w:val="18"/>
                          </w:rPr>
                          <w:t>元，增幅</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35.89%</w:t>
                        </w:r>
                        <w:r>
                          <w:rPr>
                            <w:rFonts w:ascii="宋体" w:hAnsi="宋体" w:cs="宋体" w:eastAsia="宋体" w:hint="default"/>
                            <w:spacing w:val="-3"/>
                            <w:sz w:val="18"/>
                            <w:szCs w:val="18"/>
                          </w:rPr>
                          <w:t>，主要是：</w:t>
                        </w:r>
                        <w:r>
                          <w:rPr>
                            <w:rFonts w:ascii="宋体" w:hAnsi="宋体" w:cs="宋体" w:eastAsia="宋体" w:hint="default"/>
                            <w:spacing w:val="19"/>
                            <w:sz w:val="18"/>
                            <w:szCs w:val="18"/>
                          </w:rPr>
                          <w:t> </w:t>
                        </w:r>
                        <w:r>
                          <w:rPr>
                            <w:rFonts w:ascii="宋体" w:hAnsi="宋体" w:cs="宋体" w:eastAsia="宋体" w:hint="default"/>
                            <w:sz w:val="18"/>
                            <w:szCs w:val="18"/>
                          </w:rPr>
                          <w:t>①报告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期内，公司持续加大产品研发投入，</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研发费用比上年同期增加</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19" w:lineRule="auto" w:before="9"/>
                          <w:ind w:left="23" w:right="17"/>
                          <w:jc w:val="both"/>
                          <w:rPr>
                            <w:rFonts w:ascii="宋体" w:hAnsi="宋体" w:cs="宋体" w:eastAsia="宋体" w:hint="default"/>
                            <w:sz w:val="18"/>
                            <w:szCs w:val="18"/>
                          </w:rPr>
                        </w:pPr>
                        <w:r>
                          <w:rPr>
                            <w:rFonts w:ascii="宋体" w:hAnsi="宋体" w:cs="宋体" w:eastAsia="宋体" w:hint="default"/>
                            <w:spacing w:val="-4"/>
                            <w:sz w:val="18"/>
                            <w:szCs w:val="18"/>
                          </w:rPr>
                          <w:t>②报告期内，随着公司经营规模持续</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4"/>
                            <w:sz w:val="18"/>
                            <w:szCs w:val="18"/>
                          </w:rPr>
                          <w:t>增长及项目建设需求，公司管理人员</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4"/>
                            <w:sz w:val="18"/>
                            <w:szCs w:val="18"/>
                          </w:rPr>
                          <w:t>相应增加，人事费用比上年同期增加</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Times New Roman" w:hAnsi="Times New Roman" w:cs="Times New Roman" w:eastAsia="Times New Roman" w:hint="default"/>
                            <w:sz w:val="18"/>
                            <w:szCs w:val="18"/>
                          </w:rPr>
                          <w:t>686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tc>
                  </w:tr>
                  <w:tr>
                    <w:trPr>
                      <w:trHeight w:val="394" w:hRule="exact"/>
                    </w:trPr>
                    <w:tc>
                      <w:tcPr>
                        <w:tcW w:w="19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8"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59"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099" w:hRule="exact"/>
                    </w:trPr>
                    <w:tc>
                      <w:tcPr>
                        <w:tcW w:w="19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8"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59"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629" w:hRule="exact"/>
                    </w:trPr>
                    <w:tc>
                      <w:tcPr>
                        <w:tcW w:w="19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8"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724" w:right="0"/>
                          <w:jc w:val="left"/>
                          <w:rPr>
                            <w:rFonts w:ascii="Times New Roman" w:hAnsi="Times New Roman" w:cs="Times New Roman" w:eastAsia="Times New Roman" w:hint="default"/>
                            <w:sz w:val="18"/>
                            <w:szCs w:val="18"/>
                          </w:rPr>
                        </w:pPr>
                        <w:r>
                          <w:rPr>
                            <w:rFonts w:ascii="Times New Roman"/>
                            <w:sz w:val="18"/>
                          </w:rPr>
                          <w:t>-952,930.24</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-3,454,767.75</w:t>
                        </w:r>
                      </w:p>
                    </w:tc>
                    <w:tc>
                      <w:tcPr>
                        <w:tcW w:w="14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811" w:right="0"/>
                          <w:jc w:val="left"/>
                          <w:rPr>
                            <w:rFonts w:ascii="Times New Roman" w:hAnsi="Times New Roman" w:cs="Times New Roman" w:eastAsia="Times New Roman" w:hint="default"/>
                            <w:sz w:val="18"/>
                            <w:szCs w:val="18"/>
                          </w:rPr>
                        </w:pPr>
                        <w:r>
                          <w:rPr>
                            <w:rFonts w:ascii="Times New Roman"/>
                            <w:sz w:val="18"/>
                          </w:rPr>
                          <w:t>-72.42%</w:t>
                        </w:r>
                      </w:p>
                    </w:tc>
                    <w:tc>
                      <w:tcPr>
                        <w:tcW w:w="2918" w:type="dxa"/>
                        <w:vMerge w:val="restart"/>
                        <w:tcBorders>
                          <w:top w:val="single" w:sz="4" w:space="0" w:color="000000"/>
                          <w:left w:val="single" w:sz="4" w:space="0" w:color="000000"/>
                          <w:right w:val="single" w:sz="4" w:space="0" w:color="000000"/>
                        </w:tcBorders>
                      </w:tcPr>
                      <w:p>
                        <w:pPr>
                          <w:pStyle w:val="TableParagraph"/>
                          <w:spacing w:line="304" w:lineRule="auto" w:before="53"/>
                          <w:ind w:left="23" w:right="0"/>
                          <w:jc w:val="both"/>
                          <w:rPr>
                            <w:rFonts w:ascii="宋体" w:hAnsi="宋体" w:cs="宋体" w:eastAsia="宋体" w:hint="default"/>
                            <w:sz w:val="18"/>
                            <w:szCs w:val="18"/>
                          </w:rPr>
                        </w:pPr>
                        <w:r>
                          <w:rPr>
                            <w:rFonts w:ascii="宋体" w:hAnsi="宋体" w:cs="宋体" w:eastAsia="宋体" w:hint="default"/>
                            <w:sz w:val="18"/>
                            <w:szCs w:val="18"/>
                          </w:rPr>
                          <w:t>财务费用比上年同期增加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250 </w:t>
                        </w:r>
                        <w:r>
                          <w:rPr>
                            <w:rFonts w:ascii="宋体" w:hAnsi="宋体" w:cs="宋体" w:eastAsia="宋体" w:hint="default"/>
                            <w:sz w:val="18"/>
                            <w:szCs w:val="18"/>
                          </w:rPr>
                          <w:t>万元，</w:t>
                        </w:r>
                        <w:r>
                          <w:rPr>
                            <w:rFonts w:ascii="宋体" w:hAnsi="宋体" w:cs="宋体" w:eastAsia="宋体" w:hint="default"/>
                            <w:w w:val="101"/>
                            <w:sz w:val="18"/>
                            <w:szCs w:val="18"/>
                          </w:rPr>
                          <w:t> </w:t>
                        </w:r>
                        <w:r>
                          <w:rPr>
                            <w:rFonts w:ascii="宋体" w:hAnsi="宋体" w:cs="宋体" w:eastAsia="宋体" w:hint="default"/>
                            <w:sz w:val="18"/>
                            <w:szCs w:val="18"/>
                          </w:rPr>
                          <w:t>减幅</w:t>
                        </w:r>
                        <w:r>
                          <w:rPr>
                            <w:rFonts w:ascii="宋体" w:hAnsi="宋体" w:cs="宋体" w:eastAsia="宋体" w:hint="default"/>
                            <w:spacing w:val="-24"/>
                            <w:sz w:val="18"/>
                            <w:szCs w:val="18"/>
                          </w:rPr>
                          <w:t> </w:t>
                        </w:r>
                        <w:r>
                          <w:rPr>
                            <w:rFonts w:ascii="Times New Roman" w:hAnsi="Times New Roman" w:cs="Times New Roman" w:eastAsia="Times New Roman" w:hint="default"/>
                            <w:spacing w:val="-7"/>
                            <w:sz w:val="18"/>
                            <w:szCs w:val="18"/>
                          </w:rPr>
                          <w:t>72.42%</w:t>
                        </w:r>
                        <w:r>
                          <w:rPr>
                            <w:rFonts w:ascii="宋体" w:hAnsi="宋体" w:cs="宋体" w:eastAsia="宋体" w:hint="default"/>
                            <w:spacing w:val="-7"/>
                            <w:sz w:val="18"/>
                            <w:szCs w:val="18"/>
                          </w:rPr>
                          <w:t>，主要是：报告期新增银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6"/>
                            <w:sz w:val="18"/>
                            <w:szCs w:val="18"/>
                          </w:rPr>
                          <w:t>行短期借款</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利息支出相应增加、募集</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4"/>
                            <w:sz w:val="18"/>
                            <w:szCs w:val="18"/>
                          </w:rPr>
                          <w:t>资金定期存款减少，利息收入相应减</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少所致。</w:t>
                        </w:r>
                      </w:p>
                    </w:tc>
                  </w:tr>
                  <w:tr>
                    <w:trPr>
                      <w:trHeight w:val="393" w:hRule="exact"/>
                    </w:trPr>
                    <w:tc>
                      <w:tcPr>
                        <w:tcW w:w="19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8"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59"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629" w:hRule="exact"/>
                    </w:trPr>
                    <w:tc>
                      <w:tcPr>
                        <w:tcW w:w="19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8"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59"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70" w:hRule="exact"/>
                    </w:trPr>
                    <w:tc>
                      <w:tcPr>
                        <w:tcW w:w="19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8"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56" w:right="0"/>
                          <w:jc w:val="left"/>
                          <w:rPr>
                            <w:rFonts w:ascii="Times New Roman" w:hAnsi="Times New Roman" w:cs="Times New Roman" w:eastAsia="Times New Roman" w:hint="default"/>
                            <w:sz w:val="18"/>
                            <w:szCs w:val="18"/>
                          </w:rPr>
                        </w:pPr>
                        <w:r>
                          <w:rPr>
                            <w:rFonts w:ascii="Times New Roman"/>
                            <w:sz w:val="18"/>
                          </w:rPr>
                          <w:t>25,819,614.38</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61" w:right="0"/>
                          <w:jc w:val="left"/>
                          <w:rPr>
                            <w:rFonts w:ascii="Times New Roman" w:hAnsi="Times New Roman" w:cs="Times New Roman" w:eastAsia="Times New Roman" w:hint="default"/>
                            <w:sz w:val="18"/>
                            <w:szCs w:val="18"/>
                          </w:rPr>
                        </w:pPr>
                        <w:r>
                          <w:rPr>
                            <w:rFonts w:ascii="Times New Roman"/>
                            <w:sz w:val="18"/>
                          </w:rPr>
                          <w:t>12,939,932.92</w:t>
                        </w:r>
                      </w:p>
                    </w:tc>
                    <w:tc>
                      <w:tcPr>
                        <w:tcW w:w="14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868" w:right="0"/>
                          <w:jc w:val="left"/>
                          <w:rPr>
                            <w:rFonts w:ascii="Times New Roman" w:hAnsi="Times New Roman" w:cs="Times New Roman" w:eastAsia="Times New Roman" w:hint="default"/>
                            <w:sz w:val="18"/>
                            <w:szCs w:val="18"/>
                          </w:rPr>
                        </w:pPr>
                        <w:r>
                          <w:rPr>
                            <w:rFonts w:ascii="Times New Roman"/>
                            <w:sz w:val="18"/>
                          </w:rPr>
                          <w:t>99.53%</w:t>
                        </w:r>
                      </w:p>
                    </w:tc>
                    <w:tc>
                      <w:tcPr>
                        <w:tcW w:w="2918" w:type="dxa"/>
                        <w:vMerge w:val="restart"/>
                        <w:tcBorders>
                          <w:top w:val="single" w:sz="4" w:space="0" w:color="000000"/>
                          <w:left w:val="single" w:sz="4" w:space="0" w:color="000000"/>
                          <w:right w:val="single" w:sz="4" w:space="0" w:color="000000"/>
                        </w:tcBorders>
                      </w:tcPr>
                      <w:p>
                        <w:pPr>
                          <w:pStyle w:val="TableParagraph"/>
                          <w:spacing w:line="307" w:lineRule="auto" w:before="53"/>
                          <w:ind w:left="23" w:right="17"/>
                          <w:jc w:val="both"/>
                          <w:rPr>
                            <w:rFonts w:ascii="宋体" w:hAnsi="宋体" w:cs="宋体" w:eastAsia="宋体" w:hint="default"/>
                            <w:sz w:val="18"/>
                            <w:szCs w:val="18"/>
                          </w:rPr>
                        </w:pPr>
                        <w:r>
                          <w:rPr>
                            <w:rFonts w:ascii="宋体" w:hAnsi="宋体" w:cs="宋体" w:eastAsia="宋体" w:hint="default"/>
                            <w:spacing w:val="-3"/>
                            <w:sz w:val="18"/>
                            <w:szCs w:val="18"/>
                          </w:rPr>
                          <w:t>所得税费用比上年同期增加</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1,288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w:t>
                        </w:r>
                        <w:r>
                          <w:rPr>
                            <w:rFonts w:ascii="宋体" w:hAnsi="宋体" w:cs="宋体" w:eastAsia="宋体" w:hint="default"/>
                            <w:spacing w:val="-77"/>
                            <w:sz w:val="18"/>
                            <w:szCs w:val="18"/>
                          </w:rPr>
                          <w:t> </w:t>
                        </w:r>
                        <w:r>
                          <w:rPr>
                            <w:rFonts w:ascii="宋体" w:hAnsi="宋体" w:cs="宋体" w:eastAsia="宋体" w:hint="default"/>
                            <w:sz w:val="18"/>
                            <w:szCs w:val="18"/>
                          </w:rPr>
                          <w:t>元，增幅</w:t>
                        </w:r>
                        <w:r>
                          <w:rPr>
                            <w:rFonts w:ascii="宋体" w:hAnsi="宋体" w:cs="宋体" w:eastAsia="宋体" w:hint="default"/>
                            <w:spacing w:val="-32"/>
                            <w:sz w:val="18"/>
                            <w:szCs w:val="18"/>
                          </w:rPr>
                          <w:t> </w:t>
                        </w:r>
                        <w:r>
                          <w:rPr>
                            <w:rFonts w:ascii="Times New Roman" w:hAnsi="Times New Roman" w:cs="Times New Roman" w:eastAsia="Times New Roman" w:hint="default"/>
                            <w:spacing w:val="-3"/>
                            <w:sz w:val="18"/>
                            <w:szCs w:val="18"/>
                          </w:rPr>
                          <w:t>99.53%</w:t>
                        </w:r>
                        <w:r>
                          <w:rPr>
                            <w:rFonts w:ascii="宋体" w:hAnsi="宋体" w:cs="宋体" w:eastAsia="宋体" w:hint="default"/>
                            <w:spacing w:val="-3"/>
                            <w:sz w:val="18"/>
                            <w:szCs w:val="18"/>
                          </w:rPr>
                          <w:t>主要是：报告期内</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7"/>
                            <w:sz w:val="18"/>
                            <w:szCs w:val="18"/>
                          </w:rPr>
                          <w:t> </w:t>
                        </w:r>
                        <w:r>
                          <w:rPr>
                            <w:rFonts w:ascii="宋体" w:hAnsi="宋体" w:cs="宋体" w:eastAsia="宋体" w:hint="default"/>
                            <w:spacing w:val="-4"/>
                            <w:sz w:val="18"/>
                            <w:szCs w:val="18"/>
                          </w:rPr>
                          <w:t>随着公司盈利增加，相应增加所得税</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费用</w:t>
                        </w:r>
                      </w:p>
                    </w:tc>
                  </w:tr>
                  <w:tr>
                    <w:trPr>
                      <w:trHeight w:val="389" w:hRule="exact"/>
                    </w:trPr>
                    <w:tc>
                      <w:tcPr>
                        <w:tcW w:w="19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37" w:type="dxa"/>
                        <w:vMerge/>
                        <w:tcBorders>
                          <w:left w:val="single" w:sz="8"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59"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5" w:hRule="exact"/>
                    </w:trPr>
                    <w:tc>
                      <w:tcPr>
                        <w:tcW w:w="19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8"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59"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spacing w:line="335" w:lineRule="exact"/>
        <w:ind w:left="575" w:right="0"/>
        <w:jc w:val="left"/>
        <w:rPr>
          <w:b w:val="0"/>
          <w:bCs w:val="0"/>
        </w:rPr>
      </w:pPr>
      <w:r>
        <w:rPr>
          <w:rFonts w:ascii="Arial" w:hAnsi="Arial" w:cs="Arial" w:eastAsia="Arial" w:hint="default"/>
        </w:rPr>
        <w:t>6</w:t>
      </w:r>
      <w:r>
        <w:rPr/>
        <w:t>）研发投入</w:t>
      </w:r>
      <w:r>
        <w:rPr>
          <w:b w:val="0"/>
          <w:bCs w:val="0"/>
        </w:rPr>
      </w:r>
    </w:p>
    <w:p>
      <w:pPr>
        <w:pStyle w:val="BodyText"/>
        <w:spacing w:line="240" w:lineRule="auto" w:before="171"/>
        <w:ind w:left="575" w:right="0"/>
        <w:jc w:val="left"/>
      </w:pPr>
      <w:r>
        <w:rPr/>
        <w:t>√ 适用 □</w:t>
      </w:r>
      <w:r>
        <w:rPr>
          <w:spacing w:val="3"/>
        </w:rPr>
        <w:t> </w:t>
      </w:r>
      <w:r>
        <w:rPr/>
        <w:t>不适用</w:t>
      </w:r>
    </w:p>
    <w:p>
      <w:pPr>
        <w:spacing w:after="0" w:line="240" w:lineRule="auto"/>
        <w:jc w:val="left"/>
        <w:sectPr>
          <w:pgSz w:w="11900" w:h="16840"/>
          <w:pgMar w:header="742" w:footer="984" w:top="1060" w:bottom="118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86" w:lineRule="auto"/>
        <w:ind w:right="142" w:firstLine="422"/>
        <w:jc w:val="both"/>
      </w:pPr>
      <w:r>
        <w:rPr>
          <w:rFonts w:ascii="Arial" w:hAnsi="Arial" w:cs="Arial" w:eastAsia="Arial" w:hint="default"/>
          <w:spacing w:val="-3"/>
        </w:rPr>
        <w:t>2014</w:t>
      </w:r>
      <w:r>
        <w:rPr>
          <w:rFonts w:ascii="Arial" w:hAnsi="Arial" w:cs="Arial" w:eastAsia="Arial" w:hint="default"/>
          <w:spacing w:val="33"/>
        </w:rPr>
        <w:t> </w:t>
      </w:r>
      <w:r>
        <w:rPr/>
        <w:t>年度，公司进一步加强了染料、中间体、助剂一体化战略的实施，研发管理工作进一步规范，</w:t>
      </w:r>
      <w:r>
        <w:rPr>
          <w:w w:val="100"/>
        </w:rPr>
        <w:t> </w:t>
      </w:r>
      <w:r>
        <w:rPr/>
        <w:t>染料、中间体、助剂联合研发实力进一步增强。</w:t>
      </w:r>
    </w:p>
    <w:p>
      <w:pPr>
        <w:pStyle w:val="BodyText"/>
        <w:spacing w:line="396" w:lineRule="auto" w:before="67"/>
        <w:ind w:right="141" w:firstLine="422"/>
        <w:jc w:val="both"/>
      </w:pPr>
      <w:r>
        <w:rPr/>
        <w:t>公司着眼于研发战略、客户市场需求，在积极开展市场调研的基础上，进行新产品研发，</w:t>
      </w:r>
      <w:r>
        <w:rPr>
          <w:rFonts w:ascii="Arial" w:hAnsi="Arial" w:cs="Arial" w:eastAsia="Arial" w:hint="default"/>
        </w:rPr>
        <w:t>2014</w:t>
      </w:r>
      <w:r>
        <w:rPr>
          <w:rFonts w:ascii="Arial" w:hAnsi="Arial" w:cs="Arial" w:eastAsia="Arial" w:hint="default"/>
          <w:spacing w:val="13"/>
        </w:rPr>
        <w:t> </w:t>
      </w:r>
      <w:r>
        <w:rPr/>
        <w:t>年全</w:t>
      </w:r>
      <w:r>
        <w:rPr>
          <w:w w:val="100"/>
        </w:rPr>
        <w:t> </w:t>
      </w:r>
      <w:r>
        <w:rPr/>
        <w:t>年完成研发项目近 </w:t>
      </w:r>
      <w:r>
        <w:rPr>
          <w:rFonts w:ascii="Arial" w:hAnsi="Arial" w:cs="Arial" w:eastAsia="Arial" w:hint="default"/>
        </w:rPr>
        <w:t>40</w:t>
      </w:r>
      <w:r>
        <w:rPr>
          <w:rFonts w:ascii="Arial" w:hAnsi="Arial" w:cs="Arial" w:eastAsia="Arial" w:hint="default"/>
          <w:spacing w:val="-1"/>
        </w:rPr>
        <w:t> </w:t>
      </w:r>
      <w:r>
        <w:rPr/>
        <w:t>项，在染料方面，针对市场需求推出了高牢度的紫色和深蓝色品种，更好地补充了</w:t>
      </w:r>
      <w:r>
        <w:rPr>
          <w:w w:val="100"/>
        </w:rPr>
        <w:t> </w:t>
      </w:r>
      <w:r>
        <w:rPr>
          <w:spacing w:val="-2"/>
        </w:rPr>
        <w:t>产品系列，补充了活性染色品种的生产工艺技术；结合市场使用反馈对锦棉一浴品种进行了改进以更好地</w:t>
      </w:r>
      <w:r>
        <w:rPr>
          <w:spacing w:val="-35"/>
        </w:rPr>
        <w:t> </w:t>
      </w:r>
      <w:r>
        <w:rPr>
          <w:spacing w:val="-35"/>
        </w:rPr>
      </w:r>
      <w:r>
        <w:rPr>
          <w:spacing w:val="-4"/>
        </w:rPr>
        <w:t>适应市场需求，在染料中间体方面，为确保烟台 </w:t>
      </w:r>
      <w:r>
        <w:rPr>
          <w:rFonts w:ascii="Arial" w:hAnsi="Arial" w:cs="Arial" w:eastAsia="Arial" w:hint="default"/>
        </w:rPr>
        <w:t>30000 </w:t>
      </w:r>
      <w:r>
        <w:rPr>
          <w:spacing w:val="-3"/>
        </w:rPr>
        <w:t>吨精细化工中间体建设项目的顺利实施，公司研发</w:t>
      </w:r>
      <w:r>
        <w:rPr>
          <w:spacing w:val="-94"/>
        </w:rPr>
        <w:t> </w:t>
      </w:r>
      <w:r>
        <w:rPr>
          <w:spacing w:val="-94"/>
        </w:rPr>
      </w:r>
      <w:r>
        <w:rPr>
          <w:spacing w:val="-2"/>
        </w:rPr>
        <w:t>团队针对染料中间体进行了产品研发，完成了预期目标。在助剂方面完成了工作包括高温均染剂、环保皂</w:t>
      </w:r>
      <w:r>
        <w:rPr>
          <w:spacing w:val="-35"/>
        </w:rPr>
        <w:t> </w:t>
      </w:r>
      <w:r>
        <w:rPr>
          <w:spacing w:val="-35"/>
        </w:rPr>
      </w:r>
      <w:r>
        <w:rPr/>
        <w:t>洗剂等</w:t>
      </w:r>
      <w:r>
        <w:rPr>
          <w:spacing w:val="-52"/>
        </w:rPr>
        <w:t> </w:t>
      </w:r>
      <w:r>
        <w:rPr>
          <w:rFonts w:ascii="Arial" w:hAnsi="Arial" w:cs="Arial" w:eastAsia="Arial" w:hint="default"/>
        </w:rPr>
        <w:t>14</w:t>
      </w:r>
      <w:r>
        <w:rPr>
          <w:rFonts w:ascii="Arial" w:hAnsi="Arial" w:cs="Arial" w:eastAsia="Arial" w:hint="default"/>
          <w:spacing w:val="-7"/>
        </w:rPr>
        <w:t> </w:t>
      </w:r>
      <w:r>
        <w:rPr/>
        <w:t>项产品研发。</w:t>
      </w:r>
    </w:p>
    <w:p>
      <w:pPr>
        <w:pStyle w:val="Heading4"/>
        <w:spacing w:line="327" w:lineRule="exact"/>
        <w:ind w:left="575" w:right="0"/>
        <w:jc w:val="left"/>
        <w:rPr>
          <w:b w:val="0"/>
          <w:bCs w:val="0"/>
        </w:rPr>
      </w:pPr>
      <w:r>
        <w:rPr/>
        <w:t>近三年公司研发投入金额及占营业收入的比例</w:t>
      </w:r>
      <w:r>
        <w:rPr>
          <w:b w:val="0"/>
          <w:bCs w:val="0"/>
        </w:rPr>
      </w:r>
    </w:p>
    <w:p>
      <w:pPr>
        <w:spacing w:line="240" w:lineRule="auto" w:before="13"/>
        <w:rPr>
          <w:rFonts w:ascii="Microsoft JhengHei" w:hAnsi="Microsoft JhengHei" w:cs="Microsoft JhengHei" w:eastAsia="Microsoft JhengHei" w:hint="default"/>
          <w:b/>
          <w:bCs/>
          <w:sz w:val="5"/>
          <w:szCs w:val="5"/>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0"/>
        <w:gridCol w:w="2390"/>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研发投入金额（元）</w:t>
            </w:r>
          </w:p>
        </w:tc>
        <w:tc>
          <w:tcPr>
            <w:tcW w:w="240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21,465,310.51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14,174,366.87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10,281,583.67</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研发投入占营业收入比例</w:t>
            </w:r>
          </w:p>
        </w:tc>
        <w:tc>
          <w:tcPr>
            <w:tcW w:w="240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2.88%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3.92%</w:t>
            </w:r>
          </w:p>
        </w:tc>
      </w:tr>
      <w:tr>
        <w:trPr>
          <w:trHeight w:val="398"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2"/>
                <w:sz w:val="18"/>
                <w:szCs w:val="18"/>
              </w:rPr>
              <w:t>研发支出资本化的金额（元）</w:t>
            </w:r>
          </w:p>
        </w:tc>
        <w:tc>
          <w:tcPr>
            <w:tcW w:w="240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80"/>
              <w:jc w:val="left"/>
              <w:rPr>
                <w:rFonts w:ascii="宋体" w:hAnsi="宋体" w:cs="宋体" w:eastAsia="宋体" w:hint="default"/>
                <w:sz w:val="18"/>
                <w:szCs w:val="18"/>
              </w:rPr>
            </w:pPr>
            <w:r>
              <w:rPr>
                <w:rFonts w:ascii="宋体" w:hAnsi="宋体" w:cs="宋体" w:eastAsia="宋体" w:hint="default"/>
                <w:spacing w:val="-3"/>
                <w:sz w:val="18"/>
                <w:szCs w:val="18"/>
              </w:rPr>
              <w:t>资本化研发支出占研发投入</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的比例</w:t>
            </w:r>
          </w:p>
        </w:tc>
        <w:tc>
          <w:tcPr>
            <w:tcW w:w="240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80"/>
              <w:jc w:val="left"/>
              <w:rPr>
                <w:rFonts w:ascii="宋体" w:hAnsi="宋体" w:cs="宋体" w:eastAsia="宋体" w:hint="default"/>
                <w:sz w:val="18"/>
                <w:szCs w:val="18"/>
              </w:rPr>
            </w:pPr>
            <w:r>
              <w:rPr>
                <w:rFonts w:ascii="宋体" w:hAnsi="宋体" w:cs="宋体" w:eastAsia="宋体" w:hint="default"/>
                <w:spacing w:val="-3"/>
                <w:sz w:val="18"/>
                <w:szCs w:val="18"/>
              </w:rPr>
              <w:t>资本化研发支出占当期净利</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润的比重</w:t>
            </w:r>
          </w:p>
        </w:tc>
        <w:tc>
          <w:tcPr>
            <w:tcW w:w="240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Heading4"/>
        <w:spacing w:line="240" w:lineRule="auto"/>
        <w:ind w:left="575" w:right="0"/>
        <w:jc w:val="left"/>
        <w:rPr>
          <w:b w:val="0"/>
          <w:bCs w:val="0"/>
        </w:rPr>
      </w:pPr>
      <w:r>
        <w:rPr/>
        <w:t>研发投入资本化率大幅变动的原因及其合理性说明</w:t>
      </w:r>
      <w:r>
        <w:rPr>
          <w:b w:val="0"/>
          <w:bCs w:val="0"/>
        </w:rPr>
      </w:r>
    </w:p>
    <w:p>
      <w:pPr>
        <w:pStyle w:val="BodyText"/>
        <w:spacing w:line="240" w:lineRule="auto" w:before="171"/>
        <w:ind w:left="575" w:right="0"/>
        <w:jc w:val="left"/>
      </w:pPr>
      <w:r>
        <w:rPr/>
        <w:t>□ 适用 √</w:t>
      </w:r>
      <w:r>
        <w:rPr>
          <w:spacing w:val="3"/>
        </w:rPr>
        <w:t> </w:t>
      </w:r>
      <w:r>
        <w:rPr/>
        <w:t>不适用</w:t>
      </w:r>
    </w:p>
    <w:p>
      <w:pPr>
        <w:pStyle w:val="Heading4"/>
        <w:spacing w:line="240" w:lineRule="auto" w:before="124"/>
        <w:ind w:left="575" w:right="0"/>
        <w:jc w:val="left"/>
        <w:rPr>
          <w:b w:val="0"/>
          <w:bCs w:val="0"/>
        </w:rPr>
      </w:pPr>
      <w:r>
        <w:rPr>
          <w:rFonts w:ascii="Arial" w:hAnsi="Arial" w:cs="Arial" w:eastAsia="Arial" w:hint="default"/>
        </w:rPr>
        <w:t>7</w:t>
      </w:r>
      <w:r>
        <w:rPr/>
        <w:t>）现金流</w:t>
      </w:r>
      <w:r>
        <w:rPr>
          <w:b w:val="0"/>
          <w:bCs w:val="0"/>
        </w:rPr>
      </w:r>
    </w:p>
    <w:p>
      <w:pPr>
        <w:spacing w:line="240" w:lineRule="auto" w:before="8"/>
        <w:rPr>
          <w:rFonts w:ascii="Microsoft JhengHei" w:hAnsi="Microsoft JhengHei" w:cs="Microsoft JhengHei" w:eastAsia="Microsoft JhengHei" w:hint="default"/>
          <w:b/>
          <w:bCs/>
          <w:sz w:val="6"/>
          <w:szCs w:val="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0"/>
        <w:gridCol w:w="2390"/>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328,067,831.30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188,572,230.24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73.97%</w:t>
            </w:r>
          </w:p>
        </w:tc>
      </w:tr>
      <w:tr>
        <w:trPr>
          <w:trHeight w:val="398"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328,021,058.65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215,485,753.69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52.22%</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8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40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46,772.65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-26,913,523.45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-100.17%</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66,531,586.08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136,262,667.21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-51.17%</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98,538,262.72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126,028,152.87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-21.81%</w:t>
            </w:r>
          </w:p>
        </w:tc>
      </w:tr>
      <w:tr>
        <w:trPr>
          <w:trHeight w:val="710"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8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40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-32,006,676.64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10,234,514.34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-412.73%</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36,230,050.00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25,315,520.00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3"/>
                <w:sz w:val="18"/>
              </w:rPr>
              <w:t>43.11%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16,964,488.89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21,969,988.89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-22.78%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1"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w:t>
            </w:r>
          </w:p>
        </w:tc>
        <w:tc>
          <w:tcPr>
            <w:tcW w:w="240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19,265,561.11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3,345,531.11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475.86%</w:t>
            </w:r>
          </w:p>
        </w:tc>
      </w:tr>
    </w:tbl>
    <w:p>
      <w:pPr>
        <w:spacing w:after="0" w:line="240" w:lineRule="auto"/>
        <w:jc w:val="right"/>
        <w:rPr>
          <w:rFonts w:ascii="Times New Roman" w:hAnsi="Times New Roman" w:cs="Times New Roman" w:eastAsia="Times New Roman" w:hint="default"/>
          <w:sz w:val="18"/>
          <w:szCs w:val="18"/>
        </w:rPr>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0"/>
        <w:gridCol w:w="2395"/>
        <w:gridCol w:w="2390"/>
        <w:gridCol w:w="2390"/>
      </w:tblGrid>
      <w:tr>
        <w:trPr>
          <w:trHeight w:val="360"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2395"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62" w:right="0"/>
              <w:jc w:val="left"/>
              <w:rPr>
                <w:rFonts w:ascii="Times New Roman" w:hAnsi="Times New Roman" w:cs="Times New Roman" w:eastAsia="Times New Roman" w:hint="default"/>
                <w:sz w:val="18"/>
                <w:szCs w:val="18"/>
              </w:rPr>
            </w:pPr>
            <w:r>
              <w:rPr>
                <w:rFonts w:ascii="Times New Roman"/>
                <w:sz w:val="18"/>
              </w:rPr>
              <w:t>-12,466,209.05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62" w:right="0"/>
              <w:jc w:val="left"/>
              <w:rPr>
                <w:rFonts w:ascii="Times New Roman" w:hAnsi="Times New Roman" w:cs="Times New Roman" w:eastAsia="Times New Roman" w:hint="default"/>
                <w:sz w:val="18"/>
                <w:szCs w:val="18"/>
              </w:rPr>
            </w:pPr>
            <w:r>
              <w:rPr>
                <w:rFonts w:ascii="Times New Roman"/>
                <w:sz w:val="18"/>
              </w:rPr>
              <w:t>-13,778,879.69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-9.53%</w:t>
            </w:r>
          </w:p>
        </w:tc>
      </w:tr>
    </w:tbl>
    <w:p>
      <w:pPr>
        <w:pStyle w:val="Heading4"/>
        <w:spacing w:line="240" w:lineRule="auto"/>
        <w:ind w:left="575" w:right="0"/>
        <w:jc w:val="left"/>
        <w:rPr>
          <w:b w:val="0"/>
          <w:bCs w:val="0"/>
        </w:rPr>
      </w:pPr>
      <w:r>
        <w:rPr/>
        <w:t>相关数据同比发生变动</w:t>
      </w:r>
      <w:r>
        <w:rPr>
          <w:spacing w:val="14"/>
        </w:rPr>
        <w:t> </w:t>
      </w:r>
      <w:r>
        <w:rPr>
          <w:rFonts w:ascii="Arial" w:hAnsi="Arial" w:cs="Arial" w:eastAsia="Arial" w:hint="default"/>
        </w:rPr>
        <w:t>30%</w:t>
      </w:r>
      <w:r>
        <w:rPr/>
        <w:t>以上的原因说明</w:t>
      </w:r>
      <w:r>
        <w:rPr>
          <w:b w:val="0"/>
          <w:bCs w:val="0"/>
        </w:rPr>
      </w:r>
    </w:p>
    <w:p>
      <w:pPr>
        <w:pStyle w:val="BodyText"/>
        <w:spacing w:line="240" w:lineRule="auto" w:before="171"/>
        <w:ind w:left="575" w:right="0"/>
        <w:jc w:val="left"/>
      </w:pPr>
      <w:r>
        <w:rPr/>
        <w:t>√ 适用 □</w:t>
      </w:r>
      <w:r>
        <w:rPr>
          <w:spacing w:val="3"/>
        </w:rPr>
        <w:t> </w:t>
      </w:r>
      <w:r>
        <w:rPr/>
        <w:t>不适用</w:t>
      </w:r>
    </w:p>
    <w:p>
      <w:pPr>
        <w:spacing w:line="240" w:lineRule="auto" w:before="8"/>
        <w:rPr>
          <w:rFonts w:ascii="宋体" w:hAnsi="宋体" w:cs="宋体" w:eastAsia="宋体" w:hint="default"/>
          <w:sz w:val="14"/>
          <w:szCs w:val="14"/>
        </w:rPr>
      </w:pPr>
    </w:p>
    <w:p>
      <w:pPr>
        <w:pStyle w:val="BodyText"/>
        <w:spacing w:line="398" w:lineRule="auto"/>
        <w:ind w:right="142" w:firstLine="422"/>
        <w:jc w:val="both"/>
      </w:pPr>
      <w:r>
        <w:rPr/>
        <w:t>（</w:t>
      </w:r>
      <w:r>
        <w:rPr>
          <w:rFonts w:ascii="Arial" w:hAnsi="Arial" w:cs="Arial" w:eastAsia="Arial" w:hint="default"/>
        </w:rPr>
        <w:t>1</w:t>
      </w:r>
      <w:r>
        <w:rPr/>
        <w:t>）报告期经营活动产生的现金流量净额比上年同期增加 </w:t>
      </w:r>
      <w:r>
        <w:rPr>
          <w:rFonts w:ascii="Arial" w:hAnsi="Arial" w:cs="Arial" w:eastAsia="Arial" w:hint="default"/>
          <w:spacing w:val="-3"/>
        </w:rPr>
        <w:t>2,696 </w:t>
      </w:r>
      <w:r>
        <w:rPr/>
        <w:t>万元，减幅</w:t>
      </w:r>
      <w:r>
        <w:rPr>
          <w:spacing w:val="-76"/>
        </w:rPr>
        <w:t> </w:t>
      </w:r>
      <w:r>
        <w:rPr>
          <w:rFonts w:ascii="Arial" w:hAnsi="Arial" w:cs="Arial" w:eastAsia="Arial" w:hint="default"/>
        </w:rPr>
        <w:t>100.17%</w:t>
      </w:r>
      <w:r>
        <w:rPr/>
        <w:t>，主要是：报</w:t>
      </w:r>
      <w:r>
        <w:rPr>
          <w:w w:val="100"/>
        </w:rPr>
        <w:t> </w:t>
      </w:r>
      <w:r>
        <w:rPr>
          <w:spacing w:val="-2"/>
        </w:rPr>
        <w:t>告期内，公司继续加强对应收账款管控，催收到期应收账款，加速经营资金回笼，报告期内，应收账款及</w:t>
      </w:r>
      <w:r>
        <w:rPr>
          <w:spacing w:val="-40"/>
        </w:rPr>
        <w:t> </w:t>
      </w:r>
      <w:r>
        <w:rPr>
          <w:spacing w:val="-40"/>
        </w:rPr>
      </w:r>
      <w:r>
        <w:rPr/>
        <w:t>应收票据增加</w:t>
      </w:r>
      <w:r>
        <w:rPr>
          <w:spacing w:val="-47"/>
        </w:rPr>
        <w:t> </w:t>
      </w:r>
      <w:r>
        <w:rPr>
          <w:rFonts w:ascii="Arial" w:hAnsi="Arial" w:cs="Arial" w:eastAsia="Arial" w:hint="default"/>
          <w:spacing w:val="-3"/>
        </w:rPr>
        <w:t>6,802 </w:t>
      </w:r>
      <w:r>
        <w:rPr/>
        <w:t>万元，比上年同期增加数减少</w:t>
      </w:r>
      <w:r>
        <w:rPr>
          <w:spacing w:val="-47"/>
        </w:rPr>
        <w:t> </w:t>
      </w:r>
      <w:r>
        <w:rPr>
          <w:rFonts w:ascii="Arial" w:hAnsi="Arial" w:cs="Arial" w:eastAsia="Arial" w:hint="default"/>
          <w:spacing w:val="-3"/>
        </w:rPr>
        <w:t>2,500 </w:t>
      </w:r>
      <w:r>
        <w:rPr/>
        <w:t>万元，相应增加经营现金流入。</w:t>
      </w:r>
    </w:p>
    <w:p>
      <w:pPr>
        <w:pStyle w:val="BodyText"/>
        <w:spacing w:line="386" w:lineRule="auto" w:before="25"/>
        <w:ind w:right="140" w:firstLine="422"/>
        <w:jc w:val="left"/>
      </w:pPr>
      <w:r>
        <w:rPr/>
        <w:t>（</w:t>
      </w:r>
      <w:r>
        <w:rPr>
          <w:rFonts w:ascii="Arial" w:hAnsi="Arial" w:cs="Arial" w:eastAsia="Arial" w:hint="default"/>
        </w:rPr>
        <w:t>2</w:t>
      </w:r>
      <w:r>
        <w:rPr/>
        <w:t>）报告期投资活动产生的现金流量净额比上年同期减少 </w:t>
      </w:r>
      <w:r>
        <w:rPr>
          <w:rFonts w:ascii="Arial" w:hAnsi="Arial" w:cs="Arial" w:eastAsia="Arial" w:hint="default"/>
          <w:spacing w:val="-3"/>
        </w:rPr>
        <w:t>4,224 </w:t>
      </w:r>
      <w:r>
        <w:rPr/>
        <w:t>万元，减幅</w:t>
      </w:r>
      <w:r>
        <w:rPr>
          <w:spacing w:val="-76"/>
        </w:rPr>
        <w:t> </w:t>
      </w:r>
      <w:r>
        <w:rPr>
          <w:rFonts w:ascii="Arial" w:hAnsi="Arial" w:cs="Arial" w:eastAsia="Arial" w:hint="default"/>
        </w:rPr>
        <w:t>412.73%</w:t>
      </w:r>
      <w:r>
        <w:rPr/>
        <w:t>，主要是：报</w:t>
      </w:r>
      <w:r>
        <w:rPr>
          <w:w w:val="100"/>
        </w:rPr>
        <w:t> </w:t>
      </w:r>
      <w:r>
        <w:rPr/>
        <w:t>告期内，烟台精细化工 </w:t>
      </w:r>
      <w:r>
        <w:rPr>
          <w:rFonts w:ascii="Arial" w:hAnsi="Arial" w:cs="Arial" w:eastAsia="Arial" w:hint="default"/>
          <w:spacing w:val="-3"/>
        </w:rPr>
        <w:t>30000 </w:t>
      </w:r>
      <w:r>
        <w:rPr/>
        <w:t>吨中间体项目、东营年产 </w:t>
      </w:r>
      <w:r>
        <w:rPr>
          <w:rFonts w:ascii="Arial" w:hAnsi="Arial" w:cs="Arial" w:eastAsia="Arial" w:hint="default"/>
          <w:spacing w:val="-3"/>
        </w:rPr>
        <w:t>25000</w:t>
      </w:r>
      <w:r>
        <w:rPr>
          <w:rFonts w:ascii="Arial" w:hAnsi="Arial" w:cs="Arial" w:eastAsia="Arial" w:hint="default"/>
          <w:spacing w:val="-25"/>
        </w:rPr>
        <w:t> </w:t>
      </w:r>
      <w:r>
        <w:rPr/>
        <w:t>吨分散染料项目逐步建设投入，报告期内</w:t>
      </w:r>
    </w:p>
    <w:p>
      <w:pPr>
        <w:pStyle w:val="BodyText"/>
        <w:spacing w:line="240" w:lineRule="auto" w:before="37"/>
        <w:ind w:right="0"/>
        <w:jc w:val="left"/>
      </w:pPr>
      <w:r>
        <w:rPr/>
        <w:t>购建固定资产、无形资产和其他长期资产所支付的现金比上年同期增加</w:t>
      </w:r>
      <w:r>
        <w:rPr>
          <w:spacing w:val="-48"/>
        </w:rPr>
        <w:t> </w:t>
      </w:r>
      <w:r>
        <w:rPr>
          <w:rFonts w:ascii="Arial" w:hAnsi="Arial" w:cs="Arial" w:eastAsia="Arial" w:hint="default"/>
          <w:spacing w:val="-3"/>
        </w:rPr>
        <w:t>5,448</w:t>
      </w:r>
      <w:r>
        <w:rPr>
          <w:rFonts w:ascii="Arial" w:hAnsi="Arial" w:cs="Arial" w:eastAsia="Arial" w:hint="default"/>
          <w:spacing w:val="-4"/>
        </w:rPr>
        <w:t> </w:t>
      </w:r>
      <w:r>
        <w:rPr/>
        <w:t>万元。</w:t>
      </w:r>
    </w:p>
    <w:p>
      <w:pPr>
        <w:pStyle w:val="BodyText"/>
        <w:spacing w:line="388" w:lineRule="auto" w:before="176"/>
        <w:ind w:right="140" w:firstLine="422"/>
        <w:jc w:val="left"/>
      </w:pPr>
      <w:r>
        <w:rPr/>
        <w:t>（</w:t>
      </w:r>
      <w:r>
        <w:rPr>
          <w:rFonts w:ascii="Arial" w:hAnsi="Arial" w:cs="Arial" w:eastAsia="Arial" w:hint="default"/>
        </w:rPr>
        <w:t>3</w:t>
      </w:r>
      <w:r>
        <w:rPr/>
        <w:t>）报告期筹资活动产生的现金流量净额比上年同期增加 </w:t>
      </w:r>
      <w:r>
        <w:rPr>
          <w:rFonts w:ascii="Arial" w:hAnsi="Arial" w:cs="Arial" w:eastAsia="Arial" w:hint="default"/>
          <w:spacing w:val="-3"/>
        </w:rPr>
        <w:t>1,592 </w:t>
      </w:r>
      <w:r>
        <w:rPr/>
        <w:t>万元，增幅</w:t>
      </w:r>
      <w:r>
        <w:rPr>
          <w:spacing w:val="-76"/>
        </w:rPr>
        <w:t> </w:t>
      </w:r>
      <w:r>
        <w:rPr>
          <w:rFonts w:ascii="Arial" w:hAnsi="Arial" w:cs="Arial" w:eastAsia="Arial" w:hint="default"/>
        </w:rPr>
        <w:t>475.86%</w:t>
      </w:r>
      <w:r>
        <w:rPr/>
        <w:t>，主要是：报</w:t>
      </w:r>
      <w:r>
        <w:rPr>
          <w:w w:val="100"/>
        </w:rPr>
        <w:t> </w:t>
      </w:r>
      <w:r>
        <w:rPr/>
        <w:t>告期内，公司根据经营需求，新增银行短期借款</w:t>
      </w:r>
      <w:r>
        <w:rPr>
          <w:spacing w:val="-45"/>
        </w:rPr>
        <w:t> </w:t>
      </w:r>
      <w:r>
        <w:rPr>
          <w:rFonts w:ascii="Arial" w:hAnsi="Arial" w:cs="Arial" w:eastAsia="Arial" w:hint="default"/>
          <w:spacing w:val="-3"/>
        </w:rPr>
        <w:t>2,500</w:t>
      </w:r>
      <w:r>
        <w:rPr>
          <w:rFonts w:ascii="Arial" w:hAnsi="Arial" w:cs="Arial" w:eastAsia="Arial" w:hint="default"/>
          <w:spacing w:val="-2"/>
        </w:rPr>
        <w:t> </w:t>
      </w:r>
      <w:r>
        <w:rPr/>
        <w:t>万元。</w:t>
      </w:r>
    </w:p>
    <w:p>
      <w:pPr>
        <w:pStyle w:val="Heading4"/>
        <w:spacing w:line="329" w:lineRule="exact"/>
        <w:ind w:left="575" w:right="0"/>
        <w:jc w:val="left"/>
        <w:rPr>
          <w:b w:val="0"/>
          <w:bCs w:val="0"/>
        </w:rPr>
      </w:pPr>
      <w:r>
        <w:rPr/>
        <w:t>报告期内公司经营活动的现金流量与本年度净利润存在重大差异的原因说明</w:t>
      </w:r>
      <w:r>
        <w:rPr>
          <w:b w:val="0"/>
          <w:bCs w:val="0"/>
        </w:rPr>
      </w:r>
    </w:p>
    <w:p>
      <w:pPr>
        <w:pStyle w:val="BodyText"/>
        <w:spacing w:line="240" w:lineRule="auto" w:before="171"/>
        <w:ind w:left="575" w:right="0"/>
        <w:jc w:val="left"/>
      </w:pPr>
      <w:r>
        <w:rPr/>
        <w:t>√ 适用 □</w:t>
      </w:r>
      <w:r>
        <w:rPr>
          <w:spacing w:val="3"/>
        </w:rPr>
        <w:t> </w:t>
      </w:r>
      <w:r>
        <w:rPr/>
        <w:t>不适用</w:t>
      </w:r>
    </w:p>
    <w:p>
      <w:pPr>
        <w:spacing w:line="240" w:lineRule="auto" w:before="8"/>
        <w:rPr>
          <w:rFonts w:ascii="宋体" w:hAnsi="宋体" w:cs="宋体" w:eastAsia="宋体" w:hint="default"/>
          <w:sz w:val="14"/>
          <w:szCs w:val="14"/>
        </w:rPr>
      </w:pPr>
    </w:p>
    <w:p>
      <w:pPr>
        <w:pStyle w:val="BodyText"/>
        <w:spacing w:line="240" w:lineRule="auto"/>
        <w:ind w:left="575" w:right="0"/>
        <w:jc w:val="left"/>
      </w:pPr>
      <w:r>
        <w:rPr/>
        <w:t>报告期内，公司实现净利润 </w:t>
      </w:r>
      <w:r>
        <w:rPr>
          <w:rFonts w:ascii="Arial" w:hAnsi="Arial" w:cs="Arial" w:eastAsia="Arial" w:hint="default"/>
        </w:rPr>
        <w:t>10,503.36  </w:t>
      </w:r>
      <w:r>
        <w:rPr/>
        <w:t>万元，经营活动产生的现金流量净额 </w:t>
      </w:r>
      <w:r>
        <w:rPr>
          <w:rFonts w:ascii="Arial" w:hAnsi="Arial" w:cs="Arial" w:eastAsia="Arial" w:hint="default"/>
        </w:rPr>
        <w:t>4.68  </w:t>
      </w:r>
      <w:r>
        <w:rPr>
          <w:rFonts w:ascii="Arial" w:hAnsi="Arial" w:cs="Arial" w:eastAsia="Arial" w:hint="default"/>
          <w:spacing w:val="4"/>
        </w:rPr>
        <w:t> </w:t>
      </w:r>
      <w:r>
        <w:rPr/>
        <w:t>万元，存在差异</w:t>
      </w:r>
    </w:p>
    <w:p>
      <w:pPr>
        <w:pStyle w:val="BodyText"/>
        <w:spacing w:line="240" w:lineRule="auto" w:before="180"/>
        <w:ind w:right="0"/>
        <w:jc w:val="left"/>
      </w:pPr>
      <w:r>
        <w:rPr>
          <w:rFonts w:ascii="Arial" w:hAnsi="Arial" w:cs="Arial" w:eastAsia="Arial" w:hint="default"/>
        </w:rPr>
        <w:t>10,498.68 </w:t>
      </w:r>
      <w:r>
        <w:rPr>
          <w:spacing w:val="-4"/>
        </w:rPr>
        <w:t>万元，差异主要是：报告期内，随着营业收入增加 </w:t>
      </w:r>
      <w:r>
        <w:rPr>
          <w:rFonts w:ascii="Arial" w:hAnsi="Arial" w:cs="Arial" w:eastAsia="Arial" w:hint="default"/>
          <w:spacing w:val="-3"/>
        </w:rPr>
        <w:t>23,962</w:t>
      </w:r>
      <w:r>
        <w:rPr>
          <w:rFonts w:ascii="Arial" w:hAnsi="Arial" w:cs="Arial" w:eastAsia="Arial" w:hint="default"/>
          <w:spacing w:val="-2"/>
        </w:rPr>
        <w:t> </w:t>
      </w:r>
      <w:r>
        <w:rPr>
          <w:spacing w:val="-3"/>
        </w:rPr>
        <w:t>万元，应收账款及应收票据相应增加</w:t>
      </w:r>
    </w:p>
    <w:p>
      <w:pPr>
        <w:pStyle w:val="BodyText"/>
        <w:spacing w:line="240" w:lineRule="auto" w:before="176"/>
        <w:ind w:right="0"/>
        <w:jc w:val="left"/>
      </w:pPr>
      <w:r>
        <w:rPr>
          <w:rFonts w:ascii="Arial" w:hAnsi="Arial" w:cs="Arial" w:eastAsia="Arial" w:hint="default"/>
          <w:spacing w:val="-3"/>
        </w:rPr>
        <w:t>6,802</w:t>
      </w:r>
      <w:r>
        <w:rPr>
          <w:rFonts w:ascii="Arial" w:hAnsi="Arial" w:cs="Arial" w:eastAsia="Arial" w:hint="default"/>
          <w:spacing w:val="-1"/>
        </w:rPr>
        <w:t> </w:t>
      </w:r>
      <w:r>
        <w:rPr/>
        <w:t>万元，存货增加</w:t>
      </w:r>
      <w:r>
        <w:rPr>
          <w:spacing w:val="-45"/>
        </w:rPr>
        <w:t> </w:t>
      </w:r>
      <w:r>
        <w:rPr>
          <w:rFonts w:ascii="Arial" w:hAnsi="Arial" w:cs="Arial" w:eastAsia="Arial" w:hint="default"/>
          <w:spacing w:val="-3"/>
        </w:rPr>
        <w:t>3,805</w:t>
      </w:r>
      <w:r>
        <w:rPr>
          <w:rFonts w:ascii="Arial" w:hAnsi="Arial" w:cs="Arial" w:eastAsia="Arial" w:hint="default"/>
          <w:spacing w:val="-1"/>
        </w:rPr>
        <w:t> </w:t>
      </w:r>
      <w:r>
        <w:rPr/>
        <w:t>万元。</w:t>
      </w:r>
    </w:p>
    <w:p>
      <w:pPr>
        <w:pStyle w:val="Heading4"/>
        <w:spacing w:line="304" w:lineRule="auto" w:before="114"/>
        <w:ind w:left="575" w:right="5100"/>
        <w:jc w:val="left"/>
        <w:rPr>
          <w:b w:val="0"/>
          <w:bCs w:val="0"/>
        </w:rPr>
      </w:pPr>
      <w:r>
        <w:rPr>
          <w:rFonts w:ascii="Arial" w:hAnsi="Arial" w:cs="Arial" w:eastAsia="Arial" w:hint="default"/>
          <w:spacing w:val="-1"/>
        </w:rPr>
        <w:t>8</w:t>
      </w:r>
      <w:r>
        <w:rPr>
          <w:spacing w:val="-1"/>
        </w:rPr>
        <w:t>）公司主要供应商、客户情况</w:t>
      </w:r>
      <w:r>
        <w:rPr>
          <w:spacing w:val="-26"/>
        </w:rPr>
        <w:t> </w:t>
      </w:r>
      <w:r>
        <w:rPr/>
        <w:t>公司主要销售客户情况</w:t>
      </w:r>
      <w:r>
        <w:rPr>
          <w:b w:val="0"/>
          <w:bCs w:val="0"/>
        </w:rPr>
      </w:r>
    </w:p>
    <w:p>
      <w:pPr>
        <w:spacing w:line="240" w:lineRule="auto" w:before="0"/>
        <w:rPr>
          <w:rFonts w:ascii="Microsoft JhengHei" w:hAnsi="Microsoft JhengHei" w:cs="Microsoft JhengHei" w:eastAsia="Microsoft JhengHei" w:hint="default"/>
          <w:b/>
          <w:bCs/>
          <w:sz w:val="2"/>
          <w:szCs w:val="2"/>
        </w:rPr>
      </w:pPr>
    </w:p>
    <w:tbl>
      <w:tblPr>
        <w:tblW w:w="0" w:type="auto"/>
        <w:jc w:val="left"/>
        <w:tblInd w:w="148" w:type="dxa"/>
        <w:tblLayout w:type="fixed"/>
        <w:tblCellMar>
          <w:top w:w="0" w:type="dxa"/>
          <w:left w:w="0" w:type="dxa"/>
          <w:bottom w:w="0" w:type="dxa"/>
          <w:right w:w="0" w:type="dxa"/>
        </w:tblCellMar>
        <w:tblLook w:val="01E0"/>
      </w:tblPr>
      <w:tblGrid>
        <w:gridCol w:w="4258"/>
        <w:gridCol w:w="5309"/>
      </w:tblGrid>
      <w:tr>
        <w:trPr>
          <w:trHeight w:val="398"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前五名客户合计销售金额（元）</w:t>
            </w:r>
          </w:p>
        </w:tc>
        <w:tc>
          <w:tcPr>
            <w:tcW w:w="5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61,967,691.15</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前五名客户合计销售金额占年度销售总额比例</w:t>
            </w:r>
          </w:p>
        </w:tc>
        <w:tc>
          <w:tcPr>
            <w:tcW w:w="5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8.35%</w:t>
            </w:r>
          </w:p>
        </w:tc>
      </w:tr>
    </w:tbl>
    <w:p>
      <w:pPr>
        <w:pStyle w:val="Heading4"/>
        <w:spacing w:line="360" w:lineRule="exact"/>
        <w:ind w:left="575" w:right="0"/>
        <w:jc w:val="left"/>
        <w:rPr>
          <w:b w:val="0"/>
          <w:bCs w:val="0"/>
        </w:rPr>
      </w:pPr>
      <w:r>
        <w:rPr/>
        <w:t>向单一客户销售比例超过</w:t>
      </w:r>
      <w:r>
        <w:rPr>
          <w:spacing w:val="8"/>
        </w:rPr>
        <w:t> </w:t>
      </w:r>
      <w:r>
        <w:rPr>
          <w:rFonts w:ascii="Arial" w:hAnsi="Arial" w:cs="Arial" w:eastAsia="Arial" w:hint="default"/>
        </w:rPr>
        <w:t>30%</w:t>
      </w:r>
      <w:r>
        <w:rPr/>
        <w:t>的客户资料</w:t>
      </w:r>
      <w:r>
        <w:rPr>
          <w:b w:val="0"/>
          <w:bCs w:val="0"/>
        </w:rPr>
      </w:r>
    </w:p>
    <w:p>
      <w:pPr>
        <w:pStyle w:val="BodyText"/>
        <w:spacing w:line="240" w:lineRule="auto" w:before="171"/>
        <w:ind w:left="575" w:right="0"/>
        <w:jc w:val="left"/>
      </w:pPr>
      <w:r>
        <w:rPr/>
        <w:t>□ 适用 √</w:t>
      </w:r>
      <w:r>
        <w:rPr>
          <w:spacing w:val="3"/>
        </w:rPr>
        <w:t> </w:t>
      </w:r>
      <w:r>
        <w:rPr/>
        <w:t>不适用</w:t>
      </w:r>
    </w:p>
    <w:p>
      <w:pPr>
        <w:pStyle w:val="Heading4"/>
        <w:spacing w:line="240" w:lineRule="auto" w:before="124"/>
        <w:ind w:left="575" w:right="0"/>
        <w:jc w:val="left"/>
        <w:rPr>
          <w:b w:val="0"/>
          <w:bCs w:val="0"/>
        </w:rPr>
      </w:pPr>
      <w:r>
        <w:rPr/>
        <w:t>公司主要供应商情况</w:t>
      </w:r>
      <w:r>
        <w:rPr>
          <w:b w:val="0"/>
          <w:bCs w:val="0"/>
        </w:rPr>
      </w:r>
    </w:p>
    <w:p>
      <w:pPr>
        <w:spacing w:line="240" w:lineRule="auto" w:before="1"/>
        <w:rPr>
          <w:rFonts w:ascii="Microsoft JhengHei" w:hAnsi="Microsoft JhengHei" w:cs="Microsoft JhengHei" w:eastAsia="Microsoft JhengHei" w:hint="default"/>
          <w:b/>
          <w:bCs/>
          <w:sz w:val="6"/>
          <w:szCs w:val="6"/>
        </w:rPr>
      </w:pPr>
    </w:p>
    <w:tbl>
      <w:tblPr>
        <w:tblW w:w="0" w:type="auto"/>
        <w:jc w:val="left"/>
        <w:tblInd w:w="148" w:type="dxa"/>
        <w:tblLayout w:type="fixed"/>
        <w:tblCellMar>
          <w:top w:w="0" w:type="dxa"/>
          <w:left w:w="0" w:type="dxa"/>
          <w:bottom w:w="0" w:type="dxa"/>
          <w:right w:w="0" w:type="dxa"/>
        </w:tblCellMar>
        <w:tblLook w:val="01E0"/>
      </w:tblPr>
      <w:tblGrid>
        <w:gridCol w:w="4258"/>
        <w:gridCol w:w="5309"/>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前五名供应商合计采购金额（元）</w:t>
            </w:r>
          </w:p>
        </w:tc>
        <w:tc>
          <w:tcPr>
            <w:tcW w:w="5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111,659,970.68</w:t>
            </w:r>
          </w:p>
        </w:tc>
      </w:tr>
      <w:tr>
        <w:trPr>
          <w:trHeight w:val="398"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前五名供应商合计采购金额占年度采购总额比例</w:t>
            </w:r>
          </w:p>
        </w:tc>
        <w:tc>
          <w:tcPr>
            <w:tcW w:w="5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20.95%</w:t>
            </w:r>
          </w:p>
        </w:tc>
      </w:tr>
    </w:tbl>
    <w:p>
      <w:pPr>
        <w:pStyle w:val="Heading4"/>
        <w:spacing w:line="240" w:lineRule="auto"/>
        <w:ind w:left="575" w:right="0"/>
        <w:jc w:val="left"/>
        <w:rPr>
          <w:b w:val="0"/>
          <w:bCs w:val="0"/>
        </w:rPr>
      </w:pPr>
      <w:r>
        <w:rPr/>
        <w:t>向单一供应商采购比例超过</w:t>
      </w:r>
      <w:r>
        <w:rPr>
          <w:spacing w:val="9"/>
        </w:rPr>
        <w:t> </w:t>
      </w:r>
      <w:r>
        <w:rPr>
          <w:rFonts w:ascii="Arial" w:hAnsi="Arial" w:cs="Arial" w:eastAsia="Arial" w:hint="default"/>
        </w:rPr>
        <w:t>30%</w:t>
      </w:r>
      <w:r>
        <w:rPr/>
        <w:t>的客户资料</w:t>
      </w:r>
      <w:r>
        <w:rPr>
          <w:b w:val="0"/>
          <w:bCs w:val="0"/>
        </w:rPr>
      </w:r>
    </w:p>
    <w:p>
      <w:pPr>
        <w:pStyle w:val="BodyText"/>
        <w:spacing w:line="240" w:lineRule="auto" w:before="171"/>
        <w:ind w:left="575" w:right="0"/>
        <w:jc w:val="left"/>
      </w:pPr>
      <w:r>
        <w:rPr/>
        <w:t>□ 适用 √</w:t>
      </w:r>
      <w:r>
        <w:rPr>
          <w:spacing w:val="3"/>
        </w:rPr>
        <w:t> </w:t>
      </w:r>
      <w:r>
        <w:rPr/>
        <w:t>不适用</w:t>
      </w:r>
    </w:p>
    <w:p>
      <w:pPr>
        <w:pStyle w:val="Heading4"/>
        <w:spacing w:line="309" w:lineRule="auto" w:before="124"/>
        <w:ind w:left="575" w:right="0"/>
        <w:jc w:val="left"/>
        <w:rPr>
          <w:b w:val="0"/>
          <w:bCs w:val="0"/>
        </w:rPr>
      </w:pPr>
      <w:r>
        <w:rPr>
          <w:rFonts w:ascii="Arial" w:hAnsi="Arial" w:cs="Arial" w:eastAsia="Arial" w:hint="default"/>
        </w:rPr>
        <w:t>9</w:t>
      </w:r>
      <w:r>
        <w:rPr/>
        <w:t>）公司未来发展与规划延续至报告期的说明</w:t>
      </w:r>
      <w:r>
        <w:rPr>
          <w:spacing w:val="-33"/>
        </w:rPr>
        <w:t> </w:t>
      </w:r>
      <w:r>
        <w:rPr>
          <w:spacing w:val="-1"/>
        </w:rPr>
        <w:t>首次公开发行招股说明书中披露的未来发展与规划在本报告期的实施情况</w:t>
      </w:r>
      <w:r>
        <w:rPr>
          <w:b w:val="0"/>
          <w:bCs w:val="0"/>
          <w:spacing w:val="-1"/>
        </w:rPr>
      </w:r>
    </w:p>
    <w:p>
      <w:pPr>
        <w:spacing w:after="0" w:line="309" w:lineRule="auto"/>
        <w:jc w:val="left"/>
        <w:sectPr>
          <w:pgSz w:w="11900" w:h="16840"/>
          <w:pgMar w:header="742" w:footer="984" w:top="1060" w:bottom="1180" w:left="980" w:right="980"/>
        </w:sectPr>
      </w:pPr>
    </w:p>
    <w:p>
      <w:pPr>
        <w:spacing w:line="240" w:lineRule="auto" w:before="7"/>
        <w:rPr>
          <w:rFonts w:ascii="Microsoft JhengHei" w:hAnsi="Microsoft JhengHei" w:cs="Microsoft JhengHei" w:eastAsia="Microsoft JhengHei" w:hint="default"/>
          <w:b/>
          <w:bCs/>
          <w:sz w:val="23"/>
          <w:szCs w:val="23"/>
        </w:rPr>
      </w:pPr>
    </w:p>
    <w:p>
      <w:pPr>
        <w:pStyle w:val="BodyText"/>
        <w:spacing w:line="240" w:lineRule="auto" w:before="36"/>
        <w:ind w:left="575" w:right="0"/>
        <w:jc w:val="left"/>
      </w:pPr>
      <w:r>
        <w:rPr/>
        <w:t>□ 适用 √</w:t>
      </w:r>
      <w:r>
        <w:rPr>
          <w:spacing w:val="3"/>
        </w:rPr>
        <w:t> </w:t>
      </w:r>
      <w:r>
        <w:rPr/>
        <w:t>不适用</w:t>
      </w:r>
    </w:p>
    <w:p>
      <w:pPr>
        <w:pStyle w:val="Heading4"/>
        <w:spacing w:line="240" w:lineRule="auto" w:before="124"/>
        <w:ind w:left="575" w:right="0"/>
        <w:jc w:val="left"/>
        <w:rPr>
          <w:b w:val="0"/>
          <w:bCs w:val="0"/>
        </w:rPr>
      </w:pPr>
      <w:r>
        <w:rPr/>
        <w:t>前期披露的发展战略和经营计划在报告期内的进展情况</w:t>
      </w:r>
      <w:r>
        <w:rPr>
          <w:b w:val="0"/>
          <w:bCs w:val="0"/>
        </w:rPr>
      </w:r>
    </w:p>
    <w:p>
      <w:pPr>
        <w:pStyle w:val="BodyText"/>
        <w:spacing w:line="240" w:lineRule="auto" w:before="171"/>
        <w:ind w:left="575" w:right="0"/>
        <w:jc w:val="left"/>
      </w:pPr>
      <w:r>
        <w:rPr>
          <w:rFonts w:ascii="Arial" w:hAnsi="Arial" w:cs="Arial" w:eastAsia="Arial" w:hint="default"/>
          <w:spacing w:val="-3"/>
        </w:rPr>
        <w:t>2013 </w:t>
      </w:r>
      <w:r>
        <w:rPr>
          <w:rFonts w:ascii="Arial" w:hAnsi="Arial" w:cs="Arial" w:eastAsia="Arial" w:hint="default"/>
          <w:spacing w:val="37"/>
        </w:rPr>
        <w:t> </w:t>
      </w:r>
      <w:r>
        <w:rPr/>
        <w:t>年公司年报中披露的发展战略与经营计划在报告期内得到较好的执行，具体详见董事会报告部</w:t>
      </w:r>
    </w:p>
    <w:p>
      <w:pPr>
        <w:pStyle w:val="BodyText"/>
        <w:spacing w:line="240" w:lineRule="auto" w:before="176"/>
        <w:ind w:right="0"/>
        <w:jc w:val="left"/>
      </w:pPr>
      <w:r>
        <w:rPr/>
        <w:t>分。</w:t>
      </w:r>
    </w:p>
    <w:p>
      <w:pPr>
        <w:spacing w:line="240" w:lineRule="auto" w:before="2"/>
        <w:rPr>
          <w:rFonts w:ascii="宋体" w:hAnsi="宋体" w:cs="宋体" w:eastAsia="宋体" w:hint="default"/>
          <w:sz w:val="12"/>
          <w:szCs w:val="12"/>
        </w:rPr>
      </w:pPr>
    </w:p>
    <w:p>
      <w:pPr>
        <w:pStyle w:val="Heading4"/>
        <w:spacing w:line="335" w:lineRule="exact"/>
        <w:ind w:left="575" w:right="0"/>
        <w:jc w:val="left"/>
        <w:rPr>
          <w:b w:val="0"/>
          <w:bCs w:val="0"/>
        </w:rPr>
      </w:pPr>
      <w:r>
        <w:rPr/>
        <w:t>公司实际经营业绩较曾公开披露过的本年度盈利预测低于或高于</w:t>
      </w:r>
      <w:r>
        <w:rPr>
          <w:spacing w:val="25"/>
        </w:rPr>
        <w:t> </w:t>
      </w:r>
      <w:r>
        <w:rPr>
          <w:rFonts w:ascii="Arial" w:hAnsi="Arial" w:cs="Arial" w:eastAsia="Arial" w:hint="default"/>
        </w:rPr>
        <w:t>20%</w:t>
      </w:r>
      <w:r>
        <w:rPr/>
        <w:t>以上的差异原因</w:t>
      </w:r>
      <w:r>
        <w:rPr>
          <w:b w:val="0"/>
          <w:bCs w:val="0"/>
        </w:rPr>
      </w:r>
    </w:p>
    <w:p>
      <w:pPr>
        <w:pStyle w:val="BodyText"/>
        <w:spacing w:line="240" w:lineRule="auto" w:before="167"/>
        <w:ind w:left="575" w:right="0"/>
        <w:jc w:val="left"/>
      </w:pPr>
      <w:r>
        <w:rPr/>
        <w:t>□ 适用 √</w:t>
      </w:r>
      <w:r>
        <w:rPr>
          <w:spacing w:val="3"/>
        </w:rPr>
        <w:t> </w:t>
      </w:r>
      <w:r>
        <w:rPr/>
        <w:t>不适用</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）主营业务分部报告</w:t>
      </w:r>
      <w:r>
        <w:rPr>
          <w:b w:val="0"/>
          <w:bCs w:val="0"/>
        </w:rPr>
      </w:r>
    </w:p>
    <w:p>
      <w:pPr>
        <w:spacing w:line="240" w:lineRule="auto" w:before="12"/>
        <w:rPr>
          <w:rFonts w:ascii="Microsoft JhengHei" w:hAnsi="Microsoft JhengHei" w:cs="Microsoft JhengHei" w:eastAsia="Microsoft JhengHei" w:hint="default"/>
          <w:b/>
          <w:bCs/>
          <w:sz w:val="18"/>
          <w:szCs w:val="18"/>
        </w:rPr>
      </w:pPr>
    </w:p>
    <w:p>
      <w:pPr>
        <w:pStyle w:val="Heading4"/>
        <w:spacing w:line="240" w:lineRule="auto"/>
        <w:ind w:left="575" w:right="0"/>
        <w:jc w:val="left"/>
        <w:rPr>
          <w:b w:val="0"/>
          <w:bCs w:val="0"/>
        </w:rPr>
      </w:pPr>
      <w:r>
        <w:rPr>
          <w:rFonts w:ascii="Arial" w:hAnsi="Arial" w:cs="Arial" w:eastAsia="Arial" w:hint="default"/>
        </w:rPr>
        <w:t>1</w:t>
      </w:r>
      <w:r>
        <w:rPr/>
        <w:t>）报告期主营业务收入及主营业务利润的构成</w:t>
      </w:r>
      <w:r>
        <w:rPr>
          <w:b w:val="0"/>
          <w:bCs w:val="0"/>
        </w:rPr>
      </w:r>
    </w:p>
    <w:p>
      <w:pPr>
        <w:spacing w:line="240" w:lineRule="auto" w:before="8"/>
        <w:rPr>
          <w:rFonts w:ascii="Microsoft JhengHei" w:hAnsi="Microsoft JhengHei" w:cs="Microsoft JhengHei" w:eastAsia="Microsoft JhengHei" w:hint="default"/>
          <w:b/>
          <w:bCs/>
          <w:sz w:val="6"/>
          <w:szCs w:val="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46"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46" w:right="0"/>
              <w:jc w:val="left"/>
              <w:rPr>
                <w:rFonts w:ascii="宋体" w:hAnsi="宋体" w:cs="宋体" w:eastAsia="宋体" w:hint="default"/>
                <w:sz w:val="18"/>
                <w:szCs w:val="18"/>
              </w:rPr>
            </w:pPr>
            <w:r>
              <w:rPr>
                <w:rFonts w:ascii="宋体" w:hAnsi="宋体" w:cs="宋体" w:eastAsia="宋体" w:hint="default"/>
                <w:sz w:val="18"/>
                <w:szCs w:val="18"/>
              </w:rPr>
              <w:t>主营业务利润</w:t>
            </w:r>
          </w:p>
        </w:tc>
      </w:tr>
      <w:tr>
        <w:trPr>
          <w:trHeight w:val="403"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染料行业</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711,607,825.55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241,653,996.22</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助剂行业</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30,801,233.37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11,755,927.33</w:t>
            </w:r>
          </w:p>
        </w:tc>
      </w:tr>
      <w:tr>
        <w:trPr>
          <w:trHeight w:val="403"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分散染料</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402,603,842.09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160,295,278.50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活性染料</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280,630,509.79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69,962,047.54</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酸性及其他染料</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28,373,473.67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11,396,670.18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助剂</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30,801,233.37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11,755,927.33</w:t>
            </w:r>
          </w:p>
        </w:tc>
      </w:tr>
      <w:tr>
        <w:trPr>
          <w:trHeight w:val="403"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浙江区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297,667,601.66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95,033,080.98</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江苏区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208,031,124.76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73,264,178.94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89,610,104.51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31,683,302.79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北方区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73,637,338.41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26,708,690.94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73,462,889.58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26,720,669.90</w:t>
            </w:r>
          </w:p>
        </w:tc>
      </w:tr>
    </w:tbl>
    <w:p>
      <w:pPr>
        <w:pStyle w:val="Heading4"/>
        <w:spacing w:line="240" w:lineRule="auto"/>
        <w:ind w:left="575" w:right="0"/>
        <w:jc w:val="left"/>
        <w:rPr>
          <w:b w:val="0"/>
          <w:bCs w:val="0"/>
        </w:rPr>
      </w:pPr>
      <w:r>
        <w:rPr>
          <w:rFonts w:ascii="Arial" w:hAnsi="Arial" w:cs="Arial" w:eastAsia="Arial" w:hint="default"/>
        </w:rPr>
        <w:t>2</w:t>
      </w:r>
      <w:r>
        <w:rPr/>
        <w:t>）占比</w:t>
      </w:r>
      <w:r>
        <w:rPr>
          <w:spacing w:val="11"/>
        </w:rPr>
        <w:t> </w:t>
      </w:r>
      <w:r>
        <w:rPr>
          <w:rFonts w:ascii="Arial" w:hAnsi="Arial" w:cs="Arial" w:eastAsia="Arial" w:hint="default"/>
        </w:rPr>
        <w:t>10%</w:t>
      </w:r>
      <w:r>
        <w:rPr/>
        <w:t>以上的产品、行业或地区情况</w:t>
      </w:r>
      <w:r>
        <w:rPr>
          <w:b w:val="0"/>
          <w:bCs w:val="0"/>
        </w:rPr>
      </w:r>
    </w:p>
    <w:p>
      <w:pPr>
        <w:pStyle w:val="BodyText"/>
        <w:spacing w:line="240" w:lineRule="auto" w:before="167"/>
        <w:ind w:left="575" w:right="0"/>
        <w:jc w:val="left"/>
      </w:pPr>
      <w:r>
        <w:rPr/>
        <w:t>√ 适用 □</w:t>
      </w:r>
      <w:r>
        <w:rPr>
          <w:spacing w:val="3"/>
        </w:rPr>
        <w:t> </w:t>
      </w:r>
      <w:r>
        <w:rPr/>
        <w:t>不适用</w:t>
      </w:r>
    </w:p>
    <w:p>
      <w:pPr>
        <w:spacing w:line="240" w:lineRule="auto" w:before="5"/>
        <w:rPr>
          <w:rFonts w:ascii="宋体" w:hAnsi="宋体" w:cs="宋体" w:eastAsia="宋体" w:hint="default"/>
          <w:sz w:val="10"/>
          <w:szCs w:val="10"/>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3"/>
        <w:gridCol w:w="1368"/>
        <w:gridCol w:w="1368"/>
        <w:gridCol w:w="1368"/>
        <w:gridCol w:w="1363"/>
        <w:gridCol w:w="1373"/>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316" w:right="46" w:hanging="269"/>
              <w:jc w:val="left"/>
              <w:rPr>
                <w:rFonts w:ascii="宋体" w:hAnsi="宋体" w:cs="宋体" w:eastAsia="宋体" w:hint="default"/>
                <w:sz w:val="18"/>
                <w:szCs w:val="18"/>
              </w:rPr>
            </w:pPr>
            <w:r>
              <w:rPr>
                <w:rFonts w:ascii="宋体" w:hAnsi="宋体" w:cs="宋体" w:eastAsia="宋体" w:hint="default"/>
                <w:spacing w:val="-3"/>
                <w:sz w:val="18"/>
                <w:szCs w:val="18"/>
              </w:rPr>
              <w:t>营业收入比上年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311" w:right="46" w:hanging="269"/>
              <w:jc w:val="left"/>
              <w:rPr>
                <w:rFonts w:ascii="宋体" w:hAnsi="宋体" w:cs="宋体" w:eastAsia="宋体" w:hint="default"/>
                <w:sz w:val="18"/>
                <w:szCs w:val="18"/>
              </w:rPr>
            </w:pPr>
            <w:r>
              <w:rPr>
                <w:rFonts w:ascii="宋体" w:hAnsi="宋体" w:cs="宋体" w:eastAsia="宋体" w:hint="default"/>
                <w:spacing w:val="-3"/>
                <w:sz w:val="18"/>
                <w:szCs w:val="18"/>
              </w:rPr>
              <w:t>营业成本比上年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07" w:right="46" w:hanging="356"/>
              <w:jc w:val="left"/>
              <w:rPr>
                <w:rFonts w:ascii="宋体" w:hAnsi="宋体" w:cs="宋体" w:eastAsia="宋体" w:hint="default"/>
                <w:sz w:val="18"/>
                <w:szCs w:val="18"/>
              </w:rPr>
            </w:pPr>
            <w:r>
              <w:rPr>
                <w:rFonts w:ascii="宋体" w:hAnsi="宋体" w:cs="宋体" w:eastAsia="宋体" w:hint="default"/>
                <w:spacing w:val="-3"/>
                <w:sz w:val="18"/>
                <w:szCs w:val="18"/>
              </w:rPr>
              <w:t>毛利率比上年同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期增减</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染料行业</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711,607,825.55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469,953,829.33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33.96%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59.37%</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52.85%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2.82%</w:t>
            </w:r>
          </w:p>
        </w:tc>
      </w:tr>
      <w:tr>
        <w:trPr>
          <w:trHeight w:val="39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助剂行业</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30,801,233.37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19,045,306.04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38.17%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-38.89%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-46.13%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8.32%</w:t>
            </w:r>
          </w:p>
        </w:tc>
      </w:tr>
    </w:tbl>
    <w:p>
      <w:pPr>
        <w:spacing w:after="0" w:line="240" w:lineRule="auto"/>
        <w:jc w:val="right"/>
        <w:rPr>
          <w:rFonts w:ascii="Times New Roman" w:hAnsi="Times New Roman" w:cs="Times New Roman" w:eastAsia="Times New Roman" w:hint="default"/>
          <w:sz w:val="18"/>
          <w:szCs w:val="18"/>
        </w:rPr>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3"/>
        <w:gridCol w:w="1368"/>
        <w:gridCol w:w="1368"/>
        <w:gridCol w:w="1368"/>
        <w:gridCol w:w="1363"/>
        <w:gridCol w:w="1373"/>
      </w:tblGrid>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9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分散染料</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402,603,842.09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242,308,563.59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39.81%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44.81%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33.76%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4.97%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活性染料</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280,630,509.79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210,668,462.25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24.93%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89.03%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85.13%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1.58%</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浙江地区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297,667,601.66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202,634,520.68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31.93%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47.42%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43.54%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1.84%</w:t>
            </w:r>
          </w:p>
        </w:tc>
      </w:tr>
      <w:tr>
        <w:trPr>
          <w:trHeight w:val="39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江苏地区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208,031,124.76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134,766,945.82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35.22%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48.08%</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37.95%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4.76%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89,610,104.51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57,926,801.72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35.36%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85.51%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85.30%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0.08%</w:t>
            </w:r>
          </w:p>
        </w:tc>
      </w:tr>
    </w:tbl>
    <w:p>
      <w:pPr>
        <w:pStyle w:val="Heading4"/>
        <w:spacing w:line="309" w:lineRule="auto"/>
        <w:ind w:right="0" w:firstLine="422"/>
        <w:jc w:val="left"/>
        <w:rPr>
          <w:b w:val="0"/>
          <w:bCs w:val="0"/>
        </w:rPr>
      </w:pPr>
      <w:r>
        <w:rPr>
          <w:rFonts w:ascii="Arial" w:hAnsi="Arial" w:cs="Arial" w:eastAsia="Arial" w:hint="default"/>
        </w:rPr>
        <w:t>3</w:t>
      </w:r>
      <w:r>
        <w:rPr/>
        <w:t>）公司主营业务数据统计口径在报告期发生调整的情况下，公司最近 </w:t>
      </w:r>
      <w:r>
        <w:rPr>
          <w:rFonts w:ascii="Arial" w:hAnsi="Arial" w:cs="Arial" w:eastAsia="Arial" w:hint="default"/>
        </w:rPr>
        <w:t>3</w:t>
      </w:r>
      <w:r>
        <w:rPr>
          <w:rFonts w:ascii="Arial" w:hAnsi="Arial" w:cs="Arial" w:eastAsia="Arial" w:hint="default"/>
          <w:spacing w:val="-7"/>
        </w:rPr>
        <w:t> </w:t>
      </w:r>
      <w:r>
        <w:rPr/>
        <w:t>年按报告期末口径调整后的</w:t>
      </w:r>
      <w:r>
        <w:rPr>
          <w:w w:val="100"/>
        </w:rPr>
        <w:t> </w:t>
      </w:r>
      <w:r>
        <w:rPr/>
        <w:t>主营业务数据</w:t>
      </w:r>
      <w:r>
        <w:rPr>
          <w:b w:val="0"/>
          <w:bCs w:val="0"/>
        </w:rPr>
      </w:r>
    </w:p>
    <w:p>
      <w:pPr>
        <w:pStyle w:val="BodyText"/>
        <w:spacing w:line="240" w:lineRule="auto" w:before="86"/>
        <w:ind w:left="575" w:right="0"/>
        <w:jc w:val="left"/>
      </w:pPr>
      <w:r>
        <w:rPr/>
        <w:t>□ 适用 √</w:t>
      </w:r>
      <w:r>
        <w:rPr>
          <w:spacing w:val="3"/>
        </w:rPr>
        <w:t> </w:t>
      </w:r>
      <w:r>
        <w:rPr/>
        <w:t>不适用</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）资产、负债状况分析</w:t>
      </w:r>
      <w:r>
        <w:rPr>
          <w:b w:val="0"/>
          <w:bCs w:val="0"/>
        </w:rPr>
      </w:r>
    </w:p>
    <w:p>
      <w:pPr>
        <w:spacing w:line="240" w:lineRule="auto" w:before="12"/>
        <w:rPr>
          <w:rFonts w:ascii="Microsoft JhengHei" w:hAnsi="Microsoft JhengHei" w:cs="Microsoft JhengHei" w:eastAsia="Microsoft JhengHei" w:hint="default"/>
          <w:b/>
          <w:bCs/>
          <w:sz w:val="18"/>
          <w:szCs w:val="18"/>
        </w:rPr>
      </w:pPr>
    </w:p>
    <w:p>
      <w:pPr>
        <w:pStyle w:val="Heading4"/>
        <w:spacing w:line="240" w:lineRule="auto"/>
        <w:ind w:left="575" w:right="0"/>
        <w:jc w:val="left"/>
        <w:rPr>
          <w:b w:val="0"/>
          <w:bCs w:val="0"/>
        </w:rPr>
      </w:pPr>
      <w:r>
        <w:rPr>
          <w:rFonts w:ascii="Arial" w:hAnsi="Arial" w:cs="Arial" w:eastAsia="Arial" w:hint="default"/>
        </w:rPr>
        <w:t>1</w:t>
      </w:r>
      <w:r>
        <w:rPr/>
        <w:t>）资产项目重大变动情况</w:t>
      </w:r>
      <w:r>
        <w:rPr>
          <w:b w:val="0"/>
          <w:bCs w:val="0"/>
        </w:rPr>
      </w:r>
    </w:p>
    <w:p>
      <w:pPr>
        <w:spacing w:before="158"/>
        <w:ind w:left="0" w:right="146"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166"/>
        <w:gridCol w:w="1061"/>
        <w:gridCol w:w="1195"/>
        <w:gridCol w:w="1061"/>
        <w:gridCol w:w="802"/>
        <w:gridCol w:w="2918"/>
      </w:tblGrid>
      <w:tr>
        <w:trPr>
          <w:trHeight w:val="377" w:hRule="exact"/>
        </w:trPr>
        <w:tc>
          <w:tcPr>
            <w:tcW w:w="1368" w:type="dxa"/>
            <w:tcBorders>
              <w:top w:val="single" w:sz="4" w:space="0" w:color="000000"/>
              <w:left w:val="single" w:sz="4" w:space="0" w:color="000000"/>
              <w:bottom w:val="single" w:sz="17"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7" w:space="0" w:color="FFFFFF"/>
              <w:right w:val="single" w:sz="4" w:space="0" w:color="000000"/>
            </w:tcBorders>
            <w:shd w:val="clear" w:color="auto" w:fill="D2D2D2"/>
          </w:tcPr>
          <w:p>
            <w:pPr>
              <w:pStyle w:val="TableParagraph"/>
              <w:spacing w:line="240" w:lineRule="auto" w:before="53"/>
              <w:ind w:left="7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年末</w:t>
            </w:r>
          </w:p>
        </w:tc>
        <w:tc>
          <w:tcPr>
            <w:tcW w:w="2256" w:type="dxa"/>
            <w:gridSpan w:val="2"/>
            <w:tcBorders>
              <w:top w:val="single" w:sz="4" w:space="0" w:color="000000"/>
              <w:left w:val="single" w:sz="4" w:space="0" w:color="000000"/>
              <w:bottom w:val="single" w:sz="17" w:space="0" w:color="FFFFFF"/>
              <w:right w:val="single" w:sz="4" w:space="0" w:color="000000"/>
            </w:tcBorders>
            <w:shd w:val="clear" w:color="auto" w:fill="D2D2D2"/>
          </w:tcPr>
          <w:p>
            <w:pPr>
              <w:pStyle w:val="TableParagraph"/>
              <w:spacing w:line="240" w:lineRule="auto" w:before="53"/>
              <w:ind w:left="7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年末</w:t>
            </w:r>
          </w:p>
        </w:tc>
        <w:tc>
          <w:tcPr>
            <w:tcW w:w="802" w:type="dxa"/>
            <w:tcBorders>
              <w:top w:val="single" w:sz="4" w:space="0" w:color="000000"/>
              <w:left w:val="single" w:sz="4" w:space="0" w:color="000000"/>
              <w:bottom w:val="single" w:sz="17"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7" w:space="0" w:color="FFFFFF"/>
              <w:right w:val="single" w:sz="4" w:space="0" w:color="000000"/>
            </w:tcBorders>
            <w:shd w:val="clear" w:color="auto" w:fill="D2D2D2"/>
          </w:tcPr>
          <w:p>
            <w:pPr/>
          </w:p>
        </w:tc>
      </w:tr>
      <w:tr>
        <w:trPr>
          <w:trHeight w:val="185" w:hRule="exact"/>
        </w:trPr>
        <w:tc>
          <w:tcPr>
            <w:tcW w:w="1368" w:type="dxa"/>
            <w:vMerge w:val="restart"/>
            <w:tcBorders>
              <w:top w:val="single" w:sz="17" w:space="0" w:color="FFFFFF"/>
              <w:left w:val="single" w:sz="4" w:space="0" w:color="000000"/>
              <w:right w:val="single" w:sz="4" w:space="0" w:color="000000"/>
            </w:tcBorders>
            <w:shd w:val="clear" w:color="auto" w:fill="D2D2D2"/>
          </w:tcPr>
          <w:p>
            <w:pPr/>
          </w:p>
        </w:tc>
        <w:tc>
          <w:tcPr>
            <w:tcW w:w="1166" w:type="dxa"/>
            <w:tcBorders>
              <w:top w:val="single" w:sz="17" w:space="0" w:color="FFFFFF"/>
              <w:left w:val="single" w:sz="4" w:space="0" w:color="000000"/>
              <w:bottom w:val="nil" w:sz="6" w:space="0" w:color="auto"/>
              <w:right w:val="single" w:sz="4" w:space="0" w:color="000000"/>
            </w:tcBorders>
            <w:shd w:val="clear" w:color="auto" w:fill="D2D2D2"/>
          </w:tcPr>
          <w:p>
            <w:pPr/>
          </w:p>
        </w:tc>
        <w:tc>
          <w:tcPr>
            <w:tcW w:w="1061" w:type="dxa"/>
            <w:vMerge w:val="restart"/>
            <w:tcBorders>
              <w:top w:val="single" w:sz="17" w:space="0" w:color="FFFFFF"/>
              <w:left w:val="single" w:sz="4" w:space="0" w:color="000000"/>
              <w:right w:val="single" w:sz="4" w:space="0" w:color="000000"/>
            </w:tcBorders>
            <w:shd w:val="clear" w:color="auto" w:fill="D2D2D2"/>
          </w:tcPr>
          <w:p>
            <w:pPr>
              <w:pStyle w:val="TableParagraph"/>
              <w:spacing w:line="316" w:lineRule="auto" w:before="63"/>
              <w:ind w:left="431" w:right="74" w:hanging="360"/>
              <w:jc w:val="left"/>
              <w:rPr>
                <w:rFonts w:ascii="宋体" w:hAnsi="宋体" w:cs="宋体" w:eastAsia="宋体" w:hint="default"/>
                <w:sz w:val="18"/>
                <w:szCs w:val="18"/>
              </w:rPr>
            </w:pPr>
            <w:r>
              <w:rPr>
                <w:rFonts w:ascii="宋体" w:hAnsi="宋体" w:cs="宋体" w:eastAsia="宋体" w:hint="default"/>
                <w:spacing w:val="-2"/>
                <w:sz w:val="18"/>
                <w:szCs w:val="18"/>
              </w:rPr>
              <w:t>占总资产比</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例</w:t>
            </w:r>
          </w:p>
        </w:tc>
        <w:tc>
          <w:tcPr>
            <w:tcW w:w="1195" w:type="dxa"/>
            <w:tcBorders>
              <w:top w:val="single" w:sz="17" w:space="0" w:color="FFFFFF"/>
              <w:left w:val="single" w:sz="4" w:space="0" w:color="000000"/>
              <w:bottom w:val="nil" w:sz="6" w:space="0" w:color="auto"/>
              <w:right w:val="single" w:sz="4" w:space="0" w:color="000000"/>
            </w:tcBorders>
            <w:shd w:val="clear" w:color="auto" w:fill="D2D2D2"/>
          </w:tcPr>
          <w:p>
            <w:pPr/>
          </w:p>
        </w:tc>
        <w:tc>
          <w:tcPr>
            <w:tcW w:w="1061" w:type="dxa"/>
            <w:vMerge w:val="restart"/>
            <w:tcBorders>
              <w:top w:val="single" w:sz="17" w:space="0" w:color="FFFFFF"/>
              <w:left w:val="single" w:sz="4" w:space="0" w:color="000000"/>
              <w:right w:val="single" w:sz="4" w:space="0" w:color="000000"/>
            </w:tcBorders>
            <w:shd w:val="clear" w:color="auto" w:fill="D2D2D2"/>
          </w:tcPr>
          <w:p>
            <w:pPr>
              <w:pStyle w:val="TableParagraph"/>
              <w:spacing w:line="316" w:lineRule="auto" w:before="6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占总资产比</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例</w:t>
            </w:r>
          </w:p>
        </w:tc>
        <w:tc>
          <w:tcPr>
            <w:tcW w:w="802" w:type="dxa"/>
            <w:vMerge w:val="restart"/>
            <w:tcBorders>
              <w:top w:val="single" w:sz="17" w:space="0" w:color="FFFFFF"/>
              <w:left w:val="single" w:sz="4" w:space="0" w:color="000000"/>
              <w:right w:val="single" w:sz="4" w:space="0" w:color="000000"/>
            </w:tcBorders>
            <w:shd w:val="clear" w:color="auto" w:fill="D2D2D2"/>
          </w:tcPr>
          <w:p>
            <w:pPr>
              <w:pStyle w:val="TableParagraph"/>
              <w:spacing w:line="240" w:lineRule="auto" w:before="10"/>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7" w:space="0" w:color="FFFFFF"/>
              <w:left w:val="single" w:sz="4" w:space="0" w:color="000000"/>
              <w:right w:val="single" w:sz="4" w:space="0" w:color="000000"/>
            </w:tcBorders>
            <w:shd w:val="clear" w:color="auto" w:fill="D2D2D2"/>
          </w:tcPr>
          <w:p>
            <w:pPr>
              <w:pStyle w:val="TableParagraph"/>
              <w:spacing w:line="240" w:lineRule="auto" w:before="10"/>
              <w:ind w:left="907"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87"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1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vMerge/>
            <w:tcBorders>
              <w:left w:val="single" w:sz="4" w:space="0" w:color="000000"/>
              <w:right w:val="single" w:sz="4" w:space="0" w:color="000000"/>
            </w:tcBorders>
            <w:shd w:val="clear" w:color="auto" w:fill="D2D2D2"/>
          </w:tcPr>
          <w:p>
            <w:pPr/>
          </w:p>
        </w:tc>
        <w:tc>
          <w:tcPr>
            <w:tcW w:w="802"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66"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802"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6" w:type="dxa"/>
            <w:vMerge w:val="restart"/>
            <w:tcBorders>
              <w:top w:val="single" w:sz="4" w:space="0" w:color="000000"/>
              <w:left w:val="single" w:sz="8"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120,457,682.8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pacing w:val="-3"/>
                <w:sz w:val="18"/>
              </w:rPr>
              <w:t>11.73%</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197,993,891.93</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Times New Roman"/>
                <w:sz w:val="18"/>
              </w:rPr>
              <w:t>22.24%</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-10.51%</w:t>
            </w:r>
          </w:p>
        </w:tc>
        <w:tc>
          <w:tcPr>
            <w:tcW w:w="2918" w:type="dxa"/>
            <w:vMerge w:val="restart"/>
            <w:tcBorders>
              <w:top w:val="single" w:sz="4" w:space="0" w:color="000000"/>
              <w:left w:val="single" w:sz="4" w:space="0" w:color="000000"/>
              <w:right w:val="single" w:sz="4" w:space="0" w:color="000000"/>
            </w:tcBorders>
          </w:tcPr>
          <w:p>
            <w:pPr>
              <w:pStyle w:val="TableParagraph"/>
              <w:spacing w:line="309" w:lineRule="auto" w:before="53"/>
              <w:ind w:left="19" w:right="22"/>
              <w:jc w:val="left"/>
              <w:rPr>
                <w:rFonts w:ascii="宋体" w:hAnsi="宋体" w:cs="宋体" w:eastAsia="宋体" w:hint="default"/>
                <w:sz w:val="18"/>
                <w:szCs w:val="18"/>
              </w:rPr>
            </w:pPr>
            <w:r>
              <w:rPr>
                <w:rFonts w:ascii="宋体" w:hAnsi="宋体" w:cs="宋体" w:eastAsia="宋体" w:hint="default"/>
                <w:spacing w:val="-3"/>
                <w:sz w:val="18"/>
                <w:szCs w:val="18"/>
              </w:rPr>
              <w:t>货币资金报告期期末比年初减幅</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Times New Roman" w:hAnsi="Times New Roman" w:cs="Times New Roman" w:eastAsia="Times New Roman" w:hint="default"/>
                <w:spacing w:val="-4"/>
                <w:sz w:val="18"/>
                <w:szCs w:val="18"/>
              </w:rPr>
              <w:t>39.16%</w:t>
            </w:r>
            <w:r>
              <w:rPr>
                <w:rFonts w:ascii="宋体" w:hAnsi="宋体" w:cs="宋体" w:eastAsia="宋体" w:hint="default"/>
                <w:spacing w:val="-4"/>
                <w:sz w:val="18"/>
                <w:szCs w:val="18"/>
              </w:rPr>
              <w:t>，主要是：报告期募投项目持</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3"/>
                <w:sz w:val="18"/>
                <w:szCs w:val="18"/>
              </w:rPr>
              <w:t>续投入及经营规模扩大投入所致。</w:t>
            </w:r>
          </w:p>
        </w:tc>
      </w:tr>
      <w:tr>
        <w:trPr>
          <w:trHeight w:val="389"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6" w:type="dxa"/>
            <w:vMerge/>
            <w:tcBorders>
              <w:left w:val="single" w:sz="8"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22"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6" w:type="dxa"/>
            <w:vMerge/>
            <w:tcBorders>
              <w:left w:val="single" w:sz="8"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58"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6" w:type="dxa"/>
            <w:vMerge w:val="restart"/>
            <w:tcBorders>
              <w:top w:val="single" w:sz="4" w:space="0" w:color="000000"/>
              <w:left w:val="single" w:sz="8" w:space="0" w:color="D2D2D2"/>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146,246,853.4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14.24%</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137,652,594.98</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Times New Roman"/>
                <w:sz w:val="18"/>
              </w:rPr>
              <w:t>15.46%</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-1.22%</w:t>
            </w:r>
          </w:p>
        </w:tc>
        <w:tc>
          <w:tcPr>
            <w:tcW w:w="2918" w:type="dxa"/>
            <w:vMerge w:val="restart"/>
            <w:tcBorders>
              <w:top w:val="single" w:sz="4" w:space="0" w:color="000000"/>
              <w:left w:val="single" w:sz="4" w:space="0" w:color="000000"/>
              <w:right w:val="single" w:sz="4" w:space="0" w:color="000000"/>
            </w:tcBorders>
          </w:tcPr>
          <w:p>
            <w:pPr/>
          </w:p>
        </w:tc>
      </w:tr>
      <w:tr>
        <w:trPr>
          <w:trHeight w:val="389"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6" w:type="dxa"/>
            <w:vMerge/>
            <w:tcBorders>
              <w:left w:val="single" w:sz="8"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3"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6" w:type="dxa"/>
            <w:vMerge/>
            <w:tcBorders>
              <w:left w:val="single" w:sz="8"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58"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6" w:type="dxa"/>
            <w:vMerge w:val="restart"/>
            <w:tcBorders>
              <w:top w:val="single" w:sz="4" w:space="0" w:color="000000"/>
              <w:left w:val="single" w:sz="8" w:space="0" w:color="D2D2D2"/>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194,219,342.3</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18.91%</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156,171,223.40</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Times New Roman"/>
                <w:sz w:val="18"/>
              </w:rPr>
              <w:t>17.54%</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1.37%</w:t>
            </w:r>
          </w:p>
        </w:tc>
        <w:tc>
          <w:tcPr>
            <w:tcW w:w="2918" w:type="dxa"/>
            <w:vMerge w:val="restart"/>
            <w:tcBorders>
              <w:top w:val="single" w:sz="4" w:space="0" w:color="000000"/>
              <w:left w:val="single" w:sz="4" w:space="0" w:color="000000"/>
              <w:right w:val="single" w:sz="4" w:space="0" w:color="000000"/>
            </w:tcBorders>
          </w:tcPr>
          <w:p>
            <w:pPr/>
          </w:p>
        </w:tc>
      </w:tr>
      <w:tr>
        <w:trPr>
          <w:trHeight w:val="394"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6" w:type="dxa"/>
            <w:vMerge/>
            <w:tcBorders>
              <w:left w:val="single" w:sz="8"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3"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6" w:type="dxa"/>
            <w:vMerge/>
            <w:tcBorders>
              <w:left w:val="single" w:sz="8"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58"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6" w:type="dxa"/>
            <w:vMerge w:val="restart"/>
            <w:tcBorders>
              <w:top w:val="single" w:sz="4" w:space="0" w:color="000000"/>
              <w:left w:val="single" w:sz="8" w:space="0" w:color="D2D2D2"/>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223,057,708.0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21.72%</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215,165,239.52</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Times New Roman"/>
                <w:sz w:val="18"/>
              </w:rPr>
              <w:t>24.17%</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-2.45%</w:t>
            </w:r>
          </w:p>
        </w:tc>
        <w:tc>
          <w:tcPr>
            <w:tcW w:w="2918" w:type="dxa"/>
            <w:vMerge w:val="restart"/>
            <w:tcBorders>
              <w:top w:val="single" w:sz="4" w:space="0" w:color="000000"/>
              <w:left w:val="single" w:sz="4" w:space="0" w:color="000000"/>
              <w:right w:val="single" w:sz="4" w:space="0" w:color="000000"/>
            </w:tcBorders>
          </w:tcPr>
          <w:p>
            <w:pPr/>
          </w:p>
        </w:tc>
      </w:tr>
      <w:tr>
        <w:trPr>
          <w:trHeight w:val="394"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6" w:type="dxa"/>
            <w:vMerge/>
            <w:tcBorders>
              <w:left w:val="single" w:sz="8"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3"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6" w:type="dxa"/>
            <w:vMerge/>
            <w:tcBorders>
              <w:left w:val="single" w:sz="8"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629"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6" w:type="dxa"/>
            <w:vMerge w:val="restart"/>
            <w:tcBorders>
              <w:top w:val="single" w:sz="4" w:space="0" w:color="000000"/>
              <w:left w:val="single" w:sz="8"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113,620,874.6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pacing w:val="-3"/>
                <w:sz w:val="18"/>
              </w:rPr>
              <w:t>11.06%</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25,814,118.12</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61" w:right="0"/>
              <w:jc w:val="left"/>
              <w:rPr>
                <w:rFonts w:ascii="Times New Roman" w:hAnsi="Times New Roman" w:cs="Times New Roman" w:eastAsia="Times New Roman" w:hint="default"/>
                <w:sz w:val="18"/>
                <w:szCs w:val="18"/>
              </w:rPr>
            </w:pPr>
            <w:r>
              <w:rPr>
                <w:rFonts w:ascii="Times New Roman"/>
                <w:sz w:val="18"/>
              </w:rPr>
              <w:t>2.90%</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8.16%</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pacing w:val="-3"/>
                <w:sz w:val="18"/>
                <w:szCs w:val="18"/>
              </w:rPr>
              <w:t>在建工程报告期期末比年初增幅</w:t>
            </w:r>
          </w:p>
          <w:p>
            <w:pPr>
              <w:pStyle w:val="TableParagraph"/>
              <w:spacing w:line="240" w:lineRule="auto" w:before="71"/>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340.15%</w:t>
            </w:r>
            <w:r>
              <w:rPr>
                <w:rFonts w:ascii="宋体" w:hAnsi="宋体" w:cs="宋体" w:eastAsia="宋体" w:hint="default"/>
                <w:sz w:val="18"/>
                <w:szCs w:val="18"/>
              </w:rPr>
              <w:t>，主要是：烟台精细化工</w:t>
            </w:r>
          </w:p>
          <w:p>
            <w:pPr>
              <w:pStyle w:val="TableParagraph"/>
              <w:spacing w:line="240" w:lineRule="auto" w:before="63"/>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w:t>
            </w:r>
            <w:r>
              <w:rPr>
                <w:rFonts w:ascii="Times New Roman" w:hAnsi="Times New Roman" w:cs="Times New Roman" w:eastAsia="Times New Roman" w:hint="default"/>
                <w:spacing w:val="37"/>
                <w:sz w:val="18"/>
                <w:szCs w:val="18"/>
              </w:rPr>
              <w:t> </w:t>
            </w:r>
            <w:r>
              <w:rPr>
                <w:rFonts w:ascii="宋体" w:hAnsi="宋体" w:cs="宋体" w:eastAsia="宋体" w:hint="default"/>
                <w:spacing w:val="-3"/>
                <w:sz w:val="18"/>
                <w:szCs w:val="18"/>
              </w:rPr>
              <w:t>吨中间体项目和东营年产</w:t>
            </w:r>
          </w:p>
          <w:p>
            <w:pPr>
              <w:pStyle w:val="TableParagraph"/>
              <w:spacing w:line="304" w:lineRule="auto" w:before="63"/>
              <w:ind w:left="19"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32"/>
                <w:sz w:val="18"/>
                <w:szCs w:val="18"/>
              </w:rPr>
              <w:t> </w:t>
            </w:r>
            <w:r>
              <w:rPr>
                <w:rFonts w:ascii="宋体" w:hAnsi="宋体" w:cs="宋体" w:eastAsia="宋体" w:hint="default"/>
                <w:spacing w:val="-3"/>
                <w:sz w:val="18"/>
                <w:szCs w:val="18"/>
              </w:rPr>
              <w:t>吨分散染料项目报告期内实施</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建设中。</w:t>
            </w:r>
          </w:p>
        </w:tc>
      </w:tr>
      <w:tr>
        <w:trPr>
          <w:trHeight w:val="388"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6" w:type="dxa"/>
            <w:vMerge/>
            <w:tcBorders>
              <w:left w:val="single" w:sz="8"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629"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6" w:type="dxa"/>
            <w:vMerge/>
            <w:tcBorders>
              <w:left w:val="single" w:sz="8"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121,277,300.1</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3"/>
                <w:sz w:val="18"/>
              </w:rPr>
              <w:t>11.81%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61,851,797.84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6.95%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4.86%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9" w:right="22"/>
              <w:jc w:val="left"/>
              <w:rPr>
                <w:rFonts w:ascii="宋体" w:hAnsi="宋体" w:cs="宋体" w:eastAsia="宋体" w:hint="default"/>
                <w:sz w:val="18"/>
                <w:szCs w:val="18"/>
              </w:rPr>
            </w:pPr>
            <w:r>
              <w:rPr>
                <w:rFonts w:ascii="宋体" w:hAnsi="宋体" w:cs="宋体" w:eastAsia="宋体" w:hint="default"/>
                <w:spacing w:val="-3"/>
                <w:sz w:val="18"/>
                <w:szCs w:val="18"/>
              </w:rPr>
              <w:t>应收票据报告期期末比年初增幅</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Times New Roman" w:hAnsi="Times New Roman" w:cs="Times New Roman" w:eastAsia="Times New Roman" w:hint="default"/>
                <w:spacing w:val="-4"/>
                <w:sz w:val="18"/>
                <w:szCs w:val="18"/>
              </w:rPr>
              <w:t>96.08%</w:t>
            </w:r>
            <w:r>
              <w:rPr>
                <w:rFonts w:ascii="宋体" w:hAnsi="宋体" w:cs="宋体" w:eastAsia="宋体" w:hint="default"/>
                <w:spacing w:val="-4"/>
                <w:sz w:val="18"/>
                <w:szCs w:val="18"/>
              </w:rPr>
              <w:t>，主要是：随着报告期销售收</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4"/>
                <w:sz w:val="18"/>
                <w:szCs w:val="18"/>
              </w:rPr>
              <w:t>入增长，收到客户到期支付的银行承</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兑汇票相应增加。</w:t>
            </w:r>
          </w:p>
        </w:tc>
      </w:tr>
      <w:tr>
        <w:trPr>
          <w:trHeight w:val="67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4,792,402.13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7,517,985.81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0.84%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-0.37%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pacing w:val="-3"/>
                <w:sz w:val="18"/>
                <w:szCs w:val="18"/>
              </w:rPr>
              <w:t>其他应收款报告期期末比年初数减</w:t>
            </w:r>
          </w:p>
          <w:p>
            <w:pPr>
              <w:pStyle w:val="TableParagraph"/>
              <w:spacing w:line="240" w:lineRule="auto" w:before="76"/>
              <w:ind w:left="19"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36.25%</w:t>
            </w:r>
            <w:r>
              <w:rPr>
                <w:rFonts w:ascii="宋体" w:hAnsi="宋体" w:cs="宋体" w:eastAsia="宋体" w:hint="default"/>
                <w:spacing w:val="-4"/>
                <w:sz w:val="18"/>
                <w:szCs w:val="18"/>
              </w:rPr>
              <w:t>，主要是：上年年末未认证的</w:t>
            </w:r>
          </w:p>
        </w:tc>
      </w:tr>
    </w:tbl>
    <w:p>
      <w:pPr>
        <w:spacing w:after="0" w:line="240" w:lineRule="auto"/>
        <w:jc w:val="left"/>
        <w:rPr>
          <w:rFonts w:ascii="宋体" w:hAnsi="宋体" w:cs="宋体" w:eastAsia="宋体" w:hint="default"/>
          <w:sz w:val="18"/>
          <w:szCs w:val="18"/>
        </w:rPr>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166"/>
        <w:gridCol w:w="1061"/>
        <w:gridCol w:w="1195"/>
        <w:gridCol w:w="1061"/>
        <w:gridCol w:w="802"/>
        <w:gridCol w:w="2918"/>
      </w:tblGrid>
      <w:tr>
        <w:trPr>
          <w:trHeight w:val="672"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19" w:right="185"/>
              <w:jc w:val="left"/>
              <w:rPr>
                <w:rFonts w:ascii="宋体" w:hAnsi="宋体" w:cs="宋体" w:eastAsia="宋体" w:hint="default"/>
                <w:sz w:val="18"/>
                <w:szCs w:val="18"/>
              </w:rPr>
            </w:pPr>
            <w:r>
              <w:rPr>
                <w:rFonts w:ascii="宋体" w:hAnsi="宋体" w:cs="宋体" w:eastAsia="宋体" w:hint="default"/>
                <w:spacing w:val="-3"/>
                <w:sz w:val="18"/>
                <w:szCs w:val="18"/>
              </w:rPr>
              <w:t>增值税进项税额报告期内认证抵扣</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完毕。</w:t>
            </w:r>
          </w:p>
        </w:tc>
      </w:tr>
      <w:tr>
        <w:trPr>
          <w:trHeight w:val="359"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166"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pacing w:val="-3"/>
                <w:sz w:val="18"/>
                <w:szCs w:val="18"/>
              </w:rPr>
              <w:t>无形资产报告期期末比年初增幅</w:t>
            </w:r>
          </w:p>
        </w:tc>
      </w:tr>
      <w:tr>
        <w:trPr>
          <w:trHeight w:val="319"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66"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91" w:right="0"/>
              <w:jc w:val="left"/>
              <w:rPr>
                <w:rFonts w:ascii="Times New Roman" w:hAnsi="Times New Roman" w:cs="Times New Roman" w:eastAsia="Times New Roman" w:hint="default"/>
                <w:sz w:val="18"/>
                <w:szCs w:val="18"/>
              </w:rPr>
            </w:pPr>
            <w:r>
              <w:rPr>
                <w:rFonts w:ascii="Times New Roman"/>
                <w:sz w:val="18"/>
              </w:rPr>
              <w:t>33,901,473.84</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556" w:right="0"/>
              <w:jc w:val="left"/>
              <w:rPr>
                <w:rFonts w:ascii="Times New Roman" w:hAnsi="Times New Roman" w:cs="Times New Roman" w:eastAsia="Times New Roman" w:hint="default"/>
                <w:sz w:val="18"/>
                <w:szCs w:val="18"/>
              </w:rPr>
            </w:pPr>
            <w:r>
              <w:rPr>
                <w:rFonts w:ascii="Times New Roman"/>
                <w:sz w:val="18"/>
              </w:rPr>
              <w:t>3.30%</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120" w:right="0"/>
              <w:jc w:val="left"/>
              <w:rPr>
                <w:rFonts w:ascii="Times New Roman" w:hAnsi="Times New Roman" w:cs="Times New Roman" w:eastAsia="Times New Roman" w:hint="default"/>
                <w:sz w:val="18"/>
                <w:szCs w:val="18"/>
              </w:rPr>
            </w:pPr>
            <w:r>
              <w:rPr>
                <w:rFonts w:ascii="Times New Roman"/>
                <w:sz w:val="18"/>
              </w:rPr>
              <w:t>25,470,548.57</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561" w:right="0"/>
              <w:jc w:val="left"/>
              <w:rPr>
                <w:rFonts w:ascii="Times New Roman" w:hAnsi="Times New Roman" w:cs="Times New Roman" w:eastAsia="Times New Roman" w:hint="default"/>
                <w:sz w:val="18"/>
                <w:szCs w:val="18"/>
              </w:rPr>
            </w:pPr>
            <w:r>
              <w:rPr>
                <w:rFonts w:ascii="Times New Roman"/>
                <w:sz w:val="18"/>
              </w:rPr>
              <w:t>2.86%</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297" w:right="0"/>
              <w:jc w:val="left"/>
              <w:rPr>
                <w:rFonts w:ascii="Times New Roman" w:hAnsi="Times New Roman" w:cs="Times New Roman" w:eastAsia="Times New Roman" w:hint="default"/>
                <w:sz w:val="18"/>
                <w:szCs w:val="18"/>
              </w:rPr>
            </w:pPr>
            <w:r>
              <w:rPr>
                <w:rFonts w:ascii="Times New Roman"/>
                <w:sz w:val="18"/>
              </w:rPr>
              <w:t>0.44%</w:t>
            </w: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33.10%,</w:t>
            </w:r>
            <w:r>
              <w:rPr>
                <w:rFonts w:ascii="宋体" w:hAnsi="宋体" w:cs="宋体" w:eastAsia="宋体" w:hint="default"/>
                <w:spacing w:val="-2"/>
                <w:sz w:val="18"/>
                <w:szCs w:val="18"/>
              </w:rPr>
              <w:t>主要是</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报告期内</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东营及烟台</w:t>
            </w:r>
          </w:p>
        </w:tc>
      </w:tr>
      <w:tr>
        <w:trPr>
          <w:trHeight w:val="349"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166"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19" w:right="0"/>
              <w:jc w:val="left"/>
              <w:rPr>
                <w:rFonts w:ascii="宋体" w:hAnsi="宋体" w:cs="宋体" w:eastAsia="宋体" w:hint="default"/>
                <w:sz w:val="18"/>
                <w:szCs w:val="18"/>
              </w:rPr>
            </w:pPr>
            <w:r>
              <w:rPr>
                <w:rFonts w:ascii="宋体" w:hAnsi="宋体" w:cs="宋体" w:eastAsia="宋体" w:hint="default"/>
                <w:sz w:val="18"/>
                <w:szCs w:val="18"/>
              </w:rPr>
              <w:t>精细化工新增土地使用权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pStyle w:val="Heading4"/>
        <w:spacing w:line="240" w:lineRule="auto"/>
        <w:ind w:left="575" w:right="0"/>
        <w:jc w:val="left"/>
        <w:rPr>
          <w:b w:val="0"/>
          <w:bCs w:val="0"/>
        </w:rPr>
      </w:pPr>
      <w:r>
        <w:rPr>
          <w:rFonts w:ascii="Arial" w:hAnsi="Arial" w:cs="Arial" w:eastAsia="Arial" w:hint="default"/>
        </w:rPr>
        <w:t>2</w:t>
      </w:r>
      <w:r>
        <w:rPr/>
        <w:t>）负债项目重大变动情况</w:t>
      </w:r>
      <w:r>
        <w:rPr>
          <w:b w:val="0"/>
          <w:bCs w:val="0"/>
        </w:rPr>
      </w:r>
    </w:p>
    <w:p>
      <w:pPr>
        <w:spacing w:line="240" w:lineRule="auto" w:before="8"/>
        <w:rPr>
          <w:rFonts w:ascii="Microsoft JhengHei" w:hAnsi="Microsoft JhengHei" w:cs="Microsoft JhengHei" w:eastAsia="Microsoft JhengHei" w:hint="default"/>
          <w:b/>
          <w:bCs/>
          <w:sz w:val="6"/>
          <w:szCs w:val="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before="46"/>
        <w:ind w:left="0" w:right="180" w:firstLine="0"/>
        <w:jc w:val="right"/>
        <w:rPr>
          <w:rFonts w:ascii="宋体" w:hAnsi="宋体" w:cs="宋体" w:eastAsia="宋体" w:hint="default"/>
          <w:sz w:val="18"/>
          <w:szCs w:val="18"/>
        </w:rPr>
      </w:pPr>
      <w:r>
        <w:rPr/>
        <w:pict>
          <v:shape style="position:absolute;margin-left:56.400002pt;margin-top:-190.468292pt;width:479.3pt;height:406.6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8"/>
                    <w:gridCol w:w="1166"/>
                    <w:gridCol w:w="1061"/>
                    <w:gridCol w:w="1195"/>
                    <w:gridCol w:w="1061"/>
                    <w:gridCol w:w="802"/>
                    <w:gridCol w:w="2918"/>
                  </w:tblGrid>
                  <w:tr>
                    <w:trPr>
                      <w:trHeight w:val="377" w:hRule="exact"/>
                    </w:trPr>
                    <w:tc>
                      <w:tcPr>
                        <w:tcW w:w="1368" w:type="dxa"/>
                        <w:tcBorders>
                          <w:top w:val="single" w:sz="4" w:space="0" w:color="000000"/>
                          <w:left w:val="single" w:sz="4" w:space="0" w:color="000000"/>
                          <w:bottom w:val="single" w:sz="17"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7" w:space="0" w:color="FFFFFF"/>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256" w:type="dxa"/>
                        <w:gridSpan w:val="2"/>
                        <w:tcBorders>
                          <w:top w:val="single" w:sz="4" w:space="0" w:color="000000"/>
                          <w:left w:val="single" w:sz="4" w:space="0" w:color="000000"/>
                          <w:bottom w:val="single" w:sz="17" w:space="0" w:color="FFFFFF"/>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802" w:type="dxa"/>
                        <w:tcBorders>
                          <w:top w:val="single" w:sz="4" w:space="0" w:color="000000"/>
                          <w:left w:val="single" w:sz="4" w:space="0" w:color="000000"/>
                          <w:bottom w:val="single" w:sz="17"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7" w:space="0" w:color="FFFFFF"/>
                          <w:right w:val="single" w:sz="4" w:space="0" w:color="000000"/>
                        </w:tcBorders>
                        <w:shd w:val="clear" w:color="auto" w:fill="D2D2D2"/>
                      </w:tcPr>
                      <w:p>
                        <w:pPr/>
                      </w:p>
                    </w:tc>
                  </w:tr>
                  <w:tr>
                    <w:trPr>
                      <w:trHeight w:val="185" w:hRule="exact"/>
                    </w:trPr>
                    <w:tc>
                      <w:tcPr>
                        <w:tcW w:w="1368" w:type="dxa"/>
                        <w:vMerge w:val="restart"/>
                        <w:tcBorders>
                          <w:top w:val="single" w:sz="17" w:space="0" w:color="FFFFFF"/>
                          <w:left w:val="single" w:sz="4" w:space="0" w:color="000000"/>
                          <w:right w:val="single" w:sz="4" w:space="0" w:color="000000"/>
                        </w:tcBorders>
                        <w:shd w:val="clear" w:color="auto" w:fill="D2D2D2"/>
                      </w:tcPr>
                      <w:p>
                        <w:pPr/>
                      </w:p>
                    </w:tc>
                    <w:tc>
                      <w:tcPr>
                        <w:tcW w:w="1166" w:type="dxa"/>
                        <w:tcBorders>
                          <w:top w:val="single" w:sz="17" w:space="0" w:color="FFFFFF"/>
                          <w:left w:val="single" w:sz="4" w:space="0" w:color="000000"/>
                          <w:bottom w:val="nil" w:sz="6" w:space="0" w:color="auto"/>
                          <w:right w:val="single" w:sz="4" w:space="0" w:color="000000"/>
                        </w:tcBorders>
                        <w:shd w:val="clear" w:color="auto" w:fill="D2D2D2"/>
                      </w:tcPr>
                      <w:p>
                        <w:pPr/>
                      </w:p>
                    </w:tc>
                    <w:tc>
                      <w:tcPr>
                        <w:tcW w:w="1061" w:type="dxa"/>
                        <w:vMerge w:val="restart"/>
                        <w:tcBorders>
                          <w:top w:val="single" w:sz="17" w:space="0" w:color="FFFFFF"/>
                          <w:left w:val="single" w:sz="4" w:space="0" w:color="000000"/>
                          <w:right w:val="single" w:sz="4" w:space="0" w:color="000000"/>
                        </w:tcBorders>
                        <w:shd w:val="clear" w:color="auto" w:fill="D2D2D2"/>
                      </w:tcPr>
                      <w:p>
                        <w:pPr>
                          <w:pStyle w:val="TableParagraph"/>
                          <w:spacing w:line="316" w:lineRule="auto" w:before="63"/>
                          <w:ind w:left="431" w:right="74" w:hanging="360"/>
                          <w:jc w:val="left"/>
                          <w:rPr>
                            <w:rFonts w:ascii="宋体" w:hAnsi="宋体" w:cs="宋体" w:eastAsia="宋体" w:hint="default"/>
                            <w:sz w:val="18"/>
                            <w:szCs w:val="18"/>
                          </w:rPr>
                        </w:pPr>
                        <w:r>
                          <w:rPr>
                            <w:rFonts w:ascii="宋体" w:hAnsi="宋体" w:cs="宋体" w:eastAsia="宋体" w:hint="default"/>
                            <w:spacing w:val="-2"/>
                            <w:sz w:val="18"/>
                            <w:szCs w:val="18"/>
                          </w:rPr>
                          <w:t>占总资产比</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例</w:t>
                        </w:r>
                      </w:p>
                    </w:tc>
                    <w:tc>
                      <w:tcPr>
                        <w:tcW w:w="1195" w:type="dxa"/>
                        <w:tcBorders>
                          <w:top w:val="single" w:sz="17" w:space="0" w:color="FFFFFF"/>
                          <w:left w:val="single" w:sz="4" w:space="0" w:color="000000"/>
                          <w:bottom w:val="nil" w:sz="6" w:space="0" w:color="auto"/>
                          <w:right w:val="single" w:sz="4" w:space="0" w:color="000000"/>
                        </w:tcBorders>
                        <w:shd w:val="clear" w:color="auto" w:fill="D2D2D2"/>
                      </w:tcPr>
                      <w:p>
                        <w:pPr/>
                      </w:p>
                    </w:tc>
                    <w:tc>
                      <w:tcPr>
                        <w:tcW w:w="1061" w:type="dxa"/>
                        <w:vMerge w:val="restart"/>
                        <w:tcBorders>
                          <w:top w:val="single" w:sz="17" w:space="0" w:color="FFFFFF"/>
                          <w:left w:val="single" w:sz="4" w:space="0" w:color="000000"/>
                          <w:right w:val="single" w:sz="4" w:space="0" w:color="000000"/>
                        </w:tcBorders>
                        <w:shd w:val="clear" w:color="auto" w:fill="D2D2D2"/>
                      </w:tcPr>
                      <w:p>
                        <w:pPr>
                          <w:pStyle w:val="TableParagraph"/>
                          <w:spacing w:line="316" w:lineRule="auto" w:before="6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占总资产比</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例</w:t>
                        </w:r>
                      </w:p>
                    </w:tc>
                    <w:tc>
                      <w:tcPr>
                        <w:tcW w:w="802" w:type="dxa"/>
                        <w:vMerge w:val="restart"/>
                        <w:tcBorders>
                          <w:top w:val="single" w:sz="17" w:space="0" w:color="FFFFFF"/>
                          <w:left w:val="single" w:sz="4" w:space="0" w:color="000000"/>
                          <w:right w:val="single" w:sz="4" w:space="0" w:color="000000"/>
                        </w:tcBorders>
                        <w:shd w:val="clear" w:color="auto" w:fill="D2D2D2"/>
                      </w:tcPr>
                      <w:p>
                        <w:pPr>
                          <w:pStyle w:val="TableParagraph"/>
                          <w:spacing w:line="240" w:lineRule="auto" w:before="10"/>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7" w:space="0" w:color="FFFFFF"/>
                          <w:left w:val="single" w:sz="4" w:space="0" w:color="000000"/>
                          <w:right w:val="single" w:sz="4" w:space="0" w:color="000000"/>
                        </w:tcBorders>
                        <w:shd w:val="clear" w:color="auto" w:fill="D2D2D2"/>
                      </w:tcPr>
                      <w:p>
                        <w:pPr>
                          <w:pStyle w:val="TableParagraph"/>
                          <w:spacing w:line="240" w:lineRule="auto" w:before="10"/>
                          <w:ind w:left="907"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87"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1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vMerge/>
                        <w:tcBorders>
                          <w:left w:val="single" w:sz="4" w:space="0" w:color="000000"/>
                          <w:right w:val="single" w:sz="4" w:space="0" w:color="000000"/>
                        </w:tcBorders>
                        <w:shd w:val="clear" w:color="auto" w:fill="D2D2D2"/>
                      </w:tcPr>
                      <w:p>
                        <w:pPr/>
                      </w:p>
                    </w:tc>
                    <w:tc>
                      <w:tcPr>
                        <w:tcW w:w="802"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66"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802"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317"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6" w:type="dxa"/>
                        <w:vMerge w:val="restart"/>
                        <w:tcBorders>
                          <w:top w:val="single" w:sz="4" w:space="0" w:color="000000"/>
                          <w:left w:val="single" w:sz="8"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25,000,000.00</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56" w:right="0"/>
                          <w:jc w:val="left"/>
                          <w:rPr>
                            <w:rFonts w:ascii="Times New Roman" w:hAnsi="Times New Roman" w:cs="Times New Roman" w:eastAsia="Times New Roman" w:hint="default"/>
                            <w:sz w:val="18"/>
                            <w:szCs w:val="18"/>
                          </w:rPr>
                        </w:pPr>
                        <w:r>
                          <w:rPr>
                            <w:rFonts w:ascii="Times New Roman"/>
                            <w:sz w:val="18"/>
                          </w:rPr>
                          <w:t>2.43%</w:t>
                        </w:r>
                      </w:p>
                    </w:tc>
                    <w:tc>
                      <w:tcPr>
                        <w:tcW w:w="1195"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2.43%</w:t>
                        </w:r>
                      </w:p>
                    </w:tc>
                    <w:tc>
                      <w:tcPr>
                        <w:tcW w:w="2918" w:type="dxa"/>
                        <w:vMerge w:val="restart"/>
                        <w:tcBorders>
                          <w:top w:val="single" w:sz="4" w:space="0" w:color="000000"/>
                          <w:left w:val="single" w:sz="4" w:space="0" w:color="000000"/>
                          <w:right w:val="single" w:sz="4" w:space="0" w:color="000000"/>
                        </w:tcBorders>
                      </w:tcPr>
                      <w:p>
                        <w:pPr>
                          <w:pStyle w:val="TableParagraph"/>
                          <w:spacing w:line="309" w:lineRule="auto" w:before="53"/>
                          <w:ind w:left="19" w:right="22"/>
                          <w:jc w:val="left"/>
                          <w:rPr>
                            <w:rFonts w:ascii="宋体" w:hAnsi="宋体" w:cs="宋体" w:eastAsia="宋体" w:hint="default"/>
                            <w:sz w:val="18"/>
                            <w:szCs w:val="18"/>
                          </w:rPr>
                        </w:pPr>
                        <w:r>
                          <w:rPr>
                            <w:rFonts w:ascii="宋体" w:hAnsi="宋体" w:cs="宋体" w:eastAsia="宋体" w:hint="default"/>
                            <w:sz w:val="18"/>
                            <w:szCs w:val="18"/>
                          </w:rPr>
                          <w:t>短期借款比年初增加</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万元，主</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要是：报告期内公司为了扩大经营需</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要补充流动资金。</w:t>
                        </w:r>
                      </w:p>
                    </w:tc>
                  </w:tr>
                  <w:tr>
                    <w:trPr>
                      <w:trHeight w:val="394"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6" w:type="dxa"/>
                        <w:vMerge/>
                        <w:tcBorders>
                          <w:left w:val="single" w:sz="8" w:space="0" w:color="D2D2D2"/>
                          <w:right w:val="single" w:sz="4" w:space="0" w:color="000000"/>
                        </w:tcBorders>
                      </w:tcPr>
                      <w:p>
                        <w:pPr/>
                      </w:p>
                    </w:tc>
                    <w:tc>
                      <w:tcPr>
                        <w:tcW w:w="1061"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6" w:type="dxa"/>
                        <w:vMerge/>
                        <w:tcBorders>
                          <w:left w:val="single" w:sz="8" w:space="0" w:color="D2D2D2"/>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0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7,280,297.69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0.71%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2,544,071.73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0.42%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19" w:right="22"/>
                          <w:jc w:val="left"/>
                          <w:rPr>
                            <w:rFonts w:ascii="宋体" w:hAnsi="宋体" w:cs="宋体" w:eastAsia="宋体" w:hint="default"/>
                            <w:sz w:val="18"/>
                            <w:szCs w:val="18"/>
                          </w:rPr>
                        </w:pPr>
                        <w:r>
                          <w:rPr>
                            <w:rFonts w:ascii="宋体" w:hAnsi="宋体" w:cs="宋体" w:eastAsia="宋体" w:hint="default"/>
                            <w:spacing w:val="-3"/>
                            <w:sz w:val="18"/>
                            <w:szCs w:val="18"/>
                          </w:rPr>
                          <w:t>预收款项报告期期末比年初增幅</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Times New Roman" w:hAnsi="Times New Roman" w:cs="Times New Roman" w:eastAsia="Times New Roman" w:hint="default"/>
                            <w:spacing w:val="-4"/>
                            <w:sz w:val="18"/>
                            <w:szCs w:val="18"/>
                          </w:rPr>
                          <w:t>186.17%,</w:t>
                        </w:r>
                        <w:r>
                          <w:rPr>
                            <w:rFonts w:ascii="宋体" w:hAnsi="宋体" w:cs="宋体" w:eastAsia="宋体" w:hint="default"/>
                            <w:spacing w:val="-4"/>
                            <w:sz w:val="18"/>
                            <w:szCs w:val="18"/>
                          </w:rPr>
                          <w:t>主要是</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报告期期末，客户订</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支付定金增加所致。</w:t>
                        </w:r>
                      </w:p>
                    </w:tc>
                  </w:tr>
                  <w:tr>
                    <w:trPr>
                      <w:trHeight w:val="227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10,546,137.56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4,156,576.87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0.47%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0.56%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19" w:right="74"/>
                          <w:jc w:val="left"/>
                          <w:rPr>
                            <w:rFonts w:ascii="宋体" w:hAnsi="宋体" w:cs="宋体" w:eastAsia="宋体" w:hint="default"/>
                            <w:sz w:val="18"/>
                            <w:szCs w:val="18"/>
                          </w:rPr>
                        </w:pPr>
                        <w:r>
                          <w:rPr>
                            <w:rFonts w:ascii="宋体" w:hAnsi="宋体" w:cs="宋体" w:eastAsia="宋体" w:hint="default"/>
                            <w:spacing w:val="-3"/>
                            <w:sz w:val="18"/>
                            <w:szCs w:val="18"/>
                          </w:rPr>
                          <w:t>应付职工薪酬报告期期末比年初增</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153.72%,</w:t>
                        </w:r>
                        <w:r>
                          <w:rPr>
                            <w:rFonts w:ascii="宋体" w:hAnsi="宋体" w:cs="宋体" w:eastAsia="宋体" w:hint="default"/>
                            <w:sz w:val="18"/>
                            <w:szCs w:val="18"/>
                          </w:rPr>
                          <w:t>主要是</w:t>
                        </w:r>
                        <w:r>
                          <w:rPr>
                            <w:rFonts w:ascii="Times New Roman" w:hAnsi="Times New Roman" w:cs="Times New Roman" w:eastAsia="Times New Roman" w:hint="default"/>
                            <w:sz w:val="18"/>
                            <w:szCs w:val="18"/>
                          </w:rPr>
                          <w:t>:</w:t>
                        </w:r>
                        <w:r>
                          <w:rPr>
                            <w:rFonts w:ascii="宋体" w:hAnsi="宋体" w:cs="宋体" w:eastAsia="宋体" w:hint="default"/>
                            <w:sz w:val="18"/>
                            <w:szCs w:val="18"/>
                          </w:rPr>
                          <w:t>①报告期内</w:t>
                        </w:r>
                        <w:r>
                          <w:rPr>
                            <w:rFonts w:ascii="Times New Roman" w:hAnsi="Times New Roman" w:cs="Times New Roman" w:eastAsia="Times New Roman" w:hint="default"/>
                            <w:sz w:val="18"/>
                            <w:szCs w:val="18"/>
                          </w:rPr>
                          <w:t>,</w:t>
                        </w:r>
                        <w:r>
                          <w:rPr>
                            <w:rFonts w:ascii="宋体" w:hAnsi="宋体" w:cs="宋体" w:eastAsia="宋体" w:hint="default"/>
                            <w:sz w:val="18"/>
                            <w:szCs w:val="18"/>
                          </w:rPr>
                          <w:t>随着</w:t>
                        </w:r>
                        <w:r>
                          <w:rPr>
                            <w:rFonts w:ascii="宋体" w:hAnsi="宋体" w:cs="宋体" w:eastAsia="宋体" w:hint="default"/>
                            <w:w w:val="101"/>
                            <w:sz w:val="18"/>
                            <w:szCs w:val="18"/>
                          </w:rPr>
                          <w:t> </w:t>
                        </w:r>
                        <w:r>
                          <w:rPr>
                            <w:rFonts w:ascii="宋体" w:hAnsi="宋体" w:cs="宋体" w:eastAsia="宋体" w:hint="default"/>
                            <w:spacing w:val="-3"/>
                            <w:sz w:val="18"/>
                            <w:szCs w:val="18"/>
                          </w:rPr>
                          <w:t>经营规模扩大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销售及管理人员增加</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期末计提当月工资相应增加②报告</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期内</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销售业绩大幅增加</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期末计提的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销售人员年终绩效奖金及管理人员</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的年终考核奖金相应增加。</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4,457,977.86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-2,506,719.98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-0.28%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0.71%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19" w:right="79"/>
                          <w:jc w:val="left"/>
                          <w:rPr>
                            <w:rFonts w:ascii="宋体" w:hAnsi="宋体" w:cs="宋体" w:eastAsia="宋体" w:hint="default"/>
                            <w:sz w:val="18"/>
                            <w:szCs w:val="18"/>
                          </w:rPr>
                        </w:pPr>
                        <w:r>
                          <w:rPr>
                            <w:rFonts w:ascii="宋体" w:hAnsi="宋体" w:cs="宋体" w:eastAsia="宋体" w:hint="default"/>
                            <w:spacing w:val="-3"/>
                            <w:sz w:val="18"/>
                            <w:szCs w:val="18"/>
                          </w:rPr>
                          <w:t>应交税费报告期期末比年初减幅</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Times New Roman" w:hAnsi="Times New Roman" w:cs="Times New Roman" w:eastAsia="Times New Roman" w:hint="default"/>
                            <w:spacing w:val="-2"/>
                            <w:sz w:val="18"/>
                            <w:szCs w:val="18"/>
                          </w:rPr>
                          <w:t>277.84%</w:t>
                        </w:r>
                        <w:r>
                          <w:rPr>
                            <w:rFonts w:ascii="宋体" w:hAnsi="宋体" w:cs="宋体" w:eastAsia="宋体" w:hint="default"/>
                            <w:spacing w:val="-2"/>
                            <w:sz w:val="18"/>
                            <w:szCs w:val="18"/>
                          </w:rPr>
                          <w:t>，主要原因是：报告期内公</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3"/>
                            <w:sz w:val="18"/>
                            <w:szCs w:val="18"/>
                          </w:rPr>
                          <w:t>司销售收入大幅增加</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相应增加增值</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税销项税额。</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26,169,793.59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10,358,985.72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19" w:right="26"/>
                          <w:jc w:val="left"/>
                          <w:rPr>
                            <w:rFonts w:ascii="宋体" w:hAnsi="宋体" w:cs="宋体" w:eastAsia="宋体" w:hint="default"/>
                            <w:sz w:val="18"/>
                            <w:szCs w:val="18"/>
                          </w:rPr>
                        </w:pPr>
                        <w:r>
                          <w:rPr>
                            <w:rFonts w:ascii="宋体" w:hAnsi="宋体" w:cs="宋体" w:eastAsia="宋体" w:hint="default"/>
                            <w:spacing w:val="-3"/>
                            <w:sz w:val="18"/>
                            <w:szCs w:val="18"/>
                          </w:rPr>
                          <w:t>其他应付款报告期期末比年初增幅</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Times New Roman" w:hAnsi="Times New Roman" w:cs="Times New Roman" w:eastAsia="Times New Roman" w:hint="default"/>
                            <w:sz w:val="18"/>
                            <w:szCs w:val="18"/>
                          </w:rPr>
                          <w:t>152.63%,</w:t>
                        </w:r>
                        <w:r>
                          <w:rPr>
                            <w:rFonts w:ascii="宋体" w:hAnsi="宋体" w:cs="宋体" w:eastAsia="宋体" w:hint="default"/>
                            <w:sz w:val="18"/>
                            <w:szCs w:val="18"/>
                          </w:rPr>
                          <w:t>主要是</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报告期内</w:t>
                        </w:r>
                        <w:r>
                          <w:rPr>
                            <w:rFonts w:ascii="Times New Roman" w:hAnsi="Times New Roman" w:cs="Times New Roman" w:eastAsia="Times New Roman" w:hint="default"/>
                            <w:sz w:val="18"/>
                            <w:szCs w:val="18"/>
                          </w:rPr>
                          <w:t>,</w:t>
                        </w:r>
                        <w:r>
                          <w:rPr>
                            <w:rFonts w:ascii="宋体" w:hAnsi="宋体" w:cs="宋体" w:eastAsia="宋体" w:hint="default"/>
                            <w:sz w:val="18"/>
                            <w:szCs w:val="18"/>
                          </w:rPr>
                          <w:t>股权激励</w:t>
                        </w:r>
                        <w:r>
                          <w:rPr>
                            <w:rFonts w:ascii="宋体" w:hAnsi="宋体" w:cs="宋体" w:eastAsia="宋体" w:hint="default"/>
                            <w:w w:val="101"/>
                            <w:sz w:val="18"/>
                            <w:szCs w:val="18"/>
                          </w:rPr>
                          <w:t> </w:t>
                        </w:r>
                        <w:r>
                          <w:rPr>
                            <w:rFonts w:ascii="宋体" w:hAnsi="宋体" w:cs="宋体" w:eastAsia="宋体" w:hint="default"/>
                            <w:spacing w:val="-3"/>
                            <w:sz w:val="18"/>
                            <w:szCs w:val="18"/>
                          </w:rPr>
                          <w:t>相关回购义务全额确认的负债以及</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应付的工程款增加。</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14"/>
        <w:ind w:left="575" w:right="0"/>
        <w:jc w:val="left"/>
        <w:rPr>
          <w:b w:val="0"/>
          <w:bCs w:val="0"/>
        </w:rPr>
      </w:pPr>
      <w:r>
        <w:rPr>
          <w:rFonts w:ascii="Arial" w:hAnsi="Arial" w:cs="Arial" w:eastAsia="Arial" w:hint="default"/>
        </w:rPr>
        <w:t>3</w:t>
      </w:r>
      <w:r>
        <w:rPr/>
        <w:t>）以公允价值计量的资产和负债</w:t>
      </w:r>
      <w:r>
        <w:rPr>
          <w:b w:val="0"/>
          <w:bCs w:val="0"/>
        </w:rPr>
      </w:r>
    </w:p>
    <w:p>
      <w:pPr>
        <w:pStyle w:val="BodyText"/>
        <w:spacing w:line="240" w:lineRule="auto" w:before="167"/>
        <w:ind w:left="575" w:right="0"/>
        <w:jc w:val="left"/>
      </w:pPr>
      <w:r>
        <w:rPr/>
        <w:t>□ 适用 √</w:t>
      </w:r>
      <w:r>
        <w:rPr>
          <w:spacing w:val="3"/>
        </w:rPr>
        <w:t> </w:t>
      </w:r>
      <w:r>
        <w:rPr/>
        <w:t>不适用</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）公司竞争能力重大变化分析</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240" w:lineRule="auto"/>
        <w:ind w:left="575" w:right="0"/>
        <w:jc w:val="left"/>
      </w:pPr>
      <w:r>
        <w:rPr/>
        <w:t>√ 适用 □</w:t>
      </w:r>
      <w:r>
        <w:rPr>
          <w:spacing w:val="3"/>
        </w:rPr>
        <w:t> </w:t>
      </w:r>
      <w:r>
        <w:rPr/>
        <w:t>不适用</w:t>
      </w:r>
    </w:p>
    <w:p>
      <w:pPr>
        <w:spacing w:line="240" w:lineRule="auto" w:before="8"/>
        <w:rPr>
          <w:rFonts w:ascii="宋体" w:hAnsi="宋体" w:cs="宋体" w:eastAsia="宋体" w:hint="default"/>
          <w:sz w:val="14"/>
          <w:szCs w:val="14"/>
        </w:rPr>
      </w:pPr>
    </w:p>
    <w:p>
      <w:pPr>
        <w:pStyle w:val="BodyText"/>
        <w:spacing w:line="240" w:lineRule="auto"/>
        <w:ind w:left="575" w:right="0"/>
        <w:jc w:val="left"/>
      </w:pPr>
      <w:r>
        <w:rPr>
          <w:rFonts w:ascii="Arial" w:hAnsi="Arial" w:cs="Arial" w:eastAsia="Arial" w:hint="default"/>
          <w:spacing w:val="-3"/>
        </w:rPr>
        <w:t>2014 </w:t>
      </w:r>
      <w:r>
        <w:rPr>
          <w:rFonts w:ascii="Arial" w:hAnsi="Arial" w:cs="Arial" w:eastAsia="Arial" w:hint="default"/>
          <w:spacing w:val="36"/>
        </w:rPr>
        <w:t> </w:t>
      </w:r>
      <w:r>
        <w:rPr/>
        <w:t>年度，公司在继续促进主业做大做强的同时进行产业链延伸式发展，公司的核心竞争力不断增</w:t>
      </w:r>
    </w:p>
    <w:p>
      <w:pPr>
        <w:pStyle w:val="BodyText"/>
        <w:spacing w:line="240" w:lineRule="auto" w:before="180"/>
        <w:ind w:right="0"/>
        <w:jc w:val="left"/>
      </w:pPr>
      <w:r>
        <w:rPr/>
        <w:t>强。</w:t>
      </w:r>
    </w:p>
    <w:p>
      <w:pPr>
        <w:spacing w:after="0" w:line="240" w:lineRule="auto"/>
        <w:jc w:val="left"/>
        <w:sectPr>
          <w:pgSz w:w="11900" w:h="16840"/>
          <w:pgMar w:header="742" w:footer="984" w:top="1060" w:bottom="1180" w:left="980" w:right="980"/>
        </w:sectPr>
      </w:pPr>
    </w:p>
    <w:p>
      <w:pPr>
        <w:spacing w:line="240" w:lineRule="auto" w:before="0"/>
        <w:rPr>
          <w:rFonts w:ascii="宋体" w:hAnsi="宋体" w:cs="宋体" w:eastAsia="宋体" w:hint="default"/>
          <w:sz w:val="20"/>
          <w:szCs w:val="20"/>
        </w:rPr>
      </w:pPr>
    </w:p>
    <w:p>
      <w:pPr>
        <w:pStyle w:val="BodyText"/>
        <w:spacing w:line="405" w:lineRule="auto" w:before="182"/>
        <w:ind w:right="111" w:firstLine="422"/>
        <w:jc w:val="left"/>
      </w:pPr>
      <w:r>
        <w:rPr>
          <w:spacing w:val="-2"/>
        </w:rPr>
        <w:t>公司目前已拥有分散染料、活性染料、助剂的生产能力，可确保市场对上述染料产品需求，同时，公</w:t>
      </w:r>
      <w:r>
        <w:rPr>
          <w:w w:val="100"/>
        </w:rPr>
        <w:t> </w:t>
      </w:r>
      <w:r>
        <w:rPr/>
        <w:t>司年产</w:t>
      </w:r>
      <w:r>
        <w:rPr>
          <w:spacing w:val="-41"/>
        </w:rPr>
        <w:t> </w:t>
      </w:r>
      <w:r>
        <w:rPr>
          <w:rFonts w:ascii="Arial" w:hAnsi="Arial" w:cs="Arial" w:eastAsia="Arial" w:hint="default"/>
        </w:rPr>
        <w:t>30000</w:t>
      </w:r>
      <w:r>
        <w:rPr>
          <w:rFonts w:ascii="Arial" w:hAnsi="Arial" w:cs="Arial" w:eastAsia="Arial" w:hint="default"/>
          <w:spacing w:val="3"/>
        </w:rPr>
        <w:t> </w:t>
      </w:r>
      <w:r>
        <w:rPr/>
        <w:t>吨精细化工中间体建设项目于</w:t>
      </w:r>
      <w:r>
        <w:rPr>
          <w:spacing w:val="-41"/>
        </w:rPr>
        <w:t> </w:t>
      </w:r>
      <w:r>
        <w:rPr>
          <w:rFonts w:ascii="Arial" w:hAnsi="Arial" w:cs="Arial" w:eastAsia="Arial" w:hint="default"/>
          <w:spacing w:val="-3"/>
        </w:rPr>
        <w:t>2014</w:t>
      </w:r>
      <w:r>
        <w:rPr>
          <w:rFonts w:ascii="Arial" w:hAnsi="Arial" w:cs="Arial" w:eastAsia="Arial" w:hint="default"/>
          <w:spacing w:val="8"/>
        </w:rPr>
        <w:t> </w:t>
      </w:r>
      <w:r>
        <w:rPr/>
        <w:t>年</w:t>
      </w:r>
      <w:r>
        <w:rPr>
          <w:spacing w:val="-36"/>
        </w:rPr>
        <w:t> </w:t>
      </w:r>
      <w:r>
        <w:rPr>
          <w:rFonts w:ascii="Arial" w:hAnsi="Arial" w:cs="Arial" w:eastAsia="Arial" w:hint="default"/>
          <w:spacing w:val="-9"/>
        </w:rPr>
        <w:t>11</w:t>
      </w:r>
      <w:r>
        <w:rPr>
          <w:rFonts w:ascii="Arial" w:hAnsi="Arial" w:cs="Arial" w:eastAsia="Arial" w:hint="default"/>
          <w:spacing w:val="8"/>
        </w:rPr>
        <w:t> </w:t>
      </w:r>
      <w:r>
        <w:rPr/>
        <w:t>月取得了《山东省环境保护厅关于烟台安诺其精</w:t>
      </w:r>
    </w:p>
    <w:p>
      <w:pPr>
        <w:pStyle w:val="BodyText"/>
        <w:spacing w:line="396" w:lineRule="auto" w:before="18"/>
        <w:ind w:right="111"/>
        <w:jc w:val="left"/>
      </w:pPr>
      <w:r>
        <w:rPr/>
        <w:t>细化工有限公司年产</w:t>
      </w:r>
      <w:r>
        <w:rPr>
          <w:spacing w:val="-37"/>
        </w:rPr>
        <w:t> </w:t>
      </w:r>
      <w:r>
        <w:rPr>
          <w:rFonts w:ascii="Arial" w:hAnsi="Arial" w:cs="Arial" w:eastAsia="Arial" w:hint="default"/>
          <w:spacing w:val="-3"/>
        </w:rPr>
        <w:t>30000</w:t>
      </w:r>
      <w:r>
        <w:rPr>
          <w:rFonts w:ascii="Arial" w:hAnsi="Arial" w:cs="Arial" w:eastAsia="Arial" w:hint="default"/>
          <w:spacing w:val="5"/>
        </w:rPr>
        <w:t> </w:t>
      </w:r>
      <w:r>
        <w:rPr>
          <w:spacing w:val="-4"/>
        </w:rPr>
        <w:t>吨精细化工中间体建设项目环境影响报告书的批复》批准该项目的建设，该项</w:t>
      </w:r>
      <w:r>
        <w:rPr>
          <w:spacing w:val="-71"/>
        </w:rPr>
        <w:t> </w:t>
      </w:r>
      <w:r>
        <w:rPr>
          <w:spacing w:val="-71"/>
        </w:rPr>
      </w:r>
      <w:r>
        <w:rPr/>
        <w:t>目后续建设将降低化工原料供应的市场波动对公司的影响，实现公司产品线向上游延伸和完善产业链战略</w:t>
      </w:r>
      <w:r>
        <w:rPr>
          <w:w w:val="100"/>
        </w:rPr>
        <w:t> </w:t>
      </w:r>
      <w:r>
        <w:rPr>
          <w:spacing w:val="-3"/>
        </w:rPr>
        <w:t>目标。</w:t>
      </w:r>
      <w:r>
        <w:rPr>
          <w:rFonts w:ascii="Arial" w:hAnsi="Arial" w:cs="Arial" w:eastAsia="Arial" w:hint="default"/>
          <w:spacing w:val="-3"/>
        </w:rPr>
        <w:t>2014</w:t>
      </w:r>
      <w:r>
        <w:rPr>
          <w:rFonts w:ascii="Arial" w:hAnsi="Arial" w:cs="Arial" w:eastAsia="Arial" w:hint="default"/>
          <w:spacing w:val="-13"/>
        </w:rPr>
        <w:t> </w:t>
      </w:r>
      <w:r>
        <w:rPr/>
        <w:t>年</w:t>
      </w:r>
      <w:r>
        <w:rPr>
          <w:spacing w:val="-57"/>
        </w:rPr>
        <w:t> </w:t>
      </w:r>
      <w:r>
        <w:rPr>
          <w:rFonts w:ascii="Arial" w:hAnsi="Arial" w:cs="Arial" w:eastAsia="Arial" w:hint="default"/>
        </w:rPr>
        <w:t>10</w:t>
      </w:r>
      <w:r>
        <w:rPr>
          <w:rFonts w:ascii="Arial" w:hAnsi="Arial" w:cs="Arial" w:eastAsia="Arial" w:hint="default"/>
          <w:spacing w:val="-12"/>
        </w:rPr>
        <w:t> </w:t>
      </w:r>
      <w:r>
        <w:rPr/>
        <w:t>月，集团公司正式成立，未来公司将积极有效地实施集团化管理管控，充分发挥集团公</w:t>
      </w:r>
      <w:r>
        <w:rPr>
          <w:w w:val="100"/>
        </w:rPr>
        <w:t> </w:t>
      </w:r>
      <w:r>
        <w:rPr>
          <w:spacing w:val="-4"/>
        </w:rPr>
        <w:t>司的优势，完善各项内控制度和内控流程，加强监督，贯彻落实各项管理制度的执行，实现管理的规范化、</w:t>
      </w:r>
      <w:r>
        <w:rPr>
          <w:spacing w:val="-44"/>
        </w:rPr>
        <w:t> </w:t>
      </w:r>
      <w:r>
        <w:rPr>
          <w:spacing w:val="-44"/>
        </w:rPr>
      </w:r>
      <w:r>
        <w:rPr/>
        <w:t>精细化、流程化、透明化。</w:t>
      </w:r>
      <w:r>
        <w:rPr>
          <w:rFonts w:ascii="Arial" w:hAnsi="Arial" w:cs="Arial" w:eastAsia="Arial" w:hint="default"/>
        </w:rPr>
        <w:t>2014 </w:t>
      </w:r>
      <w:r>
        <w:rPr/>
        <w:t>年，公司在产品销售渠道建设、渠道模式上不断进行创新尝试，在相关</w:t>
      </w:r>
      <w:r>
        <w:rPr>
          <w:spacing w:val="-81"/>
        </w:rPr>
        <w:t> </w:t>
      </w:r>
      <w:r>
        <w:rPr>
          <w:spacing w:val="-81"/>
        </w:rPr>
      </w:r>
      <w:r>
        <w:rPr/>
        <w:t>多元化业务发展不断探索，以持续提高公司业务增长能力及新的利润增长点。</w:t>
      </w:r>
    </w:p>
    <w:p>
      <w:pPr>
        <w:spacing w:line="240" w:lineRule="auto" w:before="4"/>
        <w:rPr>
          <w:rFonts w:ascii="宋体" w:hAnsi="宋体" w:cs="宋体" w:eastAsia="宋体" w:hint="default"/>
          <w:sz w:val="16"/>
          <w:szCs w:val="16"/>
        </w:rPr>
      </w:pPr>
    </w:p>
    <w:p>
      <w:pPr>
        <w:pStyle w:val="Heading4"/>
        <w:spacing w:line="240" w:lineRule="auto"/>
        <w:ind w:right="111"/>
        <w:jc w:val="left"/>
        <w:rPr>
          <w:b w:val="0"/>
          <w:bCs w:val="0"/>
        </w:rPr>
      </w:pPr>
      <w:r>
        <w:rPr/>
        <w:t>（</w:t>
      </w:r>
      <w:r>
        <w:rPr>
          <w:rFonts w:ascii="Times New Roman" w:hAnsi="Times New Roman" w:cs="Times New Roman" w:eastAsia="Times New Roman" w:hint="default"/>
        </w:rPr>
        <w:t>5</w:t>
      </w:r>
      <w:r>
        <w:rPr/>
        <w:t>）投资状况分析</w:t>
      </w:r>
      <w:r>
        <w:rPr>
          <w:b w:val="0"/>
          <w:bCs w:val="0"/>
        </w:rPr>
      </w:r>
    </w:p>
    <w:p>
      <w:pPr>
        <w:spacing w:line="240" w:lineRule="auto" w:before="12"/>
        <w:rPr>
          <w:rFonts w:ascii="Microsoft JhengHei" w:hAnsi="Microsoft JhengHei" w:cs="Microsoft JhengHei" w:eastAsia="Microsoft JhengHei" w:hint="default"/>
          <w:b/>
          <w:bCs/>
          <w:sz w:val="18"/>
          <w:szCs w:val="18"/>
        </w:rPr>
      </w:pPr>
    </w:p>
    <w:p>
      <w:pPr>
        <w:pStyle w:val="Heading4"/>
        <w:spacing w:line="240" w:lineRule="auto"/>
        <w:ind w:left="575" w:right="111"/>
        <w:jc w:val="left"/>
        <w:rPr>
          <w:b w:val="0"/>
          <w:bCs w:val="0"/>
        </w:rPr>
      </w:pPr>
      <w:r>
        <w:rPr>
          <w:rFonts w:ascii="Arial" w:hAnsi="Arial" w:cs="Arial" w:eastAsia="Arial" w:hint="default"/>
        </w:rPr>
        <w:t>1</w:t>
      </w:r>
      <w:r>
        <w:rPr/>
        <w:t>）对外投资情况</w:t>
      </w:r>
      <w:r>
        <w:rPr>
          <w:b w:val="0"/>
          <w:bCs w:val="0"/>
        </w:rPr>
      </w:r>
    </w:p>
    <w:p>
      <w:pPr>
        <w:pStyle w:val="BodyText"/>
        <w:spacing w:line="405" w:lineRule="auto" w:before="171"/>
        <w:ind w:left="575" w:right="7126"/>
        <w:jc w:val="left"/>
      </w:pPr>
      <w:r>
        <w:rPr/>
        <w:t>□ 适用 √ 不适用</w:t>
      </w:r>
      <w:r>
        <w:rPr>
          <w:spacing w:val="-102"/>
        </w:rPr>
        <w:t> </w:t>
      </w:r>
      <w:r>
        <w:rPr>
          <w:spacing w:val="-102"/>
        </w:rPr>
      </w:r>
      <w:r>
        <w:rPr>
          <w:spacing w:val="-1"/>
        </w:rPr>
        <w:t>公司报告期无对外投资。</w:t>
      </w:r>
    </w:p>
    <w:p>
      <w:pPr>
        <w:pStyle w:val="Heading4"/>
        <w:spacing w:line="349" w:lineRule="exact"/>
        <w:ind w:left="575" w:right="111"/>
        <w:jc w:val="left"/>
        <w:rPr>
          <w:b w:val="0"/>
          <w:bCs w:val="0"/>
        </w:rPr>
      </w:pPr>
      <w:r>
        <w:rPr>
          <w:rFonts w:ascii="Arial" w:hAnsi="Arial" w:cs="Arial" w:eastAsia="Arial" w:hint="default"/>
        </w:rPr>
        <w:t>2</w:t>
      </w:r>
      <w:r>
        <w:rPr/>
        <w:t>）募集资金使用情况</w:t>
      </w:r>
      <w:r>
        <w:rPr>
          <w:b w:val="0"/>
          <w:bCs w:val="0"/>
        </w:rPr>
      </w:r>
    </w:p>
    <w:p>
      <w:pPr>
        <w:pStyle w:val="BodyText"/>
        <w:spacing w:line="240" w:lineRule="auto" w:before="167"/>
        <w:ind w:left="575" w:right="111"/>
        <w:jc w:val="left"/>
      </w:pPr>
      <w:r>
        <w:rPr/>
        <w:t>√ 适用 □</w:t>
      </w:r>
      <w:r>
        <w:rPr>
          <w:spacing w:val="3"/>
        </w:rPr>
        <w:t> </w:t>
      </w:r>
      <w:r>
        <w:rPr/>
        <w:t>不适用</w:t>
      </w:r>
    </w:p>
    <w:p>
      <w:pPr>
        <w:pStyle w:val="Heading4"/>
        <w:spacing w:line="240" w:lineRule="auto" w:before="128"/>
        <w:ind w:left="575" w:right="111"/>
        <w:jc w:val="left"/>
        <w:rPr>
          <w:b w:val="0"/>
          <w:bCs w:val="0"/>
        </w:rPr>
      </w:pPr>
      <w:r>
        <w:rPr>
          <w:rFonts w:ascii="Arial" w:hAnsi="Arial" w:cs="Arial" w:eastAsia="Arial" w:hint="default"/>
        </w:rPr>
        <w:t>1.</w:t>
      </w:r>
      <w:r>
        <w:rPr/>
        <w:t>募集资金总体使用情况</w:t>
      </w:r>
      <w:r>
        <w:rPr>
          <w:b w:val="0"/>
          <w:bCs w:val="0"/>
        </w:rPr>
      </w:r>
    </w:p>
    <w:p>
      <w:pPr>
        <w:pStyle w:val="BodyText"/>
        <w:spacing w:line="240" w:lineRule="auto" w:before="167"/>
        <w:ind w:left="575" w:right="111"/>
        <w:jc w:val="left"/>
      </w:pPr>
      <w:r>
        <w:rPr/>
        <w:t>√ 适用 □</w:t>
      </w:r>
      <w:r>
        <w:rPr>
          <w:spacing w:val="3"/>
        </w:rPr>
        <w:t> </w:t>
      </w:r>
      <w:r>
        <w:rPr/>
        <w:t>不适用</w:t>
      </w:r>
    </w:p>
    <w:p>
      <w:pPr>
        <w:spacing w:line="240" w:lineRule="auto" w:before="13"/>
        <w:rPr>
          <w:rFonts w:ascii="宋体" w:hAnsi="宋体" w:cs="宋体" w:eastAsia="宋体" w:hint="default"/>
          <w:sz w:val="13"/>
          <w:szCs w:val="13"/>
        </w:rPr>
      </w:pPr>
    </w:p>
    <w:p>
      <w:pPr>
        <w:spacing w:before="0"/>
        <w:ind w:left="0" w:right="226"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078"/>
        <w:gridCol w:w="5477"/>
      </w:tblGrid>
      <w:tr>
        <w:trPr>
          <w:trHeight w:val="403"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7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52,886.65</w:t>
            </w:r>
          </w:p>
        </w:tc>
      </w:tr>
      <w:tr>
        <w:trPr>
          <w:trHeight w:val="403"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报告期投入募集资金总额</w:t>
            </w:r>
          </w:p>
        </w:tc>
        <w:tc>
          <w:tcPr>
            <w:tcW w:w="547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7,775.53</w:t>
            </w:r>
          </w:p>
        </w:tc>
      </w:tr>
      <w:tr>
        <w:trPr>
          <w:trHeight w:val="403"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已累计投入募集资金总额</w:t>
            </w:r>
          </w:p>
        </w:tc>
        <w:tc>
          <w:tcPr>
            <w:tcW w:w="547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51,721.9</w:t>
            </w:r>
          </w:p>
        </w:tc>
      </w:tr>
      <w:tr>
        <w:trPr>
          <w:trHeight w:val="398"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报告期内变更用途的募集资金总额</w:t>
            </w:r>
          </w:p>
        </w:tc>
        <w:tc>
          <w:tcPr>
            <w:tcW w:w="547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累计变更用途的募集资金总额</w:t>
            </w:r>
          </w:p>
        </w:tc>
        <w:tc>
          <w:tcPr>
            <w:tcW w:w="547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3,965.5</w:t>
            </w:r>
          </w:p>
        </w:tc>
      </w:tr>
      <w:tr>
        <w:trPr>
          <w:trHeight w:val="408" w:hRule="exact"/>
        </w:trPr>
        <w:tc>
          <w:tcPr>
            <w:tcW w:w="4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累计变更用途的募集资金总额比例</w:t>
            </w:r>
          </w:p>
        </w:tc>
        <w:tc>
          <w:tcPr>
            <w:tcW w:w="547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7.50%</w:t>
            </w:r>
          </w:p>
        </w:tc>
      </w:tr>
      <w:tr>
        <w:trPr>
          <w:trHeight w:val="398" w:hRule="exact"/>
        </w:trPr>
        <w:tc>
          <w:tcPr>
            <w:tcW w:w="95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pacing w:val="-3"/>
                <w:sz w:val="18"/>
                <w:szCs w:val="18"/>
              </w:rPr>
              <w:t>募集资金总体使用情况说明</w:t>
            </w:r>
          </w:p>
        </w:tc>
      </w:tr>
      <w:tr>
        <w:trPr>
          <w:trHeight w:val="1646" w:hRule="exact"/>
        </w:trPr>
        <w:tc>
          <w:tcPr>
            <w:tcW w:w="9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日向社会公开发行人民币普通股股票</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2,700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万股，每股面值</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4"/>
                <w:sz w:val="18"/>
                <w:szCs w:val="18"/>
              </w:rPr>
              <w:t>元，每股发行价为人民币</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21.20</w:t>
            </w:r>
            <w:r>
              <w:rPr>
                <w:rFonts w:ascii="Times New Roman" w:hAnsi="Times New Roman" w:cs="Times New Roman" w:eastAsia="Times New Roman" w:hint="default"/>
                <w:spacing w:val="9"/>
                <w:sz w:val="18"/>
                <w:szCs w:val="18"/>
              </w:rPr>
              <w:t> </w:t>
            </w:r>
            <w:r>
              <w:rPr>
                <w:rFonts w:ascii="宋体" w:hAnsi="宋体" w:cs="宋体" w:eastAsia="宋体" w:hint="default"/>
                <w:spacing w:val="-4"/>
                <w:sz w:val="18"/>
                <w:szCs w:val="18"/>
              </w:rPr>
              <w:t>元，募集</w:t>
            </w:r>
          </w:p>
          <w:p>
            <w:pPr>
              <w:pStyle w:val="TableParagraph"/>
              <w:spacing w:line="240" w:lineRule="auto" w:before="58"/>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资金总额</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57,240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万元，扣除发行费用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4,353.35</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万元后，实际募集资金净额</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52,886.65</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万元，该项募集资金已于</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13  </w:t>
            </w:r>
            <w:r>
              <w:rPr>
                <w:rFonts w:ascii="宋体" w:hAnsi="宋体" w:cs="宋体" w:eastAsia="宋体" w:hint="default"/>
                <w:spacing w:val="-3"/>
                <w:sz w:val="18"/>
                <w:szCs w:val="18"/>
              </w:rPr>
              <w:t>日存入公司募集资金专项账户，并经上海众华沪银会计师事务所有限公司沪众（</w:t>
            </w:r>
            <w:r>
              <w:rPr>
                <w:rFonts w:ascii="Times New Roman" w:hAnsi="Times New Roman" w:cs="Times New Roman" w:eastAsia="Times New Roman" w:hint="default"/>
                <w:spacing w:val="-3"/>
                <w:sz w:val="18"/>
                <w:szCs w:val="18"/>
              </w:rPr>
              <w:t>2010</w:t>
            </w:r>
            <w:r>
              <w:rPr>
                <w:rFonts w:ascii="宋体" w:hAnsi="宋体" w:cs="宋体" w:eastAsia="宋体" w:hint="default"/>
                <w:spacing w:val="-3"/>
                <w:sz w:val="18"/>
                <w:szCs w:val="18"/>
              </w:rPr>
              <w:t>）会字第 </w:t>
            </w:r>
            <w:r>
              <w:rPr>
                <w:rFonts w:ascii="Times New Roman" w:hAnsi="Times New Roman" w:cs="Times New Roman" w:eastAsia="Times New Roman" w:hint="default"/>
                <w:sz w:val="18"/>
                <w:szCs w:val="18"/>
              </w:rPr>
              <w:t>2691</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号验资报告验证</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确认。截止到</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日，募集资金累计使用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51,721.9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万元，取得存款利息收入</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417.78</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万元，归还上市酒会及路</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演费</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241.77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万元，募集资金余额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3,713.11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p>
        </w:tc>
      </w:tr>
    </w:tbl>
    <w:p>
      <w:pPr>
        <w:pStyle w:val="Heading4"/>
        <w:spacing w:line="240" w:lineRule="auto"/>
        <w:ind w:left="575" w:right="111"/>
        <w:jc w:val="left"/>
        <w:rPr>
          <w:b w:val="0"/>
          <w:bCs w:val="0"/>
        </w:rPr>
      </w:pPr>
      <w:r>
        <w:rPr>
          <w:rFonts w:ascii="Arial" w:hAnsi="Arial" w:cs="Arial" w:eastAsia="Arial" w:hint="default"/>
        </w:rPr>
        <w:t>2.</w:t>
      </w:r>
      <w:r>
        <w:rPr/>
        <w:t>募集资金承诺项目情况</w:t>
      </w:r>
      <w:r>
        <w:rPr>
          <w:b w:val="0"/>
          <w:bCs w:val="0"/>
        </w:rPr>
      </w:r>
    </w:p>
    <w:p>
      <w:pPr>
        <w:pStyle w:val="BodyText"/>
        <w:spacing w:line="240" w:lineRule="auto" w:before="171"/>
        <w:ind w:left="575" w:right="111"/>
        <w:jc w:val="left"/>
      </w:pPr>
      <w:r>
        <w:rPr/>
        <w:t>√ 适用 □</w:t>
      </w:r>
      <w:r>
        <w:rPr>
          <w:spacing w:val="3"/>
        </w:rPr>
        <w:t> </w:t>
      </w:r>
      <w:r>
        <w:rPr/>
        <w:t>不适用</w:t>
      </w:r>
    </w:p>
    <w:p>
      <w:pPr>
        <w:spacing w:after="0" w:line="240" w:lineRule="auto"/>
        <w:jc w:val="left"/>
        <w:sectPr>
          <w:pgSz w:w="11900" w:h="16840"/>
          <w:pgMar w:header="742" w:footer="984" w:top="1060" w:bottom="1180" w:left="980" w:right="900"/>
        </w:sectPr>
      </w:pPr>
    </w:p>
    <w:p>
      <w:pPr>
        <w:spacing w:line="240" w:lineRule="auto" w:before="6"/>
        <w:rPr>
          <w:rFonts w:ascii="宋体" w:hAnsi="宋体" w:cs="宋体" w:eastAsia="宋体" w:hint="default"/>
          <w:sz w:val="26"/>
          <w:szCs w:val="2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21"/>
        <w:gridCol w:w="645"/>
        <w:gridCol w:w="91"/>
        <w:gridCol w:w="720"/>
        <w:gridCol w:w="720"/>
        <w:gridCol w:w="720"/>
        <w:gridCol w:w="704"/>
        <w:gridCol w:w="741"/>
        <w:gridCol w:w="720"/>
        <w:gridCol w:w="725"/>
        <w:gridCol w:w="720"/>
        <w:gridCol w:w="720"/>
        <w:gridCol w:w="725"/>
      </w:tblGrid>
      <w:tr>
        <w:trPr>
          <w:trHeight w:val="1651" w:hRule="exact"/>
        </w:trPr>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21" w:lineRule="auto"/>
              <w:ind w:left="360" w:right="73" w:hanging="269"/>
              <w:jc w:val="left"/>
              <w:rPr>
                <w:rFonts w:ascii="宋体" w:hAnsi="宋体" w:cs="宋体" w:eastAsia="宋体" w:hint="default"/>
                <w:sz w:val="18"/>
                <w:szCs w:val="18"/>
              </w:rPr>
            </w:pPr>
            <w:r>
              <w:rPr>
                <w:rFonts w:ascii="宋体" w:hAnsi="宋体" w:cs="宋体" w:eastAsia="宋体" w:hint="default"/>
                <w:spacing w:val="-2"/>
                <w:sz w:val="18"/>
                <w:szCs w:val="18"/>
              </w:rPr>
              <w:t>承诺投资项目和超</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募资金投向</w:t>
            </w:r>
          </w:p>
        </w:tc>
        <w:tc>
          <w:tcPr>
            <w:tcW w:w="7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63" w:right="50" w:firstLine="33"/>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w:t>
            </w:r>
            <w:r>
              <w:rPr>
                <w:rFonts w:ascii="宋体" w:hAnsi="宋体" w:cs="宋体" w:eastAsia="宋体" w:hint="default"/>
                <w:w w:val="101"/>
                <w:sz w:val="18"/>
                <w:szCs w:val="18"/>
              </w:rPr>
              <w:t> </w:t>
            </w:r>
            <w:r>
              <w:rPr>
                <w:rFonts w:ascii="宋体" w:hAnsi="宋体" w:cs="宋体" w:eastAsia="宋体" w:hint="default"/>
                <w:sz w:val="18"/>
                <w:szCs w:val="18"/>
              </w:rPr>
              <w:t>变更项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w:t>
            </w:r>
            <w:r>
              <w:rPr>
                <w:rFonts w:ascii="宋体" w:hAnsi="宋体" w:cs="宋体" w:eastAsia="宋体" w:hint="default"/>
                <w:spacing w:val="-87"/>
                <w:sz w:val="18"/>
                <w:szCs w:val="18"/>
              </w:rPr>
              <w:t> </w:t>
            </w:r>
            <w:r>
              <w:rPr>
                <w:rFonts w:ascii="宋体" w:hAnsi="宋体" w:cs="宋体" w:eastAsia="宋体" w:hint="default"/>
                <w:sz w:val="18"/>
                <w:szCs w:val="18"/>
              </w:rPr>
              <w:t>分变更</w:t>
            </w:r>
            <w:r>
              <w:rPr>
                <w:rFonts w:ascii="Times New Roman" w:hAnsi="Times New Roman" w:cs="Times New Roman" w:eastAsia="Times New Roman"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1" w:right="84"/>
              <w:jc w:val="center"/>
              <w:rPr>
                <w:rFonts w:ascii="宋体" w:hAnsi="宋体" w:cs="宋体" w:eastAsia="宋体" w:hint="default"/>
                <w:sz w:val="18"/>
                <w:szCs w:val="18"/>
              </w:rPr>
            </w:pPr>
            <w:r>
              <w:rPr>
                <w:rFonts w:ascii="宋体" w:hAnsi="宋体" w:cs="宋体" w:eastAsia="宋体" w:hint="default"/>
                <w:spacing w:val="-2"/>
                <w:sz w:val="18"/>
                <w:szCs w:val="18"/>
              </w:rPr>
              <w:t>募集资</w:t>
            </w:r>
            <w:r>
              <w:rPr>
                <w:rFonts w:ascii="宋体" w:hAnsi="宋体" w:cs="宋体" w:eastAsia="宋体" w:hint="default"/>
                <w:w w:val="101"/>
                <w:sz w:val="18"/>
                <w:szCs w:val="18"/>
              </w:rPr>
              <w:t> </w:t>
            </w:r>
            <w:r>
              <w:rPr>
                <w:rFonts w:ascii="宋体" w:hAnsi="宋体" w:cs="宋体" w:eastAsia="宋体" w:hint="default"/>
                <w:spacing w:val="-2"/>
                <w:sz w:val="18"/>
                <w:szCs w:val="18"/>
              </w:rPr>
              <w:t>金承诺</w:t>
            </w:r>
            <w:r>
              <w:rPr>
                <w:rFonts w:ascii="宋体" w:hAnsi="宋体" w:cs="宋体" w:eastAsia="宋体" w:hint="default"/>
                <w:w w:val="101"/>
                <w:sz w:val="18"/>
                <w:szCs w:val="18"/>
              </w:rPr>
              <w:t> </w:t>
            </w:r>
            <w:r>
              <w:rPr>
                <w:rFonts w:ascii="宋体" w:hAnsi="宋体" w:cs="宋体" w:eastAsia="宋体" w:hint="default"/>
                <w:spacing w:val="-2"/>
                <w:sz w:val="18"/>
                <w:szCs w:val="18"/>
              </w:rPr>
              <w:t>投资总</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86" w:right="79"/>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86" w:right="79"/>
              <w:jc w:val="both"/>
              <w:rPr>
                <w:rFonts w:ascii="宋体" w:hAnsi="宋体" w:cs="宋体" w:eastAsia="宋体" w:hint="default"/>
                <w:sz w:val="18"/>
                <w:szCs w:val="18"/>
              </w:rPr>
            </w:pPr>
            <w:r>
              <w:rPr>
                <w:rFonts w:ascii="宋体" w:hAnsi="宋体" w:cs="宋体" w:eastAsia="宋体" w:hint="default"/>
                <w:sz w:val="18"/>
                <w:szCs w:val="18"/>
              </w:rPr>
              <w:t>本报告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期投入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金额</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6" w:right="6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末累计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投入金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r>
              <w:rPr>
                <w:rFonts w:ascii="Times New Roman" w:hAnsi="Times New Roman" w:cs="Times New Roman" w:eastAsia="Times New Roman" w:hint="default"/>
                <w:sz w:val="18"/>
                <w:szCs w:val="18"/>
              </w:rPr>
              <w:t>(2)</w:t>
            </w:r>
          </w:p>
        </w:tc>
        <w:tc>
          <w:tcPr>
            <w:tcW w:w="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7" w:right="66"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w:t>
            </w:r>
            <w:r>
              <w:rPr>
                <w:rFonts w:ascii="宋体" w:hAnsi="宋体" w:cs="宋体" w:eastAsia="宋体" w:hint="default"/>
                <w:w w:val="101"/>
                <w:sz w:val="18"/>
                <w:szCs w:val="18"/>
              </w:rPr>
              <w:t> </w:t>
            </w:r>
            <w:r>
              <w:rPr>
                <w:rFonts w:ascii="宋体" w:hAnsi="宋体" w:cs="宋体" w:eastAsia="宋体" w:hint="default"/>
                <w:sz w:val="18"/>
                <w:szCs w:val="18"/>
              </w:rPr>
              <w:t>末投资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进度</w:t>
            </w:r>
            <w:r>
              <w:rPr>
                <w:rFonts w:ascii="Times New Roman" w:hAnsi="Times New Roman" w:cs="Times New Roman" w:eastAsia="Times New Roman" w:hint="default"/>
                <w:sz w:val="18"/>
                <w:szCs w:val="18"/>
              </w:rPr>
              <w:t>(3)</w:t>
            </w:r>
          </w:p>
          <w:p>
            <w:pPr>
              <w:pStyle w:val="TableParagraph"/>
              <w:spacing w:line="240" w:lineRule="auto" w:before="4"/>
              <w:ind w:left="4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86" w:right="79"/>
              <w:jc w:val="center"/>
              <w:rPr>
                <w:rFonts w:ascii="宋体" w:hAnsi="宋体" w:cs="宋体" w:eastAsia="宋体" w:hint="default"/>
                <w:sz w:val="18"/>
                <w:szCs w:val="18"/>
              </w:rPr>
            </w:pPr>
            <w:r>
              <w:rPr>
                <w:rFonts w:ascii="宋体" w:hAnsi="宋体" w:cs="宋体" w:eastAsia="宋体" w:hint="default"/>
                <w:spacing w:val="-2"/>
                <w:sz w:val="18"/>
                <w:szCs w:val="18"/>
              </w:rPr>
              <w:t>项目达</w:t>
            </w:r>
            <w:r>
              <w:rPr>
                <w:rFonts w:ascii="宋体" w:hAnsi="宋体" w:cs="宋体" w:eastAsia="宋体" w:hint="default"/>
                <w:w w:val="101"/>
                <w:sz w:val="18"/>
                <w:szCs w:val="18"/>
              </w:rPr>
              <w:t> </w:t>
            </w:r>
            <w:r>
              <w:rPr>
                <w:rFonts w:ascii="宋体" w:hAnsi="宋体" w:cs="宋体" w:eastAsia="宋体" w:hint="default"/>
                <w:spacing w:val="-2"/>
                <w:sz w:val="18"/>
                <w:szCs w:val="18"/>
              </w:rPr>
              <w:t>到预定</w:t>
            </w:r>
            <w:r>
              <w:rPr>
                <w:rFonts w:ascii="宋体" w:hAnsi="宋体" w:cs="宋体" w:eastAsia="宋体" w:hint="default"/>
                <w:w w:val="101"/>
                <w:sz w:val="18"/>
                <w:szCs w:val="18"/>
              </w:rPr>
              <w:t> </w:t>
            </w:r>
            <w:r>
              <w:rPr>
                <w:rFonts w:ascii="宋体" w:hAnsi="宋体" w:cs="宋体" w:eastAsia="宋体" w:hint="default"/>
                <w:spacing w:val="-2"/>
                <w:sz w:val="18"/>
                <w:szCs w:val="18"/>
              </w:rPr>
              <w:t>可使用</w:t>
            </w:r>
            <w:r>
              <w:rPr>
                <w:rFonts w:ascii="宋体" w:hAnsi="宋体" w:cs="宋体" w:eastAsia="宋体" w:hint="default"/>
                <w:w w:val="101"/>
                <w:sz w:val="18"/>
                <w:szCs w:val="18"/>
              </w:rPr>
              <w:t> </w:t>
            </w:r>
            <w:r>
              <w:rPr>
                <w:rFonts w:ascii="宋体" w:hAnsi="宋体" w:cs="宋体" w:eastAsia="宋体" w:hint="default"/>
                <w:spacing w:val="-2"/>
                <w:sz w:val="18"/>
                <w:szCs w:val="18"/>
              </w:rPr>
              <w:t>状态日</w:t>
            </w:r>
            <w:r>
              <w:rPr>
                <w:rFonts w:ascii="宋体" w:hAnsi="宋体" w:cs="宋体" w:eastAsia="宋体" w:hint="default"/>
                <w:w w:val="101"/>
                <w:sz w:val="18"/>
                <w:szCs w:val="18"/>
              </w:rPr>
              <w:t> </w:t>
            </w:r>
            <w:r>
              <w:rPr>
                <w:rFonts w:ascii="宋体" w:hAnsi="宋体" w:cs="宋体" w:eastAsia="宋体" w:hint="default"/>
                <w:sz w:val="18"/>
                <w:szCs w:val="18"/>
              </w:rPr>
              <w:t>期</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86" w:right="84"/>
              <w:jc w:val="both"/>
              <w:rPr>
                <w:rFonts w:ascii="宋体" w:hAnsi="宋体" w:cs="宋体" w:eastAsia="宋体" w:hint="default"/>
                <w:sz w:val="18"/>
                <w:szCs w:val="18"/>
              </w:rPr>
            </w:pPr>
            <w:r>
              <w:rPr>
                <w:rFonts w:ascii="宋体" w:hAnsi="宋体" w:cs="宋体" w:eastAsia="宋体" w:hint="default"/>
                <w:sz w:val="18"/>
                <w:szCs w:val="18"/>
              </w:rPr>
              <w:t>本报告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期实现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的效益</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81" w:right="84"/>
              <w:jc w:val="center"/>
              <w:rPr>
                <w:rFonts w:ascii="宋体" w:hAnsi="宋体" w:cs="宋体" w:eastAsia="宋体" w:hint="default"/>
                <w:sz w:val="18"/>
                <w:szCs w:val="18"/>
              </w:rPr>
            </w:pPr>
            <w:r>
              <w:rPr>
                <w:rFonts w:ascii="宋体" w:hAnsi="宋体" w:cs="宋体" w:eastAsia="宋体" w:hint="default"/>
                <w:spacing w:val="-2"/>
                <w:sz w:val="18"/>
                <w:szCs w:val="18"/>
              </w:rPr>
              <w:t>截止报</w:t>
            </w:r>
            <w:r>
              <w:rPr>
                <w:rFonts w:ascii="宋体" w:hAnsi="宋体" w:cs="宋体" w:eastAsia="宋体" w:hint="default"/>
                <w:w w:val="101"/>
                <w:sz w:val="18"/>
                <w:szCs w:val="18"/>
              </w:rPr>
              <w:t> </w:t>
            </w:r>
            <w:r>
              <w:rPr>
                <w:rFonts w:ascii="宋体" w:hAnsi="宋体" w:cs="宋体" w:eastAsia="宋体" w:hint="default"/>
                <w:spacing w:val="-2"/>
                <w:sz w:val="18"/>
                <w:szCs w:val="18"/>
              </w:rPr>
              <w:t>告期末</w:t>
            </w:r>
            <w:r>
              <w:rPr>
                <w:rFonts w:ascii="宋体" w:hAnsi="宋体" w:cs="宋体" w:eastAsia="宋体" w:hint="default"/>
                <w:w w:val="101"/>
                <w:sz w:val="18"/>
                <w:szCs w:val="18"/>
              </w:rPr>
              <w:t> </w:t>
            </w:r>
            <w:r>
              <w:rPr>
                <w:rFonts w:ascii="宋体" w:hAnsi="宋体" w:cs="宋体" w:eastAsia="宋体" w:hint="default"/>
                <w:spacing w:val="-2"/>
                <w:sz w:val="18"/>
                <w:szCs w:val="18"/>
              </w:rPr>
              <w:t>累计实</w:t>
            </w:r>
            <w:r>
              <w:rPr>
                <w:rFonts w:ascii="宋体" w:hAnsi="宋体" w:cs="宋体" w:eastAsia="宋体" w:hint="default"/>
                <w:w w:val="101"/>
                <w:sz w:val="18"/>
                <w:szCs w:val="18"/>
              </w:rPr>
              <w:t> </w:t>
            </w:r>
            <w:r>
              <w:rPr>
                <w:rFonts w:ascii="宋体" w:hAnsi="宋体" w:cs="宋体" w:eastAsia="宋体" w:hint="default"/>
                <w:spacing w:val="-2"/>
                <w:sz w:val="18"/>
                <w:szCs w:val="18"/>
              </w:rPr>
              <w:t>现的效</w:t>
            </w:r>
            <w:r>
              <w:rPr>
                <w:rFonts w:ascii="宋体" w:hAnsi="宋体" w:cs="宋体" w:eastAsia="宋体" w:hint="default"/>
                <w:w w:val="101"/>
                <w:sz w:val="18"/>
                <w:szCs w:val="18"/>
              </w:rPr>
              <w:t> </w:t>
            </w:r>
            <w:r>
              <w:rPr>
                <w:rFonts w:ascii="宋体" w:hAnsi="宋体" w:cs="宋体" w:eastAsia="宋体" w:hint="default"/>
                <w:sz w:val="18"/>
                <w:szCs w:val="18"/>
              </w:rPr>
              <w:t>益</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86" w:right="79"/>
              <w:jc w:val="both"/>
              <w:rPr>
                <w:rFonts w:ascii="宋体" w:hAnsi="宋体" w:cs="宋体" w:eastAsia="宋体" w:hint="default"/>
                <w:sz w:val="18"/>
                <w:szCs w:val="18"/>
              </w:rPr>
            </w:pPr>
            <w:r>
              <w:rPr>
                <w:rFonts w:ascii="宋体" w:hAnsi="宋体" w:cs="宋体" w:eastAsia="宋体" w:hint="default"/>
                <w:sz w:val="18"/>
                <w:szCs w:val="18"/>
              </w:rPr>
              <w:t>是否达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到预计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效益</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86" w:right="84"/>
              <w:jc w:val="center"/>
              <w:rPr>
                <w:rFonts w:ascii="宋体" w:hAnsi="宋体" w:cs="宋体" w:eastAsia="宋体" w:hint="default"/>
                <w:sz w:val="18"/>
                <w:szCs w:val="18"/>
              </w:rPr>
            </w:pPr>
            <w:r>
              <w:rPr>
                <w:rFonts w:ascii="宋体" w:hAnsi="宋体" w:cs="宋体" w:eastAsia="宋体" w:hint="default"/>
                <w:spacing w:val="-2"/>
                <w:sz w:val="18"/>
                <w:szCs w:val="18"/>
              </w:rPr>
              <w:t>项目可</w:t>
            </w:r>
            <w:r>
              <w:rPr>
                <w:rFonts w:ascii="宋体" w:hAnsi="宋体" w:cs="宋体" w:eastAsia="宋体" w:hint="default"/>
                <w:w w:val="101"/>
                <w:sz w:val="18"/>
                <w:szCs w:val="18"/>
              </w:rPr>
              <w:t> </w:t>
            </w:r>
            <w:r>
              <w:rPr>
                <w:rFonts w:ascii="宋体" w:hAnsi="宋体" w:cs="宋体" w:eastAsia="宋体" w:hint="default"/>
                <w:spacing w:val="-2"/>
                <w:sz w:val="18"/>
                <w:szCs w:val="18"/>
              </w:rPr>
              <w:t>行性是</w:t>
            </w:r>
            <w:r>
              <w:rPr>
                <w:rFonts w:ascii="宋体" w:hAnsi="宋体" w:cs="宋体" w:eastAsia="宋体" w:hint="default"/>
                <w:w w:val="101"/>
                <w:sz w:val="18"/>
                <w:szCs w:val="18"/>
              </w:rPr>
              <w:t> </w:t>
            </w:r>
            <w:r>
              <w:rPr>
                <w:rFonts w:ascii="宋体" w:hAnsi="宋体" w:cs="宋体" w:eastAsia="宋体" w:hint="default"/>
                <w:spacing w:val="-2"/>
                <w:sz w:val="18"/>
                <w:szCs w:val="18"/>
              </w:rPr>
              <w:t>否发生</w:t>
            </w:r>
            <w:r>
              <w:rPr>
                <w:rFonts w:ascii="宋体" w:hAnsi="宋体" w:cs="宋体" w:eastAsia="宋体" w:hint="default"/>
                <w:w w:val="101"/>
                <w:sz w:val="18"/>
                <w:szCs w:val="18"/>
              </w:rPr>
              <w:t> </w:t>
            </w:r>
            <w:r>
              <w:rPr>
                <w:rFonts w:ascii="宋体" w:hAnsi="宋体" w:cs="宋体" w:eastAsia="宋体" w:hint="default"/>
                <w:spacing w:val="-2"/>
                <w:sz w:val="18"/>
                <w:szCs w:val="18"/>
              </w:rPr>
              <w:t>重大变</w:t>
            </w:r>
            <w:r>
              <w:rPr>
                <w:rFonts w:ascii="宋体" w:hAnsi="宋体" w:cs="宋体" w:eastAsia="宋体" w:hint="default"/>
                <w:w w:val="101"/>
                <w:sz w:val="18"/>
                <w:szCs w:val="18"/>
              </w:rPr>
              <w:t> </w:t>
            </w:r>
            <w:r>
              <w:rPr>
                <w:rFonts w:ascii="宋体" w:hAnsi="宋体" w:cs="宋体" w:eastAsia="宋体" w:hint="default"/>
                <w:sz w:val="18"/>
                <w:szCs w:val="18"/>
              </w:rPr>
              <w:t>化</w:t>
            </w:r>
          </w:p>
        </w:tc>
      </w:tr>
      <w:tr>
        <w:trPr>
          <w:trHeight w:val="403" w:hRule="exact"/>
        </w:trPr>
        <w:tc>
          <w:tcPr>
            <w:tcW w:w="957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7" w:hRule="exact"/>
        </w:trPr>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4" w:right="34"/>
              <w:jc w:val="left"/>
              <w:rPr>
                <w:rFonts w:ascii="宋体" w:hAnsi="宋体" w:cs="宋体" w:eastAsia="宋体" w:hint="default"/>
                <w:sz w:val="18"/>
                <w:szCs w:val="18"/>
              </w:rPr>
            </w:pPr>
            <w:r>
              <w:rPr>
                <w:rFonts w:ascii="宋体" w:hAnsi="宋体" w:cs="宋体" w:eastAsia="宋体" w:hint="default"/>
                <w:sz w:val="18"/>
                <w:szCs w:val="18"/>
              </w:rPr>
              <w:t>东营年产</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5,500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吨染</w:t>
            </w:r>
            <w:r>
              <w:rPr>
                <w:rFonts w:ascii="宋体" w:hAnsi="宋体" w:cs="宋体" w:eastAsia="宋体" w:hint="default"/>
                <w:spacing w:val="-88"/>
                <w:sz w:val="18"/>
                <w:szCs w:val="18"/>
              </w:rPr>
              <w:t> </w:t>
            </w:r>
            <w:r>
              <w:rPr>
                <w:rFonts w:ascii="宋体" w:hAnsi="宋体" w:cs="宋体" w:eastAsia="宋体" w:hint="default"/>
                <w:sz w:val="18"/>
                <w:szCs w:val="18"/>
              </w:rPr>
              <w:t>料滤饼项目</w:t>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11,385.61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11,385.6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128.79</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2"/>
                <w:sz w:val="18"/>
              </w:rPr>
              <w:t>11,471.5</w:t>
            </w:r>
          </w:p>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100.75%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2,769.03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5,019.07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2" w:hRule="exact"/>
        </w:trPr>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4" w:right="34"/>
              <w:jc w:val="left"/>
              <w:rPr>
                <w:rFonts w:ascii="宋体" w:hAnsi="宋体" w:cs="宋体" w:eastAsia="宋体" w:hint="default"/>
                <w:sz w:val="18"/>
                <w:szCs w:val="18"/>
              </w:rPr>
            </w:pPr>
            <w:r>
              <w:rPr>
                <w:rFonts w:ascii="宋体" w:hAnsi="宋体" w:cs="宋体" w:eastAsia="宋体" w:hint="default"/>
                <w:sz w:val="18"/>
                <w:szCs w:val="18"/>
              </w:rPr>
              <w:t>烟台年产</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吨分</w:t>
            </w:r>
            <w:r>
              <w:rPr>
                <w:rFonts w:ascii="宋体" w:hAnsi="宋体" w:cs="宋体" w:eastAsia="宋体" w:hint="default"/>
                <w:spacing w:val="-88"/>
                <w:sz w:val="18"/>
                <w:szCs w:val="18"/>
              </w:rPr>
              <w:t> </w:t>
            </w:r>
            <w:r>
              <w:rPr>
                <w:rFonts w:ascii="宋体" w:hAnsi="宋体" w:cs="宋体" w:eastAsia="宋体" w:hint="default"/>
                <w:sz w:val="18"/>
                <w:szCs w:val="18"/>
              </w:rPr>
              <w:t>散染料项目</w:t>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8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9,470.45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5,504.95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1,247.14</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5,821.01</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105.74%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184.72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578.28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59" w:hRule="exact"/>
        </w:trPr>
        <w:tc>
          <w:tcPr>
            <w:tcW w:w="1621" w:type="dxa"/>
            <w:tcBorders>
              <w:top w:val="single" w:sz="4" w:space="0" w:color="000000"/>
              <w:left w:val="single" w:sz="4" w:space="0" w:color="000000"/>
              <w:bottom w:val="nil" w:sz="6" w:space="0" w:color="auto"/>
              <w:right w:val="single" w:sz="4" w:space="0" w:color="000000"/>
            </w:tcBorders>
            <w:shd w:val="clear" w:color="auto" w:fill="D2D2D2"/>
          </w:tcPr>
          <w:p>
            <w:pPr/>
          </w:p>
        </w:tc>
        <w:tc>
          <w:tcPr>
            <w:tcW w:w="6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11" w:type="dxa"/>
            <w:gridSpan w:val="2"/>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20,856.06</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16,890.5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1,375.93</w:t>
            </w:r>
          </w:p>
        </w:tc>
        <w:tc>
          <w:tcPr>
            <w:tcW w:w="704" w:type="dxa"/>
            <w:vMerge w:val="restart"/>
            <w:tcBorders>
              <w:top w:val="single" w:sz="4" w:space="0" w:color="000000"/>
              <w:left w:val="single" w:sz="4" w:space="0" w:color="000000"/>
              <w:right w:val="single" w:sz="10" w:space="0" w:color="D2D2D2"/>
            </w:tcBorders>
          </w:tcPr>
          <w:p>
            <w:pPr>
              <w:pStyle w:val="TableParagraph"/>
              <w:spacing w:line="240" w:lineRule="auto" w:before="96"/>
              <w:ind w:right="-9"/>
              <w:jc w:val="right"/>
              <w:rPr>
                <w:rFonts w:ascii="Times New Roman" w:hAnsi="Times New Roman" w:cs="Times New Roman" w:eastAsia="Times New Roman" w:hint="default"/>
                <w:sz w:val="18"/>
                <w:szCs w:val="18"/>
              </w:rPr>
            </w:pPr>
            <w:r>
              <w:rPr>
                <w:rFonts w:ascii="Times New Roman"/>
                <w:spacing w:val="-1"/>
                <w:sz w:val="18"/>
              </w:rPr>
              <w:t>17,292.5</w:t>
            </w:r>
          </w:p>
          <w:p>
            <w:pPr>
              <w:pStyle w:val="TableParagraph"/>
              <w:spacing w:line="240" w:lineRule="auto" w:before="110"/>
              <w:ind w:right="-4"/>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4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5" w:type="dxa"/>
            <w:vMerge w:val="restart"/>
            <w:tcBorders>
              <w:top w:val="single" w:sz="4" w:space="0" w:color="000000"/>
              <w:left w:val="single" w:sz="8"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2,953.75</w:t>
            </w:r>
          </w:p>
        </w:tc>
        <w:tc>
          <w:tcPr>
            <w:tcW w:w="720" w:type="dxa"/>
            <w:vMerge w:val="restart"/>
            <w:tcBorders>
              <w:top w:val="single" w:sz="4" w:space="0" w:color="000000"/>
              <w:left w:val="single" w:sz="4" w:space="0" w:color="000000"/>
              <w:right w:val="single" w:sz="10"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5,597.35</w:t>
            </w: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64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5"/>
              <w:ind w:right="22"/>
              <w:jc w:val="center"/>
              <w:rPr>
                <w:rFonts w:ascii="Times New Roman" w:hAnsi="Times New Roman" w:cs="Times New Roman" w:eastAsia="Times New Roman" w:hint="default"/>
                <w:sz w:val="18"/>
                <w:szCs w:val="18"/>
              </w:rPr>
            </w:pPr>
            <w:r>
              <w:rPr>
                <w:rFonts w:ascii="Times New Roman"/>
                <w:sz w:val="18"/>
              </w:rPr>
              <w:t>--</w:t>
            </w:r>
          </w:p>
        </w:tc>
        <w:tc>
          <w:tcPr>
            <w:tcW w:w="811" w:type="dxa"/>
            <w:gridSpan w:val="2"/>
            <w:vMerge/>
            <w:tcBorders>
              <w:left w:val="single" w:sz="10" w:space="0" w:color="D2D2D2"/>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04" w:type="dxa"/>
            <w:vMerge/>
            <w:tcBorders>
              <w:left w:val="single" w:sz="4" w:space="0" w:color="000000"/>
              <w:right w:val="single" w:sz="10" w:space="0" w:color="D2D2D2"/>
            </w:tcBorders>
          </w:tcPr>
          <w:p>
            <w:pPr/>
          </w:p>
        </w:tc>
        <w:tc>
          <w:tcPr>
            <w:tcW w:w="7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5"/>
              <w:ind w:left="14"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5"/>
              <w:ind w:left="297" w:right="0"/>
              <w:jc w:val="left"/>
              <w:rPr>
                <w:rFonts w:ascii="Times New Roman" w:hAnsi="Times New Roman" w:cs="Times New Roman" w:eastAsia="Times New Roman" w:hint="default"/>
                <w:sz w:val="18"/>
                <w:szCs w:val="18"/>
              </w:rPr>
            </w:pPr>
            <w:r>
              <w:rPr>
                <w:rFonts w:ascii="Times New Roman"/>
                <w:sz w:val="18"/>
              </w:rPr>
              <w:t>--</w:t>
            </w:r>
          </w:p>
        </w:tc>
        <w:tc>
          <w:tcPr>
            <w:tcW w:w="725" w:type="dxa"/>
            <w:vMerge/>
            <w:tcBorders>
              <w:left w:val="single" w:sz="8" w:space="0" w:color="D2D2D2"/>
              <w:right w:val="single" w:sz="4" w:space="0" w:color="000000"/>
            </w:tcBorders>
          </w:tcPr>
          <w:p>
            <w:pPr/>
          </w:p>
        </w:tc>
        <w:tc>
          <w:tcPr>
            <w:tcW w:w="720" w:type="dxa"/>
            <w:vMerge/>
            <w:tcBorders>
              <w:left w:val="single" w:sz="4" w:space="0" w:color="000000"/>
              <w:right w:val="single" w:sz="10" w:space="0" w:color="D2D2D2"/>
            </w:tcBorders>
          </w:tcPr>
          <w:p>
            <w:pP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5"/>
              <w:ind w:right="292"/>
              <w:jc w:val="right"/>
              <w:rPr>
                <w:rFonts w:ascii="Times New Roman" w:hAnsi="Times New Roman" w:cs="Times New Roman" w:eastAsia="Times New Roman" w:hint="default"/>
                <w:sz w:val="18"/>
                <w:szCs w:val="18"/>
              </w:rPr>
            </w:pPr>
            <w:r>
              <w:rPr>
                <w:rFonts w:ascii="Times New Roman"/>
                <w:spacing w:val="-2"/>
                <w:sz w:val="18"/>
              </w:rPr>
              <w:t>--</w:t>
            </w:r>
          </w:p>
        </w:tc>
        <w:tc>
          <w:tcPr>
            <w:tcW w:w="7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5"/>
              <w:ind w:right="297"/>
              <w:jc w:val="right"/>
              <w:rPr>
                <w:rFonts w:ascii="Times New Roman" w:hAnsi="Times New Roman" w:cs="Times New Roman" w:eastAsia="Times New Roman" w:hint="default"/>
                <w:sz w:val="18"/>
                <w:szCs w:val="18"/>
              </w:rPr>
            </w:pPr>
            <w:r>
              <w:rPr>
                <w:rFonts w:ascii="Times New Roman"/>
                <w:spacing w:val="-2"/>
                <w:sz w:val="18"/>
              </w:rPr>
              <w:t>--</w:t>
            </w:r>
          </w:p>
        </w:tc>
      </w:tr>
      <w:tr>
        <w:trPr>
          <w:trHeight w:val="169" w:hRule="exact"/>
        </w:trPr>
        <w:tc>
          <w:tcPr>
            <w:tcW w:w="1621" w:type="dxa"/>
            <w:tcBorders>
              <w:top w:val="nil" w:sz="6" w:space="0" w:color="auto"/>
              <w:left w:val="single" w:sz="4" w:space="0" w:color="000000"/>
              <w:bottom w:val="single" w:sz="4" w:space="0" w:color="000000"/>
              <w:right w:val="single" w:sz="4" w:space="0" w:color="000000"/>
            </w:tcBorders>
            <w:shd w:val="clear" w:color="auto" w:fill="D2D2D2"/>
          </w:tcPr>
          <w:p>
            <w:pPr/>
          </w:p>
        </w:tc>
        <w:tc>
          <w:tcPr>
            <w:tcW w:w="6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11" w:type="dxa"/>
            <w:gridSpan w:val="2"/>
            <w:vMerge/>
            <w:tcBorders>
              <w:left w:val="single" w:sz="10" w:space="0" w:color="D2D2D2"/>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04" w:type="dxa"/>
            <w:vMerge/>
            <w:tcBorders>
              <w:left w:val="single" w:sz="4" w:space="0" w:color="000000"/>
              <w:bottom w:val="single" w:sz="4" w:space="0" w:color="000000"/>
              <w:right w:val="single" w:sz="10" w:space="0" w:color="D2D2D2"/>
            </w:tcBorders>
          </w:tcPr>
          <w:p>
            <w:pPr/>
          </w:p>
        </w:tc>
        <w:tc>
          <w:tcPr>
            <w:tcW w:w="74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5" w:type="dxa"/>
            <w:vMerge/>
            <w:tcBorders>
              <w:left w:val="single" w:sz="8" w:space="0" w:color="D2D2D2"/>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10" w:space="0" w:color="D2D2D2"/>
            </w:tcBorders>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957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7" w:hRule="exact"/>
        </w:trPr>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东营年产染料滤饼</w:t>
            </w:r>
          </w:p>
          <w:p>
            <w:pPr>
              <w:pStyle w:val="TableParagraph"/>
              <w:spacing w:line="240" w:lineRule="auto" w:before="7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吨及分散染料</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吨项目</w:t>
            </w:r>
          </w:p>
        </w:tc>
        <w:tc>
          <w:tcPr>
            <w:tcW w:w="7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4,953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4,953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206.37</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54"/>
              <w:jc w:val="right"/>
              <w:rPr>
                <w:rFonts w:ascii="Times New Roman" w:hAnsi="Times New Roman" w:cs="Times New Roman" w:eastAsia="Times New Roman" w:hint="default"/>
                <w:sz w:val="18"/>
                <w:szCs w:val="18"/>
              </w:rPr>
            </w:pPr>
            <w:r>
              <w:rPr>
                <w:rFonts w:ascii="Times New Roman"/>
                <w:spacing w:val="-1"/>
                <w:sz w:val="18"/>
              </w:rPr>
              <w:t>5,078.7</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102.54%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01</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3,319.02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5,179.77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2" w:hRule="exact"/>
        </w:trPr>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40"/>
              <w:jc w:val="left"/>
              <w:rPr>
                <w:rFonts w:ascii="宋体" w:hAnsi="宋体" w:cs="宋体" w:eastAsia="宋体" w:hint="default"/>
                <w:sz w:val="18"/>
                <w:szCs w:val="18"/>
              </w:rPr>
            </w:pPr>
            <w:r>
              <w:rPr>
                <w:rFonts w:ascii="宋体" w:hAnsi="宋体" w:cs="宋体" w:eastAsia="宋体" w:hint="default"/>
                <w:spacing w:val="-2"/>
                <w:sz w:val="18"/>
                <w:szCs w:val="18"/>
              </w:rPr>
              <w:t>收购烟台子公司自</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然人股权</w:t>
            </w:r>
          </w:p>
        </w:tc>
        <w:tc>
          <w:tcPr>
            <w:tcW w:w="7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985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985</w:t>
            </w:r>
          </w:p>
        </w:tc>
        <w:tc>
          <w:tcPr>
            <w:tcW w:w="720"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54"/>
              <w:jc w:val="right"/>
              <w:rPr>
                <w:rFonts w:ascii="Times New Roman" w:hAnsi="Times New Roman" w:cs="Times New Roman" w:eastAsia="Times New Roman" w:hint="default"/>
                <w:sz w:val="18"/>
                <w:szCs w:val="18"/>
              </w:rPr>
            </w:pPr>
            <w:r>
              <w:rPr>
                <w:rFonts w:ascii="Times New Roman"/>
                <w:sz w:val="18"/>
              </w:rPr>
              <w:t>985</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01</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2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7" w:hRule="exact"/>
        </w:trPr>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收购浙江华晟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90%</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并增资</w:t>
            </w:r>
          </w:p>
        </w:tc>
        <w:tc>
          <w:tcPr>
            <w:tcW w:w="7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4,470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4,470</w:t>
            </w:r>
          </w:p>
        </w:tc>
        <w:tc>
          <w:tcPr>
            <w:tcW w:w="720"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54"/>
              <w:jc w:val="right"/>
              <w:rPr>
                <w:rFonts w:ascii="Times New Roman" w:hAnsi="Times New Roman" w:cs="Times New Roman" w:eastAsia="Times New Roman" w:hint="default"/>
                <w:sz w:val="18"/>
                <w:szCs w:val="18"/>
              </w:rPr>
            </w:pPr>
            <w:r>
              <w:rPr>
                <w:rFonts w:ascii="Times New Roman"/>
                <w:spacing w:val="-1"/>
                <w:sz w:val="18"/>
              </w:rPr>
              <w:t>4,470</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01</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56.72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339.92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7" w:hRule="exact"/>
        </w:trPr>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40"/>
              <w:jc w:val="left"/>
              <w:rPr>
                <w:rFonts w:ascii="宋体" w:hAnsi="宋体" w:cs="宋体" w:eastAsia="宋体" w:hint="default"/>
                <w:sz w:val="18"/>
                <w:szCs w:val="18"/>
              </w:rPr>
            </w:pPr>
            <w:r>
              <w:rPr>
                <w:rFonts w:ascii="宋体" w:hAnsi="宋体" w:cs="宋体" w:eastAsia="宋体" w:hint="default"/>
                <w:spacing w:val="-2"/>
                <w:sz w:val="18"/>
                <w:szCs w:val="18"/>
              </w:rPr>
              <w:t>收购浙江子公司自</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然人股权</w:t>
            </w:r>
          </w:p>
        </w:tc>
        <w:tc>
          <w:tcPr>
            <w:tcW w:w="7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311.64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311.64</w:t>
            </w:r>
          </w:p>
        </w:tc>
        <w:tc>
          <w:tcPr>
            <w:tcW w:w="720"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54"/>
              <w:jc w:val="right"/>
              <w:rPr>
                <w:rFonts w:ascii="Times New Roman" w:hAnsi="Times New Roman" w:cs="Times New Roman" w:eastAsia="Times New Roman" w:hint="default"/>
                <w:sz w:val="18"/>
                <w:szCs w:val="18"/>
              </w:rPr>
            </w:pPr>
            <w:r>
              <w:rPr>
                <w:rFonts w:ascii="Times New Roman"/>
                <w:spacing w:val="-2"/>
                <w:sz w:val="18"/>
              </w:rPr>
              <w:t>311.64</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01</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2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东营年产分散染料</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吨项目</w:t>
            </w:r>
          </w:p>
        </w:tc>
        <w:tc>
          <w:tcPr>
            <w:tcW w:w="7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10,165.5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10,165.5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6,088.23</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9"/>
              <w:jc w:val="right"/>
              <w:rPr>
                <w:rFonts w:ascii="Times New Roman" w:hAnsi="Times New Roman" w:cs="Times New Roman" w:eastAsia="Times New Roman" w:hint="default"/>
                <w:sz w:val="18"/>
                <w:szCs w:val="18"/>
              </w:rPr>
            </w:pPr>
            <w:r>
              <w:rPr>
                <w:rFonts w:ascii="Times New Roman"/>
                <w:spacing w:val="-1"/>
                <w:sz w:val="18"/>
              </w:rPr>
              <w:t>6,870.1</w:t>
            </w:r>
          </w:p>
          <w:p>
            <w:pPr>
              <w:pStyle w:val="TableParagraph"/>
              <w:spacing w:line="240" w:lineRule="auto" w:before="105"/>
              <w:ind w:right="54"/>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9" w:right="0"/>
              <w:jc w:val="center"/>
              <w:rPr>
                <w:rFonts w:ascii="Times New Roman" w:hAnsi="Times New Roman" w:cs="Times New Roman" w:eastAsia="Times New Roman" w:hint="default"/>
                <w:sz w:val="18"/>
                <w:szCs w:val="18"/>
              </w:rPr>
            </w:pPr>
            <w:r>
              <w:rPr>
                <w:rFonts w:ascii="Times New Roman"/>
                <w:sz w:val="18"/>
              </w:rPr>
              <w:t>67.58%</w:t>
            </w:r>
          </w:p>
        </w:tc>
        <w:tc>
          <w:tcPr>
            <w:tcW w:w="72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2" w:hRule="exact"/>
        </w:trPr>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收购江苏永庆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股权并增资</w:t>
            </w:r>
          </w:p>
        </w:tc>
        <w:tc>
          <w:tcPr>
            <w:tcW w:w="7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105</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54"/>
              <w:jc w:val="right"/>
              <w:rPr>
                <w:rFonts w:ascii="Times New Roman" w:hAnsi="Times New Roman" w:cs="Times New Roman" w:eastAsia="Times New Roman" w:hint="default"/>
                <w:sz w:val="18"/>
                <w:szCs w:val="18"/>
              </w:rPr>
            </w:pPr>
            <w:r>
              <w:rPr>
                <w:rFonts w:ascii="Times New Roman"/>
                <w:spacing w:val="-1"/>
                <w:sz w:val="18"/>
              </w:rPr>
              <w:t>4,500</w:t>
            </w:r>
          </w:p>
        </w:tc>
        <w:tc>
          <w:tcPr>
            <w:tcW w:w="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01</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1,567.73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1,763.02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59" w:hRule="exact"/>
        </w:trPr>
        <w:tc>
          <w:tcPr>
            <w:tcW w:w="1621"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24" w:right="140"/>
              <w:jc w:val="left"/>
              <w:rPr>
                <w:rFonts w:ascii="宋体" w:hAnsi="宋体" w:cs="宋体" w:eastAsia="宋体" w:hint="default"/>
                <w:sz w:val="18"/>
                <w:szCs w:val="18"/>
              </w:rPr>
            </w:pPr>
            <w:r>
              <w:rPr>
                <w:rFonts w:ascii="宋体" w:hAnsi="宋体" w:cs="宋体" w:eastAsia="宋体" w:hint="default"/>
                <w:spacing w:val="-2"/>
                <w:sz w:val="18"/>
                <w:szCs w:val="18"/>
              </w:rPr>
              <w:t>归还银行贷款（如</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有）</w:t>
            </w:r>
          </w:p>
        </w:tc>
        <w:tc>
          <w:tcPr>
            <w:tcW w:w="73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3,500</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3,500</w:t>
            </w:r>
          </w:p>
        </w:tc>
        <w:tc>
          <w:tcPr>
            <w:tcW w:w="720" w:type="dxa"/>
            <w:vMerge w:val="restart"/>
            <w:tcBorders>
              <w:top w:val="single" w:sz="4" w:space="0" w:color="000000"/>
              <w:left w:val="single" w:sz="4" w:space="0" w:color="000000"/>
              <w:right w:val="single" w:sz="4" w:space="0" w:color="000000"/>
            </w:tcBorders>
          </w:tcPr>
          <w:p>
            <w:pPr/>
          </w:p>
        </w:tc>
        <w:tc>
          <w:tcPr>
            <w:tcW w:w="70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3,500</w:t>
            </w:r>
          </w:p>
        </w:tc>
        <w:tc>
          <w:tcPr>
            <w:tcW w:w="741" w:type="dxa"/>
            <w:vMerge w:val="restart"/>
            <w:tcBorders>
              <w:top w:val="single" w:sz="4" w:space="0" w:color="000000"/>
              <w:left w:val="single" w:sz="4" w:space="0" w:color="000000"/>
              <w:right w:val="single" w:sz="10"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5"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1621" w:type="dxa"/>
            <w:vMerge/>
            <w:tcBorders>
              <w:left w:val="single" w:sz="4" w:space="0" w:color="000000"/>
              <w:right w:val="single" w:sz="4" w:space="0" w:color="000000"/>
            </w:tcBorders>
            <w:shd w:val="clear" w:color="auto" w:fill="D2D2D2"/>
          </w:tcPr>
          <w:p>
            <w:pPr/>
          </w:p>
        </w:tc>
        <w:tc>
          <w:tcPr>
            <w:tcW w:w="736" w:type="dxa"/>
            <w:gridSpan w:val="2"/>
            <w:vMerge/>
            <w:tcBorders>
              <w:left w:val="single" w:sz="4" w:space="0" w:color="000000"/>
              <w:right w:val="single" w:sz="4" w:space="0" w:color="000000"/>
            </w:tcBorders>
            <w:shd w:val="clear" w:color="auto" w:fill="D2D2D2"/>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04" w:type="dxa"/>
            <w:vMerge/>
            <w:tcBorders>
              <w:left w:val="single" w:sz="4" w:space="0" w:color="000000"/>
              <w:right w:val="single" w:sz="4" w:space="0" w:color="000000"/>
            </w:tcBorders>
          </w:tcPr>
          <w:p>
            <w:pPr/>
          </w:p>
        </w:tc>
        <w:tc>
          <w:tcPr>
            <w:tcW w:w="741" w:type="dxa"/>
            <w:vMerge/>
            <w:tcBorders>
              <w:left w:val="single" w:sz="4" w:space="0" w:color="000000"/>
              <w:right w:val="single" w:sz="10" w:space="0" w:color="D2D2D2"/>
            </w:tcBorders>
          </w:tcPr>
          <w:p>
            <w:pP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5"/>
              <w:ind w:left="297" w:right="0"/>
              <w:jc w:val="left"/>
              <w:rPr>
                <w:rFonts w:ascii="Times New Roman" w:hAnsi="Times New Roman" w:cs="Times New Roman" w:eastAsia="Times New Roman" w:hint="default"/>
                <w:sz w:val="18"/>
                <w:szCs w:val="18"/>
              </w:rPr>
            </w:pPr>
            <w:r>
              <w:rPr>
                <w:rFonts w:ascii="Times New Roman"/>
                <w:sz w:val="18"/>
              </w:rPr>
              <w:t>--</w:t>
            </w:r>
          </w:p>
        </w:tc>
        <w:tc>
          <w:tcPr>
            <w:tcW w:w="7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5"/>
              <w:ind w:right="1"/>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5"/>
              <w:ind w:right="4"/>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5"/>
              <w:ind w:right="292"/>
              <w:jc w:val="right"/>
              <w:rPr>
                <w:rFonts w:ascii="Times New Roman" w:hAnsi="Times New Roman" w:cs="Times New Roman" w:eastAsia="Times New Roman" w:hint="default"/>
                <w:sz w:val="18"/>
                <w:szCs w:val="18"/>
              </w:rPr>
            </w:pPr>
            <w:r>
              <w:rPr>
                <w:rFonts w:ascii="Times New Roman"/>
                <w:spacing w:val="-2"/>
                <w:sz w:val="18"/>
              </w:rPr>
              <w:t>--</w:t>
            </w:r>
          </w:p>
        </w:tc>
        <w:tc>
          <w:tcPr>
            <w:tcW w:w="7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5"/>
              <w:ind w:right="297"/>
              <w:jc w:val="right"/>
              <w:rPr>
                <w:rFonts w:ascii="Times New Roman" w:hAnsi="Times New Roman" w:cs="Times New Roman" w:eastAsia="Times New Roman" w:hint="default"/>
                <w:sz w:val="18"/>
                <w:szCs w:val="18"/>
              </w:rPr>
            </w:pPr>
            <w:r>
              <w:rPr>
                <w:rFonts w:ascii="Times New Roman"/>
                <w:spacing w:val="-2"/>
                <w:sz w:val="18"/>
              </w:rPr>
              <w:t>--</w:t>
            </w:r>
          </w:p>
        </w:tc>
      </w:tr>
      <w:tr>
        <w:trPr>
          <w:trHeight w:val="163" w:hRule="exact"/>
        </w:trPr>
        <w:tc>
          <w:tcPr>
            <w:tcW w:w="1621" w:type="dxa"/>
            <w:vMerge/>
            <w:tcBorders>
              <w:left w:val="single" w:sz="4" w:space="0" w:color="000000"/>
              <w:bottom w:val="single" w:sz="4" w:space="0" w:color="000000"/>
              <w:right w:val="single" w:sz="4" w:space="0" w:color="000000"/>
            </w:tcBorders>
            <w:shd w:val="clear" w:color="auto" w:fill="D2D2D2"/>
          </w:tcPr>
          <w:p>
            <w:pPr/>
          </w:p>
        </w:tc>
        <w:tc>
          <w:tcPr>
            <w:tcW w:w="736" w:type="dxa"/>
            <w:gridSpan w:val="2"/>
            <w:vMerge/>
            <w:tcBorders>
              <w:left w:val="single" w:sz="4" w:space="0" w:color="000000"/>
              <w:bottom w:val="single" w:sz="4" w:space="0" w:color="000000"/>
              <w:right w:val="single" w:sz="4" w:space="0" w:color="000000"/>
            </w:tcBorders>
            <w:shd w:val="clear" w:color="auto" w:fill="D2D2D2"/>
          </w:tcPr>
          <w:p>
            <w:pPr/>
          </w:p>
        </w:tc>
        <w:tc>
          <w:tcPr>
            <w:tcW w:w="72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04" w:type="dxa"/>
            <w:vMerge/>
            <w:tcBorders>
              <w:left w:val="single" w:sz="4" w:space="0" w:color="000000"/>
              <w:bottom w:val="single" w:sz="4" w:space="0" w:color="000000"/>
              <w:right w:val="single" w:sz="4" w:space="0" w:color="000000"/>
            </w:tcBorders>
          </w:tcPr>
          <w:p>
            <w:pPr/>
          </w:p>
        </w:tc>
        <w:tc>
          <w:tcPr>
            <w:tcW w:w="741" w:type="dxa"/>
            <w:vMerge/>
            <w:tcBorders>
              <w:left w:val="single" w:sz="4" w:space="0" w:color="000000"/>
              <w:bottom w:val="single" w:sz="4" w:space="0" w:color="000000"/>
              <w:right w:val="single" w:sz="10" w:space="0" w:color="D2D2D2"/>
            </w:tcBorders>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5"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58" w:hRule="exact"/>
        </w:trPr>
        <w:tc>
          <w:tcPr>
            <w:tcW w:w="162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4" w:right="140"/>
              <w:jc w:val="left"/>
              <w:rPr>
                <w:rFonts w:ascii="宋体" w:hAnsi="宋体" w:cs="宋体" w:eastAsia="宋体" w:hint="default"/>
                <w:sz w:val="18"/>
                <w:szCs w:val="18"/>
              </w:rPr>
            </w:pPr>
            <w:r>
              <w:rPr>
                <w:rFonts w:ascii="宋体" w:hAnsi="宋体" w:cs="宋体" w:eastAsia="宋体" w:hint="default"/>
                <w:spacing w:val="-2"/>
                <w:sz w:val="18"/>
                <w:szCs w:val="18"/>
              </w:rPr>
              <w:t>补充流动资金（如</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有）</w:t>
            </w:r>
          </w:p>
        </w:tc>
        <w:tc>
          <w:tcPr>
            <w:tcW w:w="73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8,713.83</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8,713.83</w:t>
            </w:r>
          </w:p>
        </w:tc>
        <w:tc>
          <w:tcPr>
            <w:tcW w:w="720" w:type="dxa"/>
            <w:vMerge w:val="restart"/>
            <w:tcBorders>
              <w:top w:val="single" w:sz="4" w:space="0" w:color="000000"/>
              <w:left w:val="single" w:sz="4" w:space="0" w:color="000000"/>
              <w:right w:val="single" w:sz="4" w:space="0" w:color="000000"/>
            </w:tcBorders>
          </w:tcPr>
          <w:p>
            <w:pPr/>
          </w:p>
        </w:tc>
        <w:tc>
          <w:tcPr>
            <w:tcW w:w="704" w:type="dxa"/>
            <w:vMerge w:val="restart"/>
            <w:tcBorders>
              <w:top w:val="single" w:sz="4" w:space="0" w:color="000000"/>
              <w:left w:val="single" w:sz="4" w:space="0" w:color="000000"/>
              <w:right w:val="single" w:sz="4" w:space="0" w:color="000000"/>
            </w:tcBorders>
          </w:tcPr>
          <w:p>
            <w:pPr>
              <w:pStyle w:val="TableParagraph"/>
              <w:spacing w:line="240" w:lineRule="auto" w:before="96"/>
              <w:ind w:right="49"/>
              <w:jc w:val="right"/>
              <w:rPr>
                <w:rFonts w:ascii="Times New Roman" w:hAnsi="Times New Roman" w:cs="Times New Roman" w:eastAsia="Times New Roman" w:hint="default"/>
                <w:sz w:val="18"/>
                <w:szCs w:val="18"/>
              </w:rPr>
            </w:pPr>
            <w:r>
              <w:rPr>
                <w:rFonts w:ascii="Times New Roman"/>
                <w:spacing w:val="-1"/>
                <w:sz w:val="18"/>
              </w:rPr>
              <w:t>8,713.8</w:t>
            </w:r>
          </w:p>
          <w:p>
            <w:pPr>
              <w:pStyle w:val="TableParagraph"/>
              <w:spacing w:line="240" w:lineRule="auto" w:before="105"/>
              <w:ind w:right="54"/>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741" w:type="dxa"/>
            <w:vMerge w:val="restart"/>
            <w:tcBorders>
              <w:top w:val="single" w:sz="4" w:space="0" w:color="000000"/>
              <w:left w:val="single" w:sz="4" w:space="0" w:color="000000"/>
              <w:right w:val="single" w:sz="10"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5"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621" w:type="dxa"/>
            <w:vMerge/>
            <w:tcBorders>
              <w:left w:val="single" w:sz="4" w:space="0" w:color="000000"/>
              <w:right w:val="single" w:sz="4" w:space="0" w:color="000000"/>
            </w:tcBorders>
            <w:shd w:val="clear" w:color="auto" w:fill="D2D2D2"/>
          </w:tcPr>
          <w:p>
            <w:pPr/>
          </w:p>
        </w:tc>
        <w:tc>
          <w:tcPr>
            <w:tcW w:w="736" w:type="dxa"/>
            <w:gridSpan w:val="2"/>
            <w:vMerge/>
            <w:tcBorders>
              <w:left w:val="single" w:sz="4" w:space="0" w:color="000000"/>
              <w:right w:val="single" w:sz="4" w:space="0" w:color="000000"/>
            </w:tcBorders>
            <w:shd w:val="clear" w:color="auto" w:fill="D2D2D2"/>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04" w:type="dxa"/>
            <w:vMerge/>
            <w:tcBorders>
              <w:left w:val="single" w:sz="4" w:space="0" w:color="000000"/>
              <w:right w:val="single" w:sz="4" w:space="0" w:color="000000"/>
            </w:tcBorders>
          </w:tcPr>
          <w:p>
            <w:pPr/>
          </w:p>
        </w:tc>
        <w:tc>
          <w:tcPr>
            <w:tcW w:w="741" w:type="dxa"/>
            <w:vMerge/>
            <w:tcBorders>
              <w:left w:val="single" w:sz="4" w:space="0" w:color="000000"/>
              <w:right w:val="single" w:sz="10" w:space="0" w:color="D2D2D2"/>
            </w:tcBorders>
          </w:tcPr>
          <w:p>
            <w:pP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297" w:right="0"/>
              <w:jc w:val="left"/>
              <w:rPr>
                <w:rFonts w:ascii="Times New Roman" w:hAnsi="Times New Roman" w:cs="Times New Roman" w:eastAsia="Times New Roman" w:hint="default"/>
                <w:sz w:val="18"/>
                <w:szCs w:val="18"/>
              </w:rPr>
            </w:pPr>
            <w:r>
              <w:rPr>
                <w:rFonts w:ascii="Times New Roman"/>
                <w:sz w:val="18"/>
              </w:rPr>
              <w:t>--</w:t>
            </w:r>
          </w:p>
        </w:tc>
        <w:tc>
          <w:tcPr>
            <w:tcW w:w="7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292"/>
              <w:jc w:val="right"/>
              <w:rPr>
                <w:rFonts w:ascii="Times New Roman" w:hAnsi="Times New Roman" w:cs="Times New Roman" w:eastAsia="Times New Roman" w:hint="default"/>
                <w:sz w:val="18"/>
                <w:szCs w:val="18"/>
              </w:rPr>
            </w:pPr>
            <w:r>
              <w:rPr>
                <w:rFonts w:ascii="Times New Roman"/>
                <w:spacing w:val="-2"/>
                <w:sz w:val="18"/>
              </w:rPr>
              <w:t>--</w:t>
            </w:r>
          </w:p>
        </w:tc>
        <w:tc>
          <w:tcPr>
            <w:tcW w:w="7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297"/>
              <w:jc w:val="right"/>
              <w:rPr>
                <w:rFonts w:ascii="Times New Roman" w:hAnsi="Times New Roman" w:cs="Times New Roman" w:eastAsia="Times New Roman" w:hint="default"/>
                <w:sz w:val="18"/>
                <w:szCs w:val="18"/>
              </w:rPr>
            </w:pPr>
            <w:r>
              <w:rPr>
                <w:rFonts w:ascii="Times New Roman"/>
                <w:spacing w:val="-2"/>
                <w:sz w:val="18"/>
              </w:rPr>
              <w:t>--</w:t>
            </w:r>
          </w:p>
        </w:tc>
      </w:tr>
      <w:tr>
        <w:trPr>
          <w:trHeight w:val="163" w:hRule="exact"/>
        </w:trPr>
        <w:tc>
          <w:tcPr>
            <w:tcW w:w="1621" w:type="dxa"/>
            <w:vMerge/>
            <w:tcBorders>
              <w:left w:val="single" w:sz="4" w:space="0" w:color="000000"/>
              <w:bottom w:val="single" w:sz="4" w:space="0" w:color="000000"/>
              <w:right w:val="single" w:sz="4" w:space="0" w:color="000000"/>
            </w:tcBorders>
            <w:shd w:val="clear" w:color="auto" w:fill="D2D2D2"/>
          </w:tcPr>
          <w:p>
            <w:pPr/>
          </w:p>
        </w:tc>
        <w:tc>
          <w:tcPr>
            <w:tcW w:w="736" w:type="dxa"/>
            <w:gridSpan w:val="2"/>
            <w:vMerge/>
            <w:tcBorders>
              <w:left w:val="single" w:sz="4" w:space="0" w:color="000000"/>
              <w:bottom w:val="single" w:sz="4" w:space="0" w:color="000000"/>
              <w:right w:val="single" w:sz="4" w:space="0" w:color="000000"/>
            </w:tcBorders>
            <w:shd w:val="clear" w:color="auto" w:fill="D2D2D2"/>
          </w:tcPr>
          <w:p>
            <w:pPr/>
          </w:p>
        </w:tc>
        <w:tc>
          <w:tcPr>
            <w:tcW w:w="72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04" w:type="dxa"/>
            <w:vMerge/>
            <w:tcBorders>
              <w:left w:val="single" w:sz="4" w:space="0" w:color="000000"/>
              <w:bottom w:val="single" w:sz="4" w:space="0" w:color="000000"/>
              <w:right w:val="single" w:sz="4" w:space="0" w:color="000000"/>
            </w:tcBorders>
          </w:tcPr>
          <w:p>
            <w:pPr/>
          </w:p>
        </w:tc>
        <w:tc>
          <w:tcPr>
            <w:tcW w:w="741" w:type="dxa"/>
            <w:vMerge/>
            <w:tcBorders>
              <w:left w:val="single" w:sz="4" w:space="0" w:color="000000"/>
              <w:bottom w:val="single" w:sz="4" w:space="0" w:color="000000"/>
              <w:right w:val="single" w:sz="10" w:space="0" w:color="D2D2D2"/>
            </w:tcBorders>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5"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59" w:hRule="exact"/>
        </w:trPr>
        <w:tc>
          <w:tcPr>
            <w:tcW w:w="16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3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37,598.9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37,598.9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6,399.6</w:t>
            </w:r>
          </w:p>
        </w:tc>
        <w:tc>
          <w:tcPr>
            <w:tcW w:w="704" w:type="dxa"/>
            <w:vMerge w:val="restart"/>
            <w:tcBorders>
              <w:top w:val="single" w:sz="4" w:space="0" w:color="000000"/>
              <w:left w:val="single" w:sz="4" w:space="0" w:color="000000"/>
              <w:right w:val="single" w:sz="10" w:space="0" w:color="D2D2D2"/>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34,429.</w:t>
            </w:r>
          </w:p>
          <w:p>
            <w:pPr>
              <w:pStyle w:val="TableParagraph"/>
              <w:spacing w:line="240" w:lineRule="auto" w:before="105"/>
              <w:ind w:left="455" w:right="0"/>
              <w:jc w:val="left"/>
              <w:rPr>
                <w:rFonts w:ascii="Times New Roman" w:hAnsi="Times New Roman" w:cs="Times New Roman" w:eastAsia="Times New Roman" w:hint="default"/>
                <w:sz w:val="18"/>
                <w:szCs w:val="18"/>
              </w:rPr>
            </w:pPr>
            <w:r>
              <w:rPr>
                <w:rFonts w:ascii="Times New Roman"/>
                <w:sz w:val="18"/>
              </w:rPr>
              <w:t>34</w:t>
            </w:r>
          </w:p>
        </w:tc>
        <w:tc>
          <w:tcPr>
            <w:tcW w:w="74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5" w:type="dxa"/>
            <w:vMerge w:val="restart"/>
            <w:tcBorders>
              <w:top w:val="single" w:sz="4" w:space="0" w:color="000000"/>
              <w:left w:val="single" w:sz="8"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4,943.47</w:t>
            </w:r>
          </w:p>
        </w:tc>
        <w:tc>
          <w:tcPr>
            <w:tcW w:w="720" w:type="dxa"/>
            <w:vMerge w:val="restart"/>
            <w:tcBorders>
              <w:top w:val="single" w:sz="4" w:space="0" w:color="000000"/>
              <w:left w:val="single" w:sz="4" w:space="0" w:color="000000"/>
              <w:right w:val="single" w:sz="10"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7,282.71</w:t>
            </w: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88" w:hRule="exact"/>
        </w:trPr>
        <w:tc>
          <w:tcPr>
            <w:tcW w:w="1621" w:type="dxa"/>
            <w:vMerge/>
            <w:tcBorders>
              <w:left w:val="single" w:sz="4" w:space="0" w:color="000000"/>
              <w:right w:val="single" w:sz="4" w:space="0" w:color="000000"/>
            </w:tcBorders>
            <w:shd w:val="clear" w:color="auto" w:fill="D2D2D2"/>
          </w:tcPr>
          <w:p>
            <w:pPr/>
          </w:p>
        </w:tc>
        <w:tc>
          <w:tcPr>
            <w:tcW w:w="736" w:type="dxa"/>
            <w:gridSpan w:val="2"/>
            <w:vMerge/>
            <w:tcBorders>
              <w:left w:val="single" w:sz="4" w:space="0" w:color="000000"/>
              <w:right w:val="single" w:sz="4" w:space="0" w:color="000000"/>
            </w:tcBorders>
            <w:shd w:val="clear" w:color="auto" w:fill="D2D2D2"/>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04" w:type="dxa"/>
            <w:vMerge/>
            <w:tcBorders>
              <w:left w:val="single" w:sz="4" w:space="0" w:color="000000"/>
              <w:right w:val="single" w:sz="10" w:space="0" w:color="D2D2D2"/>
            </w:tcBorders>
          </w:tcPr>
          <w:p>
            <w:pPr/>
          </w:p>
        </w:tc>
        <w:tc>
          <w:tcPr>
            <w:tcW w:w="7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5"/>
              <w:ind w:right="31"/>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5"/>
              <w:ind w:left="297" w:right="0"/>
              <w:jc w:val="left"/>
              <w:rPr>
                <w:rFonts w:ascii="Times New Roman" w:hAnsi="Times New Roman" w:cs="Times New Roman" w:eastAsia="Times New Roman" w:hint="default"/>
                <w:sz w:val="18"/>
                <w:szCs w:val="18"/>
              </w:rPr>
            </w:pPr>
            <w:r>
              <w:rPr>
                <w:rFonts w:ascii="Times New Roman"/>
                <w:sz w:val="18"/>
              </w:rPr>
              <w:t>--</w:t>
            </w:r>
          </w:p>
        </w:tc>
        <w:tc>
          <w:tcPr>
            <w:tcW w:w="725" w:type="dxa"/>
            <w:vMerge/>
            <w:tcBorders>
              <w:left w:val="single" w:sz="8" w:space="0" w:color="D2D2D2"/>
              <w:right w:val="single" w:sz="4" w:space="0" w:color="000000"/>
            </w:tcBorders>
          </w:tcPr>
          <w:p>
            <w:pPr/>
          </w:p>
        </w:tc>
        <w:tc>
          <w:tcPr>
            <w:tcW w:w="720" w:type="dxa"/>
            <w:vMerge/>
            <w:tcBorders>
              <w:left w:val="single" w:sz="4" w:space="0" w:color="000000"/>
              <w:right w:val="single" w:sz="10" w:space="0" w:color="D2D2D2"/>
            </w:tcBorders>
          </w:tcPr>
          <w:p>
            <w:pPr/>
          </w:p>
        </w:tc>
        <w:tc>
          <w:tcPr>
            <w:tcW w:w="7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5"/>
              <w:ind w:right="292"/>
              <w:jc w:val="right"/>
              <w:rPr>
                <w:rFonts w:ascii="Times New Roman" w:hAnsi="Times New Roman" w:cs="Times New Roman" w:eastAsia="Times New Roman" w:hint="default"/>
                <w:sz w:val="18"/>
                <w:szCs w:val="18"/>
              </w:rPr>
            </w:pPr>
            <w:r>
              <w:rPr>
                <w:rFonts w:ascii="Times New Roman"/>
                <w:spacing w:val="-2"/>
                <w:sz w:val="18"/>
              </w:rPr>
              <w:t>--</w:t>
            </w:r>
          </w:p>
        </w:tc>
        <w:tc>
          <w:tcPr>
            <w:tcW w:w="7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5"/>
              <w:ind w:right="297"/>
              <w:jc w:val="right"/>
              <w:rPr>
                <w:rFonts w:ascii="Times New Roman" w:hAnsi="Times New Roman" w:cs="Times New Roman" w:eastAsia="Times New Roman" w:hint="default"/>
                <w:sz w:val="18"/>
                <w:szCs w:val="18"/>
              </w:rPr>
            </w:pPr>
            <w:r>
              <w:rPr>
                <w:rFonts w:ascii="Times New Roman"/>
                <w:spacing w:val="-2"/>
                <w:sz w:val="18"/>
              </w:rPr>
              <w:t>--</w:t>
            </w:r>
          </w:p>
        </w:tc>
      </w:tr>
      <w:tr>
        <w:trPr>
          <w:trHeight w:val="168" w:hRule="exact"/>
        </w:trPr>
        <w:tc>
          <w:tcPr>
            <w:tcW w:w="1621" w:type="dxa"/>
            <w:vMerge/>
            <w:tcBorders>
              <w:left w:val="single" w:sz="4" w:space="0" w:color="000000"/>
              <w:bottom w:val="single" w:sz="4" w:space="0" w:color="000000"/>
              <w:right w:val="single" w:sz="4" w:space="0" w:color="000000"/>
            </w:tcBorders>
            <w:shd w:val="clear" w:color="auto" w:fill="D2D2D2"/>
          </w:tcPr>
          <w:p>
            <w:pPr/>
          </w:p>
        </w:tc>
        <w:tc>
          <w:tcPr>
            <w:tcW w:w="736" w:type="dxa"/>
            <w:gridSpan w:val="2"/>
            <w:vMerge/>
            <w:tcBorders>
              <w:left w:val="single" w:sz="4" w:space="0" w:color="000000"/>
              <w:bottom w:val="single" w:sz="4" w:space="0" w:color="000000"/>
              <w:right w:val="single" w:sz="4" w:space="0" w:color="000000"/>
            </w:tcBorders>
            <w:shd w:val="clear" w:color="auto" w:fill="D2D2D2"/>
          </w:tcPr>
          <w:p>
            <w:pPr/>
          </w:p>
        </w:tc>
        <w:tc>
          <w:tcPr>
            <w:tcW w:w="72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04" w:type="dxa"/>
            <w:vMerge/>
            <w:tcBorders>
              <w:left w:val="single" w:sz="4" w:space="0" w:color="000000"/>
              <w:bottom w:val="single" w:sz="4" w:space="0" w:color="000000"/>
              <w:right w:val="single" w:sz="10" w:space="0" w:color="D2D2D2"/>
            </w:tcBorders>
          </w:tcPr>
          <w:p>
            <w:pPr/>
          </w:p>
        </w:tc>
        <w:tc>
          <w:tcPr>
            <w:tcW w:w="74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5" w:type="dxa"/>
            <w:vMerge/>
            <w:tcBorders>
              <w:left w:val="single" w:sz="8" w:space="0" w:color="D2D2D2"/>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10" w:space="0" w:color="D2D2D2"/>
            </w:tcBorders>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5"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after="0"/>
        <w:sectPr>
          <w:pgSz w:w="11900" w:h="16840"/>
          <w:pgMar w:header="742" w:footer="984"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622"/>
        <w:gridCol w:w="722"/>
        <w:gridCol w:w="720"/>
        <w:gridCol w:w="720"/>
        <w:gridCol w:w="720"/>
        <w:gridCol w:w="672"/>
        <w:gridCol w:w="773"/>
        <w:gridCol w:w="720"/>
        <w:gridCol w:w="725"/>
        <w:gridCol w:w="720"/>
        <w:gridCol w:w="720"/>
        <w:gridCol w:w="725"/>
      </w:tblGrid>
      <w:tr>
        <w:trPr>
          <w:trHeight w:val="158" w:hRule="exact"/>
        </w:trPr>
        <w:tc>
          <w:tcPr>
            <w:tcW w:w="16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10" w:space="0" w:color="D2D2D2"/>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58,455.0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54,489.5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7,775.53</w:t>
            </w:r>
          </w:p>
        </w:tc>
        <w:tc>
          <w:tcPr>
            <w:tcW w:w="672"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51,721.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7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7,897.22</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12,880.0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r>
        <w:trPr>
          <w:trHeight w:val="394" w:hRule="exact"/>
        </w:trPr>
        <w:tc>
          <w:tcPr>
            <w:tcW w:w="16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w:t>
            </w:r>
          </w:p>
        </w:tc>
        <w:tc>
          <w:tcPr>
            <w:tcW w:w="720" w:type="dxa"/>
            <w:vMerge/>
            <w:tcBorders>
              <w:left w:val="single" w:sz="10" w:space="0" w:color="D2D2D2"/>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72" w:type="dxa"/>
            <w:vMerge/>
            <w:tcBorders>
              <w:left w:val="single" w:sz="4" w:space="0" w:color="000000"/>
              <w:right w:val="single" w:sz="4" w:space="0" w:color="000000"/>
            </w:tcBorders>
          </w:tcPr>
          <w:p>
            <w:pPr/>
          </w:p>
        </w:tc>
        <w:tc>
          <w:tcPr>
            <w:tcW w:w="773" w:type="dxa"/>
            <w:vMerge/>
            <w:tcBorders>
              <w:left w:val="single" w:sz="4" w:space="0" w:color="000000"/>
              <w:right w:val="single" w:sz="4" w:space="0" w:color="000000"/>
            </w:tcBorders>
            <w:shd w:val="clear" w:color="auto" w:fill="D2D2D2"/>
          </w:tcPr>
          <w:p>
            <w:pPr/>
          </w:p>
        </w:tc>
        <w:tc>
          <w:tcPr>
            <w:tcW w:w="720"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r>
      <w:tr>
        <w:trPr>
          <w:trHeight w:val="163" w:hRule="exact"/>
        </w:trPr>
        <w:tc>
          <w:tcPr>
            <w:tcW w:w="16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10" w:space="0" w:color="D2D2D2"/>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72" w:type="dxa"/>
            <w:vMerge/>
            <w:tcBorders>
              <w:left w:val="single" w:sz="4" w:space="0" w:color="000000"/>
              <w:bottom w:val="single" w:sz="4" w:space="0" w:color="000000"/>
              <w:right w:val="single" w:sz="4" w:space="0" w:color="000000"/>
            </w:tcBorders>
          </w:tcPr>
          <w:p>
            <w:pPr/>
          </w:p>
        </w:tc>
        <w:tc>
          <w:tcPr>
            <w:tcW w:w="773" w:type="dxa"/>
            <w:vMerge/>
            <w:tcBorders>
              <w:left w:val="single" w:sz="4" w:space="0" w:color="000000"/>
              <w:bottom w:val="single" w:sz="4" w:space="0" w:color="000000"/>
              <w:right w:val="single" w:sz="4" w:space="0" w:color="000000"/>
            </w:tcBorders>
            <w:shd w:val="clear" w:color="auto" w:fill="D2D2D2"/>
          </w:tcPr>
          <w:p>
            <w:pPr/>
          </w:p>
        </w:tc>
        <w:tc>
          <w:tcPr>
            <w:tcW w:w="720"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r>
      <w:tr>
        <w:trPr>
          <w:trHeight w:val="941" w:hRule="exact"/>
        </w:trPr>
        <w:tc>
          <w:tcPr>
            <w:tcW w:w="1622" w:type="dxa"/>
            <w:tcBorders>
              <w:top w:val="single" w:sz="4" w:space="0" w:color="000000"/>
              <w:left w:val="single" w:sz="4" w:space="0" w:color="000000"/>
              <w:bottom w:val="nil" w:sz="6" w:space="0" w:color="auto"/>
              <w:right w:val="single" w:sz="10" w:space="0" w:color="FFFFFF"/>
            </w:tcBorders>
            <w:shd w:val="clear" w:color="auto" w:fill="D2D2D2"/>
          </w:tcPr>
          <w:p>
            <w:pPr/>
          </w:p>
        </w:tc>
        <w:tc>
          <w:tcPr>
            <w:tcW w:w="7937" w:type="dxa"/>
            <w:gridSpan w:val="11"/>
            <w:vMerge w:val="restart"/>
            <w:tcBorders>
              <w:top w:val="single" w:sz="4" w:space="0" w:color="000000"/>
              <w:left w:val="single" w:sz="10" w:space="0" w:color="FFFFFF"/>
              <w:right w:val="single" w:sz="4" w:space="0" w:color="000000"/>
            </w:tcBorders>
          </w:tcPr>
          <w:p>
            <w:pPr>
              <w:pStyle w:val="TableParagraph"/>
              <w:spacing w:line="304" w:lineRule="auto" w:before="53"/>
              <w:ind w:left="14" w:right="17"/>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）东营年产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5,500</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吨染料滤饼项目原规划于</w:t>
            </w:r>
            <w:r>
              <w:rPr>
                <w:rFonts w:ascii="宋体" w:hAnsi="宋体" w:cs="宋体" w:eastAsia="宋体" w:hint="default"/>
                <w:spacing w:val="-38"/>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月份建设完工，延期至</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pacing w:val="-8"/>
                <w:sz w:val="18"/>
                <w:szCs w:val="18"/>
              </w:rPr>
              <w:t>月完成，主</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要原因是：公司考虑项目尽快建成投产取得经济效益，前期集中建设同生产直接相关项目，对项目中</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4"/>
                <w:sz w:val="18"/>
                <w:szCs w:val="18"/>
              </w:rPr>
              <w:t>的办公楼及广场等基础配套项目未考虑建设，东营生产管理人员利用临时工棚办公。</w:t>
            </w:r>
            <w:r>
              <w:rPr>
                <w:rFonts w:ascii="Times New Roman" w:hAnsi="Times New Roman" w:cs="Times New Roman" w:eastAsia="Times New Roman" w:hint="default"/>
                <w:spacing w:val="-4"/>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pacing w:val="-12"/>
                <w:sz w:val="18"/>
                <w:szCs w:val="18"/>
              </w:rPr>
              <w:t>月，项</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7"/>
                <w:w w:val="101"/>
                <w:sz w:val="18"/>
                <w:szCs w:val="18"/>
              </w:rPr>
              <w:t>目已经全部建设完工投入使用。（</w:t>
            </w:r>
            <w:r>
              <w:rPr>
                <w:rFonts w:ascii="Times New Roman" w:hAnsi="Times New Roman" w:cs="Times New Roman" w:eastAsia="Times New Roman" w:hint="default"/>
                <w:spacing w:val="-7"/>
                <w:w w:val="101"/>
                <w:sz w:val="18"/>
                <w:szCs w:val="18"/>
              </w:rPr>
              <w:t>2</w:t>
            </w:r>
            <w:r>
              <w:rPr>
                <w:rFonts w:ascii="宋体" w:hAnsi="宋体" w:cs="宋体" w:eastAsia="宋体" w:hint="default"/>
                <w:spacing w:val="-7"/>
                <w:w w:val="101"/>
                <w:sz w:val="18"/>
                <w:szCs w:val="18"/>
              </w:rPr>
              <w:t>）烟台年产</w:t>
            </w:r>
            <w:r>
              <w:rPr>
                <w:rFonts w:ascii="宋体" w:hAnsi="宋体" w:cs="宋体" w:eastAsia="宋体" w:hint="default"/>
                <w:spacing w:val="-44"/>
                <w:w w:val="101"/>
                <w:sz w:val="18"/>
                <w:szCs w:val="18"/>
              </w:rPr>
              <w:t> </w:t>
            </w:r>
            <w:r>
              <w:rPr>
                <w:rFonts w:ascii="Times New Roman" w:hAnsi="Times New Roman" w:cs="Times New Roman" w:eastAsia="Times New Roman" w:hint="default"/>
                <w:spacing w:val="-2"/>
                <w:w w:val="101"/>
                <w:sz w:val="18"/>
                <w:szCs w:val="18"/>
              </w:rPr>
              <w:t>6000</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3"/>
                <w:w w:val="101"/>
                <w:sz w:val="18"/>
                <w:szCs w:val="18"/>
              </w:rPr>
              <w:t>吨分散染料扩建项目，原规划于</w:t>
            </w:r>
            <w:r>
              <w:rPr>
                <w:rFonts w:ascii="宋体" w:hAnsi="宋体" w:cs="宋体" w:eastAsia="宋体" w:hint="default"/>
                <w:spacing w:val="-44"/>
                <w:w w:val="101"/>
                <w:sz w:val="18"/>
                <w:szCs w:val="18"/>
              </w:rPr>
              <w:t> </w:t>
            </w:r>
            <w:r>
              <w:rPr>
                <w:rFonts w:ascii="Times New Roman" w:hAnsi="Times New Roman" w:cs="Times New Roman" w:eastAsia="Times New Roman" w:hint="default"/>
                <w:spacing w:val="-3"/>
                <w:w w:val="101"/>
                <w:sz w:val="18"/>
                <w:szCs w:val="18"/>
              </w:rPr>
              <w:t>2011</w:t>
            </w:r>
            <w:r>
              <w:rPr>
                <w:rFonts w:ascii="Times New Roman" w:hAnsi="Times New Roman" w:cs="Times New Roman" w:eastAsia="Times New Roman" w:hint="default"/>
                <w:spacing w:val="2"/>
                <w:w w:val="101"/>
                <w:sz w:val="18"/>
                <w:szCs w:val="18"/>
              </w:rPr>
              <w:t> </w:t>
            </w:r>
            <w:r>
              <w:rPr>
                <w:rFonts w:ascii="宋体" w:hAnsi="宋体" w:cs="宋体" w:eastAsia="宋体" w:hint="default"/>
                <w:w w:val="101"/>
                <w:sz w:val="18"/>
                <w:szCs w:val="18"/>
              </w:rPr>
              <w:t>年</w:t>
            </w:r>
            <w:r>
              <w:rPr>
                <w:rFonts w:ascii="宋体" w:hAnsi="宋体" w:cs="宋体" w:eastAsia="宋体" w:hint="default"/>
                <w:spacing w:val="-44"/>
                <w:w w:val="101"/>
                <w:sz w:val="18"/>
                <w:szCs w:val="18"/>
              </w:rPr>
              <w:t> </w:t>
            </w:r>
            <w:r>
              <w:rPr>
                <w:rFonts w:ascii="Times New Roman" w:hAnsi="Times New Roman" w:cs="Times New Roman" w:eastAsia="Times New Roman" w:hint="default"/>
                <w:w w:val="101"/>
                <w:sz w:val="18"/>
                <w:szCs w:val="18"/>
              </w:rPr>
              <w:t>12</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3"/>
                <w:w w:val="101"/>
                <w:sz w:val="18"/>
                <w:szCs w:val="18"/>
              </w:rPr>
              <w:t>月份</w:t>
            </w:r>
            <w:r>
              <w:rPr>
                <w:rFonts w:ascii="宋体" w:hAnsi="宋体" w:cs="宋体" w:eastAsia="宋体" w:hint="default"/>
                <w:spacing w:val="-3"/>
                <w:sz w:val="18"/>
                <w:szCs w:val="18"/>
              </w:rPr>
            </w:r>
          </w:p>
          <w:p>
            <w:pPr>
              <w:pStyle w:val="TableParagraph"/>
              <w:spacing w:line="240" w:lineRule="auto" w:before="9"/>
              <w:ind w:left="14" w:right="0"/>
              <w:jc w:val="both"/>
              <w:rPr>
                <w:rFonts w:ascii="宋体" w:hAnsi="宋体" w:cs="宋体" w:eastAsia="宋体" w:hint="default"/>
                <w:sz w:val="18"/>
                <w:szCs w:val="18"/>
              </w:rPr>
            </w:pPr>
            <w:r>
              <w:rPr>
                <w:rFonts w:ascii="宋体" w:hAnsi="宋体" w:cs="宋体" w:eastAsia="宋体" w:hint="default"/>
                <w:spacing w:val="-4"/>
                <w:sz w:val="18"/>
                <w:szCs w:val="18"/>
              </w:rPr>
              <w:t>建设完工，延期至</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月完成，</w:t>
            </w:r>
            <w:r>
              <w:rPr>
                <w:rFonts w:ascii="Times New Roman" w:hAnsi="Times New Roman" w:cs="Times New Roman" w:eastAsia="Times New Roman" w:hint="default"/>
                <w:spacing w:val="-4"/>
                <w:sz w:val="18"/>
                <w:szCs w:val="18"/>
              </w:rPr>
              <w:t>2013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4"/>
                <w:sz w:val="18"/>
                <w:szCs w:val="18"/>
              </w:rPr>
              <w:t> </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3000</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吨涤纶面料用高级分散染料项目已经全部建</w:t>
            </w:r>
          </w:p>
          <w:p>
            <w:pPr>
              <w:pStyle w:val="TableParagraph"/>
              <w:spacing w:line="240" w:lineRule="auto" w:before="63"/>
              <w:ind w:left="14" w:right="0"/>
              <w:jc w:val="both"/>
              <w:rPr>
                <w:rFonts w:ascii="宋体" w:hAnsi="宋体" w:cs="宋体" w:eastAsia="宋体" w:hint="default"/>
                <w:sz w:val="18"/>
                <w:szCs w:val="18"/>
              </w:rPr>
            </w:pPr>
            <w:r>
              <w:rPr>
                <w:rFonts w:ascii="宋体" w:hAnsi="宋体" w:cs="宋体" w:eastAsia="宋体" w:hint="default"/>
                <w:sz w:val="18"/>
                <w:szCs w:val="18"/>
              </w:rPr>
              <w:t>设完工投产</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）烟台年产 </w:t>
            </w:r>
            <w:r>
              <w:rPr>
                <w:rFonts w:ascii="Times New Roman" w:hAnsi="Times New Roman" w:cs="Times New Roman" w:eastAsia="Times New Roman" w:hint="default"/>
                <w:sz w:val="18"/>
                <w:szCs w:val="18"/>
              </w:rPr>
              <w:t>6000 </w:t>
            </w:r>
            <w:r>
              <w:rPr>
                <w:rFonts w:ascii="宋体" w:hAnsi="宋体" w:cs="宋体" w:eastAsia="宋体" w:hint="default"/>
                <w:spacing w:val="-3"/>
                <w:sz w:val="18"/>
                <w:szCs w:val="18"/>
              </w:rPr>
              <w:t>吨分散染料扩建项目中</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年产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吨超细纤维面料用分散染料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项目</w:t>
            </w:r>
          </w:p>
          <w:p>
            <w:pPr>
              <w:pStyle w:val="TableParagraph"/>
              <w:spacing w:line="240" w:lineRule="auto" w:before="63"/>
              <w:ind w:left="14" w:right="0"/>
              <w:jc w:val="both"/>
              <w:rPr>
                <w:rFonts w:ascii="宋体" w:hAnsi="宋体" w:cs="宋体" w:eastAsia="宋体" w:hint="default"/>
                <w:sz w:val="18"/>
                <w:szCs w:val="18"/>
              </w:rPr>
            </w:pPr>
            <w:r>
              <w:rPr>
                <w:rFonts w:ascii="宋体" w:hAnsi="宋体" w:cs="宋体" w:eastAsia="宋体" w:hint="default"/>
                <w:spacing w:val="-3"/>
                <w:sz w:val="18"/>
                <w:szCs w:val="18"/>
              </w:rPr>
              <w:t>公司调整至</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东营安诺其纺织材料有限公司年产分散染料 </w:t>
            </w:r>
            <w:r>
              <w:rPr>
                <w:rFonts w:ascii="Times New Roman" w:hAnsi="Times New Roman" w:cs="Times New Roman" w:eastAsia="Times New Roman" w:hint="default"/>
                <w:sz w:val="18"/>
                <w:szCs w:val="18"/>
              </w:rPr>
              <w:t>25000 </w:t>
            </w:r>
            <w:r>
              <w:rPr>
                <w:rFonts w:ascii="宋体" w:hAnsi="宋体" w:cs="宋体" w:eastAsia="宋体" w:hint="default"/>
                <w:sz w:val="18"/>
                <w:szCs w:val="18"/>
              </w:rPr>
              <w:t>吨生产项目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中</w:t>
            </w:r>
            <w:r>
              <w:rPr>
                <w:rFonts w:ascii="Times New Roman" w:hAnsi="Times New Roman" w:cs="Times New Roman" w:eastAsia="Times New Roman" w:hint="default"/>
                <w:sz w:val="18"/>
                <w:szCs w:val="18"/>
              </w:rPr>
              <w:t>"</w:t>
            </w:r>
            <w:r>
              <w:rPr>
                <w:rFonts w:ascii="宋体" w:hAnsi="宋体" w:cs="宋体" w:eastAsia="宋体" w:hint="default"/>
                <w:sz w:val="18"/>
                <w:szCs w:val="18"/>
              </w:rPr>
              <w:t>年产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吨超细纤维</w:t>
            </w:r>
          </w:p>
          <w:p>
            <w:pPr>
              <w:pStyle w:val="TableParagraph"/>
              <w:spacing w:line="304" w:lineRule="auto" w:before="63"/>
              <w:ind w:left="14" w:right="94"/>
              <w:jc w:val="both"/>
              <w:rPr>
                <w:rFonts w:ascii="宋体" w:hAnsi="宋体" w:cs="宋体" w:eastAsia="宋体" w:hint="default"/>
                <w:sz w:val="18"/>
                <w:szCs w:val="18"/>
              </w:rPr>
            </w:pPr>
            <w:r>
              <w:rPr>
                <w:rFonts w:ascii="宋体" w:hAnsi="宋体" w:cs="宋体" w:eastAsia="宋体" w:hint="default"/>
                <w:sz w:val="18"/>
                <w:szCs w:val="18"/>
              </w:rPr>
              <w:t>用分散染料</w:t>
            </w:r>
            <w:r>
              <w:rPr>
                <w:rFonts w:ascii="Times New Roman" w:hAnsi="Times New Roman" w:cs="Times New Roman" w:eastAsia="Times New Roman" w:hint="default"/>
                <w:sz w:val="18"/>
                <w:szCs w:val="18"/>
              </w:rPr>
              <w:t>"</w:t>
            </w:r>
            <w:r>
              <w:rPr>
                <w:rFonts w:ascii="宋体" w:hAnsi="宋体" w:cs="宋体" w:eastAsia="宋体" w:hint="default"/>
                <w:sz w:val="18"/>
                <w:szCs w:val="18"/>
              </w:rPr>
              <w:t>项目实施。该议案经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日召开的</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年第一次临时股东大会审议通过，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截止到报告期期末，该项目正在建设实施中。</w:t>
            </w:r>
          </w:p>
        </w:tc>
      </w:tr>
      <w:tr>
        <w:trPr>
          <w:trHeight w:val="1013" w:hRule="exact"/>
        </w:trPr>
        <w:tc>
          <w:tcPr>
            <w:tcW w:w="1622" w:type="dxa"/>
            <w:tcBorders>
              <w:top w:val="nil" w:sz="6" w:space="0" w:color="auto"/>
              <w:left w:val="single" w:sz="4" w:space="0" w:color="000000"/>
              <w:bottom w:val="nil" w:sz="6" w:space="0" w:color="auto"/>
              <w:right w:val="single" w:sz="10" w:space="0" w:color="FFFFFF"/>
            </w:tcBorders>
            <w:shd w:val="clear" w:color="auto" w:fill="D2D2D2"/>
          </w:tcPr>
          <w:p>
            <w:pPr>
              <w:pStyle w:val="TableParagraph"/>
              <w:spacing w:line="316" w:lineRule="auto" w:before="54"/>
              <w:ind w:left="11" w:right="-29"/>
              <w:jc w:val="left"/>
              <w:rPr>
                <w:rFonts w:ascii="宋体" w:hAnsi="宋体" w:cs="宋体" w:eastAsia="宋体" w:hint="default"/>
                <w:sz w:val="18"/>
                <w:szCs w:val="18"/>
              </w:rPr>
            </w:pPr>
            <w:r>
              <w:rPr>
                <w:rFonts w:ascii="宋体" w:hAnsi="宋体" w:cs="宋体" w:eastAsia="宋体" w:hint="default"/>
                <w:sz w:val="18"/>
                <w:szCs w:val="18"/>
              </w:rPr>
              <w:t>未达到计划进度或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预计收益的情况和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原因（分具体项目）</w:t>
            </w:r>
          </w:p>
        </w:tc>
        <w:tc>
          <w:tcPr>
            <w:tcW w:w="7937" w:type="dxa"/>
            <w:gridSpan w:val="11"/>
            <w:vMerge/>
            <w:tcBorders>
              <w:left w:val="single" w:sz="10" w:space="0" w:color="FFFFFF"/>
              <w:right w:val="single" w:sz="4" w:space="0" w:color="000000"/>
            </w:tcBorders>
          </w:tcPr>
          <w:p>
            <w:pPr/>
          </w:p>
        </w:tc>
      </w:tr>
      <w:tr>
        <w:trPr>
          <w:trHeight w:val="940" w:hRule="exact"/>
        </w:trPr>
        <w:tc>
          <w:tcPr>
            <w:tcW w:w="1622" w:type="dxa"/>
            <w:tcBorders>
              <w:top w:val="nil" w:sz="6" w:space="0" w:color="auto"/>
              <w:left w:val="single" w:sz="4" w:space="0" w:color="000000"/>
              <w:bottom w:val="single" w:sz="4" w:space="0" w:color="000000"/>
              <w:right w:val="single" w:sz="10" w:space="0" w:color="FFFFFF"/>
            </w:tcBorders>
            <w:shd w:val="clear" w:color="auto" w:fill="D2D2D2"/>
          </w:tcPr>
          <w:p>
            <w:pPr/>
          </w:p>
        </w:tc>
        <w:tc>
          <w:tcPr>
            <w:tcW w:w="7937" w:type="dxa"/>
            <w:gridSpan w:val="11"/>
            <w:vMerge/>
            <w:tcBorders>
              <w:left w:val="single" w:sz="10" w:space="0" w:color="FFFFFF"/>
              <w:bottom w:val="single" w:sz="4" w:space="0" w:color="000000"/>
              <w:right w:val="single" w:sz="4" w:space="0" w:color="000000"/>
            </w:tcBorders>
          </w:tcPr>
          <w:p>
            <w:pPr/>
          </w:p>
        </w:tc>
      </w:tr>
      <w:tr>
        <w:trPr>
          <w:trHeight w:val="715" w:hRule="exact"/>
        </w:trPr>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54"/>
              <w:jc w:val="left"/>
              <w:rPr>
                <w:rFonts w:ascii="宋体" w:hAnsi="宋体" w:cs="宋体" w:eastAsia="宋体" w:hint="default"/>
                <w:sz w:val="18"/>
                <w:szCs w:val="18"/>
              </w:rPr>
            </w:pPr>
            <w:r>
              <w:rPr>
                <w:rFonts w:ascii="宋体" w:hAnsi="宋体" w:cs="宋体" w:eastAsia="宋体" w:hint="default"/>
                <w:spacing w:val="-2"/>
                <w:sz w:val="18"/>
                <w:szCs w:val="18"/>
              </w:rPr>
              <w:t>项目可行性发生重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大变化的情况说明</w:t>
            </w:r>
          </w:p>
        </w:tc>
        <w:tc>
          <w:tcPr>
            <w:tcW w:w="7937" w:type="dxa"/>
            <w:gridSpan w:val="11"/>
            <w:tcBorders>
              <w:top w:val="single" w:sz="4" w:space="0" w:color="000000"/>
              <w:left w:val="single" w:sz="12"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403" w:hRule="exact"/>
        </w:trPr>
        <w:tc>
          <w:tcPr>
            <w:tcW w:w="1622" w:type="dxa"/>
            <w:vMerge w:val="restart"/>
            <w:tcBorders>
              <w:top w:val="single" w:sz="4" w:space="0" w:color="000000"/>
              <w:left w:val="single" w:sz="4" w:space="0" w:color="000000"/>
              <w:right w:val="single" w:sz="4" w:space="0" w:color="000000"/>
            </w:tcBorders>
            <w:shd w:val="clear" w:color="auto" w:fill="D2D2D2"/>
          </w:tcPr>
          <w:p>
            <w:pPr/>
          </w:p>
        </w:tc>
        <w:tc>
          <w:tcPr>
            <w:tcW w:w="793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602" w:hRule="exact"/>
        </w:trPr>
        <w:tc>
          <w:tcPr>
            <w:tcW w:w="1622" w:type="dxa"/>
            <w:vMerge/>
            <w:tcBorders>
              <w:left w:val="single" w:sz="4" w:space="0" w:color="000000"/>
              <w:bottom w:val="nil" w:sz="6" w:space="0" w:color="auto"/>
              <w:right w:val="single" w:sz="4" w:space="0" w:color="000000"/>
            </w:tcBorders>
            <w:shd w:val="clear" w:color="auto" w:fill="D2D2D2"/>
          </w:tcPr>
          <w:p>
            <w:pPr/>
          </w:p>
        </w:tc>
        <w:tc>
          <w:tcPr>
            <w:tcW w:w="7937" w:type="dxa"/>
            <w:gridSpan w:val="11"/>
            <w:vMerge w:val="restart"/>
            <w:tcBorders>
              <w:top w:val="single" w:sz="4" w:space="0" w:color="000000"/>
              <w:left w:val="single" w:sz="8" w:space="0" w:color="D2D2D2"/>
              <w:right w:val="single" w:sz="4" w:space="0" w:color="000000"/>
            </w:tcBorders>
          </w:tcPr>
          <w:p>
            <w:pPr>
              <w:pStyle w:val="TableParagraph"/>
              <w:spacing w:line="240" w:lineRule="auto" w:before="53"/>
              <w:ind w:left="16" w:right="0"/>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月发行新股取得募集资金</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52,886.65</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万元，除投入公司招股说明书列示的募投项目</w:t>
            </w:r>
          </w:p>
          <w:p>
            <w:pPr>
              <w:pStyle w:val="TableParagraph"/>
              <w:spacing w:line="240" w:lineRule="auto" w:before="58"/>
              <w:ind w:left="1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20,856.06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万元外，尚有超募资金</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32,030.59</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万元，截止到报告期期末，超募资金利息收入</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1,602.82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pacing w:val="-4"/>
                <w:sz w:val="18"/>
                <w:szCs w:val="18"/>
              </w:rPr>
              <w:t>元，上市酒会及路演归还</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241.77</w:t>
            </w:r>
            <w:r>
              <w:rPr>
                <w:rFonts w:ascii="Times New Roman" w:hAnsi="Times New Roman" w:cs="Times New Roman" w:eastAsia="Times New Roman" w:hint="default"/>
                <w:spacing w:val="15"/>
                <w:sz w:val="18"/>
                <w:szCs w:val="18"/>
              </w:rPr>
              <w:t> </w:t>
            </w:r>
            <w:r>
              <w:rPr>
                <w:rFonts w:ascii="宋体" w:hAnsi="宋体" w:cs="宋体" w:eastAsia="宋体" w:hint="default"/>
                <w:spacing w:val="-4"/>
                <w:sz w:val="18"/>
                <w:szCs w:val="18"/>
              </w:rPr>
              <w:t>万元，烟台年产</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吨分散染料项目调整转入</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3,965.50</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万元，超募</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z w:val="18"/>
                <w:szCs w:val="18"/>
              </w:rPr>
              <w:t>资金可使用金额为</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37,840.68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万元，超募资金投向总额</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37,598.97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万元，实际使用</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34,429.34</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万元，具</w:t>
            </w:r>
          </w:p>
          <w:p>
            <w:pPr>
              <w:pStyle w:val="TableParagraph"/>
              <w:spacing w:line="240" w:lineRule="auto" w:before="63"/>
              <w:ind w:left="16" w:right="0"/>
              <w:jc w:val="both"/>
              <w:rPr>
                <w:rFonts w:ascii="Times New Roman" w:hAnsi="Times New Roman" w:cs="Times New Roman" w:eastAsia="Times New Roman" w:hint="default"/>
                <w:sz w:val="18"/>
                <w:szCs w:val="18"/>
              </w:rPr>
            </w:pPr>
            <w:r>
              <w:rPr>
                <w:rFonts w:ascii="宋体" w:hAnsi="宋体" w:cs="宋体" w:eastAsia="宋体" w:hint="default"/>
                <w:w w:val="101"/>
                <w:sz w:val="18"/>
                <w:szCs w:val="18"/>
              </w:rPr>
              <w:t>体为</w:t>
            </w:r>
            <w:r>
              <w:rPr>
                <w:rFonts w:ascii="宋体" w:hAnsi="宋体" w:cs="宋体" w:eastAsia="宋体" w:hint="default"/>
                <w:spacing w:val="-106"/>
                <w:w w:val="101"/>
                <w:sz w:val="18"/>
                <w:szCs w:val="18"/>
              </w:rPr>
              <w:t>：</w:t>
            </w:r>
            <w:r>
              <w:rPr>
                <w:rFonts w:ascii="宋体" w:hAnsi="宋体" w:cs="宋体" w:eastAsia="宋体" w:hint="default"/>
                <w:spacing w:val="-5"/>
                <w:w w:val="101"/>
                <w:sz w:val="18"/>
                <w:szCs w:val="18"/>
              </w:rPr>
              <w:t>（</w:t>
            </w:r>
            <w:r>
              <w:rPr>
                <w:rFonts w:ascii="Times New Roman" w:hAnsi="Times New Roman" w:cs="Times New Roman" w:eastAsia="Times New Roman" w:hint="default"/>
                <w:w w:val="101"/>
                <w:sz w:val="18"/>
                <w:szCs w:val="18"/>
              </w:rPr>
              <w:t>1</w:t>
            </w:r>
            <w:r>
              <w:rPr>
                <w:rFonts w:ascii="宋体" w:hAnsi="宋体" w:cs="宋体" w:eastAsia="宋体" w:hint="default"/>
                <w:spacing w:val="-15"/>
                <w:w w:val="101"/>
                <w:sz w:val="18"/>
                <w:szCs w:val="18"/>
              </w:rPr>
              <w:t>）</w:t>
            </w:r>
            <w:r>
              <w:rPr>
                <w:rFonts w:ascii="宋体" w:hAnsi="宋体" w:cs="宋体" w:eastAsia="宋体" w:hint="default"/>
                <w:spacing w:val="-5"/>
                <w:w w:val="101"/>
                <w:sz w:val="18"/>
                <w:szCs w:val="18"/>
              </w:rPr>
              <w:t>经</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第</w:t>
            </w:r>
            <w:r>
              <w:rPr>
                <w:rFonts w:ascii="宋体" w:hAnsi="宋体" w:cs="宋体" w:eastAsia="宋体" w:hint="default"/>
                <w:spacing w:val="-5"/>
                <w:w w:val="101"/>
                <w:sz w:val="18"/>
                <w:szCs w:val="18"/>
              </w:rPr>
              <w:t>一</w:t>
            </w:r>
            <w:r>
              <w:rPr>
                <w:rFonts w:ascii="宋体" w:hAnsi="宋体" w:cs="宋体" w:eastAsia="宋体" w:hint="default"/>
                <w:w w:val="101"/>
                <w:sz w:val="18"/>
                <w:szCs w:val="18"/>
              </w:rPr>
              <w:t>届</w:t>
            </w:r>
            <w:r>
              <w:rPr>
                <w:rFonts w:ascii="宋体" w:hAnsi="宋体" w:cs="宋体" w:eastAsia="宋体" w:hint="default"/>
                <w:spacing w:val="-5"/>
                <w:w w:val="101"/>
                <w:sz w:val="18"/>
                <w:szCs w:val="18"/>
              </w:rPr>
              <w:t>董</w:t>
            </w:r>
            <w:r>
              <w:rPr>
                <w:rFonts w:ascii="宋体" w:hAnsi="宋体" w:cs="宋体" w:eastAsia="宋体" w:hint="default"/>
                <w:w w:val="101"/>
                <w:sz w:val="18"/>
                <w:szCs w:val="18"/>
              </w:rPr>
              <w:t>事</w:t>
            </w:r>
            <w:r>
              <w:rPr>
                <w:rFonts w:ascii="宋体" w:hAnsi="宋体" w:cs="宋体" w:eastAsia="宋体" w:hint="default"/>
                <w:spacing w:val="-5"/>
                <w:w w:val="101"/>
                <w:sz w:val="18"/>
                <w:szCs w:val="18"/>
              </w:rPr>
              <w:t>会第</w:t>
            </w:r>
            <w:r>
              <w:rPr>
                <w:rFonts w:ascii="宋体" w:hAnsi="宋体" w:cs="宋体" w:eastAsia="宋体" w:hint="default"/>
                <w:w w:val="101"/>
                <w:sz w:val="18"/>
                <w:szCs w:val="18"/>
              </w:rPr>
              <w:t>十</w:t>
            </w:r>
            <w:r>
              <w:rPr>
                <w:rFonts w:ascii="宋体" w:hAnsi="宋体" w:cs="宋体" w:eastAsia="宋体" w:hint="default"/>
                <w:spacing w:val="-5"/>
                <w:w w:val="101"/>
                <w:sz w:val="18"/>
                <w:szCs w:val="18"/>
              </w:rPr>
              <w:t>六</w:t>
            </w:r>
            <w:r>
              <w:rPr>
                <w:rFonts w:ascii="宋体" w:hAnsi="宋体" w:cs="宋体" w:eastAsia="宋体" w:hint="default"/>
                <w:w w:val="101"/>
                <w:sz w:val="18"/>
                <w:szCs w:val="18"/>
              </w:rPr>
              <w:t>次</w:t>
            </w:r>
            <w:r>
              <w:rPr>
                <w:rFonts w:ascii="宋体" w:hAnsi="宋体" w:cs="宋体" w:eastAsia="宋体" w:hint="default"/>
                <w:spacing w:val="-5"/>
                <w:w w:val="101"/>
                <w:sz w:val="18"/>
                <w:szCs w:val="18"/>
              </w:rPr>
              <w:t>会</w:t>
            </w:r>
            <w:r>
              <w:rPr>
                <w:rFonts w:ascii="宋体" w:hAnsi="宋体" w:cs="宋体" w:eastAsia="宋体" w:hint="default"/>
                <w:w w:val="101"/>
                <w:sz w:val="18"/>
                <w:szCs w:val="18"/>
              </w:rPr>
              <w:t>议</w:t>
            </w:r>
            <w:r>
              <w:rPr>
                <w:rFonts w:ascii="宋体" w:hAnsi="宋体" w:cs="宋体" w:eastAsia="宋体" w:hint="default"/>
                <w:spacing w:val="-5"/>
                <w:w w:val="101"/>
                <w:sz w:val="18"/>
                <w:szCs w:val="18"/>
              </w:rPr>
              <w:t>决</w:t>
            </w:r>
            <w:r>
              <w:rPr>
                <w:rFonts w:ascii="宋体" w:hAnsi="宋体" w:cs="宋体" w:eastAsia="宋体" w:hint="default"/>
                <w:w w:val="101"/>
                <w:sz w:val="18"/>
                <w:szCs w:val="18"/>
              </w:rPr>
              <w:t>议</w:t>
            </w:r>
            <w:r>
              <w:rPr>
                <w:rFonts w:ascii="Times New Roman" w:hAnsi="Times New Roman" w:cs="Times New Roman" w:eastAsia="Times New Roman" w:hint="default"/>
                <w:spacing w:val="-3"/>
                <w:w w:val="101"/>
                <w:sz w:val="18"/>
                <w:szCs w:val="18"/>
              </w:rPr>
              <w:t>,</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使</w:t>
            </w:r>
            <w:r>
              <w:rPr>
                <w:rFonts w:ascii="宋体" w:hAnsi="宋体" w:cs="宋体" w:eastAsia="宋体" w:hint="default"/>
                <w:spacing w:val="-5"/>
                <w:w w:val="101"/>
                <w:sz w:val="18"/>
                <w:szCs w:val="18"/>
              </w:rPr>
              <w:t>用超</w:t>
            </w:r>
            <w:r>
              <w:rPr>
                <w:rFonts w:ascii="宋体" w:hAnsi="宋体" w:cs="宋体" w:eastAsia="宋体" w:hint="default"/>
                <w:w w:val="101"/>
                <w:sz w:val="18"/>
                <w:szCs w:val="18"/>
              </w:rPr>
              <w:t>募资金</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3</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5</w:t>
            </w:r>
            <w:r>
              <w:rPr>
                <w:rFonts w:ascii="Times New Roman" w:hAnsi="Times New Roman" w:cs="Times New Roman" w:eastAsia="Times New Roman" w:hint="default"/>
                <w:w w:val="101"/>
                <w:sz w:val="18"/>
                <w:szCs w:val="18"/>
              </w:rPr>
              <w:t>00</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万</w:t>
            </w:r>
            <w:r>
              <w:rPr>
                <w:rFonts w:ascii="宋体" w:hAnsi="宋体" w:cs="宋体" w:eastAsia="宋体" w:hint="default"/>
                <w:spacing w:val="-5"/>
                <w:w w:val="101"/>
                <w:sz w:val="18"/>
                <w:szCs w:val="18"/>
              </w:rPr>
              <w:t>元</w:t>
            </w:r>
            <w:r>
              <w:rPr>
                <w:rFonts w:ascii="宋体" w:hAnsi="宋体" w:cs="宋体" w:eastAsia="宋体" w:hint="default"/>
                <w:w w:val="101"/>
                <w:sz w:val="18"/>
                <w:szCs w:val="18"/>
              </w:rPr>
              <w:t>偿</w:t>
            </w:r>
            <w:r>
              <w:rPr>
                <w:rFonts w:ascii="宋体" w:hAnsi="宋体" w:cs="宋体" w:eastAsia="宋体" w:hint="default"/>
                <w:spacing w:val="-5"/>
                <w:w w:val="101"/>
                <w:sz w:val="18"/>
                <w:szCs w:val="18"/>
              </w:rPr>
              <w:t>还</w:t>
            </w:r>
            <w:r>
              <w:rPr>
                <w:rFonts w:ascii="宋体" w:hAnsi="宋体" w:cs="宋体" w:eastAsia="宋体" w:hint="default"/>
                <w:w w:val="101"/>
                <w:sz w:val="18"/>
                <w:szCs w:val="18"/>
              </w:rPr>
              <w:t>银</w:t>
            </w:r>
            <w:r>
              <w:rPr>
                <w:rFonts w:ascii="宋体" w:hAnsi="宋体" w:cs="宋体" w:eastAsia="宋体" w:hint="default"/>
                <w:spacing w:val="-5"/>
                <w:w w:val="101"/>
                <w:sz w:val="18"/>
                <w:szCs w:val="18"/>
              </w:rPr>
              <w:t>行</w:t>
            </w:r>
            <w:r>
              <w:rPr>
                <w:rFonts w:ascii="宋体" w:hAnsi="宋体" w:cs="宋体" w:eastAsia="宋体" w:hint="default"/>
                <w:w w:val="101"/>
                <w:sz w:val="18"/>
                <w:szCs w:val="18"/>
              </w:rPr>
              <w:t>贷</w:t>
            </w:r>
            <w:r>
              <w:rPr>
                <w:rFonts w:ascii="宋体" w:hAnsi="宋体" w:cs="宋体" w:eastAsia="宋体" w:hint="default"/>
                <w:spacing w:val="-5"/>
                <w:w w:val="101"/>
                <w:sz w:val="18"/>
                <w:szCs w:val="18"/>
              </w:rPr>
              <w:t>款</w:t>
            </w:r>
            <w:r>
              <w:rPr>
                <w:rFonts w:ascii="宋体" w:hAnsi="宋体" w:cs="宋体" w:eastAsia="宋体" w:hint="default"/>
                <w:spacing w:val="-15"/>
                <w:w w:val="101"/>
                <w:sz w:val="18"/>
                <w:szCs w:val="18"/>
              </w:rPr>
              <w:t>，</w:t>
            </w:r>
            <w:r>
              <w:rPr>
                <w:rFonts w:ascii="Times New Roman" w:hAnsi="Times New Roman" w:cs="Times New Roman" w:eastAsia="Times New Roman" w:hint="default"/>
                <w:w w:val="101"/>
                <w:sz w:val="18"/>
                <w:szCs w:val="18"/>
              </w:rPr>
              <w:t>20</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w w:val="101"/>
                <w:sz w:val="18"/>
                <w:szCs w:val="18"/>
              </w:rPr>
              <w:t>0</w:t>
            </w:r>
            <w:r>
              <w:rPr>
                <w:rFonts w:ascii="Times New Roman" w:hAnsi="Times New Roman" w:cs="Times New Roman" w:eastAsia="Times New Roman" w:hint="default"/>
                <w:sz w:val="18"/>
                <w:szCs w:val="18"/>
              </w:rPr>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5"/>
                <w:w w:val="101"/>
                <w:sz w:val="18"/>
                <w:szCs w:val="18"/>
              </w:rPr>
              <w:t>已</w:t>
            </w:r>
            <w:r>
              <w:rPr>
                <w:rFonts w:ascii="宋体" w:hAnsi="宋体" w:cs="宋体" w:eastAsia="宋体" w:hint="default"/>
                <w:w w:val="101"/>
                <w:sz w:val="18"/>
                <w:szCs w:val="18"/>
              </w:rPr>
              <w:t>使</w:t>
            </w:r>
            <w:r>
              <w:rPr>
                <w:rFonts w:ascii="宋体" w:hAnsi="宋体" w:cs="宋体" w:eastAsia="宋体" w:hint="default"/>
                <w:spacing w:val="-5"/>
                <w:w w:val="101"/>
                <w:sz w:val="18"/>
                <w:szCs w:val="18"/>
              </w:rPr>
              <w:t>用</w:t>
            </w:r>
            <w:r>
              <w:rPr>
                <w:rFonts w:ascii="宋体" w:hAnsi="宋体" w:cs="宋体" w:eastAsia="宋体" w:hint="default"/>
                <w:w w:val="101"/>
                <w:sz w:val="18"/>
                <w:szCs w:val="18"/>
              </w:rPr>
              <w:t>超</w:t>
            </w:r>
            <w:r>
              <w:rPr>
                <w:rFonts w:ascii="宋体" w:hAnsi="宋体" w:cs="宋体" w:eastAsia="宋体" w:hint="default"/>
                <w:spacing w:val="-5"/>
                <w:w w:val="101"/>
                <w:sz w:val="18"/>
                <w:szCs w:val="18"/>
              </w:rPr>
              <w:t>募</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支付</w:t>
            </w:r>
            <w:r>
              <w:rPr>
                <w:rFonts w:ascii="宋体" w:hAnsi="宋体" w:cs="宋体" w:eastAsia="宋体" w:hint="default"/>
                <w:spacing w:val="-111"/>
                <w:w w:val="101"/>
                <w:sz w:val="18"/>
                <w:szCs w:val="18"/>
              </w:rPr>
              <w:t>。</w:t>
            </w:r>
            <w:r>
              <w:rPr>
                <w:rFonts w:ascii="宋体" w:hAnsi="宋体" w:cs="宋体" w:eastAsia="宋体" w:hint="default"/>
                <w:w w:val="101"/>
                <w:sz w:val="18"/>
                <w:szCs w:val="18"/>
              </w:rPr>
              <w:t>（</w:t>
            </w:r>
            <w:r>
              <w:rPr>
                <w:rFonts w:ascii="Times New Roman" w:hAnsi="Times New Roman" w:cs="Times New Roman" w:eastAsia="Times New Roman" w:hint="default"/>
                <w:w w:val="101"/>
                <w:sz w:val="18"/>
                <w:szCs w:val="18"/>
              </w:rPr>
              <w:t>2</w:t>
            </w:r>
            <w:r>
              <w:rPr>
                <w:rFonts w:ascii="宋体" w:hAnsi="宋体" w:cs="宋体" w:eastAsia="宋体" w:hint="default"/>
                <w:spacing w:val="-20"/>
                <w:w w:val="101"/>
                <w:sz w:val="18"/>
                <w:szCs w:val="18"/>
              </w:rPr>
              <w:t>）</w:t>
            </w:r>
            <w:r>
              <w:rPr>
                <w:rFonts w:ascii="宋体" w:hAnsi="宋体" w:cs="宋体" w:eastAsia="宋体" w:hint="default"/>
                <w:w w:val="101"/>
                <w:sz w:val="18"/>
                <w:szCs w:val="18"/>
              </w:rPr>
              <w:t>经</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第</w:t>
            </w:r>
            <w:r>
              <w:rPr>
                <w:rFonts w:ascii="宋体" w:hAnsi="宋体" w:cs="宋体" w:eastAsia="宋体" w:hint="default"/>
                <w:w w:val="101"/>
                <w:sz w:val="18"/>
                <w:szCs w:val="18"/>
              </w:rPr>
              <w:t>一</w:t>
            </w:r>
            <w:r>
              <w:rPr>
                <w:rFonts w:ascii="宋体" w:hAnsi="宋体" w:cs="宋体" w:eastAsia="宋体" w:hint="default"/>
                <w:spacing w:val="-5"/>
                <w:w w:val="101"/>
                <w:sz w:val="18"/>
                <w:szCs w:val="18"/>
              </w:rPr>
              <w:t>届</w:t>
            </w:r>
            <w:r>
              <w:rPr>
                <w:rFonts w:ascii="宋体" w:hAnsi="宋体" w:cs="宋体" w:eastAsia="宋体" w:hint="default"/>
                <w:w w:val="101"/>
                <w:sz w:val="18"/>
                <w:szCs w:val="18"/>
              </w:rPr>
              <w:t>董</w:t>
            </w:r>
            <w:r>
              <w:rPr>
                <w:rFonts w:ascii="宋体" w:hAnsi="宋体" w:cs="宋体" w:eastAsia="宋体" w:hint="default"/>
                <w:spacing w:val="-5"/>
                <w:w w:val="101"/>
                <w:sz w:val="18"/>
                <w:szCs w:val="18"/>
              </w:rPr>
              <w:t>事</w:t>
            </w:r>
            <w:r>
              <w:rPr>
                <w:rFonts w:ascii="宋体" w:hAnsi="宋体" w:cs="宋体" w:eastAsia="宋体" w:hint="default"/>
                <w:w w:val="101"/>
                <w:sz w:val="18"/>
                <w:szCs w:val="18"/>
              </w:rPr>
              <w:t>会</w:t>
            </w:r>
            <w:r>
              <w:rPr>
                <w:rFonts w:ascii="宋体" w:hAnsi="宋体" w:cs="宋体" w:eastAsia="宋体" w:hint="default"/>
                <w:spacing w:val="-5"/>
                <w:w w:val="101"/>
                <w:sz w:val="18"/>
                <w:szCs w:val="18"/>
              </w:rPr>
              <w:t>第</w:t>
            </w:r>
            <w:r>
              <w:rPr>
                <w:rFonts w:ascii="宋体" w:hAnsi="宋体" w:cs="宋体" w:eastAsia="宋体" w:hint="default"/>
                <w:w w:val="101"/>
                <w:sz w:val="18"/>
                <w:szCs w:val="18"/>
              </w:rPr>
              <w:t>十</w:t>
            </w:r>
            <w:r>
              <w:rPr>
                <w:rFonts w:ascii="宋体" w:hAnsi="宋体" w:cs="宋体" w:eastAsia="宋体" w:hint="default"/>
                <w:spacing w:val="-5"/>
                <w:w w:val="101"/>
                <w:sz w:val="18"/>
                <w:szCs w:val="18"/>
              </w:rPr>
              <w:t>九</w:t>
            </w:r>
            <w:r>
              <w:rPr>
                <w:rFonts w:ascii="宋体" w:hAnsi="宋体" w:cs="宋体" w:eastAsia="宋体" w:hint="default"/>
                <w:w w:val="101"/>
                <w:sz w:val="18"/>
                <w:szCs w:val="18"/>
              </w:rPr>
              <w:t>次</w:t>
            </w:r>
            <w:r>
              <w:rPr>
                <w:rFonts w:ascii="宋体" w:hAnsi="宋体" w:cs="宋体" w:eastAsia="宋体" w:hint="default"/>
                <w:spacing w:val="-5"/>
                <w:w w:val="101"/>
                <w:sz w:val="18"/>
                <w:szCs w:val="18"/>
              </w:rPr>
              <w:t>会</w:t>
            </w:r>
            <w:r>
              <w:rPr>
                <w:rFonts w:ascii="宋体" w:hAnsi="宋体" w:cs="宋体" w:eastAsia="宋体" w:hint="default"/>
                <w:w w:val="101"/>
                <w:sz w:val="18"/>
                <w:szCs w:val="18"/>
              </w:rPr>
              <w:t>议</w:t>
            </w:r>
            <w:r>
              <w:rPr>
                <w:rFonts w:ascii="宋体" w:hAnsi="宋体" w:cs="宋体" w:eastAsia="宋体" w:hint="default"/>
                <w:spacing w:val="-5"/>
                <w:w w:val="101"/>
                <w:sz w:val="18"/>
                <w:szCs w:val="18"/>
              </w:rPr>
              <w:t>决</w:t>
            </w:r>
            <w:r>
              <w:rPr>
                <w:rFonts w:ascii="宋体" w:hAnsi="宋体" w:cs="宋体" w:eastAsia="宋体" w:hint="default"/>
                <w:w w:val="101"/>
                <w:sz w:val="18"/>
                <w:szCs w:val="18"/>
              </w:rPr>
              <w:t>议</w:t>
            </w:r>
            <w:r>
              <w:rPr>
                <w:rFonts w:ascii="宋体" w:hAnsi="宋体" w:cs="宋体" w:eastAsia="宋体" w:hint="default"/>
                <w:spacing w:val="-15"/>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使</w:t>
            </w:r>
            <w:r>
              <w:rPr>
                <w:rFonts w:ascii="宋体" w:hAnsi="宋体" w:cs="宋体" w:eastAsia="宋体" w:hint="default"/>
                <w:w w:val="101"/>
                <w:sz w:val="18"/>
                <w:szCs w:val="18"/>
              </w:rPr>
              <w:t>用</w:t>
            </w:r>
            <w:r>
              <w:rPr>
                <w:rFonts w:ascii="宋体" w:hAnsi="宋体" w:cs="宋体" w:eastAsia="宋体" w:hint="default"/>
                <w:spacing w:val="-5"/>
                <w:w w:val="101"/>
                <w:sz w:val="18"/>
                <w:szCs w:val="18"/>
              </w:rPr>
              <w:t>超</w:t>
            </w:r>
            <w:r>
              <w:rPr>
                <w:rFonts w:ascii="宋体" w:hAnsi="宋体" w:cs="宋体" w:eastAsia="宋体" w:hint="default"/>
                <w:w w:val="101"/>
                <w:sz w:val="18"/>
                <w:szCs w:val="18"/>
              </w:rPr>
              <w:t>募</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建</w:t>
            </w:r>
            <w:r>
              <w:rPr>
                <w:rFonts w:ascii="宋体" w:hAnsi="宋体" w:cs="宋体" w:eastAsia="宋体" w:hint="default"/>
                <w:w w:val="101"/>
                <w:sz w:val="18"/>
                <w:szCs w:val="18"/>
              </w:rPr>
              <w:t>设东</w:t>
            </w:r>
            <w:r>
              <w:rPr>
                <w:rFonts w:ascii="宋体" w:hAnsi="宋体" w:cs="宋体" w:eastAsia="宋体" w:hint="default"/>
                <w:sz w:val="18"/>
                <w:szCs w:val="18"/>
              </w:rPr>
            </w:r>
          </w:p>
          <w:p>
            <w:pPr>
              <w:pStyle w:val="TableParagraph"/>
              <w:spacing w:line="300" w:lineRule="auto" w:before="63"/>
              <w:ind w:left="16" w:right="-15"/>
              <w:jc w:val="both"/>
              <w:rPr>
                <w:rFonts w:ascii="宋体" w:hAnsi="宋体" w:cs="宋体" w:eastAsia="宋体" w:hint="default"/>
                <w:sz w:val="18"/>
                <w:szCs w:val="18"/>
              </w:rPr>
            </w:pPr>
            <w:r>
              <w:rPr>
                <w:rFonts w:ascii="宋体" w:hAnsi="宋体" w:cs="宋体" w:eastAsia="宋体" w:hint="default"/>
                <w:sz w:val="18"/>
                <w:szCs w:val="18"/>
              </w:rPr>
              <w:t>营年产染料滤饼</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吨及分散染料</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吨项目，项目投资总额</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4,953</w:t>
            </w:r>
            <w:r>
              <w:rPr>
                <w:rFonts w:ascii="Times New Roman" w:hAnsi="Times New Roman" w:cs="Times New Roman" w:eastAsia="Times New Roman" w:hint="default"/>
                <w:spacing w:val="7"/>
                <w:sz w:val="18"/>
                <w:szCs w:val="18"/>
              </w:rPr>
              <w:t> </w:t>
            </w:r>
            <w:r>
              <w:rPr>
                <w:rFonts w:ascii="宋体" w:hAnsi="宋体" w:cs="宋体" w:eastAsia="宋体" w:hint="default"/>
                <w:spacing w:val="-7"/>
                <w:sz w:val="18"/>
                <w:szCs w:val="18"/>
              </w:rPr>
              <w:t>万元，截止到报告期期末，已</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使用 </w:t>
            </w:r>
            <w:r>
              <w:rPr>
                <w:rFonts w:ascii="Times New Roman" w:hAnsi="Times New Roman" w:cs="Times New Roman" w:eastAsia="Times New Roman" w:hint="default"/>
                <w:sz w:val="18"/>
                <w:szCs w:val="18"/>
              </w:rPr>
              <w:t>5,078.70 </w:t>
            </w:r>
            <w:r>
              <w:rPr>
                <w:rFonts w:ascii="宋体" w:hAnsi="宋体" w:cs="宋体" w:eastAsia="宋体" w:hint="default"/>
                <w:sz w:val="18"/>
                <w:szCs w:val="18"/>
              </w:rPr>
              <w:t>万元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宋体" w:hAnsi="宋体" w:cs="宋体" w:eastAsia="宋体" w:hint="default"/>
                <w:spacing w:val="-3"/>
                <w:sz w:val="18"/>
                <w:szCs w:val="18"/>
              </w:rPr>
              <w:t>经公司第一届董事会第二十次会议决议，公司使用超募资金收购烟台子公</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w w:val="101"/>
                <w:sz w:val="18"/>
                <w:szCs w:val="18"/>
              </w:rPr>
              <w:t>司自然人股东延元起先生股权，股权收购价格</w:t>
            </w:r>
            <w:r>
              <w:rPr>
                <w:rFonts w:ascii="宋体" w:hAnsi="宋体" w:cs="宋体" w:eastAsia="宋体" w:hint="default"/>
                <w:spacing w:val="-43"/>
                <w:w w:val="101"/>
                <w:sz w:val="18"/>
                <w:szCs w:val="18"/>
              </w:rPr>
              <w:t> </w:t>
            </w:r>
            <w:r>
              <w:rPr>
                <w:rFonts w:ascii="Times New Roman" w:hAnsi="Times New Roman" w:cs="Times New Roman" w:eastAsia="Times New Roman" w:hint="default"/>
                <w:w w:val="101"/>
                <w:sz w:val="18"/>
                <w:szCs w:val="18"/>
              </w:rPr>
              <w:t>985</w:t>
            </w:r>
            <w:r>
              <w:rPr>
                <w:rFonts w:ascii="Times New Roman" w:hAnsi="Times New Roman" w:cs="Times New Roman" w:eastAsia="Times New Roman" w:hint="default"/>
                <w:spacing w:val="-3"/>
                <w:w w:val="101"/>
                <w:sz w:val="18"/>
                <w:szCs w:val="18"/>
              </w:rPr>
              <w:t> </w:t>
            </w:r>
            <w:r>
              <w:rPr>
                <w:rFonts w:ascii="宋体" w:hAnsi="宋体" w:cs="宋体" w:eastAsia="宋体" w:hint="default"/>
                <w:spacing w:val="-3"/>
                <w:w w:val="101"/>
                <w:sz w:val="18"/>
                <w:szCs w:val="18"/>
              </w:rPr>
              <w:t>万元，截止到报告期期末，已使用</w:t>
            </w:r>
            <w:r>
              <w:rPr>
                <w:rFonts w:ascii="宋体" w:hAnsi="宋体" w:cs="宋体" w:eastAsia="宋体" w:hint="default"/>
                <w:spacing w:val="-43"/>
                <w:w w:val="101"/>
                <w:sz w:val="18"/>
                <w:szCs w:val="18"/>
              </w:rPr>
              <w:t> </w:t>
            </w:r>
            <w:r>
              <w:rPr>
                <w:rFonts w:ascii="Times New Roman" w:hAnsi="Times New Roman" w:cs="Times New Roman" w:eastAsia="Times New Roman" w:hint="default"/>
                <w:w w:val="101"/>
                <w:sz w:val="18"/>
                <w:szCs w:val="18"/>
              </w:rPr>
              <w:t>985</w:t>
            </w:r>
            <w:r>
              <w:rPr>
                <w:rFonts w:ascii="Times New Roman" w:hAnsi="Times New Roman" w:cs="Times New Roman" w:eastAsia="Times New Roman" w:hint="default"/>
                <w:spacing w:val="-3"/>
                <w:w w:val="101"/>
                <w:sz w:val="18"/>
                <w:szCs w:val="18"/>
              </w:rPr>
              <w:t> </w:t>
            </w:r>
            <w:r>
              <w:rPr>
                <w:rFonts w:ascii="宋体" w:hAnsi="宋体" w:cs="宋体" w:eastAsia="宋体" w:hint="default"/>
                <w:spacing w:val="-17"/>
                <w:w w:val="101"/>
                <w:sz w:val="18"/>
                <w:szCs w:val="18"/>
              </w:rPr>
              <w:t>万元。（</w:t>
            </w:r>
            <w:r>
              <w:rPr>
                <w:rFonts w:ascii="Times New Roman" w:hAnsi="Times New Roman" w:cs="Times New Roman" w:eastAsia="Times New Roman" w:hint="default"/>
                <w:spacing w:val="-17"/>
                <w:w w:val="101"/>
                <w:sz w:val="18"/>
                <w:szCs w:val="18"/>
              </w:rPr>
              <w:t>4</w:t>
            </w:r>
            <w:r>
              <w:rPr>
                <w:rFonts w:ascii="宋体" w:hAnsi="宋体" w:cs="宋体" w:eastAsia="宋体" w:hint="default"/>
                <w:spacing w:val="-17"/>
                <w:w w:val="101"/>
                <w:sz w:val="18"/>
                <w:szCs w:val="18"/>
              </w:rPr>
              <w:t>）</w:t>
            </w:r>
            <w:r>
              <w:rPr>
                <w:rFonts w:ascii="宋体" w:hAnsi="宋体" w:cs="宋体" w:eastAsia="宋体" w:hint="default"/>
                <w:spacing w:val="-89"/>
                <w:w w:val="101"/>
                <w:sz w:val="18"/>
                <w:szCs w:val="18"/>
              </w:rPr>
              <w:t> </w:t>
            </w:r>
            <w:r>
              <w:rPr>
                <w:rFonts w:ascii="宋体" w:hAnsi="宋体" w:cs="宋体" w:eastAsia="宋体" w:hint="default"/>
                <w:spacing w:val="-3"/>
                <w:sz w:val="18"/>
                <w:szCs w:val="18"/>
              </w:rPr>
              <w:t>经公司第一届董事会第二十一次会议决议，公司使用超募资金 </w:t>
            </w:r>
            <w:r>
              <w:rPr>
                <w:rFonts w:ascii="Times New Roman" w:hAnsi="Times New Roman" w:cs="Times New Roman" w:eastAsia="Times New Roman" w:hint="default"/>
                <w:sz w:val="18"/>
                <w:szCs w:val="18"/>
              </w:rPr>
              <w:t>2,900 </w:t>
            </w:r>
            <w:r>
              <w:rPr>
                <w:rFonts w:ascii="宋体" w:hAnsi="宋体" w:cs="宋体" w:eastAsia="宋体" w:hint="default"/>
                <w:spacing w:val="-4"/>
                <w:sz w:val="18"/>
                <w:szCs w:val="18"/>
              </w:rPr>
              <w:t>万元永久补充流动资金，</w:t>
            </w:r>
            <w:r>
              <w:rPr>
                <w:rFonts w:ascii="Times New Roman" w:hAnsi="Times New Roman" w:cs="Times New Roman" w:eastAsia="Times New Roman" w:hint="default"/>
                <w:spacing w:val="-4"/>
                <w:sz w:val="18"/>
                <w:szCs w:val="18"/>
              </w:rPr>
              <w:t>2011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月已使用募集资金支付。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）经公司第二届董事会第三次会议决议，公司使用超募资金 </w:t>
            </w:r>
            <w:r>
              <w:rPr>
                <w:rFonts w:ascii="Times New Roman" w:hAnsi="Times New Roman" w:cs="Times New Roman" w:eastAsia="Times New Roman" w:hint="default"/>
                <w:sz w:val="18"/>
                <w:szCs w:val="18"/>
              </w:rPr>
              <w:t>2,970</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万</w:t>
            </w:r>
          </w:p>
          <w:p>
            <w:pPr>
              <w:pStyle w:val="TableParagraph"/>
              <w:spacing w:line="240" w:lineRule="auto" w:before="13"/>
              <w:ind w:left="16" w:right="0"/>
              <w:jc w:val="both"/>
              <w:rPr>
                <w:rFonts w:ascii="宋体" w:hAnsi="宋体" w:cs="宋体" w:eastAsia="宋体" w:hint="default"/>
                <w:sz w:val="18"/>
                <w:szCs w:val="18"/>
              </w:rPr>
            </w:pPr>
            <w:r>
              <w:rPr>
                <w:rFonts w:ascii="宋体" w:hAnsi="宋体" w:cs="宋体" w:eastAsia="宋体" w:hint="default"/>
                <w:sz w:val="18"/>
                <w:szCs w:val="18"/>
              </w:rPr>
              <w:t>元收购浙江华晟化学制品有限公司</w:t>
            </w:r>
            <w:r>
              <w:rPr>
                <w:rFonts w:ascii="宋体" w:hAnsi="宋体" w:cs="宋体" w:eastAsia="宋体" w:hint="default"/>
                <w:spacing w:val="-33"/>
                <w:sz w:val="18"/>
                <w:szCs w:val="18"/>
              </w:rPr>
              <w:t> </w:t>
            </w:r>
            <w:r>
              <w:rPr>
                <w:rFonts w:ascii="Times New Roman" w:hAnsi="Times New Roman" w:cs="Times New Roman" w:eastAsia="Times New Roman" w:hint="default"/>
                <w:spacing w:val="-3"/>
                <w:sz w:val="18"/>
                <w:szCs w:val="18"/>
              </w:rPr>
              <w:t>90%</w:t>
            </w:r>
            <w:r>
              <w:rPr>
                <w:rFonts w:ascii="宋体" w:hAnsi="宋体" w:cs="宋体" w:eastAsia="宋体" w:hint="default"/>
                <w:spacing w:val="-3"/>
                <w:sz w:val="18"/>
                <w:szCs w:val="18"/>
              </w:rPr>
              <w:t>股权并增资</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万元，截止到报告期期末，已使用</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4,470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w:t>
            </w:r>
          </w:p>
          <w:p>
            <w:pPr>
              <w:pStyle w:val="TableParagraph"/>
              <w:spacing w:line="240" w:lineRule="auto" w:before="63"/>
              <w:ind w:left="16" w:right="0"/>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经公司 </w:t>
            </w:r>
            <w:r>
              <w:rPr>
                <w:rFonts w:ascii="Times New Roman" w:hAnsi="Times New Roman" w:cs="Times New Roman" w:eastAsia="Times New Roman" w:hint="default"/>
                <w:sz w:val="18"/>
                <w:szCs w:val="18"/>
              </w:rPr>
              <w:t>2012 </w:t>
            </w:r>
            <w:r>
              <w:rPr>
                <w:rFonts w:ascii="宋体" w:hAnsi="宋体" w:cs="宋体" w:eastAsia="宋体" w:hint="default"/>
                <w:spacing w:val="-3"/>
                <w:sz w:val="18"/>
                <w:szCs w:val="18"/>
              </w:rPr>
              <w:t>年第一次临时股东大会会议决议，公司使用超募资金 </w:t>
            </w:r>
            <w:r>
              <w:rPr>
                <w:rFonts w:ascii="Times New Roman" w:hAnsi="Times New Roman" w:cs="Times New Roman" w:eastAsia="Times New Roman" w:hint="default"/>
                <w:sz w:val="18"/>
                <w:szCs w:val="18"/>
              </w:rPr>
              <w:t>6,200 </w:t>
            </w:r>
            <w:r>
              <w:rPr>
                <w:rFonts w:ascii="宋体" w:hAnsi="宋体" w:cs="宋体" w:eastAsia="宋体" w:hint="default"/>
                <w:spacing w:val="-3"/>
                <w:sz w:val="18"/>
                <w:szCs w:val="18"/>
              </w:rPr>
              <w:t>万元，烟台年产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6,000</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z w:val="18"/>
                <w:szCs w:val="18"/>
              </w:rPr>
              <w:t>吨分散染料项目变更资金 </w:t>
            </w:r>
            <w:r>
              <w:rPr>
                <w:rFonts w:ascii="Times New Roman" w:hAnsi="Times New Roman" w:cs="Times New Roman" w:eastAsia="Times New Roman" w:hint="default"/>
                <w:sz w:val="18"/>
                <w:szCs w:val="18"/>
              </w:rPr>
              <w:t>3,965.50 </w:t>
            </w:r>
            <w:r>
              <w:rPr>
                <w:rFonts w:ascii="宋体" w:hAnsi="宋体" w:cs="宋体" w:eastAsia="宋体" w:hint="default"/>
                <w:spacing w:val="-3"/>
                <w:sz w:val="18"/>
                <w:szCs w:val="18"/>
              </w:rPr>
              <w:t>万元投入东营年产分散染料 </w:t>
            </w: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12"/>
                <w:sz w:val="18"/>
                <w:szCs w:val="18"/>
              </w:rPr>
              <w:t> </w:t>
            </w:r>
            <w:r>
              <w:rPr>
                <w:rFonts w:ascii="宋体" w:hAnsi="宋体" w:cs="宋体" w:eastAsia="宋体" w:hint="default"/>
                <w:spacing w:val="-9"/>
                <w:sz w:val="18"/>
                <w:szCs w:val="18"/>
              </w:rPr>
              <w:t>吨项目，截止到报告期期末，已</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w w:val="101"/>
                <w:sz w:val="18"/>
                <w:szCs w:val="18"/>
              </w:rPr>
              <w:t>使</w:t>
            </w:r>
            <w:r>
              <w:rPr>
                <w:rFonts w:ascii="宋体" w:hAnsi="宋体" w:cs="宋体" w:eastAsia="宋体" w:hint="default"/>
                <w:spacing w:val="-5"/>
                <w:w w:val="101"/>
                <w:sz w:val="18"/>
                <w:szCs w:val="18"/>
              </w:rPr>
              <w:t>用</w:t>
            </w:r>
            <w:r>
              <w:rPr>
                <w:rFonts w:ascii="宋体" w:hAnsi="宋体" w:cs="宋体" w:eastAsia="宋体" w:hint="default"/>
                <w:w w:val="101"/>
                <w:sz w:val="18"/>
                <w:szCs w:val="18"/>
              </w:rPr>
              <w:t>资金</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6</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87</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17</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万元</w:t>
            </w:r>
            <w:r>
              <w:rPr>
                <w:rFonts w:ascii="宋体" w:hAnsi="宋体" w:cs="宋体" w:eastAsia="宋体" w:hint="default"/>
                <w:spacing w:val="-111"/>
                <w:w w:val="101"/>
                <w:sz w:val="18"/>
                <w:szCs w:val="18"/>
              </w:rPr>
              <w:t>。</w:t>
            </w:r>
            <w:r>
              <w:rPr>
                <w:rFonts w:ascii="宋体" w:hAnsi="宋体" w:cs="宋体" w:eastAsia="宋体" w:hint="default"/>
                <w:w w:val="101"/>
                <w:sz w:val="18"/>
                <w:szCs w:val="18"/>
              </w:rPr>
              <w:t>（</w:t>
            </w:r>
            <w:r>
              <w:rPr>
                <w:rFonts w:ascii="Times New Roman" w:hAnsi="Times New Roman" w:cs="Times New Roman" w:eastAsia="Times New Roman" w:hint="default"/>
                <w:w w:val="101"/>
                <w:sz w:val="18"/>
                <w:szCs w:val="18"/>
              </w:rPr>
              <w:t>7</w:t>
            </w:r>
            <w:r>
              <w:rPr>
                <w:rFonts w:ascii="宋体" w:hAnsi="宋体" w:cs="宋体" w:eastAsia="宋体" w:hint="default"/>
                <w:spacing w:val="-15"/>
                <w:w w:val="101"/>
                <w:sz w:val="18"/>
                <w:szCs w:val="18"/>
              </w:rPr>
              <w:t>）</w:t>
            </w:r>
            <w:r>
              <w:rPr>
                <w:rFonts w:ascii="宋体" w:hAnsi="宋体" w:cs="宋体" w:eastAsia="宋体" w:hint="default"/>
                <w:spacing w:val="-5"/>
                <w:w w:val="101"/>
                <w:sz w:val="18"/>
                <w:szCs w:val="18"/>
              </w:rPr>
              <w:t>经公</w:t>
            </w:r>
            <w:r>
              <w:rPr>
                <w:rFonts w:ascii="宋体" w:hAnsi="宋体" w:cs="宋体" w:eastAsia="宋体" w:hint="default"/>
                <w:w w:val="101"/>
                <w:sz w:val="18"/>
                <w:szCs w:val="18"/>
              </w:rPr>
              <w:t>司</w:t>
            </w:r>
            <w:r>
              <w:rPr>
                <w:rFonts w:ascii="宋体" w:hAnsi="宋体" w:cs="宋体" w:eastAsia="宋体" w:hint="default"/>
                <w:spacing w:val="-5"/>
                <w:w w:val="101"/>
                <w:sz w:val="18"/>
                <w:szCs w:val="18"/>
              </w:rPr>
              <w:t>第</w:t>
            </w:r>
            <w:r>
              <w:rPr>
                <w:rFonts w:ascii="宋体" w:hAnsi="宋体" w:cs="宋体" w:eastAsia="宋体" w:hint="default"/>
                <w:w w:val="101"/>
                <w:sz w:val="18"/>
                <w:szCs w:val="18"/>
              </w:rPr>
              <w:t>二</w:t>
            </w:r>
            <w:r>
              <w:rPr>
                <w:rFonts w:ascii="宋体" w:hAnsi="宋体" w:cs="宋体" w:eastAsia="宋体" w:hint="default"/>
                <w:spacing w:val="-5"/>
                <w:w w:val="101"/>
                <w:sz w:val="18"/>
                <w:szCs w:val="18"/>
              </w:rPr>
              <w:t>届</w:t>
            </w:r>
            <w:r>
              <w:rPr>
                <w:rFonts w:ascii="宋体" w:hAnsi="宋体" w:cs="宋体" w:eastAsia="宋体" w:hint="default"/>
                <w:w w:val="101"/>
                <w:sz w:val="18"/>
                <w:szCs w:val="18"/>
              </w:rPr>
              <w:t>董</w:t>
            </w:r>
            <w:r>
              <w:rPr>
                <w:rFonts w:ascii="宋体" w:hAnsi="宋体" w:cs="宋体" w:eastAsia="宋体" w:hint="default"/>
                <w:spacing w:val="-5"/>
                <w:w w:val="101"/>
                <w:sz w:val="18"/>
                <w:szCs w:val="18"/>
              </w:rPr>
              <w:t>事</w:t>
            </w:r>
            <w:r>
              <w:rPr>
                <w:rFonts w:ascii="宋体" w:hAnsi="宋体" w:cs="宋体" w:eastAsia="宋体" w:hint="default"/>
                <w:w w:val="101"/>
                <w:sz w:val="18"/>
                <w:szCs w:val="18"/>
              </w:rPr>
              <w:t>会</w:t>
            </w:r>
            <w:r>
              <w:rPr>
                <w:rFonts w:ascii="宋体" w:hAnsi="宋体" w:cs="宋体" w:eastAsia="宋体" w:hint="default"/>
                <w:spacing w:val="-5"/>
                <w:w w:val="101"/>
                <w:sz w:val="18"/>
                <w:szCs w:val="18"/>
              </w:rPr>
              <w:t>第</w:t>
            </w:r>
            <w:r>
              <w:rPr>
                <w:rFonts w:ascii="宋体" w:hAnsi="宋体" w:cs="宋体" w:eastAsia="宋体" w:hint="default"/>
                <w:w w:val="101"/>
                <w:sz w:val="18"/>
                <w:szCs w:val="18"/>
              </w:rPr>
              <w:t>十</w:t>
            </w:r>
            <w:r>
              <w:rPr>
                <w:rFonts w:ascii="宋体" w:hAnsi="宋体" w:cs="宋体" w:eastAsia="宋体" w:hint="default"/>
                <w:spacing w:val="-5"/>
                <w:w w:val="101"/>
                <w:sz w:val="18"/>
                <w:szCs w:val="18"/>
              </w:rPr>
              <w:t>二</w:t>
            </w:r>
            <w:r>
              <w:rPr>
                <w:rFonts w:ascii="宋体" w:hAnsi="宋体" w:cs="宋体" w:eastAsia="宋体" w:hint="default"/>
                <w:w w:val="101"/>
                <w:sz w:val="18"/>
                <w:szCs w:val="18"/>
              </w:rPr>
              <w:t>次</w:t>
            </w:r>
            <w:r>
              <w:rPr>
                <w:rFonts w:ascii="宋体" w:hAnsi="宋体" w:cs="宋体" w:eastAsia="宋体" w:hint="default"/>
                <w:spacing w:val="-5"/>
                <w:w w:val="101"/>
                <w:sz w:val="18"/>
                <w:szCs w:val="18"/>
              </w:rPr>
              <w:t>会</w:t>
            </w:r>
            <w:r>
              <w:rPr>
                <w:rFonts w:ascii="宋体" w:hAnsi="宋体" w:cs="宋体" w:eastAsia="宋体" w:hint="default"/>
                <w:w w:val="101"/>
                <w:sz w:val="18"/>
                <w:szCs w:val="18"/>
              </w:rPr>
              <w:t>议</w:t>
            </w:r>
            <w:r>
              <w:rPr>
                <w:rFonts w:ascii="宋体" w:hAnsi="宋体" w:cs="宋体" w:eastAsia="宋体" w:hint="default"/>
                <w:spacing w:val="-5"/>
                <w:w w:val="101"/>
                <w:sz w:val="18"/>
                <w:szCs w:val="18"/>
              </w:rPr>
              <w:t>决</w:t>
            </w:r>
            <w:r>
              <w:rPr>
                <w:rFonts w:ascii="宋体" w:hAnsi="宋体" w:cs="宋体" w:eastAsia="宋体" w:hint="default"/>
                <w:w w:val="101"/>
                <w:sz w:val="18"/>
                <w:szCs w:val="18"/>
              </w:rPr>
              <w:t>议</w:t>
            </w:r>
            <w:r>
              <w:rPr>
                <w:rFonts w:ascii="宋体" w:hAnsi="宋体" w:cs="宋体" w:eastAsia="宋体" w:hint="default"/>
                <w:spacing w:val="-15"/>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使</w:t>
            </w:r>
            <w:r>
              <w:rPr>
                <w:rFonts w:ascii="宋体" w:hAnsi="宋体" w:cs="宋体" w:eastAsia="宋体" w:hint="default"/>
                <w:w w:val="101"/>
                <w:sz w:val="18"/>
                <w:szCs w:val="18"/>
              </w:rPr>
              <w:t>用</w:t>
            </w:r>
            <w:r>
              <w:rPr>
                <w:rFonts w:ascii="宋体" w:hAnsi="宋体" w:cs="宋体" w:eastAsia="宋体" w:hint="default"/>
                <w:spacing w:val="-5"/>
                <w:w w:val="101"/>
                <w:sz w:val="18"/>
                <w:szCs w:val="18"/>
              </w:rPr>
              <w:t>超</w:t>
            </w:r>
            <w:r>
              <w:rPr>
                <w:rFonts w:ascii="宋体" w:hAnsi="宋体" w:cs="宋体" w:eastAsia="宋体" w:hint="default"/>
                <w:w w:val="101"/>
                <w:sz w:val="18"/>
                <w:szCs w:val="18"/>
              </w:rPr>
              <w:t>募</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收</w:t>
            </w:r>
            <w:r>
              <w:rPr>
                <w:rFonts w:ascii="宋体" w:hAnsi="宋体" w:cs="宋体" w:eastAsia="宋体" w:hint="default"/>
                <w:w w:val="101"/>
                <w:sz w:val="18"/>
                <w:szCs w:val="18"/>
              </w:rPr>
              <w:t>购</w:t>
            </w:r>
            <w:r>
              <w:rPr>
                <w:rFonts w:ascii="宋体" w:hAnsi="宋体" w:cs="宋体" w:eastAsia="宋体" w:hint="default"/>
                <w:spacing w:val="-5"/>
                <w:w w:val="101"/>
                <w:sz w:val="18"/>
                <w:szCs w:val="18"/>
              </w:rPr>
              <w:t>浙</w:t>
            </w:r>
            <w:r>
              <w:rPr>
                <w:rFonts w:ascii="宋体" w:hAnsi="宋体" w:cs="宋体" w:eastAsia="宋体" w:hint="default"/>
                <w:w w:val="101"/>
                <w:sz w:val="18"/>
                <w:szCs w:val="18"/>
              </w:rPr>
              <w:t>江子</w:t>
            </w:r>
            <w:r>
              <w:rPr>
                <w:rFonts w:ascii="宋体" w:hAnsi="宋体" w:cs="宋体" w:eastAsia="宋体" w:hint="default"/>
                <w:sz w:val="18"/>
                <w:szCs w:val="18"/>
              </w:rPr>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pacing w:val="-3"/>
                <w:sz w:val="18"/>
                <w:szCs w:val="18"/>
              </w:rPr>
              <w:t>公司自然人股东姚庆才先生股权，股权收购价格 </w:t>
            </w:r>
            <w:r>
              <w:rPr>
                <w:rFonts w:ascii="Times New Roman" w:hAnsi="Times New Roman" w:cs="Times New Roman" w:eastAsia="Times New Roman" w:hint="default"/>
                <w:sz w:val="18"/>
                <w:szCs w:val="18"/>
              </w:rPr>
              <w:t>311.64 </w:t>
            </w:r>
            <w:r>
              <w:rPr>
                <w:rFonts w:ascii="宋体" w:hAnsi="宋体" w:cs="宋体" w:eastAsia="宋体" w:hint="default"/>
                <w:spacing w:val="-3"/>
                <w:sz w:val="18"/>
                <w:szCs w:val="18"/>
              </w:rPr>
              <w:t>万元，截止到报告期末，已使用 </w:t>
            </w:r>
            <w:r>
              <w:rPr>
                <w:rFonts w:ascii="Times New Roman" w:hAnsi="Times New Roman" w:cs="Times New Roman" w:eastAsia="Times New Roman" w:hint="default"/>
                <w:spacing w:val="-3"/>
                <w:sz w:val="18"/>
                <w:szCs w:val="18"/>
              </w:rPr>
              <w:t>311.64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万元</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8</w:t>
            </w:r>
            <w:r>
              <w:rPr>
                <w:rFonts w:ascii="宋体" w:hAnsi="宋体" w:cs="宋体" w:eastAsia="宋体" w:hint="default"/>
                <w:spacing w:val="-4"/>
                <w:sz w:val="18"/>
                <w:szCs w:val="18"/>
              </w:rPr>
              <w:t>）经公司第二届董事会第十三次会议决议，公司使用超募资金 </w:t>
            </w:r>
            <w:r>
              <w:rPr>
                <w:rFonts w:ascii="Times New Roman" w:hAnsi="Times New Roman" w:cs="Times New Roman" w:eastAsia="Times New Roman" w:hint="default"/>
                <w:sz w:val="18"/>
                <w:szCs w:val="18"/>
              </w:rPr>
              <w:t>2100 </w:t>
            </w:r>
            <w:r>
              <w:rPr>
                <w:rFonts w:ascii="Times New Roman" w:hAnsi="Times New Roman" w:cs="Times New Roman" w:eastAsia="Times New Roman" w:hint="default"/>
                <w:spacing w:val="29"/>
                <w:sz w:val="18"/>
                <w:szCs w:val="18"/>
              </w:rPr>
              <w:t> </w:t>
            </w:r>
            <w:r>
              <w:rPr>
                <w:rFonts w:ascii="宋体" w:hAnsi="宋体" w:cs="宋体" w:eastAsia="宋体" w:hint="default"/>
                <w:spacing w:val="-3"/>
                <w:sz w:val="18"/>
                <w:szCs w:val="18"/>
              </w:rPr>
              <w:t>万元收购上江苏永庆化工有限</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w w:val="101"/>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8</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spacing w:val="1"/>
                <w:w w:val="101"/>
                <w:sz w:val="18"/>
                <w:szCs w:val="18"/>
              </w:rPr>
              <w:t>%</w:t>
            </w:r>
            <w:r>
              <w:rPr>
                <w:rFonts w:ascii="宋体" w:hAnsi="宋体" w:cs="宋体" w:eastAsia="宋体" w:hint="default"/>
                <w:spacing w:val="-5"/>
                <w:w w:val="101"/>
                <w:sz w:val="18"/>
                <w:szCs w:val="18"/>
              </w:rPr>
              <w:t>股</w:t>
            </w:r>
            <w:r>
              <w:rPr>
                <w:rFonts w:ascii="宋体" w:hAnsi="宋体" w:cs="宋体" w:eastAsia="宋体" w:hint="default"/>
                <w:w w:val="101"/>
                <w:sz w:val="18"/>
                <w:szCs w:val="18"/>
              </w:rPr>
              <w:t>权</w:t>
            </w:r>
            <w:r>
              <w:rPr>
                <w:rFonts w:ascii="宋体" w:hAnsi="宋体" w:cs="宋体" w:eastAsia="宋体" w:hint="default"/>
                <w:spacing w:val="-5"/>
                <w:w w:val="101"/>
                <w:sz w:val="18"/>
                <w:szCs w:val="18"/>
              </w:rPr>
              <w:t>并</w:t>
            </w:r>
            <w:r>
              <w:rPr>
                <w:rFonts w:ascii="宋体" w:hAnsi="宋体" w:cs="宋体" w:eastAsia="宋体" w:hint="default"/>
                <w:w w:val="101"/>
                <w:sz w:val="18"/>
                <w:szCs w:val="18"/>
              </w:rPr>
              <w:t>增资</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400</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万</w:t>
            </w:r>
            <w:r>
              <w:rPr>
                <w:rFonts w:ascii="宋体" w:hAnsi="宋体" w:cs="宋体" w:eastAsia="宋体" w:hint="default"/>
                <w:w w:val="101"/>
                <w:sz w:val="18"/>
                <w:szCs w:val="18"/>
              </w:rPr>
              <w:t>元</w:t>
            </w:r>
            <w:r>
              <w:rPr>
                <w:rFonts w:ascii="宋体" w:hAnsi="宋体" w:cs="宋体" w:eastAsia="宋体" w:hint="default"/>
                <w:spacing w:val="-5"/>
                <w:w w:val="101"/>
                <w:sz w:val="18"/>
                <w:szCs w:val="18"/>
              </w:rPr>
              <w:t>，</w:t>
            </w:r>
            <w:r>
              <w:rPr>
                <w:rFonts w:ascii="宋体" w:hAnsi="宋体" w:cs="宋体" w:eastAsia="宋体" w:hint="default"/>
                <w:w w:val="101"/>
                <w:sz w:val="18"/>
                <w:szCs w:val="18"/>
              </w:rPr>
              <w:t>截</w:t>
            </w:r>
            <w:r>
              <w:rPr>
                <w:rFonts w:ascii="宋体" w:hAnsi="宋体" w:cs="宋体" w:eastAsia="宋体" w:hint="default"/>
                <w:spacing w:val="-5"/>
                <w:w w:val="101"/>
                <w:sz w:val="18"/>
                <w:szCs w:val="18"/>
              </w:rPr>
              <w:t>止</w:t>
            </w:r>
            <w:r>
              <w:rPr>
                <w:rFonts w:ascii="宋体" w:hAnsi="宋体" w:cs="宋体" w:eastAsia="宋体" w:hint="default"/>
                <w:w w:val="101"/>
                <w:sz w:val="18"/>
                <w:szCs w:val="18"/>
              </w:rPr>
              <w:t>到</w:t>
            </w:r>
            <w:r>
              <w:rPr>
                <w:rFonts w:ascii="宋体" w:hAnsi="宋体" w:cs="宋体" w:eastAsia="宋体" w:hint="default"/>
                <w:spacing w:val="-5"/>
                <w:w w:val="101"/>
                <w:sz w:val="18"/>
                <w:szCs w:val="18"/>
              </w:rPr>
              <w:t>报</w:t>
            </w:r>
            <w:r>
              <w:rPr>
                <w:rFonts w:ascii="宋体" w:hAnsi="宋体" w:cs="宋体" w:eastAsia="宋体" w:hint="default"/>
                <w:w w:val="101"/>
                <w:sz w:val="18"/>
                <w:szCs w:val="18"/>
              </w:rPr>
              <w:t>告</w:t>
            </w:r>
            <w:r>
              <w:rPr>
                <w:rFonts w:ascii="宋体" w:hAnsi="宋体" w:cs="宋体" w:eastAsia="宋体" w:hint="default"/>
                <w:spacing w:val="-5"/>
                <w:w w:val="101"/>
                <w:sz w:val="18"/>
                <w:szCs w:val="18"/>
              </w:rPr>
              <w:t>期</w:t>
            </w:r>
            <w:r>
              <w:rPr>
                <w:rFonts w:ascii="宋体" w:hAnsi="宋体" w:cs="宋体" w:eastAsia="宋体" w:hint="default"/>
                <w:w w:val="101"/>
                <w:sz w:val="18"/>
                <w:szCs w:val="18"/>
              </w:rPr>
              <w:t>期</w:t>
            </w:r>
            <w:r>
              <w:rPr>
                <w:rFonts w:ascii="宋体" w:hAnsi="宋体" w:cs="宋体" w:eastAsia="宋体" w:hint="default"/>
                <w:spacing w:val="-5"/>
                <w:w w:val="101"/>
                <w:sz w:val="18"/>
                <w:szCs w:val="18"/>
              </w:rPr>
              <w:t>末</w:t>
            </w:r>
            <w:r>
              <w:rPr>
                <w:rFonts w:ascii="宋体" w:hAnsi="宋体" w:cs="宋体" w:eastAsia="宋体" w:hint="default"/>
                <w:w w:val="101"/>
                <w:sz w:val="18"/>
                <w:szCs w:val="18"/>
              </w:rPr>
              <w:t>，</w:t>
            </w:r>
            <w:r>
              <w:rPr>
                <w:rFonts w:ascii="宋体" w:hAnsi="宋体" w:cs="宋体" w:eastAsia="宋体" w:hint="default"/>
                <w:spacing w:val="-5"/>
                <w:w w:val="101"/>
                <w:sz w:val="18"/>
                <w:szCs w:val="18"/>
              </w:rPr>
              <w:t>已</w:t>
            </w:r>
            <w:r>
              <w:rPr>
                <w:rFonts w:ascii="宋体" w:hAnsi="宋体" w:cs="宋体" w:eastAsia="宋体" w:hint="default"/>
                <w:w w:val="101"/>
                <w:sz w:val="18"/>
                <w:szCs w:val="18"/>
              </w:rPr>
              <w:t>使用</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4</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500</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万</w:t>
            </w:r>
            <w:r>
              <w:rPr>
                <w:rFonts w:ascii="宋体" w:hAnsi="宋体" w:cs="宋体" w:eastAsia="宋体" w:hint="default"/>
                <w:spacing w:val="-5"/>
                <w:w w:val="101"/>
                <w:sz w:val="18"/>
                <w:szCs w:val="18"/>
              </w:rPr>
              <w:t>元</w:t>
            </w:r>
            <w:r>
              <w:rPr>
                <w:rFonts w:ascii="宋体" w:hAnsi="宋体" w:cs="宋体" w:eastAsia="宋体" w:hint="default"/>
                <w:spacing w:val="-91"/>
                <w:w w:val="101"/>
                <w:sz w:val="18"/>
                <w:szCs w:val="18"/>
              </w:rPr>
              <w:t>。</w:t>
            </w:r>
            <w:r>
              <w:rPr>
                <w:rFonts w:ascii="宋体" w:hAnsi="宋体" w:cs="宋体" w:eastAsia="宋体" w:hint="default"/>
                <w:spacing w:val="-1"/>
                <w:w w:val="101"/>
                <w:sz w:val="18"/>
                <w:szCs w:val="18"/>
              </w:rPr>
              <w:t>（</w:t>
            </w:r>
            <w:r>
              <w:rPr>
                <w:rFonts w:ascii="Times New Roman" w:hAnsi="Times New Roman" w:cs="Times New Roman" w:eastAsia="Times New Roman" w:hint="default"/>
                <w:spacing w:val="-5"/>
                <w:w w:val="101"/>
                <w:sz w:val="18"/>
                <w:szCs w:val="18"/>
              </w:rPr>
              <w:t>9</w:t>
            </w:r>
            <w:r>
              <w:rPr>
                <w:rFonts w:ascii="宋体" w:hAnsi="宋体" w:cs="宋体" w:eastAsia="宋体" w:hint="default"/>
                <w:w w:val="101"/>
                <w:sz w:val="18"/>
                <w:szCs w:val="18"/>
              </w:rPr>
              <w:t>）</w:t>
            </w:r>
            <w:r>
              <w:rPr>
                <w:rFonts w:ascii="宋体" w:hAnsi="宋体" w:cs="宋体" w:eastAsia="宋体" w:hint="default"/>
                <w:spacing w:val="-5"/>
                <w:w w:val="101"/>
                <w:sz w:val="18"/>
                <w:szCs w:val="18"/>
              </w:rPr>
              <w:t>经</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第</w:t>
            </w:r>
            <w:r>
              <w:rPr>
                <w:rFonts w:ascii="宋体" w:hAnsi="宋体" w:cs="宋体" w:eastAsia="宋体" w:hint="default"/>
                <w:spacing w:val="-5"/>
                <w:w w:val="101"/>
                <w:sz w:val="18"/>
                <w:szCs w:val="18"/>
              </w:rPr>
              <w:t>二</w:t>
            </w:r>
            <w:r>
              <w:rPr>
                <w:rFonts w:ascii="宋体" w:hAnsi="宋体" w:cs="宋体" w:eastAsia="宋体" w:hint="default"/>
                <w:w w:val="101"/>
                <w:sz w:val="18"/>
                <w:szCs w:val="18"/>
              </w:rPr>
              <w:t>届</w:t>
            </w:r>
            <w:r>
              <w:rPr>
                <w:rFonts w:ascii="宋体" w:hAnsi="宋体" w:cs="宋体" w:eastAsia="宋体" w:hint="default"/>
                <w:spacing w:val="-5"/>
                <w:w w:val="101"/>
                <w:sz w:val="18"/>
                <w:szCs w:val="18"/>
              </w:rPr>
              <w:t>董</w:t>
            </w:r>
            <w:r>
              <w:rPr>
                <w:rFonts w:ascii="宋体" w:hAnsi="宋体" w:cs="宋体" w:eastAsia="宋体" w:hint="default"/>
                <w:w w:val="101"/>
                <w:sz w:val="18"/>
                <w:szCs w:val="18"/>
              </w:rPr>
              <w:t>事会</w:t>
            </w:r>
            <w:r>
              <w:rPr>
                <w:rFonts w:ascii="宋体" w:hAnsi="宋体" w:cs="宋体" w:eastAsia="宋体" w:hint="default"/>
                <w:sz w:val="18"/>
                <w:szCs w:val="18"/>
              </w:rPr>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pacing w:val="-3"/>
                <w:sz w:val="18"/>
                <w:szCs w:val="18"/>
              </w:rPr>
              <w:t>第十三次会议决议，公司使用超募资金 </w:t>
            </w:r>
            <w:r>
              <w:rPr>
                <w:rFonts w:ascii="Times New Roman" w:hAnsi="Times New Roman" w:cs="Times New Roman" w:eastAsia="Times New Roman" w:hint="default"/>
                <w:sz w:val="18"/>
                <w:szCs w:val="18"/>
              </w:rPr>
              <w:t>5,813.83 </w:t>
            </w:r>
            <w:r>
              <w:rPr>
                <w:rFonts w:ascii="Times New Roman" w:hAnsi="Times New Roman" w:cs="Times New Roman" w:eastAsia="Times New Roman" w:hint="default"/>
                <w:spacing w:val="13"/>
                <w:sz w:val="18"/>
                <w:szCs w:val="18"/>
              </w:rPr>
              <w:t> </w:t>
            </w:r>
            <w:r>
              <w:rPr>
                <w:rFonts w:ascii="宋体" w:hAnsi="宋体" w:cs="宋体" w:eastAsia="宋体" w:hint="default"/>
                <w:spacing w:val="-4"/>
                <w:sz w:val="18"/>
                <w:szCs w:val="18"/>
              </w:rPr>
              <w:t>万元永久补充流动资金，截止到报告期期末，已使用</w:t>
            </w:r>
          </w:p>
          <w:p>
            <w:pPr>
              <w:pStyle w:val="TableParagraph"/>
              <w:spacing w:line="240" w:lineRule="auto" w:before="67"/>
              <w:ind w:left="1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5,813.83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706" w:hRule="exact"/>
        </w:trPr>
        <w:tc>
          <w:tcPr>
            <w:tcW w:w="16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1" w:lineRule="auto" w:before="53"/>
              <w:ind w:left="11" w:right="19"/>
              <w:jc w:val="left"/>
              <w:rPr>
                <w:rFonts w:ascii="宋体" w:hAnsi="宋体" w:cs="宋体" w:eastAsia="宋体" w:hint="default"/>
                <w:sz w:val="18"/>
                <w:szCs w:val="18"/>
              </w:rPr>
            </w:pPr>
            <w:r>
              <w:rPr>
                <w:rFonts w:ascii="宋体" w:hAnsi="宋体" w:cs="宋体" w:eastAsia="宋体" w:hint="default"/>
                <w:spacing w:val="-7"/>
                <w:sz w:val="18"/>
                <w:szCs w:val="18"/>
              </w:rPr>
              <w:t>超募资金的金额、用</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途及使用进展情况</w:t>
            </w:r>
          </w:p>
        </w:tc>
        <w:tc>
          <w:tcPr>
            <w:tcW w:w="7937" w:type="dxa"/>
            <w:gridSpan w:val="11"/>
            <w:vMerge/>
            <w:tcBorders>
              <w:left w:val="single" w:sz="8" w:space="0" w:color="D2D2D2"/>
              <w:right w:val="single" w:sz="4" w:space="0" w:color="000000"/>
            </w:tcBorders>
          </w:tcPr>
          <w:p>
            <w:pPr/>
          </w:p>
        </w:tc>
      </w:tr>
      <w:tr>
        <w:trPr>
          <w:trHeight w:val="3024" w:hRule="exact"/>
        </w:trPr>
        <w:tc>
          <w:tcPr>
            <w:tcW w:w="16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37" w:type="dxa"/>
            <w:gridSpan w:val="11"/>
            <w:vMerge/>
            <w:tcBorders>
              <w:left w:val="single" w:sz="8" w:space="0" w:color="D2D2D2"/>
              <w:bottom w:val="single" w:sz="4" w:space="0" w:color="000000"/>
              <w:right w:val="single" w:sz="4" w:space="0" w:color="000000"/>
            </w:tcBorders>
          </w:tcPr>
          <w:p>
            <w:pPr/>
          </w:p>
        </w:tc>
      </w:tr>
      <w:tr>
        <w:trPr>
          <w:trHeight w:val="398" w:hRule="exact"/>
        </w:trPr>
        <w:tc>
          <w:tcPr>
            <w:tcW w:w="1622" w:type="dxa"/>
            <w:vMerge w:val="restart"/>
            <w:tcBorders>
              <w:top w:val="single" w:sz="4" w:space="0" w:color="000000"/>
              <w:left w:val="single" w:sz="4" w:space="0" w:color="000000"/>
              <w:right w:val="single" w:sz="4" w:space="0" w:color="000000"/>
            </w:tcBorders>
            <w:shd w:val="clear" w:color="auto" w:fill="D2D2D2"/>
          </w:tcPr>
          <w:p>
            <w:pPr/>
          </w:p>
        </w:tc>
        <w:tc>
          <w:tcPr>
            <w:tcW w:w="793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58" w:hRule="exact"/>
        </w:trPr>
        <w:tc>
          <w:tcPr>
            <w:tcW w:w="1622" w:type="dxa"/>
            <w:vMerge/>
            <w:tcBorders>
              <w:left w:val="single" w:sz="4" w:space="0" w:color="000000"/>
              <w:bottom w:val="nil" w:sz="6" w:space="0" w:color="auto"/>
              <w:right w:val="single" w:sz="4" w:space="0" w:color="000000"/>
            </w:tcBorders>
            <w:shd w:val="clear" w:color="auto" w:fill="D2D2D2"/>
          </w:tcPr>
          <w:p>
            <w:pPr/>
          </w:p>
        </w:tc>
        <w:tc>
          <w:tcPr>
            <w:tcW w:w="7937" w:type="dxa"/>
            <w:gridSpan w:val="11"/>
            <w:vMerge w:val="restart"/>
            <w:tcBorders>
              <w:top w:val="single" w:sz="4" w:space="0" w:color="000000"/>
              <w:left w:val="single" w:sz="12" w:space="0" w:color="D2D2D2"/>
              <w:right w:val="single" w:sz="4" w:space="0" w:color="000000"/>
            </w:tcBorders>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245" w:hRule="exact"/>
        </w:trPr>
        <w:tc>
          <w:tcPr>
            <w:tcW w:w="162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11" w:right="154"/>
              <w:jc w:val="left"/>
              <w:rPr>
                <w:rFonts w:ascii="宋体" w:hAnsi="宋体" w:cs="宋体" w:eastAsia="宋体" w:hint="default"/>
                <w:sz w:val="18"/>
                <w:szCs w:val="18"/>
              </w:rPr>
            </w:pPr>
            <w:r>
              <w:rPr>
                <w:rFonts w:ascii="宋体" w:hAnsi="宋体" w:cs="宋体" w:eastAsia="宋体" w:hint="default"/>
                <w:spacing w:val="-2"/>
                <w:sz w:val="18"/>
                <w:szCs w:val="18"/>
              </w:rPr>
              <w:t>募集资金投资项目</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实施地点变更情况</w:t>
            </w:r>
          </w:p>
        </w:tc>
        <w:tc>
          <w:tcPr>
            <w:tcW w:w="7937" w:type="dxa"/>
            <w:gridSpan w:val="11"/>
            <w:vMerge/>
            <w:tcBorders>
              <w:left w:val="single" w:sz="12" w:space="0" w:color="D2D2D2"/>
              <w:bottom w:val="single" w:sz="4" w:space="0" w:color="000000"/>
              <w:right w:val="single" w:sz="4" w:space="0" w:color="000000"/>
            </w:tcBorders>
          </w:tcPr>
          <w:p>
            <w:pPr/>
          </w:p>
        </w:tc>
      </w:tr>
      <w:tr>
        <w:trPr>
          <w:trHeight w:val="456" w:hRule="exact"/>
        </w:trPr>
        <w:tc>
          <w:tcPr>
            <w:tcW w:w="1622" w:type="dxa"/>
            <w:vMerge/>
            <w:tcBorders>
              <w:left w:val="single" w:sz="4" w:space="0" w:color="000000"/>
              <w:bottom w:val="nil" w:sz="6" w:space="0" w:color="auto"/>
              <w:right w:val="single" w:sz="4" w:space="0" w:color="000000"/>
            </w:tcBorders>
            <w:shd w:val="clear" w:color="auto" w:fill="D2D2D2"/>
          </w:tcPr>
          <w:p>
            <w:pPr/>
          </w:p>
        </w:tc>
        <w:tc>
          <w:tcPr>
            <w:tcW w:w="7937" w:type="dxa"/>
            <w:gridSpan w:val="11"/>
            <w:vMerge w:val="restart"/>
            <w:tcBorders>
              <w:top w:val="single" w:sz="4" w:space="0" w:color="000000"/>
              <w:left w:val="single" w:sz="8" w:space="0" w:color="D2D2D2"/>
              <w:right w:val="single" w:sz="4" w:space="0" w:color="000000"/>
            </w:tcBorders>
          </w:tcPr>
          <w:p>
            <w:pPr>
              <w:pStyle w:val="TableParagraph"/>
              <w:spacing w:line="312" w:lineRule="auto" w:before="53"/>
              <w:ind w:left="16" w:right="70"/>
              <w:jc w:val="left"/>
              <w:rPr>
                <w:rFonts w:ascii="宋体" w:hAnsi="宋体" w:cs="宋体" w:eastAsia="宋体" w:hint="default"/>
                <w:sz w:val="18"/>
                <w:szCs w:val="18"/>
              </w:rPr>
            </w:pPr>
            <w:r>
              <w:rPr>
                <w:rFonts w:ascii="宋体" w:hAnsi="宋体" w:cs="宋体" w:eastAsia="宋体" w:hint="default"/>
                <w:sz w:val="18"/>
                <w:szCs w:val="18"/>
              </w:rPr>
              <w:t>烟台年产</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吨分散染料扩建项目”中</w:t>
            </w:r>
            <w:r>
              <w:rPr>
                <w:rFonts w:ascii="宋体" w:hAnsi="宋体" w:cs="宋体" w:eastAsia="宋体" w:hint="default"/>
                <w:spacing w:val="3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吨超细纤维面料用分散染料”项目实施地点由山东</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省烟台市蓬莱经济开发区烟台安诺其厂区内调整至山东省东营市河口区经济开发区东营安诺其厂区</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内。</w:t>
            </w:r>
          </w:p>
        </w:tc>
      </w:tr>
      <w:tr>
        <w:trPr>
          <w:trHeight w:val="571" w:hRule="exact"/>
        </w:trPr>
        <w:tc>
          <w:tcPr>
            <w:tcW w:w="16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37" w:type="dxa"/>
            <w:gridSpan w:val="11"/>
            <w:vMerge/>
            <w:tcBorders>
              <w:left w:val="single" w:sz="8" w:space="0" w:color="D2D2D2"/>
              <w:bottom w:val="single" w:sz="4" w:space="0" w:color="000000"/>
              <w:right w:val="single" w:sz="4" w:space="0" w:color="000000"/>
            </w:tcBorders>
          </w:tcPr>
          <w:p>
            <w:pPr/>
          </w:p>
        </w:tc>
      </w:tr>
      <w:tr>
        <w:trPr>
          <w:trHeight w:val="403" w:hRule="exact"/>
        </w:trPr>
        <w:tc>
          <w:tcPr>
            <w:tcW w:w="16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1" w:right="154"/>
              <w:jc w:val="left"/>
              <w:rPr>
                <w:rFonts w:ascii="宋体" w:hAnsi="宋体" w:cs="宋体" w:eastAsia="宋体" w:hint="default"/>
                <w:sz w:val="18"/>
                <w:szCs w:val="18"/>
              </w:rPr>
            </w:pPr>
            <w:r>
              <w:rPr>
                <w:rFonts w:ascii="宋体" w:hAnsi="宋体" w:cs="宋体" w:eastAsia="宋体" w:hint="default"/>
                <w:spacing w:val="-2"/>
                <w:sz w:val="18"/>
                <w:szCs w:val="18"/>
              </w:rPr>
              <w:t>募集资金投资项目</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实施方式调整情况</w:t>
            </w:r>
          </w:p>
        </w:tc>
        <w:tc>
          <w:tcPr>
            <w:tcW w:w="7937" w:type="dxa"/>
            <w:gridSpan w:val="11"/>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622" w:type="dxa"/>
            <w:vMerge/>
            <w:tcBorders>
              <w:left w:val="single" w:sz="4" w:space="0" w:color="000000"/>
              <w:bottom w:val="single" w:sz="4" w:space="0" w:color="000000"/>
              <w:right w:val="single" w:sz="4" w:space="0" w:color="000000"/>
            </w:tcBorders>
            <w:shd w:val="clear" w:color="auto" w:fill="D2D2D2"/>
          </w:tcPr>
          <w:p>
            <w:pPr/>
          </w:p>
        </w:tc>
        <w:tc>
          <w:tcPr>
            <w:tcW w:w="7937" w:type="dxa"/>
            <w:gridSpan w:val="11"/>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bl>
    <w:p>
      <w:pPr>
        <w:spacing w:after="0" w:line="240" w:lineRule="auto"/>
        <w:jc w:val="left"/>
        <w:rPr>
          <w:rFonts w:ascii="宋体" w:hAnsi="宋体" w:cs="宋体" w:eastAsia="宋体" w:hint="default"/>
          <w:sz w:val="18"/>
          <w:szCs w:val="18"/>
        </w:rPr>
        <w:sectPr>
          <w:pgSz w:w="11900" w:h="16840"/>
          <w:pgMar w:header="742" w:footer="984"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632"/>
        <w:gridCol w:w="7939"/>
      </w:tblGrid>
      <w:tr>
        <w:trPr>
          <w:trHeight w:val="715"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26"/>
              <w:jc w:val="left"/>
              <w:rPr>
                <w:rFonts w:ascii="宋体" w:hAnsi="宋体" w:cs="宋体" w:eastAsia="宋体" w:hint="default"/>
                <w:sz w:val="18"/>
                <w:szCs w:val="18"/>
              </w:rPr>
            </w:pPr>
            <w:r>
              <w:rPr>
                <w:rFonts w:ascii="宋体" w:hAnsi="宋体" w:cs="宋体" w:eastAsia="宋体" w:hint="default"/>
                <w:sz w:val="18"/>
                <w:szCs w:val="18"/>
              </w:rPr>
              <w:t>烟台年产 </w:t>
            </w:r>
            <w:r>
              <w:rPr>
                <w:rFonts w:ascii="Times New Roman" w:hAnsi="Times New Roman" w:cs="Times New Roman" w:eastAsia="Times New Roman" w:hint="default"/>
                <w:sz w:val="18"/>
                <w:szCs w:val="18"/>
              </w:rPr>
              <w:t>6000 </w:t>
            </w:r>
            <w:r>
              <w:rPr>
                <w:rFonts w:ascii="宋体" w:hAnsi="宋体" w:cs="宋体" w:eastAsia="宋体" w:hint="default"/>
                <w:sz w:val="18"/>
                <w:szCs w:val="18"/>
              </w:rPr>
              <w:t>吨分散染料扩建项目”中“</w:t>
            </w:r>
            <w:r>
              <w:rPr>
                <w:rFonts w:ascii="Times New Roman" w:hAnsi="Times New Roman" w:cs="Times New Roman" w:eastAsia="Times New Roman" w:hint="default"/>
                <w:sz w:val="18"/>
                <w:szCs w:val="18"/>
              </w:rPr>
              <w:t>3000 </w:t>
            </w:r>
            <w:r>
              <w:rPr>
                <w:rFonts w:ascii="宋体" w:hAnsi="宋体" w:cs="宋体" w:eastAsia="宋体" w:hint="default"/>
                <w:spacing w:val="-3"/>
                <w:sz w:val="18"/>
                <w:szCs w:val="18"/>
              </w:rPr>
              <w:t>吨超细纤维面料用分散染料”项目调整至东营年产分</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散染料 </w:t>
            </w:r>
            <w:r>
              <w:rPr>
                <w:rFonts w:ascii="Times New Roman" w:hAnsi="Times New Roman" w:cs="Times New Roman" w:eastAsia="Times New Roman" w:hint="default"/>
                <w:sz w:val="18"/>
                <w:szCs w:val="18"/>
              </w:rPr>
              <w:t>25000 </w:t>
            </w:r>
            <w:r>
              <w:rPr>
                <w:rFonts w:ascii="宋体" w:hAnsi="宋体" w:cs="宋体" w:eastAsia="宋体" w:hint="default"/>
                <w:sz w:val="18"/>
                <w:szCs w:val="18"/>
              </w:rPr>
              <w:t>吨生产项目中的“</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吨超细纤维用分散染料”项目实施。</w:t>
            </w:r>
          </w:p>
        </w:tc>
      </w:tr>
      <w:tr>
        <w:trPr>
          <w:trHeight w:val="398" w:hRule="exact"/>
        </w:trPr>
        <w:tc>
          <w:tcPr>
            <w:tcW w:w="163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09" w:hRule="exact"/>
        </w:trPr>
        <w:tc>
          <w:tcPr>
            <w:tcW w:w="16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募集资金投资项目</w:t>
            </w:r>
          </w:p>
        </w:tc>
        <w:tc>
          <w:tcPr>
            <w:tcW w:w="7939" w:type="dxa"/>
            <w:vMerge w:val="restart"/>
            <w:tcBorders>
              <w:top w:val="single" w:sz="4" w:space="0" w:color="000000"/>
              <w:left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w w:val="101"/>
                <w:sz w:val="18"/>
                <w:szCs w:val="18"/>
              </w:rPr>
              <w:t>在</w:t>
            </w:r>
            <w:r>
              <w:rPr>
                <w:rFonts w:ascii="宋体" w:hAnsi="宋体" w:cs="宋体" w:eastAsia="宋体" w:hint="default"/>
                <w:spacing w:val="-5"/>
                <w:w w:val="101"/>
                <w:sz w:val="18"/>
                <w:szCs w:val="18"/>
              </w:rPr>
              <w:t>募</w:t>
            </w:r>
            <w:r>
              <w:rPr>
                <w:rFonts w:ascii="宋体" w:hAnsi="宋体" w:cs="宋体" w:eastAsia="宋体" w:hint="default"/>
                <w:w w:val="101"/>
                <w:sz w:val="18"/>
                <w:szCs w:val="18"/>
              </w:rPr>
              <w:t>集</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到</w:t>
            </w:r>
            <w:r>
              <w:rPr>
                <w:rFonts w:ascii="宋体" w:hAnsi="宋体" w:cs="宋体" w:eastAsia="宋体" w:hint="default"/>
                <w:w w:val="101"/>
                <w:sz w:val="18"/>
                <w:szCs w:val="18"/>
              </w:rPr>
              <w:t>位前</w:t>
            </w:r>
            <w:r>
              <w:rPr>
                <w:rFonts w:ascii="宋体" w:hAnsi="宋体" w:cs="宋体" w:eastAsia="宋体" w:hint="default"/>
                <w:spacing w:val="-96"/>
                <w:w w:val="101"/>
                <w:sz w:val="18"/>
                <w:szCs w:val="18"/>
              </w:rPr>
              <w:t>，</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从</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w w:val="101"/>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pacing w:val="-5"/>
                <w:w w:val="101"/>
                <w:sz w:val="18"/>
                <w:szCs w:val="18"/>
              </w:rPr>
              <w:t>月</w:t>
            </w:r>
            <w:r>
              <w:rPr>
                <w:rFonts w:ascii="宋体" w:hAnsi="宋体" w:cs="宋体" w:eastAsia="宋体" w:hint="default"/>
                <w:w w:val="101"/>
                <w:sz w:val="18"/>
                <w:szCs w:val="18"/>
              </w:rPr>
              <w:t>起</w:t>
            </w:r>
            <w:r>
              <w:rPr>
                <w:rFonts w:ascii="宋体" w:hAnsi="宋体" w:cs="宋体" w:eastAsia="宋体" w:hint="default"/>
                <w:spacing w:val="-5"/>
                <w:w w:val="101"/>
                <w:sz w:val="18"/>
                <w:szCs w:val="18"/>
              </w:rPr>
              <w:t>即</w:t>
            </w:r>
            <w:r>
              <w:rPr>
                <w:rFonts w:ascii="宋体" w:hAnsi="宋体" w:cs="宋体" w:eastAsia="宋体" w:hint="default"/>
                <w:w w:val="101"/>
                <w:sz w:val="18"/>
                <w:szCs w:val="18"/>
              </w:rPr>
              <w:t>以</w:t>
            </w:r>
            <w:r>
              <w:rPr>
                <w:rFonts w:ascii="宋体" w:hAnsi="宋体" w:cs="宋体" w:eastAsia="宋体" w:hint="default"/>
                <w:spacing w:val="-5"/>
                <w:w w:val="101"/>
                <w:sz w:val="18"/>
                <w:szCs w:val="18"/>
              </w:rPr>
              <w:t>自</w:t>
            </w:r>
            <w:r>
              <w:rPr>
                <w:rFonts w:ascii="宋体" w:hAnsi="宋体" w:cs="宋体" w:eastAsia="宋体" w:hint="default"/>
                <w:w w:val="101"/>
                <w:sz w:val="18"/>
                <w:szCs w:val="18"/>
              </w:rPr>
              <w:t>筹</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投</w:t>
            </w:r>
            <w:r>
              <w:rPr>
                <w:rFonts w:ascii="宋体" w:hAnsi="宋体" w:cs="宋体" w:eastAsia="宋体" w:hint="default"/>
                <w:w w:val="101"/>
                <w:sz w:val="18"/>
                <w:szCs w:val="18"/>
              </w:rPr>
              <w:t>入</w:t>
            </w:r>
            <w:r>
              <w:rPr>
                <w:rFonts w:ascii="宋体" w:hAnsi="宋体" w:cs="宋体" w:eastAsia="宋体" w:hint="default"/>
                <w:spacing w:val="-5"/>
                <w:w w:val="101"/>
                <w:sz w:val="18"/>
                <w:szCs w:val="18"/>
              </w:rPr>
              <w:t>东</w:t>
            </w:r>
            <w:r>
              <w:rPr>
                <w:rFonts w:ascii="宋体" w:hAnsi="宋体" w:cs="宋体" w:eastAsia="宋体" w:hint="default"/>
                <w:w w:val="101"/>
                <w:sz w:val="18"/>
                <w:szCs w:val="18"/>
              </w:rPr>
              <w:t>营年产</w:t>
            </w:r>
            <w:r>
              <w:rPr>
                <w:rFonts w:ascii="宋体" w:hAnsi="宋体" w:cs="宋体" w:eastAsia="宋体" w:hint="default"/>
                <w:spacing w:val="-57"/>
                <w:sz w:val="18"/>
                <w:szCs w:val="18"/>
              </w:rPr>
              <w:t> </w:t>
            </w:r>
            <w:r>
              <w:rPr>
                <w:rFonts w:ascii="Times New Roman" w:hAnsi="Times New Roman" w:cs="Times New Roman" w:eastAsia="Times New Roman" w:hint="default"/>
                <w:w w:val="101"/>
                <w:sz w:val="18"/>
                <w:szCs w:val="18"/>
              </w:rPr>
              <w:t>5</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500</w:t>
            </w:r>
            <w:r>
              <w:rPr>
                <w:rFonts w:ascii="Times New Roman" w:hAnsi="Times New Roman" w:cs="Times New Roman" w:eastAsia="Times New Roman" w:hint="default"/>
                <w:spacing w:val="-12"/>
                <w:sz w:val="18"/>
                <w:szCs w:val="18"/>
              </w:rPr>
              <w:t> </w:t>
            </w:r>
            <w:r>
              <w:rPr>
                <w:rFonts w:ascii="宋体" w:hAnsi="宋体" w:cs="宋体" w:eastAsia="宋体" w:hint="default"/>
                <w:w w:val="101"/>
                <w:sz w:val="18"/>
                <w:szCs w:val="18"/>
              </w:rPr>
              <w:t>吨</w:t>
            </w:r>
            <w:r>
              <w:rPr>
                <w:rFonts w:ascii="宋体" w:hAnsi="宋体" w:cs="宋体" w:eastAsia="宋体" w:hint="default"/>
                <w:spacing w:val="-5"/>
                <w:w w:val="101"/>
                <w:sz w:val="18"/>
                <w:szCs w:val="18"/>
              </w:rPr>
              <w:t>染</w:t>
            </w:r>
            <w:r>
              <w:rPr>
                <w:rFonts w:ascii="宋体" w:hAnsi="宋体" w:cs="宋体" w:eastAsia="宋体" w:hint="default"/>
                <w:w w:val="101"/>
                <w:sz w:val="18"/>
                <w:szCs w:val="18"/>
              </w:rPr>
              <w:t>料</w:t>
            </w:r>
            <w:r>
              <w:rPr>
                <w:rFonts w:ascii="宋体" w:hAnsi="宋体" w:cs="宋体" w:eastAsia="宋体" w:hint="default"/>
                <w:spacing w:val="-5"/>
                <w:w w:val="101"/>
                <w:sz w:val="18"/>
                <w:szCs w:val="18"/>
              </w:rPr>
              <w:t>滤</w:t>
            </w:r>
            <w:r>
              <w:rPr>
                <w:rFonts w:ascii="宋体" w:hAnsi="宋体" w:cs="宋体" w:eastAsia="宋体" w:hint="default"/>
                <w:w w:val="101"/>
                <w:sz w:val="18"/>
                <w:szCs w:val="18"/>
              </w:rPr>
              <w:t>饼</w:t>
            </w:r>
            <w:r>
              <w:rPr>
                <w:rFonts w:ascii="宋体" w:hAnsi="宋体" w:cs="宋体" w:eastAsia="宋体" w:hint="default"/>
                <w:spacing w:val="-5"/>
                <w:w w:val="101"/>
                <w:sz w:val="18"/>
                <w:szCs w:val="18"/>
              </w:rPr>
              <w:t>募</w:t>
            </w:r>
            <w:r>
              <w:rPr>
                <w:rFonts w:ascii="宋体" w:hAnsi="宋体" w:cs="宋体" w:eastAsia="宋体" w:hint="default"/>
                <w:w w:val="101"/>
                <w:sz w:val="18"/>
                <w:szCs w:val="18"/>
              </w:rPr>
              <w:t>集</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项</w:t>
            </w:r>
            <w:r>
              <w:rPr>
                <w:rFonts w:ascii="宋体" w:hAnsi="宋体" w:cs="宋体" w:eastAsia="宋体" w:hint="default"/>
                <w:w w:val="101"/>
                <w:sz w:val="18"/>
                <w:szCs w:val="18"/>
              </w:rPr>
              <w:t>目</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截止</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w:t>
            </w:r>
            <w:r>
              <w:rPr>
                <w:rFonts w:ascii="宋体" w:hAnsi="宋体" w:cs="宋体" w:eastAsia="宋体" w:hint="default"/>
                <w:sz w:val="18"/>
                <w:szCs w:val="18"/>
              </w:rPr>
              <w:t>先期投入金额合计</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6,384.63</w:t>
            </w:r>
            <w:r>
              <w:rPr>
                <w:rFonts w:ascii="Times New Roman" w:hAnsi="Times New Roman" w:cs="Times New Roman" w:eastAsia="Times New Roman" w:hint="default"/>
                <w:spacing w:val="11"/>
                <w:sz w:val="18"/>
                <w:szCs w:val="18"/>
              </w:rPr>
              <w:t>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经众华沪银会计师事务所出具专项审核报告。</w:t>
            </w:r>
            <w:r>
              <w:rPr>
                <w:rFonts w:ascii="Times New Roman" w:hAnsi="Times New Roman" w:cs="Times New Roman" w:eastAsia="Times New Roman" w:hint="default"/>
                <w:spacing w:val="-4"/>
                <w:sz w:val="18"/>
                <w:szCs w:val="18"/>
              </w:rPr>
              <w:t>2010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13 </w:t>
            </w:r>
            <w:r>
              <w:rPr>
                <w:rFonts w:ascii="宋体" w:hAnsi="宋体" w:cs="宋体" w:eastAsia="宋体" w:hint="default"/>
                <w:spacing w:val="-3"/>
                <w:sz w:val="18"/>
                <w:szCs w:val="18"/>
              </w:rPr>
              <w:t>日募集资金到位后，经公司第一届董事会第十六次会议决议，并知会保荐代表人，于</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2010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月用募集资金置换先期投入金额</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6,384.63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tc>
      </w:tr>
      <w:tr>
        <w:trPr>
          <w:trHeight w:val="312" w:hRule="exact"/>
        </w:trPr>
        <w:tc>
          <w:tcPr>
            <w:tcW w:w="16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先期投入及置换情</w:t>
            </w:r>
          </w:p>
        </w:tc>
        <w:tc>
          <w:tcPr>
            <w:tcW w:w="7939" w:type="dxa"/>
            <w:vMerge/>
            <w:tcBorders>
              <w:left w:val="single" w:sz="4" w:space="0" w:color="000000"/>
              <w:right w:val="single" w:sz="4" w:space="0" w:color="000000"/>
            </w:tcBorders>
          </w:tcPr>
          <w:p>
            <w:pPr/>
          </w:p>
        </w:tc>
      </w:tr>
      <w:tr>
        <w:trPr>
          <w:trHeight w:val="718" w:hRule="exact"/>
        </w:trPr>
        <w:tc>
          <w:tcPr>
            <w:tcW w:w="163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w w:val="101"/>
                <w:sz w:val="18"/>
                <w:szCs w:val="18"/>
              </w:rPr>
              <w:t>况</w:t>
            </w:r>
            <w:r>
              <w:rPr>
                <w:rFonts w:ascii="宋体" w:hAnsi="宋体" w:cs="宋体" w:eastAsia="宋体" w:hint="default"/>
                <w:sz w:val="18"/>
                <w:szCs w:val="18"/>
              </w:rPr>
            </w:r>
          </w:p>
        </w:tc>
        <w:tc>
          <w:tcPr>
            <w:tcW w:w="7939" w:type="dxa"/>
            <w:vMerge/>
            <w:tcBorders>
              <w:left w:val="single" w:sz="4" w:space="0" w:color="000000"/>
              <w:bottom w:val="single" w:sz="4" w:space="0" w:color="000000"/>
              <w:right w:val="single" w:sz="4" w:space="0" w:color="000000"/>
            </w:tcBorders>
          </w:tcPr>
          <w:p>
            <w:pPr/>
          </w:p>
        </w:tc>
      </w:tr>
      <w:tr>
        <w:trPr>
          <w:trHeight w:val="403" w:hRule="exact"/>
        </w:trPr>
        <w:tc>
          <w:tcPr>
            <w:tcW w:w="163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用闲置募集资金暂</w:t>
            </w:r>
          </w:p>
        </w:tc>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70" w:hRule="exact"/>
        </w:trPr>
        <w:tc>
          <w:tcPr>
            <w:tcW w:w="16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3" w:lineRule="exact"/>
              <w:ind w:left="24" w:right="0"/>
              <w:jc w:val="left"/>
              <w:rPr>
                <w:rFonts w:ascii="宋体" w:hAnsi="宋体" w:cs="宋体" w:eastAsia="宋体" w:hint="default"/>
                <w:sz w:val="18"/>
                <w:szCs w:val="18"/>
              </w:rPr>
            </w:pPr>
            <w:r>
              <w:rPr>
                <w:rFonts w:ascii="宋体" w:hAnsi="宋体" w:cs="宋体" w:eastAsia="宋体" w:hint="default"/>
                <w:sz w:val="18"/>
                <w:szCs w:val="18"/>
              </w:rPr>
              <w:t>时补充流动资金情</w:t>
            </w:r>
          </w:p>
        </w:tc>
        <w:tc>
          <w:tcPr>
            <w:tcW w:w="7939" w:type="dxa"/>
            <w:vMerge w:val="restart"/>
            <w:tcBorders>
              <w:top w:val="single" w:sz="4" w:space="0" w:color="000000"/>
              <w:left w:val="single" w:sz="4" w:space="0" w:color="000000"/>
              <w:right w:val="single" w:sz="4" w:space="0" w:color="000000"/>
            </w:tcBorders>
          </w:tcPr>
          <w:p>
            <w:pPr/>
          </w:p>
        </w:tc>
      </w:tr>
      <w:tr>
        <w:trPr>
          <w:trHeight w:val="354" w:hRule="exact"/>
        </w:trPr>
        <w:tc>
          <w:tcPr>
            <w:tcW w:w="163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w w:val="101"/>
                <w:sz w:val="18"/>
                <w:szCs w:val="18"/>
              </w:rPr>
              <w:t>况</w:t>
            </w:r>
            <w:r>
              <w:rPr>
                <w:rFonts w:ascii="宋体" w:hAnsi="宋体" w:cs="宋体" w:eastAsia="宋体" w:hint="default"/>
                <w:sz w:val="18"/>
                <w:szCs w:val="18"/>
              </w:rPr>
            </w:r>
          </w:p>
        </w:tc>
        <w:tc>
          <w:tcPr>
            <w:tcW w:w="7939" w:type="dxa"/>
            <w:vMerge/>
            <w:tcBorders>
              <w:left w:val="single" w:sz="4" w:space="0" w:color="000000"/>
              <w:bottom w:val="single" w:sz="4" w:space="0" w:color="000000"/>
              <w:right w:val="single" w:sz="4" w:space="0" w:color="000000"/>
            </w:tcBorders>
          </w:tcPr>
          <w:p>
            <w:pPr/>
          </w:p>
        </w:tc>
      </w:tr>
      <w:tr>
        <w:trPr>
          <w:trHeight w:val="403" w:hRule="exact"/>
        </w:trPr>
        <w:tc>
          <w:tcPr>
            <w:tcW w:w="163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项目实施出现募集</w:t>
            </w:r>
          </w:p>
        </w:tc>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66" w:hRule="exact"/>
        </w:trPr>
        <w:tc>
          <w:tcPr>
            <w:tcW w:w="16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98" w:lineRule="exact"/>
              <w:ind w:left="24" w:right="0"/>
              <w:jc w:val="left"/>
              <w:rPr>
                <w:rFonts w:ascii="宋体" w:hAnsi="宋体" w:cs="宋体" w:eastAsia="宋体" w:hint="default"/>
                <w:sz w:val="18"/>
                <w:szCs w:val="18"/>
              </w:rPr>
            </w:pPr>
            <w:r>
              <w:rPr>
                <w:rFonts w:ascii="宋体" w:hAnsi="宋体" w:cs="宋体" w:eastAsia="宋体" w:hint="default"/>
                <w:sz w:val="18"/>
                <w:szCs w:val="18"/>
              </w:rPr>
              <w:t>资金结余的金额及</w:t>
            </w:r>
          </w:p>
        </w:tc>
        <w:tc>
          <w:tcPr>
            <w:tcW w:w="7939" w:type="dxa"/>
            <w:vMerge w:val="restart"/>
            <w:tcBorders>
              <w:top w:val="single" w:sz="4" w:space="0" w:color="000000"/>
              <w:left w:val="single" w:sz="4" w:space="0" w:color="000000"/>
              <w:right w:val="single" w:sz="4" w:space="0" w:color="000000"/>
            </w:tcBorders>
          </w:tcPr>
          <w:p>
            <w:pPr/>
          </w:p>
        </w:tc>
      </w:tr>
      <w:tr>
        <w:trPr>
          <w:trHeight w:val="358" w:hRule="exact"/>
        </w:trPr>
        <w:tc>
          <w:tcPr>
            <w:tcW w:w="163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原因</w:t>
            </w:r>
          </w:p>
        </w:tc>
        <w:tc>
          <w:tcPr>
            <w:tcW w:w="7939" w:type="dxa"/>
            <w:vMerge/>
            <w:tcBorders>
              <w:left w:val="single" w:sz="4" w:space="0" w:color="000000"/>
              <w:bottom w:val="single" w:sz="4" w:space="0" w:color="000000"/>
              <w:right w:val="single" w:sz="4" w:space="0" w:color="000000"/>
            </w:tcBorders>
          </w:tcPr>
          <w:p>
            <w:pPr/>
          </w:p>
        </w:tc>
      </w:tr>
      <w:tr>
        <w:trPr>
          <w:trHeight w:val="710"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1"/>
              <w:jc w:val="left"/>
              <w:rPr>
                <w:rFonts w:ascii="宋体" w:hAnsi="宋体" w:cs="宋体" w:eastAsia="宋体" w:hint="default"/>
                <w:sz w:val="18"/>
                <w:szCs w:val="18"/>
              </w:rPr>
            </w:pPr>
            <w:r>
              <w:rPr>
                <w:rFonts w:ascii="宋体" w:hAnsi="宋体" w:cs="宋体" w:eastAsia="宋体" w:hint="default"/>
                <w:spacing w:val="-2"/>
                <w:sz w:val="18"/>
                <w:szCs w:val="18"/>
              </w:rPr>
              <w:t>尚未使用的募集资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金用途及去向</w:t>
            </w:r>
          </w:p>
        </w:tc>
        <w:tc>
          <w:tcPr>
            <w:tcW w:w="7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359" w:hRule="exact"/>
        </w:trPr>
        <w:tc>
          <w:tcPr>
            <w:tcW w:w="1632"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募集资金使用及披</w:t>
            </w:r>
          </w:p>
        </w:tc>
        <w:tc>
          <w:tcPr>
            <w:tcW w:w="7939" w:type="dxa"/>
            <w:tcBorders>
              <w:top w:val="single" w:sz="4" w:space="0" w:color="000000"/>
              <w:left w:val="single" w:sz="4" w:space="0" w:color="000000"/>
              <w:bottom w:val="nil" w:sz="6" w:space="0" w:color="auto"/>
              <w:right w:val="single" w:sz="4" w:space="0" w:color="000000"/>
            </w:tcBorders>
          </w:tcPr>
          <w:p>
            <w:pPr/>
          </w:p>
        </w:tc>
      </w:tr>
      <w:tr>
        <w:trPr>
          <w:trHeight w:val="314" w:hRule="exact"/>
        </w:trPr>
        <w:tc>
          <w:tcPr>
            <w:tcW w:w="16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露中存在的问题或</w:t>
            </w:r>
          </w:p>
        </w:tc>
        <w:tc>
          <w:tcPr>
            <w:tcW w:w="793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354" w:hRule="exact"/>
        </w:trPr>
        <w:tc>
          <w:tcPr>
            <w:tcW w:w="1632"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其他情况</w:t>
            </w:r>
          </w:p>
        </w:tc>
        <w:tc>
          <w:tcPr>
            <w:tcW w:w="7939" w:type="dxa"/>
            <w:tcBorders>
              <w:top w:val="nil" w:sz="6" w:space="0" w:color="auto"/>
              <w:left w:val="single" w:sz="4" w:space="0" w:color="000000"/>
              <w:bottom w:val="single" w:sz="4" w:space="0" w:color="000000"/>
              <w:right w:val="single" w:sz="4" w:space="0" w:color="000000"/>
            </w:tcBorders>
          </w:tcPr>
          <w:p>
            <w:pPr/>
          </w:p>
        </w:tc>
      </w:tr>
    </w:tbl>
    <w:p>
      <w:pPr>
        <w:pStyle w:val="Heading4"/>
        <w:spacing w:line="240" w:lineRule="auto"/>
        <w:ind w:left="575" w:right="0"/>
        <w:jc w:val="left"/>
        <w:rPr>
          <w:b w:val="0"/>
          <w:bCs w:val="0"/>
        </w:rPr>
      </w:pPr>
      <w:r>
        <w:rPr>
          <w:rFonts w:ascii="Arial" w:hAnsi="Arial" w:cs="Arial" w:eastAsia="Arial" w:hint="default"/>
        </w:rPr>
        <w:t>3.</w:t>
      </w:r>
      <w:r>
        <w:rPr/>
        <w:t>募集资金变更项目情况</w:t>
      </w:r>
      <w:r>
        <w:rPr>
          <w:b w:val="0"/>
          <w:bCs w:val="0"/>
        </w:rPr>
      </w:r>
    </w:p>
    <w:p>
      <w:pPr>
        <w:pStyle w:val="BodyText"/>
        <w:spacing w:line="240" w:lineRule="auto" w:before="171"/>
        <w:ind w:left="575" w:right="0"/>
        <w:jc w:val="left"/>
      </w:pPr>
      <w:r>
        <w:rPr/>
        <w:t>√ 适用 □</w:t>
      </w:r>
      <w:r>
        <w:rPr>
          <w:spacing w:val="3"/>
        </w:rPr>
        <w:t> </w:t>
      </w:r>
      <w:r>
        <w:rPr/>
        <w:t>不适用</w:t>
      </w:r>
    </w:p>
    <w:p>
      <w:pPr>
        <w:spacing w:line="240" w:lineRule="auto" w:before="0"/>
        <w:rPr>
          <w:rFonts w:ascii="宋体" w:hAnsi="宋体" w:cs="宋体" w:eastAsia="宋体" w:hint="default"/>
          <w:sz w:val="10"/>
          <w:szCs w:val="10"/>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55"/>
        <w:gridCol w:w="960"/>
        <w:gridCol w:w="955"/>
        <w:gridCol w:w="960"/>
        <w:gridCol w:w="955"/>
        <w:gridCol w:w="955"/>
        <w:gridCol w:w="960"/>
        <w:gridCol w:w="955"/>
        <w:gridCol w:w="955"/>
        <w:gridCol w:w="960"/>
      </w:tblGrid>
      <w:tr>
        <w:trPr>
          <w:trHeight w:val="1339" w:hRule="exact"/>
        </w:trPr>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384" w:right="17" w:hanging="360"/>
              <w:jc w:val="left"/>
              <w:rPr>
                <w:rFonts w:ascii="宋体" w:hAnsi="宋体" w:cs="宋体" w:eastAsia="宋体" w:hint="default"/>
                <w:sz w:val="18"/>
                <w:szCs w:val="18"/>
              </w:rPr>
            </w:pPr>
            <w:r>
              <w:rPr>
                <w:rFonts w:ascii="宋体" w:hAnsi="宋体" w:cs="宋体" w:eastAsia="宋体" w:hint="default"/>
                <w:spacing w:val="-2"/>
                <w:sz w:val="18"/>
                <w:szCs w:val="18"/>
              </w:rPr>
              <w:t>变更后的项</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目</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01" w:right="22" w:hanging="178"/>
              <w:jc w:val="left"/>
              <w:rPr>
                <w:rFonts w:ascii="宋体" w:hAnsi="宋体" w:cs="宋体" w:eastAsia="宋体" w:hint="default"/>
                <w:sz w:val="18"/>
                <w:szCs w:val="18"/>
              </w:rPr>
            </w:pPr>
            <w:r>
              <w:rPr>
                <w:rFonts w:ascii="宋体" w:hAnsi="宋体" w:cs="宋体" w:eastAsia="宋体" w:hint="default"/>
                <w:spacing w:val="-2"/>
                <w:sz w:val="18"/>
                <w:szCs w:val="18"/>
              </w:rPr>
              <w:t>对应的原承</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诺项目</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7"/>
              <w:jc w:val="center"/>
              <w:rPr>
                <w:rFonts w:ascii="宋体" w:hAnsi="宋体" w:cs="宋体" w:eastAsia="宋体" w:hint="default"/>
                <w:sz w:val="18"/>
                <w:szCs w:val="18"/>
              </w:rPr>
            </w:pPr>
            <w:r>
              <w:rPr>
                <w:rFonts w:ascii="宋体" w:hAnsi="宋体" w:cs="宋体" w:eastAsia="宋体" w:hint="default"/>
                <w:spacing w:val="-2"/>
                <w:sz w:val="18"/>
                <w:szCs w:val="18"/>
              </w:rPr>
              <w:t>变更后项目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拟投入募集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资金总额</w:t>
            </w:r>
          </w:p>
          <w:p>
            <w:pPr>
              <w:pStyle w:val="TableParagraph"/>
              <w:spacing w:line="240" w:lineRule="auto" w:before="67"/>
              <w:ind w:right="1"/>
              <w:jc w:val="center"/>
              <w:rPr>
                <w:rFonts w:ascii="Times New Roman" w:hAnsi="Times New Roman" w:cs="Times New Roman" w:eastAsia="Times New Roman" w:hint="default"/>
                <w:sz w:val="18"/>
                <w:szCs w:val="18"/>
              </w:rPr>
            </w:pPr>
            <w:r>
              <w:rPr>
                <w:rFonts w:ascii="Times New Roman"/>
                <w:sz w:val="18"/>
              </w:rPr>
              <w:t>(1)</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4" w:right="22"/>
              <w:jc w:val="left"/>
              <w:rPr>
                <w:rFonts w:ascii="宋体" w:hAnsi="宋体" w:cs="宋体" w:eastAsia="宋体" w:hint="default"/>
                <w:sz w:val="18"/>
                <w:szCs w:val="18"/>
              </w:rPr>
            </w:pPr>
            <w:r>
              <w:rPr>
                <w:rFonts w:ascii="宋体" w:hAnsi="宋体" w:cs="宋体" w:eastAsia="宋体" w:hint="default"/>
                <w:spacing w:val="-2"/>
                <w:sz w:val="18"/>
                <w:szCs w:val="18"/>
              </w:rPr>
              <w:t>本报告期实</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际投入金额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截至期末实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际累计投入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w:t>
            </w:r>
            <w:r>
              <w:rPr>
                <w:rFonts w:ascii="Times New Roman" w:hAnsi="Times New Roman" w:cs="Times New Roman" w:eastAsia="Times New Roman" w:hint="default"/>
                <w:sz w:val="18"/>
                <w:szCs w:val="18"/>
              </w:rPr>
              <w:t>(2)</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23" w:right="17"/>
              <w:jc w:val="center"/>
              <w:rPr>
                <w:rFonts w:ascii="宋体" w:hAnsi="宋体" w:cs="宋体" w:eastAsia="宋体" w:hint="default"/>
                <w:sz w:val="18"/>
                <w:szCs w:val="18"/>
              </w:rPr>
            </w:pPr>
            <w:r>
              <w:rPr>
                <w:rFonts w:ascii="宋体" w:hAnsi="宋体" w:cs="宋体" w:eastAsia="宋体" w:hint="default"/>
                <w:spacing w:val="-2"/>
                <w:sz w:val="18"/>
                <w:szCs w:val="18"/>
              </w:rPr>
              <w:t>截至期末投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资进度</w:t>
            </w:r>
          </w:p>
          <w:p>
            <w:pPr>
              <w:pStyle w:val="TableParagraph"/>
              <w:spacing w:line="240" w:lineRule="auto" w:before="69"/>
              <w:ind w:left="3" w:right="0"/>
              <w:jc w:val="center"/>
              <w:rPr>
                <w:rFonts w:ascii="Times New Roman" w:hAnsi="Times New Roman" w:cs="Times New Roman" w:eastAsia="Times New Roman" w:hint="default"/>
                <w:sz w:val="18"/>
                <w:szCs w:val="18"/>
              </w:rPr>
            </w:pPr>
            <w:r>
              <w:rPr>
                <w:rFonts w:ascii="Times New Roman"/>
                <w:sz w:val="18"/>
              </w:rPr>
              <w:t>(3)=(2)/(1)</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2"/>
              <w:jc w:val="center"/>
              <w:rPr>
                <w:rFonts w:ascii="宋体" w:hAnsi="宋体" w:cs="宋体" w:eastAsia="宋体" w:hint="default"/>
                <w:sz w:val="18"/>
                <w:szCs w:val="18"/>
              </w:rPr>
            </w:pPr>
            <w:r>
              <w:rPr>
                <w:rFonts w:ascii="宋体" w:hAnsi="宋体" w:cs="宋体" w:eastAsia="宋体" w:hint="default"/>
                <w:spacing w:val="-2"/>
                <w:sz w:val="18"/>
                <w:szCs w:val="18"/>
              </w:rPr>
              <w:t>项目达到预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定可使用状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10" w:right="17" w:hanging="87"/>
              <w:jc w:val="left"/>
              <w:rPr>
                <w:rFonts w:ascii="宋体" w:hAnsi="宋体" w:cs="宋体" w:eastAsia="宋体" w:hint="default"/>
                <w:sz w:val="18"/>
                <w:szCs w:val="18"/>
              </w:rPr>
            </w:pPr>
            <w:r>
              <w:rPr>
                <w:rFonts w:ascii="宋体" w:hAnsi="宋体" w:cs="宋体" w:eastAsia="宋体" w:hint="default"/>
                <w:spacing w:val="-2"/>
                <w:sz w:val="18"/>
                <w:szCs w:val="18"/>
              </w:rPr>
              <w:t>本报告期实</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现的效益</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01" w:right="17" w:hanging="178"/>
              <w:jc w:val="left"/>
              <w:rPr>
                <w:rFonts w:ascii="宋体" w:hAnsi="宋体" w:cs="宋体" w:eastAsia="宋体" w:hint="default"/>
                <w:sz w:val="18"/>
                <w:szCs w:val="18"/>
              </w:rPr>
            </w:pPr>
            <w:r>
              <w:rPr>
                <w:rFonts w:ascii="宋体" w:hAnsi="宋体" w:cs="宋体" w:eastAsia="宋体" w:hint="default"/>
                <w:spacing w:val="-2"/>
                <w:sz w:val="18"/>
                <w:szCs w:val="18"/>
              </w:rPr>
              <w:t>是否达到预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计效益</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 w:right="22"/>
              <w:jc w:val="center"/>
              <w:rPr>
                <w:rFonts w:ascii="宋体" w:hAnsi="宋体" w:cs="宋体" w:eastAsia="宋体" w:hint="default"/>
                <w:sz w:val="18"/>
                <w:szCs w:val="18"/>
              </w:rPr>
            </w:pPr>
            <w:r>
              <w:rPr>
                <w:rFonts w:ascii="宋体" w:hAnsi="宋体" w:cs="宋体" w:eastAsia="宋体" w:hint="default"/>
                <w:spacing w:val="-2"/>
                <w:sz w:val="18"/>
                <w:szCs w:val="18"/>
              </w:rPr>
              <w:t>变更后的项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目可行性是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否发生重大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变化</w:t>
            </w:r>
          </w:p>
        </w:tc>
      </w:tr>
      <w:tr>
        <w:trPr>
          <w:trHeight w:val="1334" w:hRule="exact"/>
        </w:trPr>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7"/>
              <w:jc w:val="left"/>
              <w:rPr>
                <w:rFonts w:ascii="宋体" w:hAnsi="宋体" w:cs="宋体" w:eastAsia="宋体" w:hint="default"/>
                <w:sz w:val="18"/>
                <w:szCs w:val="18"/>
              </w:rPr>
            </w:pPr>
            <w:r>
              <w:rPr>
                <w:rFonts w:ascii="宋体" w:hAnsi="宋体" w:cs="宋体" w:eastAsia="宋体" w:hint="default"/>
                <w:spacing w:val="-2"/>
                <w:sz w:val="18"/>
                <w:szCs w:val="18"/>
              </w:rPr>
              <w:t>东营年产分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散染料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吨项</w:t>
            </w:r>
          </w:p>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w w:val="101"/>
                <w:sz w:val="18"/>
                <w:szCs w:val="18"/>
              </w:rPr>
              <w:t>目</w:t>
            </w:r>
            <w:r>
              <w:rPr>
                <w:rFonts w:ascii="宋体" w:hAnsi="宋体" w:cs="宋体" w:eastAsia="宋体" w:hint="default"/>
                <w:sz w:val="18"/>
                <w:szCs w:val="18"/>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烟台年产</w:t>
            </w:r>
          </w:p>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吨分</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散染料项目</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10,165.5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6,088.23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6,870.17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64" w:right="0"/>
              <w:jc w:val="left"/>
              <w:rPr>
                <w:rFonts w:ascii="Times New Roman" w:hAnsi="Times New Roman" w:cs="Times New Roman" w:eastAsia="Times New Roman" w:hint="default"/>
                <w:sz w:val="18"/>
                <w:szCs w:val="18"/>
              </w:rPr>
            </w:pPr>
            <w:r>
              <w:rPr>
                <w:rFonts w:ascii="Times New Roman"/>
                <w:sz w:val="18"/>
              </w:rPr>
              <w:t>67.58%</w:t>
            </w:r>
          </w:p>
        </w:tc>
        <w:tc>
          <w:tcPr>
            <w:tcW w:w="960"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10,165.5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6,088.23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6,870.17</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17" w:right="0"/>
              <w:jc w:val="left"/>
              <w:rPr>
                <w:rFonts w:ascii="Times New Roman" w:hAnsi="Times New Roman" w:cs="Times New Roman" w:eastAsia="Times New Roman" w:hint="default"/>
                <w:sz w:val="18"/>
                <w:szCs w:val="18"/>
              </w:rPr>
            </w:pPr>
            <w:r>
              <w:rPr>
                <w:rFonts w:ascii="Times New Roman"/>
                <w:sz w:val="18"/>
              </w:rPr>
              <w:t>--</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364" w:hRule="exact"/>
        </w:trPr>
        <w:tc>
          <w:tcPr>
            <w:tcW w:w="2870"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6701" w:type="dxa"/>
            <w:gridSpan w:val="7"/>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公司上市之初，募集资金投资项目分别为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烟台年产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吨分散染料项目</w:t>
            </w:r>
            <w:r>
              <w:rPr>
                <w:rFonts w:ascii="Times New Roman" w:hAnsi="Times New Roman" w:cs="Times New Roman" w:eastAsia="Times New Roman" w:hint="default"/>
                <w:sz w:val="18"/>
                <w:szCs w:val="18"/>
              </w:rPr>
              <w:t>"</w:t>
            </w:r>
            <w:r>
              <w:rPr>
                <w:rFonts w:ascii="宋体" w:hAnsi="宋体" w:cs="宋体" w:eastAsia="宋体" w:hint="default"/>
                <w:sz w:val="18"/>
                <w:szCs w:val="18"/>
              </w:rPr>
              <w:t>以及</w:t>
            </w:r>
            <w:r>
              <w:rPr>
                <w:rFonts w:ascii="Times New Roman" w:hAnsi="Times New Roman" w:cs="Times New Roman" w:eastAsia="Times New Roman" w:hint="default"/>
                <w:sz w:val="18"/>
                <w:szCs w:val="18"/>
              </w:rPr>
              <w:t>"</w:t>
            </w:r>
            <w:r>
              <w:rPr>
                <w:rFonts w:ascii="宋体" w:hAnsi="宋体" w:cs="宋体" w:eastAsia="宋体" w:hint="default"/>
                <w:sz w:val="18"/>
                <w:szCs w:val="18"/>
              </w:rPr>
              <w:t>东营</w:t>
            </w:r>
          </w:p>
        </w:tc>
      </w:tr>
      <w:tr>
        <w:trPr>
          <w:trHeight w:val="312" w:hRule="exact"/>
        </w:trPr>
        <w:tc>
          <w:tcPr>
            <w:tcW w:w="2870"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701"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年产 </w:t>
            </w:r>
            <w:r>
              <w:rPr>
                <w:rFonts w:ascii="Times New Roman" w:hAnsi="Times New Roman" w:cs="Times New Roman" w:eastAsia="Times New Roman" w:hint="default"/>
                <w:sz w:val="18"/>
                <w:szCs w:val="18"/>
              </w:rPr>
              <w:t>5500 </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吨染料滤饼建设项目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，东营安诺其募投项目产品主要为烟台安诺其提供相</w:t>
            </w:r>
          </w:p>
        </w:tc>
      </w:tr>
      <w:tr>
        <w:trPr>
          <w:trHeight w:val="307" w:hRule="exact"/>
        </w:trPr>
        <w:tc>
          <w:tcPr>
            <w:tcW w:w="2870"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701"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3"/>
                <w:sz w:val="18"/>
                <w:szCs w:val="18"/>
              </w:rPr>
              <w:t>关滤饼的配套，以满足烟台安诺其生产分散染料对原料染料滤饼的需求。而后公司结</w:t>
            </w:r>
          </w:p>
        </w:tc>
      </w:tr>
      <w:tr>
        <w:trPr>
          <w:trHeight w:val="300" w:hRule="exact"/>
        </w:trPr>
        <w:tc>
          <w:tcPr>
            <w:tcW w:w="2870"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701"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合市场情况，制定了符合公司发展情况的五年规划，规划中计划东营安诺其达产后产</w:t>
            </w:r>
          </w:p>
        </w:tc>
      </w:tr>
      <w:tr>
        <w:trPr>
          <w:trHeight w:val="319" w:hRule="exact"/>
        </w:trPr>
        <w:tc>
          <w:tcPr>
            <w:tcW w:w="2870"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pacing w:val="-7"/>
                <w:sz w:val="18"/>
                <w:szCs w:val="18"/>
              </w:rPr>
              <w:t>变更原因、决策程序及信息披露情况</w:t>
            </w:r>
          </w:p>
        </w:tc>
        <w:tc>
          <w:tcPr>
            <w:tcW w:w="6701"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23"/>
              <w:ind w:left="24" w:right="0"/>
              <w:jc w:val="left"/>
              <w:rPr>
                <w:rFonts w:ascii="宋体" w:hAnsi="宋体" w:cs="宋体" w:eastAsia="宋体" w:hint="default"/>
                <w:sz w:val="18"/>
                <w:szCs w:val="18"/>
              </w:rPr>
            </w:pPr>
            <w:r>
              <w:rPr>
                <w:rFonts w:ascii="宋体" w:hAnsi="宋体" w:cs="宋体" w:eastAsia="宋体" w:hint="default"/>
                <w:sz w:val="18"/>
                <w:szCs w:val="18"/>
              </w:rPr>
              <w:t>能将达到年产</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吨染料滤饼、</w:t>
            </w:r>
            <w:r>
              <w:rPr>
                <w:rFonts w:ascii="Times New Roman" w:hAnsi="Times New Roman" w:cs="Times New Roman" w:eastAsia="Times New Roman" w:hint="default"/>
                <w:sz w:val="18"/>
                <w:szCs w:val="18"/>
              </w:rPr>
              <w:t>30000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吨分散染料规模，因此，</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322" w:hRule="exact"/>
        </w:trPr>
        <w:tc>
          <w:tcPr>
            <w:tcW w:w="2870"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6"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说明</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分具体项目</w:t>
            </w:r>
            <w:r>
              <w:rPr>
                <w:rFonts w:ascii="Times New Roman" w:hAnsi="Times New Roman" w:cs="Times New Roman" w:eastAsia="Times New Roman" w:hint="default"/>
                <w:spacing w:val="-3"/>
                <w:sz w:val="18"/>
                <w:szCs w:val="18"/>
              </w:rPr>
              <w:t>)</w:t>
            </w:r>
          </w:p>
        </w:tc>
        <w:tc>
          <w:tcPr>
            <w:tcW w:w="6701"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公司第一届董事会第十九次会议决议使用超募资金 </w:t>
            </w:r>
            <w:r>
              <w:rPr>
                <w:rFonts w:ascii="Times New Roman" w:hAnsi="Times New Roman" w:cs="Times New Roman" w:eastAsia="Times New Roman" w:hint="default"/>
                <w:sz w:val="18"/>
                <w:szCs w:val="18"/>
              </w:rPr>
              <w:t>4953 </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万元建设东营安诺其纺织材</w:t>
            </w:r>
          </w:p>
        </w:tc>
      </w:tr>
      <w:tr>
        <w:trPr>
          <w:trHeight w:val="312" w:hRule="exact"/>
        </w:trPr>
        <w:tc>
          <w:tcPr>
            <w:tcW w:w="2870"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701"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料有限公司年产染料滤饼</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吨及分散染料</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吨项目，目前，如东营安诺其建设</w:t>
            </w:r>
          </w:p>
        </w:tc>
      </w:tr>
      <w:tr>
        <w:trPr>
          <w:trHeight w:val="312" w:hRule="exact"/>
        </w:trPr>
        <w:tc>
          <w:tcPr>
            <w:tcW w:w="2870"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701"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完成，产能将达到年产 </w:t>
            </w:r>
            <w:r>
              <w:rPr>
                <w:rFonts w:ascii="Times New Roman" w:hAnsi="Times New Roman" w:cs="Times New Roman" w:eastAsia="Times New Roman" w:hint="default"/>
                <w:sz w:val="18"/>
                <w:szCs w:val="18"/>
              </w:rPr>
              <w:t>7000 </w:t>
            </w:r>
            <w:r>
              <w:rPr>
                <w:rFonts w:ascii="宋体" w:hAnsi="宋体" w:cs="宋体" w:eastAsia="宋体" w:hint="default"/>
                <w:sz w:val="18"/>
                <w:szCs w:val="18"/>
              </w:rPr>
              <w:t>吨染料滤饼、</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吨分散染料，使东营安诺其除具备染</w:t>
            </w:r>
          </w:p>
        </w:tc>
      </w:tr>
      <w:tr>
        <w:trPr>
          <w:trHeight w:val="307" w:hRule="exact"/>
        </w:trPr>
        <w:tc>
          <w:tcPr>
            <w:tcW w:w="2870" w:type="dxa"/>
            <w:gridSpan w:val="3"/>
            <w:tcBorders>
              <w:top w:val="nil" w:sz="6" w:space="0" w:color="auto"/>
              <w:left w:val="single" w:sz="4" w:space="0" w:color="000000"/>
              <w:bottom w:val="nil" w:sz="6" w:space="0" w:color="auto"/>
              <w:right w:val="single" w:sz="4" w:space="0" w:color="000000"/>
            </w:tcBorders>
            <w:shd w:val="clear" w:color="auto" w:fill="D2D2D2"/>
          </w:tcPr>
          <w:p>
            <w:pPr/>
          </w:p>
        </w:tc>
        <w:tc>
          <w:tcPr>
            <w:tcW w:w="6701" w:type="dxa"/>
            <w:gridSpan w:val="7"/>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3"/>
                <w:sz w:val="18"/>
                <w:szCs w:val="18"/>
              </w:rPr>
              <w:t>料滤饼的生产能力外，同时增加了分散染料的生产能力。基于上述情况考虑，东营安</w:t>
            </w:r>
          </w:p>
        </w:tc>
      </w:tr>
      <w:tr>
        <w:trPr>
          <w:trHeight w:val="318" w:hRule="exact"/>
        </w:trPr>
        <w:tc>
          <w:tcPr>
            <w:tcW w:w="2870"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6701" w:type="dxa"/>
            <w:gridSpan w:val="7"/>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诺其已具备分散染料生产能力，同时按照五年发展规划，东营安诺其新项目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东营年</w:t>
            </w:r>
          </w:p>
        </w:tc>
      </w:tr>
    </w:tbl>
    <w:p>
      <w:pPr>
        <w:spacing w:after="0" w:line="240" w:lineRule="auto"/>
        <w:jc w:val="left"/>
        <w:rPr>
          <w:rFonts w:ascii="宋体" w:hAnsi="宋体" w:cs="宋体" w:eastAsia="宋体" w:hint="default"/>
          <w:sz w:val="18"/>
          <w:szCs w:val="18"/>
        </w:rPr>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870"/>
        <w:gridCol w:w="6701"/>
      </w:tblGrid>
      <w:tr>
        <w:trPr>
          <w:trHeight w:val="2544" w:hRule="exact"/>
        </w:trPr>
        <w:tc>
          <w:tcPr>
            <w:tcW w:w="2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both"/>
              <w:rPr>
                <w:rFonts w:ascii="宋体" w:hAnsi="宋体" w:cs="宋体" w:eastAsia="宋体" w:hint="default"/>
                <w:sz w:val="18"/>
                <w:szCs w:val="18"/>
              </w:rPr>
            </w:pPr>
            <w:r>
              <w:rPr>
                <w:rFonts w:ascii="宋体" w:hAnsi="宋体" w:cs="宋体" w:eastAsia="宋体" w:hint="default"/>
                <w:sz w:val="18"/>
                <w:szCs w:val="18"/>
              </w:rPr>
              <w:t>产分散染料</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吨生产项目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也即将建设，而烟台年产</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吨分散染料项目中年产</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3000  </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吨超细纤维用分散染料项目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尚未建设，公司从生产就近、原料产品一体化，成</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pacing w:val="-4"/>
                <w:sz w:val="18"/>
                <w:szCs w:val="18"/>
              </w:rPr>
              <w:t>本优化原则考虑，本次拟将烟台年产</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吨分散染料项目中年产</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吨超细纤维用</w:t>
            </w:r>
          </w:p>
          <w:p>
            <w:pPr>
              <w:pStyle w:val="TableParagraph"/>
              <w:spacing w:line="302" w:lineRule="auto" w:before="63"/>
              <w:ind w:left="24" w:right="17"/>
              <w:jc w:val="both"/>
              <w:rPr>
                <w:rFonts w:ascii="宋体" w:hAnsi="宋体" w:cs="宋体" w:eastAsia="宋体" w:hint="default"/>
                <w:sz w:val="18"/>
                <w:szCs w:val="18"/>
              </w:rPr>
            </w:pPr>
            <w:r>
              <w:rPr>
                <w:rFonts w:ascii="宋体" w:hAnsi="宋体" w:cs="宋体" w:eastAsia="宋体" w:hint="default"/>
                <w:spacing w:val="-3"/>
                <w:sz w:val="18"/>
                <w:szCs w:val="18"/>
              </w:rPr>
              <w:t>分散染料项目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调整至新项目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东营年产分散染料</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吨生产项目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年产</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吨超</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细纤维用分散染料项目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进行生产，其变更后体现优势如下：</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、体现产能规模优势，</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z w:val="18"/>
                <w:szCs w:val="18"/>
              </w:rPr>
              <w:t>减少固定成本费用摊薄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、原料产品一体化，减少滤饼原料运输费用，降低生产成本</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年第一次临时股东大会审议通过《公司关于变更部分募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0"/>
                <w:w w:val="101"/>
                <w:sz w:val="18"/>
                <w:szCs w:val="18"/>
              </w:rPr>
              <w:t>集资金投资项目的议案》。</w:t>
            </w:r>
            <w:r>
              <w:rPr>
                <w:rFonts w:ascii="宋体" w:hAnsi="宋体" w:cs="宋体" w:eastAsia="宋体" w:hint="default"/>
                <w:spacing w:val="-10"/>
                <w:sz w:val="18"/>
                <w:szCs w:val="18"/>
              </w:rPr>
            </w:r>
          </w:p>
        </w:tc>
      </w:tr>
      <w:tr>
        <w:trPr>
          <w:trHeight w:val="715" w:hRule="exact"/>
        </w:trPr>
        <w:tc>
          <w:tcPr>
            <w:tcW w:w="2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32"/>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未达到计划进度或预计收益的情况</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715" w:hRule="exact"/>
        </w:trPr>
        <w:tc>
          <w:tcPr>
            <w:tcW w:w="2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32"/>
              <w:jc w:val="left"/>
              <w:rPr>
                <w:rFonts w:ascii="宋体" w:hAnsi="宋体" w:cs="宋体" w:eastAsia="宋体" w:hint="default"/>
                <w:sz w:val="18"/>
                <w:szCs w:val="18"/>
              </w:rPr>
            </w:pPr>
            <w:r>
              <w:rPr>
                <w:rFonts w:ascii="宋体" w:hAnsi="宋体" w:cs="宋体" w:eastAsia="宋体" w:hint="default"/>
                <w:spacing w:val="-3"/>
                <w:sz w:val="18"/>
                <w:szCs w:val="18"/>
              </w:rPr>
              <w:t>变更后的项目可行性发生重大变化</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的情况说明</w:t>
            </w:r>
          </w:p>
        </w:tc>
        <w:tc>
          <w:tcPr>
            <w:tcW w:w="6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Style w:val="Heading4"/>
        <w:spacing w:line="240" w:lineRule="auto"/>
        <w:ind w:left="575" w:right="0"/>
        <w:jc w:val="left"/>
        <w:rPr>
          <w:b w:val="0"/>
          <w:bCs w:val="0"/>
        </w:rPr>
      </w:pPr>
      <w:r>
        <w:rPr>
          <w:rFonts w:ascii="Arial" w:hAnsi="Arial" w:cs="Arial" w:eastAsia="Arial" w:hint="default"/>
        </w:rPr>
        <w:t>3</w:t>
      </w:r>
      <w:r>
        <w:rPr/>
        <w:t>）非募集资金投资的重大项目情况</w:t>
      </w:r>
      <w:r>
        <w:rPr>
          <w:b w:val="0"/>
          <w:bCs w:val="0"/>
        </w:rPr>
      </w:r>
    </w:p>
    <w:p>
      <w:pPr>
        <w:pStyle w:val="BodyText"/>
        <w:spacing w:line="240" w:lineRule="auto" w:before="167"/>
        <w:ind w:left="575" w:right="0"/>
        <w:jc w:val="left"/>
      </w:pPr>
      <w:r>
        <w:rPr/>
        <w:t>√ 适用 □</w:t>
      </w:r>
      <w:r>
        <w:rPr>
          <w:spacing w:val="3"/>
        </w:rPr>
        <w:t> </w:t>
      </w:r>
      <w:r>
        <w:rPr/>
        <w:t>不适用</w:t>
      </w:r>
    </w:p>
    <w:p>
      <w:pPr>
        <w:spacing w:line="240" w:lineRule="auto" w:before="5"/>
        <w:rPr>
          <w:rFonts w:ascii="宋体" w:hAnsi="宋体" w:cs="宋体" w:eastAsia="宋体" w:hint="default"/>
          <w:sz w:val="10"/>
          <w:szCs w:val="10"/>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95"/>
        <w:gridCol w:w="1195"/>
        <w:gridCol w:w="1200"/>
        <w:gridCol w:w="1195"/>
        <w:gridCol w:w="1195"/>
        <w:gridCol w:w="1195"/>
        <w:gridCol w:w="1195"/>
        <w:gridCol w:w="1195"/>
      </w:tblGrid>
      <w:tr>
        <w:trPr>
          <w:trHeight w:val="1022"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50"/>
              <w:jc w:val="right"/>
              <w:rPr>
                <w:rFonts w:ascii="宋体" w:hAnsi="宋体" w:cs="宋体" w:eastAsia="宋体" w:hint="default"/>
                <w:sz w:val="18"/>
                <w:szCs w:val="18"/>
              </w:rPr>
            </w:pPr>
            <w:r>
              <w:rPr>
                <w:rFonts w:ascii="宋体" w:hAnsi="宋体" w:cs="宋体" w:eastAsia="宋体" w:hint="default"/>
                <w:spacing w:val="-2"/>
                <w:sz w:val="18"/>
                <w:szCs w:val="18"/>
              </w:rPr>
              <w:t>计划投资总额</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12" w:right="50" w:hanging="360"/>
              <w:jc w:val="left"/>
              <w:rPr>
                <w:rFonts w:ascii="宋体" w:hAnsi="宋体" w:cs="宋体" w:eastAsia="宋体" w:hint="default"/>
                <w:sz w:val="18"/>
                <w:szCs w:val="18"/>
              </w:rPr>
            </w:pPr>
            <w:r>
              <w:rPr>
                <w:rFonts w:ascii="宋体" w:hAnsi="宋体" w:cs="宋体" w:eastAsia="宋体" w:hint="default"/>
                <w:spacing w:val="-2"/>
                <w:sz w:val="18"/>
                <w:szCs w:val="18"/>
              </w:rPr>
              <w:t>本报告期投入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金额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7" w:right="50"/>
              <w:jc w:val="center"/>
              <w:rPr>
                <w:rFonts w:ascii="宋体" w:hAnsi="宋体" w:cs="宋体" w:eastAsia="宋体" w:hint="default"/>
                <w:sz w:val="18"/>
                <w:szCs w:val="18"/>
              </w:rPr>
            </w:pPr>
            <w:r>
              <w:rPr>
                <w:rFonts w:ascii="宋体" w:hAnsi="宋体" w:cs="宋体" w:eastAsia="宋体" w:hint="default"/>
                <w:spacing w:val="-2"/>
                <w:sz w:val="18"/>
                <w:szCs w:val="18"/>
              </w:rPr>
              <w:t>截至报告期末</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累计实际投入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金额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0"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2" w:right="46"/>
              <w:jc w:val="center"/>
              <w:rPr>
                <w:rFonts w:ascii="宋体" w:hAnsi="宋体" w:cs="宋体" w:eastAsia="宋体" w:hint="default"/>
                <w:sz w:val="18"/>
                <w:szCs w:val="18"/>
              </w:rPr>
            </w:pPr>
            <w:r>
              <w:rPr>
                <w:rFonts w:ascii="宋体" w:hAnsi="宋体" w:cs="宋体" w:eastAsia="宋体" w:hint="default"/>
                <w:spacing w:val="-2"/>
                <w:sz w:val="18"/>
                <w:szCs w:val="18"/>
              </w:rPr>
              <w:t>截止报告期末</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累计实现的收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益</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12" w:right="46" w:hanging="360"/>
              <w:jc w:val="left"/>
              <w:rPr>
                <w:rFonts w:ascii="宋体" w:hAnsi="宋体" w:cs="宋体" w:eastAsia="宋体" w:hint="default"/>
                <w:sz w:val="18"/>
                <w:szCs w:val="18"/>
              </w:rPr>
            </w:pPr>
            <w:r>
              <w:rPr>
                <w:rFonts w:ascii="宋体" w:hAnsi="宋体" w:cs="宋体" w:eastAsia="宋体" w:hint="default"/>
                <w:spacing w:val="-2"/>
                <w:sz w:val="18"/>
                <w:szCs w:val="18"/>
              </w:rPr>
              <w:t>披露日期（如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12" w:right="46" w:hanging="360"/>
              <w:jc w:val="left"/>
              <w:rPr>
                <w:rFonts w:ascii="宋体" w:hAnsi="宋体" w:cs="宋体" w:eastAsia="宋体" w:hint="default"/>
                <w:sz w:val="18"/>
                <w:szCs w:val="18"/>
              </w:rPr>
            </w:pPr>
            <w:r>
              <w:rPr>
                <w:rFonts w:ascii="宋体" w:hAnsi="宋体" w:cs="宋体" w:eastAsia="宋体" w:hint="default"/>
                <w:spacing w:val="-2"/>
                <w:sz w:val="18"/>
                <w:szCs w:val="18"/>
              </w:rPr>
              <w:t>披露索引（如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w:t>
            </w:r>
          </w:p>
        </w:tc>
      </w:tr>
      <w:tr>
        <w:trPr>
          <w:trHeight w:val="1339"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74"/>
              <w:jc w:val="left"/>
              <w:rPr>
                <w:rFonts w:ascii="宋体" w:hAnsi="宋体" w:cs="宋体" w:eastAsia="宋体" w:hint="default"/>
                <w:sz w:val="18"/>
                <w:szCs w:val="18"/>
              </w:rPr>
            </w:pPr>
            <w:r>
              <w:rPr>
                <w:rFonts w:ascii="宋体" w:hAnsi="宋体" w:cs="宋体" w:eastAsia="宋体" w:hint="default"/>
                <w:sz w:val="18"/>
                <w:szCs w:val="18"/>
              </w:rPr>
              <w:t>烟台年产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30000 </w:t>
            </w:r>
            <w:r>
              <w:rPr>
                <w:rFonts w:ascii="宋体" w:hAnsi="宋体" w:cs="宋体" w:eastAsia="宋体" w:hint="default"/>
                <w:sz w:val="18"/>
                <w:szCs w:val="18"/>
              </w:rPr>
              <w:t>吨精细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化工中间体建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设项目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6,009.74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6,009.74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604" w:right="0"/>
              <w:jc w:val="left"/>
              <w:rPr>
                <w:rFonts w:ascii="Times New Roman" w:hAnsi="Times New Roman" w:cs="Times New Roman" w:eastAsia="Times New Roman" w:hint="default"/>
                <w:sz w:val="18"/>
                <w:szCs w:val="18"/>
              </w:rPr>
            </w:pPr>
            <w:r>
              <w:rPr>
                <w:rFonts w:ascii="Times New Roman"/>
                <w:sz w:val="18"/>
              </w:rPr>
              <w:t>12.02%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7"/>
              <w:ind w:left="7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64" w:lineRule="auto"/>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w w:val="101"/>
                <w:sz w:val="18"/>
                <w:szCs w:val="18"/>
              </w:rPr>
              <w:t> </w:t>
            </w:r>
            <w:hyperlink r:id="rId13">
              <w:r>
                <w:rPr>
                  <w:rFonts w:ascii="Times New Roman" w:hAnsi="Times New Roman" w:cs="Times New Roman" w:eastAsia="Times New Roman" w:hint="default"/>
                  <w:spacing w:val="-3"/>
                  <w:sz w:val="18"/>
                  <w:szCs w:val="18"/>
                </w:rPr>
                <w:t>www.cninfo.co</w:t>
              </w:r>
            </w:hyperlink>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pacing w:val="-19"/>
                <w:sz w:val="18"/>
                <w:szCs w:val="18"/>
              </w:rPr>
            </w:r>
            <w:r>
              <w:rPr>
                <w:rFonts w:ascii="Times New Roman" w:hAnsi="Times New Roman" w:cs="Times New Roman" w:eastAsia="Times New Roman" w:hint="default"/>
                <w:sz w:val="18"/>
                <w:szCs w:val="18"/>
              </w:rPr>
              <w:t>m.cn</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50,000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6,009.74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6,009.74</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w:t>
            </w:r>
          </w:p>
        </w:tc>
      </w:tr>
    </w:tbl>
    <w:p>
      <w:pPr>
        <w:pStyle w:val="Heading4"/>
        <w:spacing w:line="240" w:lineRule="auto"/>
        <w:ind w:left="575" w:right="0"/>
        <w:jc w:val="left"/>
        <w:rPr>
          <w:b w:val="0"/>
          <w:bCs w:val="0"/>
        </w:rPr>
      </w:pPr>
      <w:r>
        <w:rPr>
          <w:rFonts w:ascii="Arial" w:hAnsi="Arial" w:cs="Arial" w:eastAsia="Arial" w:hint="default"/>
        </w:rPr>
        <w:t>4</w:t>
      </w:r>
      <w:r>
        <w:rPr/>
        <w:t>）持有其他上市公司股权情况</w:t>
      </w:r>
      <w:r>
        <w:rPr>
          <w:b w:val="0"/>
          <w:bCs w:val="0"/>
        </w:rPr>
      </w:r>
    </w:p>
    <w:p>
      <w:pPr>
        <w:pStyle w:val="BodyText"/>
        <w:spacing w:line="240" w:lineRule="auto" w:before="167"/>
        <w:ind w:left="575" w:right="0"/>
        <w:jc w:val="left"/>
      </w:pPr>
      <w:r>
        <w:rPr/>
        <w:t>□ 适用 √</w:t>
      </w:r>
      <w:r>
        <w:rPr>
          <w:spacing w:val="3"/>
        </w:rPr>
        <w:t> </w:t>
      </w:r>
      <w:r>
        <w:rPr/>
        <w:t>不适用</w:t>
      </w:r>
    </w:p>
    <w:p>
      <w:pPr>
        <w:pStyle w:val="Heading4"/>
        <w:spacing w:line="240" w:lineRule="auto" w:before="128"/>
        <w:ind w:left="575" w:right="0"/>
        <w:jc w:val="left"/>
        <w:rPr>
          <w:b w:val="0"/>
          <w:bCs w:val="0"/>
        </w:rPr>
      </w:pPr>
      <w:r>
        <w:rPr>
          <w:rFonts w:ascii="Arial" w:hAnsi="Arial" w:cs="Arial" w:eastAsia="Arial" w:hint="default"/>
        </w:rPr>
        <w:t>5</w:t>
      </w:r>
      <w:r>
        <w:rPr/>
        <w:t>）持有金融企业股权情况</w:t>
      </w:r>
      <w:r>
        <w:rPr>
          <w:b w:val="0"/>
          <w:bCs w:val="0"/>
        </w:rPr>
      </w:r>
    </w:p>
    <w:p>
      <w:pPr>
        <w:pStyle w:val="BodyText"/>
        <w:spacing w:line="410" w:lineRule="auto" w:before="167"/>
        <w:ind w:left="575" w:right="5100"/>
        <w:jc w:val="left"/>
      </w:pPr>
      <w:r>
        <w:rPr/>
        <w:t>□ 适用 √ 不适用</w:t>
      </w:r>
      <w:r>
        <w:rPr>
          <w:spacing w:val="-102"/>
        </w:rPr>
        <w:t> </w:t>
      </w:r>
      <w:r>
        <w:rPr>
          <w:spacing w:val="-102"/>
        </w:rPr>
      </w:r>
      <w:r>
        <w:rPr>
          <w:spacing w:val="-1"/>
        </w:rPr>
        <w:t>公司报告期未持有金融企业股权。</w:t>
      </w:r>
    </w:p>
    <w:p>
      <w:pPr>
        <w:pStyle w:val="Heading4"/>
        <w:spacing w:line="340" w:lineRule="exact"/>
        <w:ind w:left="575" w:right="0"/>
        <w:jc w:val="left"/>
        <w:rPr>
          <w:b w:val="0"/>
          <w:bCs w:val="0"/>
        </w:rPr>
      </w:pPr>
      <w:r>
        <w:rPr>
          <w:rFonts w:ascii="Arial" w:hAnsi="Arial" w:cs="Arial" w:eastAsia="Arial" w:hint="default"/>
        </w:rPr>
        <w:t>6</w:t>
      </w:r>
      <w:r>
        <w:rPr/>
        <w:t>）买卖其他上市公司股份的情况</w:t>
      </w:r>
      <w:r>
        <w:rPr>
          <w:b w:val="0"/>
          <w:bCs w:val="0"/>
        </w:rPr>
      </w:r>
    </w:p>
    <w:p>
      <w:pPr>
        <w:pStyle w:val="BodyText"/>
        <w:spacing w:line="240" w:lineRule="auto" w:before="171"/>
        <w:ind w:left="575" w:right="0"/>
        <w:jc w:val="left"/>
      </w:pPr>
      <w:r>
        <w:rPr/>
        <w:t>□ 适用 √</w:t>
      </w:r>
      <w:r>
        <w:rPr>
          <w:spacing w:val="3"/>
        </w:rPr>
        <w:t> </w:t>
      </w:r>
      <w:r>
        <w:rPr/>
        <w:t>不适用</w:t>
      </w:r>
    </w:p>
    <w:p>
      <w:pPr>
        <w:pStyle w:val="Heading4"/>
        <w:spacing w:line="240" w:lineRule="auto" w:before="124"/>
        <w:ind w:left="575" w:right="0"/>
        <w:jc w:val="left"/>
        <w:rPr>
          <w:b w:val="0"/>
          <w:bCs w:val="0"/>
        </w:rPr>
      </w:pPr>
      <w:r>
        <w:rPr>
          <w:rFonts w:ascii="Arial" w:hAnsi="Arial" w:cs="Arial" w:eastAsia="Arial" w:hint="default"/>
        </w:rPr>
        <w:t>7</w:t>
      </w:r>
      <w:r>
        <w:rPr/>
        <w:t>）以公允价值计量的金融资产</w:t>
      </w:r>
      <w:r>
        <w:rPr>
          <w:b w:val="0"/>
          <w:bCs w:val="0"/>
        </w:rPr>
      </w:r>
    </w:p>
    <w:p>
      <w:pPr>
        <w:pStyle w:val="BodyText"/>
        <w:spacing w:line="240" w:lineRule="auto" w:before="171"/>
        <w:ind w:left="575" w:right="0"/>
        <w:jc w:val="left"/>
      </w:pPr>
      <w:r>
        <w:rPr/>
        <w:t>□ 适用 √</w:t>
      </w:r>
      <w:r>
        <w:rPr>
          <w:spacing w:val="3"/>
        </w:rPr>
        <w:t> </w:t>
      </w:r>
      <w:r>
        <w:rPr/>
        <w:t>不适用</w:t>
      </w:r>
    </w:p>
    <w:p>
      <w:pPr>
        <w:spacing w:line="240" w:lineRule="auto" w:before="5"/>
        <w:rPr>
          <w:rFonts w:ascii="宋体" w:hAnsi="宋体" w:cs="宋体" w:eastAsia="宋体" w:hint="default"/>
          <w:sz w:val="26"/>
          <w:szCs w:val="26"/>
        </w:rPr>
      </w:pPr>
    </w:p>
    <w:p>
      <w:pPr>
        <w:pStyle w:val="Heading4"/>
        <w:spacing w:line="240" w:lineRule="auto"/>
        <w:ind w:left="141" w:right="7133"/>
        <w:jc w:val="center"/>
        <w:rPr>
          <w:b w:val="0"/>
          <w:bCs w:val="0"/>
        </w:rPr>
      </w:pPr>
      <w:r>
        <w:rPr/>
        <w:t>（</w:t>
      </w:r>
      <w:r>
        <w:rPr>
          <w:rFonts w:ascii="Times New Roman" w:hAnsi="Times New Roman" w:cs="Times New Roman" w:eastAsia="Times New Roman" w:hint="default"/>
        </w:rPr>
        <w:t>6</w:t>
      </w:r>
      <w:r>
        <w:rPr/>
        <w:t>）主要控股参股公司分析</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240" w:lineRule="auto"/>
        <w:ind w:left="575" w:right="0"/>
        <w:jc w:val="left"/>
      </w:pPr>
      <w:r>
        <w:rPr/>
        <w:t>√ 适用 □</w:t>
      </w:r>
      <w:r>
        <w:rPr>
          <w:spacing w:val="3"/>
        </w:rPr>
        <w:t> </w:t>
      </w:r>
      <w:r>
        <w:rPr/>
        <w:t>不适用</w:t>
      </w:r>
    </w:p>
    <w:p>
      <w:pPr>
        <w:spacing w:after="0" w:line="240" w:lineRule="auto"/>
        <w:jc w:val="left"/>
        <w:sectPr>
          <w:pgSz w:w="11900" w:h="16840"/>
          <w:pgMar w:header="742" w:footer="984" w:top="1060" w:bottom="1180" w:left="980" w:right="980"/>
        </w:sectPr>
      </w:pPr>
    </w:p>
    <w:p>
      <w:pPr>
        <w:spacing w:line="240" w:lineRule="auto" w:before="0"/>
        <w:rPr>
          <w:rFonts w:ascii="宋体" w:hAnsi="宋体" w:cs="宋体" w:eastAsia="宋体" w:hint="default"/>
          <w:sz w:val="20"/>
          <w:szCs w:val="20"/>
        </w:rPr>
      </w:pPr>
      <w:r>
        <w:rPr/>
        <w:pict>
          <v:group style="position:absolute;margin-left:252.240005pt;margin-top:507.899994pt;width:46.6pt;height:115.9pt;mso-position-horizontal-relative:page;mso-position-vertical-relative:page;z-index:-881104" coordorigin="5045,10158" coordsize="932,2318">
            <v:shape style="position:absolute;left:5045;top:10158;width:932;height:2318" coordorigin="5045,10158" coordsize="932,2318" path="m5045,12476l5976,12476,5976,10158,5045,10158,5045,12476xe" filled="true" fillcolor="#ffffff" stroked="false">
              <v:path arrowok="t"/>
              <v:fill type="solid"/>
            </v:shape>
            <w10:wrap type="none"/>
          </v:group>
        </w:pict>
      </w:r>
    </w:p>
    <w:p>
      <w:pPr>
        <w:pStyle w:val="Heading4"/>
        <w:spacing w:line="240" w:lineRule="auto" w:before="115"/>
        <w:ind w:left="575" w:right="0"/>
        <w:jc w:val="left"/>
        <w:rPr>
          <w:b w:val="0"/>
          <w:bCs w:val="0"/>
        </w:rPr>
      </w:pPr>
      <w:r>
        <w:rPr/>
        <w:t>主要子公司、参股公司情况</w:t>
      </w:r>
      <w:r>
        <w:rPr>
          <w:b w:val="0"/>
          <w:bCs w:val="0"/>
        </w:rPr>
      </w:r>
    </w:p>
    <w:p>
      <w:pPr>
        <w:spacing w:line="240" w:lineRule="auto" w:before="3"/>
        <w:rPr>
          <w:rFonts w:ascii="Microsoft JhengHei" w:hAnsi="Microsoft JhengHei" w:cs="Microsoft JhengHei" w:eastAsia="Microsoft JhengHei" w:hint="default"/>
          <w:b/>
          <w:bCs/>
          <w:sz w:val="6"/>
          <w:szCs w:val="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46"/>
        <w:gridCol w:w="1075"/>
        <w:gridCol w:w="941"/>
        <w:gridCol w:w="946"/>
        <w:gridCol w:w="941"/>
        <w:gridCol w:w="946"/>
        <w:gridCol w:w="941"/>
        <w:gridCol w:w="946"/>
        <w:gridCol w:w="806"/>
        <w:gridCol w:w="1080"/>
      </w:tblGrid>
      <w:tr>
        <w:trPr>
          <w:trHeight w:val="715"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96" w:right="103" w:hanging="92"/>
              <w:jc w:val="left"/>
              <w:rPr>
                <w:rFonts w:ascii="宋体" w:hAnsi="宋体" w:cs="宋体" w:eastAsia="宋体" w:hint="default"/>
                <w:sz w:val="18"/>
                <w:szCs w:val="18"/>
              </w:rPr>
            </w:pPr>
            <w:r>
              <w:rPr>
                <w:rFonts w:ascii="宋体" w:hAnsi="宋体" w:cs="宋体" w:eastAsia="宋体" w:hint="default"/>
                <w:sz w:val="18"/>
                <w:szCs w:val="18"/>
              </w:rPr>
              <w:t>主要产品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或服务</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pacing w:val="-2"/>
                <w:sz w:val="18"/>
                <w:szCs w:val="18"/>
              </w:rPr>
              <w:t>注册资本</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651"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85"/>
              <w:jc w:val="both"/>
              <w:rPr>
                <w:rFonts w:ascii="宋体" w:hAnsi="宋体" w:cs="宋体" w:eastAsia="宋体" w:hint="default"/>
                <w:sz w:val="18"/>
                <w:szCs w:val="18"/>
              </w:rPr>
            </w:pPr>
            <w:r>
              <w:rPr>
                <w:rFonts w:ascii="宋体" w:hAnsi="宋体" w:cs="宋体" w:eastAsia="宋体" w:hint="default"/>
                <w:sz w:val="18"/>
                <w:szCs w:val="18"/>
              </w:rPr>
              <w:t>烟台安诺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其纺织材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料有限公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染料</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z w:val="18"/>
                <w:szCs w:val="18"/>
              </w:rPr>
              <w:t>从事纺织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品用高级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染料、助剂</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的生产和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技术服务</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37"/>
              <w:jc w:val="right"/>
              <w:rPr>
                <w:rFonts w:ascii="宋体" w:hAnsi="宋体" w:cs="宋体" w:eastAsia="宋体" w:hint="default"/>
                <w:sz w:val="18"/>
                <w:szCs w:val="18"/>
              </w:rPr>
            </w:pPr>
            <w:r>
              <w:rPr>
                <w:rFonts w:ascii="Times New Roman" w:hAnsi="Times New Roman" w:cs="Times New Roman" w:eastAsia="Times New Roman" w:hint="default"/>
                <w:sz w:val="18"/>
                <w:szCs w:val="18"/>
              </w:rPr>
              <w:t>8065</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万元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89,060,043.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74</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88,132,442.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22</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42,789,354.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-1,080,81</w:t>
            </w:r>
          </w:p>
          <w:p>
            <w:pPr>
              <w:pStyle w:val="TableParagraph"/>
              <w:spacing w:line="240" w:lineRule="auto" w:before="105"/>
              <w:ind w:left="456" w:right="0"/>
              <w:jc w:val="left"/>
              <w:rPr>
                <w:rFonts w:ascii="Times New Roman" w:hAnsi="Times New Roman" w:cs="Times New Roman" w:eastAsia="Times New Roman" w:hint="default"/>
                <w:sz w:val="18"/>
                <w:szCs w:val="18"/>
              </w:rPr>
            </w:pPr>
            <w:r>
              <w:rPr>
                <w:rFonts w:ascii="Times New Roman"/>
                <w:sz w:val="18"/>
              </w:rPr>
              <w:t>5.77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-878,476.01</w:t>
            </w:r>
          </w:p>
        </w:tc>
      </w:tr>
      <w:tr>
        <w:trPr>
          <w:trHeight w:val="357" w:hRule="exact"/>
        </w:trPr>
        <w:tc>
          <w:tcPr>
            <w:tcW w:w="946" w:type="dxa"/>
            <w:tcBorders>
              <w:top w:val="single" w:sz="4" w:space="0" w:color="000000"/>
              <w:left w:val="single" w:sz="4" w:space="0" w:color="000000"/>
              <w:bottom w:val="nil" w:sz="6" w:space="0" w:color="auto"/>
              <w:right w:val="single" w:sz="4" w:space="0" w:color="000000"/>
            </w:tcBorders>
          </w:tcPr>
          <w:p>
            <w:pPr/>
          </w:p>
        </w:tc>
        <w:tc>
          <w:tcPr>
            <w:tcW w:w="1075"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化工染料、</w:t>
            </w:r>
          </w:p>
        </w:tc>
        <w:tc>
          <w:tcPr>
            <w:tcW w:w="941"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东营安诺</w:t>
            </w: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pacing w:val="-4"/>
                <w:sz w:val="18"/>
                <w:szCs w:val="18"/>
              </w:rPr>
              <w:t>滤饼、中间</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185"/>
              <w:jc w:val="left"/>
              <w:rPr>
                <w:rFonts w:ascii="宋体" w:hAnsi="宋体" w:cs="宋体" w:eastAsia="宋体" w:hint="default"/>
                <w:sz w:val="18"/>
                <w:szCs w:val="18"/>
              </w:rPr>
            </w:pPr>
            <w:r>
              <w:rPr>
                <w:rFonts w:ascii="宋体" w:hAnsi="宋体" w:cs="宋体" w:eastAsia="宋体" w:hint="default"/>
                <w:sz w:val="18"/>
                <w:szCs w:val="18"/>
              </w:rPr>
              <w:t>其纺织材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料有限公</w:t>
            </w:r>
          </w:p>
        </w:tc>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染料</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4" w:right="185"/>
              <w:jc w:val="left"/>
              <w:rPr>
                <w:rFonts w:ascii="宋体" w:hAnsi="宋体" w:cs="宋体" w:eastAsia="宋体" w:hint="default"/>
                <w:sz w:val="18"/>
                <w:szCs w:val="18"/>
              </w:rPr>
            </w:pPr>
            <w:r>
              <w:rPr>
                <w:rFonts w:ascii="宋体" w:hAnsi="宋体" w:cs="宋体" w:eastAsia="宋体" w:hint="default"/>
                <w:sz w:val="18"/>
                <w:szCs w:val="18"/>
              </w:rPr>
              <w:t>体及助剂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产品的生</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23" w:right="0"/>
              <w:jc w:val="left"/>
              <w:rPr>
                <w:rFonts w:ascii="Times New Roman" w:hAnsi="Times New Roman" w:cs="Times New Roman" w:eastAsia="Times New Roman" w:hint="default"/>
                <w:sz w:val="18"/>
                <w:szCs w:val="18"/>
              </w:rPr>
            </w:pPr>
            <w:r>
              <w:rPr>
                <w:rFonts w:ascii="Times New Roman"/>
                <w:sz w:val="18"/>
              </w:rPr>
              <w:t>26,</w:t>
            </w:r>
            <w:r>
              <w:rPr>
                <w:rFonts w:ascii="Times New Roman"/>
                <w:spacing w:val="1"/>
                <w:sz w:val="18"/>
              </w:rPr>
              <w:t> </w:t>
            </w:r>
            <w:r>
              <w:rPr>
                <w:rFonts w:ascii="Times New Roman"/>
                <w:sz w:val="18"/>
              </w:rPr>
              <w:t>619.48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100" w:right="0"/>
              <w:jc w:val="left"/>
              <w:rPr>
                <w:rFonts w:ascii="Times New Roman" w:hAnsi="Times New Roman" w:cs="Times New Roman" w:eastAsia="Times New Roman" w:hint="default"/>
                <w:sz w:val="18"/>
                <w:szCs w:val="18"/>
              </w:rPr>
            </w:pPr>
            <w:r>
              <w:rPr>
                <w:rFonts w:ascii="Times New Roman"/>
                <w:sz w:val="18"/>
              </w:rPr>
              <w:t>357,880,94</w:t>
            </w:r>
          </w:p>
          <w:p>
            <w:pPr>
              <w:pStyle w:val="TableParagraph"/>
              <w:spacing w:line="240" w:lineRule="auto" w:before="105"/>
              <w:ind w:left="590" w:right="0"/>
              <w:jc w:val="left"/>
              <w:rPr>
                <w:rFonts w:ascii="Times New Roman" w:hAnsi="Times New Roman" w:cs="Times New Roman" w:eastAsia="Times New Roman" w:hint="default"/>
                <w:sz w:val="18"/>
                <w:szCs w:val="18"/>
              </w:rPr>
            </w:pPr>
            <w:r>
              <w:rPr>
                <w:rFonts w:ascii="Times New Roman"/>
                <w:sz w:val="18"/>
              </w:rPr>
              <w:t>8.07</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100" w:right="0"/>
              <w:jc w:val="left"/>
              <w:rPr>
                <w:rFonts w:ascii="Times New Roman" w:hAnsi="Times New Roman" w:cs="Times New Roman" w:eastAsia="Times New Roman" w:hint="default"/>
                <w:sz w:val="18"/>
                <w:szCs w:val="18"/>
              </w:rPr>
            </w:pPr>
            <w:r>
              <w:rPr>
                <w:rFonts w:ascii="Times New Roman"/>
                <w:sz w:val="18"/>
              </w:rPr>
              <w:t>321,526,35</w:t>
            </w:r>
          </w:p>
          <w:p>
            <w:pPr>
              <w:pStyle w:val="TableParagraph"/>
              <w:spacing w:line="240" w:lineRule="auto" w:before="105"/>
              <w:ind w:left="590" w:right="0"/>
              <w:jc w:val="left"/>
              <w:rPr>
                <w:rFonts w:ascii="Times New Roman" w:hAnsi="Times New Roman" w:cs="Times New Roman" w:eastAsia="Times New Roman" w:hint="default"/>
                <w:sz w:val="18"/>
                <w:szCs w:val="18"/>
              </w:rPr>
            </w:pPr>
            <w:r>
              <w:rPr>
                <w:rFonts w:ascii="Times New Roman"/>
                <w:sz w:val="18"/>
              </w:rPr>
              <w:t>3.89</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110" w:right="0"/>
              <w:jc w:val="left"/>
              <w:rPr>
                <w:rFonts w:ascii="Times New Roman" w:hAnsi="Times New Roman" w:cs="Times New Roman" w:eastAsia="Times New Roman" w:hint="default"/>
                <w:sz w:val="18"/>
                <w:szCs w:val="18"/>
              </w:rPr>
            </w:pPr>
            <w:r>
              <w:rPr>
                <w:rFonts w:ascii="Times New Roman"/>
                <w:sz w:val="18"/>
              </w:rPr>
              <w:t>246,611,09</w:t>
            </w:r>
          </w:p>
          <w:p>
            <w:pPr>
              <w:pStyle w:val="TableParagraph"/>
              <w:spacing w:line="240" w:lineRule="auto" w:before="105"/>
              <w:ind w:left="590" w:right="0"/>
              <w:jc w:val="left"/>
              <w:rPr>
                <w:rFonts w:ascii="Times New Roman" w:hAnsi="Times New Roman" w:cs="Times New Roman" w:eastAsia="Times New Roman" w:hint="default"/>
                <w:sz w:val="18"/>
                <w:szCs w:val="18"/>
              </w:rPr>
            </w:pPr>
            <w:r>
              <w:rPr>
                <w:rFonts w:ascii="Times New Roman"/>
                <w:sz w:val="18"/>
              </w:rPr>
              <w:t>4.50</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57" w:right="0"/>
              <w:jc w:val="left"/>
              <w:rPr>
                <w:rFonts w:ascii="Times New Roman" w:hAnsi="Times New Roman" w:cs="Times New Roman" w:eastAsia="Times New Roman" w:hint="default"/>
                <w:sz w:val="18"/>
                <w:szCs w:val="18"/>
              </w:rPr>
            </w:pPr>
            <w:r>
              <w:rPr>
                <w:rFonts w:ascii="Times New Roman"/>
                <w:sz w:val="18"/>
              </w:rPr>
              <w:t>36,528,18</w:t>
            </w:r>
          </w:p>
          <w:p>
            <w:pPr>
              <w:pStyle w:val="TableParagraph"/>
              <w:spacing w:line="240" w:lineRule="auto" w:before="105"/>
              <w:ind w:left="456" w:right="0"/>
              <w:jc w:val="left"/>
              <w:rPr>
                <w:rFonts w:ascii="Times New Roman" w:hAnsi="Times New Roman" w:cs="Times New Roman" w:eastAsia="Times New Roman" w:hint="default"/>
                <w:sz w:val="18"/>
                <w:szCs w:val="18"/>
              </w:rPr>
            </w:pPr>
            <w:r>
              <w:rPr>
                <w:rFonts w:ascii="Times New Roman"/>
                <w:sz w:val="18"/>
              </w:rPr>
              <w:t>5.83</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18"/>
                <w:szCs w:val="18"/>
              </w:rPr>
            </w:pPr>
            <w:r>
              <w:rPr>
                <w:rFonts w:ascii="Times New Roman"/>
                <w:spacing w:val="-1"/>
                <w:sz w:val="18"/>
              </w:rPr>
              <w:t>27,493,486.0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309"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pacing w:val="-4"/>
                <w:sz w:val="18"/>
                <w:szCs w:val="18"/>
              </w:rPr>
              <w:t>产销售；商</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51" w:hRule="exact"/>
        </w:trPr>
        <w:tc>
          <w:tcPr>
            <w:tcW w:w="946" w:type="dxa"/>
            <w:tcBorders>
              <w:top w:val="nil" w:sz="6" w:space="0" w:color="auto"/>
              <w:left w:val="single" w:sz="4" w:space="0" w:color="000000"/>
              <w:bottom w:val="single" w:sz="4" w:space="0" w:color="000000"/>
              <w:right w:val="single" w:sz="4" w:space="0" w:color="000000"/>
            </w:tcBorders>
          </w:tcPr>
          <w:p>
            <w:pPr/>
          </w:p>
        </w:tc>
        <w:tc>
          <w:tcPr>
            <w:tcW w:w="1075"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品进出口。</w:t>
            </w:r>
          </w:p>
        </w:tc>
        <w:tc>
          <w:tcPr>
            <w:tcW w:w="941"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946" w:type="dxa"/>
            <w:tcBorders>
              <w:top w:val="single" w:sz="4" w:space="0" w:color="000000"/>
              <w:left w:val="single" w:sz="4" w:space="0" w:color="000000"/>
              <w:bottom w:val="nil" w:sz="6" w:space="0" w:color="auto"/>
              <w:right w:val="single" w:sz="4" w:space="0" w:color="000000"/>
            </w:tcBorders>
          </w:tcPr>
          <w:p>
            <w:pPr/>
          </w:p>
        </w:tc>
        <w:tc>
          <w:tcPr>
            <w:tcW w:w="1075"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印染添加</w:t>
            </w:r>
          </w:p>
        </w:tc>
        <w:tc>
          <w:tcPr>
            <w:tcW w:w="941"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剂、平滑</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剂、织造助</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剂的生产</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938"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319" w:lineRule="auto" w:before="11"/>
              <w:ind w:left="24" w:right="185"/>
              <w:jc w:val="both"/>
              <w:rPr>
                <w:rFonts w:ascii="宋体" w:hAnsi="宋体" w:cs="宋体" w:eastAsia="宋体" w:hint="default"/>
                <w:sz w:val="18"/>
                <w:szCs w:val="18"/>
              </w:rPr>
            </w:pPr>
            <w:r>
              <w:rPr>
                <w:rFonts w:ascii="宋体" w:hAnsi="宋体" w:cs="宋体" w:eastAsia="宋体" w:hint="default"/>
                <w:sz w:val="18"/>
                <w:szCs w:val="18"/>
              </w:rPr>
              <w:t>浙江安诺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其助剂有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助剂</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4" w:right="17"/>
              <w:jc w:val="left"/>
              <w:rPr>
                <w:rFonts w:ascii="宋体" w:hAnsi="宋体" w:cs="宋体" w:eastAsia="宋体" w:hint="default"/>
                <w:sz w:val="18"/>
                <w:szCs w:val="18"/>
              </w:rPr>
            </w:pPr>
            <w:r>
              <w:rPr>
                <w:rFonts w:ascii="宋体" w:hAnsi="宋体" w:cs="宋体" w:eastAsia="宋体" w:hint="default"/>
                <w:spacing w:val="-4"/>
                <w:sz w:val="18"/>
                <w:szCs w:val="18"/>
              </w:rPr>
              <w:t>销售（除化</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学危险品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及易制毒</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89"/>
              <w:jc w:val="righ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53,054,194.</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sz w:val="18"/>
              </w:rPr>
              <w:t>64</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49,108,307.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30</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29,003,446.</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sz w:val="18"/>
              </w:rPr>
              <w:t>02</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435,804.4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right"/>
              <w:rPr>
                <w:rFonts w:ascii="Times New Roman" w:hAnsi="Times New Roman" w:cs="Times New Roman" w:eastAsia="Times New Roman" w:hint="default"/>
                <w:sz w:val="18"/>
                <w:szCs w:val="18"/>
              </w:rPr>
            </w:pPr>
            <w:r>
              <w:rPr>
                <w:rFonts w:ascii="Times New Roman"/>
                <w:spacing w:val="-1"/>
                <w:sz w:val="18"/>
              </w:rPr>
              <w:t>567,165.75</w:t>
            </w:r>
          </w:p>
        </w:tc>
      </w:tr>
      <w:tr>
        <w:trPr>
          <w:trHeight w:val="310"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w w:val="101"/>
                <w:sz w:val="18"/>
                <w:szCs w:val="18"/>
              </w:rPr>
              <w:t>化</w:t>
            </w:r>
            <w:r>
              <w:rPr>
                <w:rFonts w:ascii="宋体" w:hAnsi="宋体" w:cs="宋体" w:eastAsia="宋体" w:hint="default"/>
                <w:spacing w:val="-5"/>
                <w:w w:val="101"/>
                <w:sz w:val="18"/>
                <w:szCs w:val="18"/>
              </w:rPr>
              <w:t>学</w:t>
            </w:r>
            <w:r>
              <w:rPr>
                <w:rFonts w:ascii="宋体" w:hAnsi="宋体" w:cs="宋体" w:eastAsia="宋体" w:hint="default"/>
                <w:w w:val="101"/>
                <w:sz w:val="18"/>
                <w:szCs w:val="18"/>
              </w:rPr>
              <w:t>品</w:t>
            </w:r>
            <w:r>
              <w:rPr>
                <w:rFonts w:ascii="宋体" w:hAnsi="宋体" w:cs="宋体" w:eastAsia="宋体" w:hint="default"/>
                <w:spacing w:val="-91"/>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货物进出</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口、技术进</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946" w:type="dxa"/>
            <w:tcBorders>
              <w:top w:val="nil" w:sz="6" w:space="0" w:color="auto"/>
              <w:left w:val="single" w:sz="4" w:space="0" w:color="000000"/>
              <w:bottom w:val="single" w:sz="4" w:space="0" w:color="000000"/>
              <w:right w:val="single" w:sz="4" w:space="0" w:color="000000"/>
            </w:tcBorders>
          </w:tcPr>
          <w:p>
            <w:pPr/>
          </w:p>
        </w:tc>
        <w:tc>
          <w:tcPr>
            <w:tcW w:w="1075"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941"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946" w:type="dxa"/>
            <w:tcBorders>
              <w:top w:val="single" w:sz="4" w:space="0" w:color="000000"/>
              <w:left w:val="single" w:sz="4" w:space="0" w:color="000000"/>
              <w:bottom w:val="nil" w:sz="6" w:space="0" w:color="auto"/>
              <w:right w:val="single" w:sz="4" w:space="0" w:color="000000"/>
            </w:tcBorders>
          </w:tcPr>
          <w:p>
            <w:pPr/>
          </w:p>
        </w:tc>
        <w:tc>
          <w:tcPr>
            <w:tcW w:w="1075"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活性染料</w:t>
            </w:r>
          </w:p>
        </w:tc>
        <w:tc>
          <w:tcPr>
            <w:tcW w:w="941"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r>
      <w:tr>
        <w:trPr>
          <w:trHeight w:val="315"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兰</w:t>
            </w:r>
            <w:r>
              <w:rPr>
                <w:rFonts w:ascii="宋体" w:hAnsi="宋体" w:cs="宋体" w:eastAsia="宋体" w:hint="default"/>
                <w:spacing w:val="-33"/>
                <w:sz w:val="18"/>
                <w:szCs w:val="18"/>
              </w:rPr>
              <w:t> </w:t>
            </w:r>
            <w:r>
              <w:rPr>
                <w:rFonts w:ascii="Times New Roman" w:hAnsi="Times New Roman" w:cs="Times New Roman" w:eastAsia="Times New Roman" w:hint="default"/>
                <w:spacing w:val="-3"/>
                <w:sz w:val="18"/>
                <w:szCs w:val="18"/>
              </w:rPr>
              <w:t>KN-R</w:t>
            </w:r>
            <w:r>
              <w:rPr>
                <w:rFonts w:ascii="宋体" w:hAnsi="宋体" w:cs="宋体" w:eastAsia="宋体" w:hint="default"/>
                <w:spacing w:val="-3"/>
                <w:sz w:val="18"/>
                <w:szCs w:val="18"/>
              </w:rPr>
              <w:t>、</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活性染料</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兰</w:t>
            </w:r>
            <w:r>
              <w:rPr>
                <w:rFonts w:ascii="宋体" w:hAnsi="宋体" w:cs="宋体" w:eastAsia="宋体" w:hint="default"/>
                <w:spacing w:val="-33"/>
                <w:sz w:val="18"/>
                <w:szCs w:val="18"/>
              </w:rPr>
              <w:t> </w:t>
            </w:r>
            <w:r>
              <w:rPr>
                <w:rFonts w:ascii="Times New Roman" w:hAnsi="Times New Roman" w:cs="Times New Roman" w:eastAsia="Times New Roman" w:hint="default"/>
                <w:spacing w:val="-3"/>
                <w:sz w:val="18"/>
                <w:szCs w:val="18"/>
              </w:rPr>
              <w:t>X-BR</w:t>
            </w:r>
            <w:r>
              <w:rPr>
                <w:rFonts w:ascii="宋体" w:hAnsi="宋体" w:cs="宋体" w:eastAsia="宋体" w:hint="default"/>
                <w:spacing w:val="-3"/>
                <w:sz w:val="18"/>
                <w:szCs w:val="18"/>
              </w:rPr>
              <w:t>、</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活性红</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K-2BP</w:t>
            </w:r>
            <w:r>
              <w:rPr>
                <w:rFonts w:ascii="宋体" w:hAnsi="宋体" w:cs="宋体" w:eastAsia="宋体" w:hint="default"/>
                <w:sz w:val="18"/>
                <w:szCs w:val="18"/>
              </w:rPr>
              <w:t>、活</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316" w:lineRule="auto" w:before="145"/>
              <w:ind w:left="24" w:right="185"/>
              <w:jc w:val="both"/>
              <w:rPr>
                <w:rFonts w:ascii="宋体" w:hAnsi="宋体" w:cs="宋体" w:eastAsia="宋体" w:hint="default"/>
                <w:sz w:val="18"/>
                <w:szCs w:val="18"/>
              </w:rPr>
            </w:pPr>
            <w:r>
              <w:rPr>
                <w:rFonts w:ascii="宋体" w:hAnsi="宋体" w:cs="宋体" w:eastAsia="宋体" w:hint="default"/>
                <w:sz w:val="18"/>
                <w:szCs w:val="18"/>
              </w:rPr>
              <w:t>江苏安诺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其化工有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染料</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性蓝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P-3R</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活性橙</w:t>
            </w:r>
          </w:p>
          <w:p>
            <w:pPr>
              <w:pStyle w:val="TableParagraph"/>
              <w:spacing w:line="300" w:lineRule="auto" w:before="76"/>
              <w:ind w:left="24" w:right="17"/>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K-7R</w:t>
            </w:r>
            <w:r>
              <w:rPr>
                <w:rFonts w:ascii="宋体" w:hAnsi="宋体" w:cs="宋体" w:eastAsia="宋体" w:hint="default"/>
                <w:spacing w:val="-9"/>
                <w:sz w:val="18"/>
                <w:szCs w:val="18"/>
              </w:rPr>
              <w:t>、活性</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P-6GS</w:t>
            </w:r>
            <w:r>
              <w:rPr>
                <w:rFonts w:ascii="宋体" w:hAnsi="宋体" w:cs="宋体" w:eastAsia="宋体" w:hint="default"/>
                <w:sz w:val="18"/>
                <w:szCs w:val="18"/>
              </w:rPr>
              <w:t>、</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4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万元</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171,940,35</w:t>
            </w:r>
          </w:p>
          <w:p>
            <w:pPr>
              <w:pStyle w:val="TableParagraph"/>
              <w:spacing w:line="240" w:lineRule="auto" w:before="105"/>
              <w:ind w:left="590" w:right="0"/>
              <w:jc w:val="left"/>
              <w:rPr>
                <w:rFonts w:ascii="Times New Roman" w:hAnsi="Times New Roman" w:cs="Times New Roman" w:eastAsia="Times New Roman" w:hint="default"/>
                <w:sz w:val="18"/>
                <w:szCs w:val="18"/>
              </w:rPr>
            </w:pPr>
            <w:r>
              <w:rPr>
                <w:rFonts w:ascii="Times New Roman"/>
                <w:sz w:val="18"/>
              </w:rPr>
              <w:t>9.47</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74,735,104.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19</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196,101,77</w:t>
            </w:r>
          </w:p>
          <w:p>
            <w:pPr>
              <w:pStyle w:val="TableParagraph"/>
              <w:spacing w:line="240" w:lineRule="auto" w:before="105"/>
              <w:ind w:left="590" w:right="0"/>
              <w:jc w:val="left"/>
              <w:rPr>
                <w:rFonts w:ascii="Times New Roman" w:hAnsi="Times New Roman" w:cs="Times New Roman" w:eastAsia="Times New Roman" w:hint="default"/>
                <w:sz w:val="18"/>
                <w:szCs w:val="18"/>
              </w:rPr>
            </w:pPr>
            <w:r>
              <w:rPr>
                <w:rFonts w:ascii="Times New Roman"/>
                <w:sz w:val="18"/>
              </w:rPr>
              <w:t>3.62</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27,563,13</w:t>
            </w:r>
          </w:p>
          <w:p>
            <w:pPr>
              <w:pStyle w:val="TableParagraph"/>
              <w:spacing w:line="240" w:lineRule="auto" w:before="105"/>
              <w:ind w:left="456" w:right="0"/>
              <w:jc w:val="left"/>
              <w:rPr>
                <w:rFonts w:ascii="Times New Roman" w:hAnsi="Times New Roman" w:cs="Times New Roman" w:eastAsia="Times New Roman" w:hint="default"/>
                <w:sz w:val="18"/>
                <w:szCs w:val="18"/>
              </w:rPr>
            </w:pPr>
            <w:r>
              <w:rPr>
                <w:rFonts w:ascii="Times New Roman"/>
                <w:sz w:val="18"/>
              </w:rPr>
              <w:t>5.36</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19,596,608.7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r>
      <w:tr>
        <w:trPr>
          <w:trHeight w:val="307"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磺化吐氏</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酸、单过硫</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酸氢钾生</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产销售。化</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工原料、化</w:t>
            </w: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
        </w:tc>
        <w:tc>
          <w:tcPr>
            <w:tcW w:w="80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r>
      <w:tr>
        <w:trPr>
          <w:trHeight w:val="322" w:hRule="exact"/>
        </w:trPr>
        <w:tc>
          <w:tcPr>
            <w:tcW w:w="946" w:type="dxa"/>
            <w:tcBorders>
              <w:top w:val="nil" w:sz="6" w:space="0" w:color="auto"/>
              <w:left w:val="single" w:sz="4" w:space="0" w:color="000000"/>
              <w:bottom w:val="single" w:sz="4" w:space="0" w:color="000000"/>
              <w:right w:val="single" w:sz="4" w:space="0" w:color="000000"/>
            </w:tcBorders>
          </w:tcPr>
          <w:p>
            <w:pPr/>
          </w:p>
        </w:tc>
        <w:tc>
          <w:tcPr>
            <w:tcW w:w="1075"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工产品（危</w:t>
            </w:r>
          </w:p>
        </w:tc>
        <w:tc>
          <w:tcPr>
            <w:tcW w:w="941"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r>
    </w:tbl>
    <w:p>
      <w:pPr>
        <w:spacing w:after="0"/>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46"/>
        <w:gridCol w:w="1075"/>
        <w:gridCol w:w="941"/>
        <w:gridCol w:w="946"/>
        <w:gridCol w:w="941"/>
        <w:gridCol w:w="946"/>
        <w:gridCol w:w="941"/>
        <w:gridCol w:w="946"/>
        <w:gridCol w:w="806"/>
        <w:gridCol w:w="1080"/>
      </w:tblGrid>
      <w:tr>
        <w:trPr>
          <w:trHeight w:val="316" w:hRule="exact"/>
        </w:trPr>
        <w:tc>
          <w:tcPr>
            <w:tcW w:w="946" w:type="dxa"/>
            <w:vMerge w:val="restart"/>
            <w:tcBorders>
              <w:top w:val="single" w:sz="4" w:space="0" w:color="000000"/>
              <w:left w:val="single" w:sz="4" w:space="0" w:color="000000"/>
              <w:right w:val="single" w:sz="4" w:space="0" w:color="000000"/>
            </w:tcBorders>
          </w:tcPr>
          <w:p>
            <w:pPr/>
          </w:p>
        </w:tc>
        <w:tc>
          <w:tcPr>
            <w:tcW w:w="1075" w:type="dxa"/>
            <w:vMerge w:val="restart"/>
            <w:tcBorders>
              <w:top w:val="single" w:sz="4" w:space="0" w:color="000000"/>
              <w:left w:val="single" w:sz="4" w:space="0" w:color="000000"/>
              <w:right w:val="single" w:sz="4" w:space="0" w:color="000000"/>
            </w:tcBorders>
          </w:tcPr>
          <w:p>
            <w:pPr/>
          </w:p>
        </w:tc>
        <w:tc>
          <w:tcPr>
            <w:tcW w:w="941" w:type="dxa"/>
            <w:vMerge w:val="restart"/>
            <w:tcBorders>
              <w:top w:val="single" w:sz="4" w:space="0" w:color="000000"/>
              <w:left w:val="single" w:sz="4" w:space="0" w:color="000000"/>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险化学品</w:t>
            </w:r>
          </w:p>
        </w:tc>
        <w:tc>
          <w:tcPr>
            <w:tcW w:w="941" w:type="dxa"/>
            <w:vMerge w:val="restart"/>
            <w:tcBorders>
              <w:top w:val="single" w:sz="4" w:space="0" w:color="000000"/>
              <w:left w:val="single" w:sz="4" w:space="0" w:color="000000"/>
              <w:right w:val="single" w:sz="4" w:space="0" w:color="000000"/>
            </w:tcBorders>
          </w:tcPr>
          <w:p>
            <w:pPr/>
          </w:p>
        </w:tc>
        <w:tc>
          <w:tcPr>
            <w:tcW w:w="946" w:type="dxa"/>
            <w:vMerge w:val="restart"/>
            <w:tcBorders>
              <w:top w:val="single" w:sz="4" w:space="0" w:color="000000"/>
              <w:left w:val="single" w:sz="4" w:space="0" w:color="000000"/>
              <w:right w:val="single" w:sz="4" w:space="0" w:color="000000"/>
            </w:tcBorders>
          </w:tcPr>
          <w:p>
            <w:pPr/>
          </w:p>
        </w:tc>
        <w:tc>
          <w:tcPr>
            <w:tcW w:w="941" w:type="dxa"/>
            <w:vMerge w:val="restart"/>
            <w:tcBorders>
              <w:top w:val="single" w:sz="4" w:space="0" w:color="000000"/>
              <w:left w:val="single" w:sz="4" w:space="0" w:color="000000"/>
              <w:right w:val="single" w:sz="4" w:space="0" w:color="000000"/>
            </w:tcBorders>
          </w:tcPr>
          <w:p>
            <w:pPr/>
          </w:p>
        </w:tc>
        <w:tc>
          <w:tcPr>
            <w:tcW w:w="946" w:type="dxa"/>
            <w:vMerge w:val="restart"/>
            <w:tcBorders>
              <w:top w:val="single" w:sz="4" w:space="0" w:color="000000"/>
              <w:left w:val="single" w:sz="4" w:space="0" w:color="000000"/>
              <w:right w:val="single" w:sz="4" w:space="0" w:color="000000"/>
            </w:tcBorders>
          </w:tcPr>
          <w:p>
            <w:pPr/>
          </w:p>
        </w:tc>
        <w:tc>
          <w:tcPr>
            <w:tcW w:w="806" w:type="dxa"/>
            <w:vMerge w:val="restart"/>
            <w:tcBorders>
              <w:top w:val="single" w:sz="4" w:space="0" w:color="000000"/>
              <w:left w:val="single" w:sz="4" w:space="0" w:color="000000"/>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除外）的销</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4"/>
                <w:sz w:val="18"/>
                <w:szCs w:val="18"/>
              </w:rPr>
              <w:t>售，从事上</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2"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述产品和</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14" w:hRule="exact"/>
        </w:trPr>
        <w:tc>
          <w:tcPr>
            <w:tcW w:w="946" w:type="dxa"/>
            <w:vMerge/>
            <w:tcBorders>
              <w:left w:val="single" w:sz="4" w:space="0" w:color="000000"/>
              <w:right w:val="single" w:sz="4" w:space="0" w:color="000000"/>
            </w:tcBorders>
          </w:tcPr>
          <w:p>
            <w:pPr/>
          </w:p>
        </w:tc>
        <w:tc>
          <w:tcPr>
            <w:tcW w:w="1075"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技术的进</w:t>
            </w: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c>
          <w:tcPr>
            <w:tcW w:w="946"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r>
      <w:tr>
        <w:trPr>
          <w:trHeight w:val="354" w:hRule="exact"/>
        </w:trPr>
        <w:tc>
          <w:tcPr>
            <w:tcW w:w="946" w:type="dxa"/>
            <w:vMerge/>
            <w:tcBorders>
              <w:left w:val="single" w:sz="4" w:space="0" w:color="000000"/>
              <w:bottom w:val="single" w:sz="4" w:space="0" w:color="000000"/>
              <w:right w:val="single" w:sz="4" w:space="0" w:color="000000"/>
            </w:tcBorders>
          </w:tcPr>
          <w:p>
            <w:pPr/>
          </w:p>
        </w:tc>
        <w:tc>
          <w:tcPr>
            <w:tcW w:w="1075" w:type="dxa"/>
            <w:vMerge/>
            <w:tcBorders>
              <w:left w:val="single" w:sz="4" w:space="0" w:color="000000"/>
              <w:bottom w:val="single" w:sz="4" w:space="0" w:color="000000"/>
              <w:right w:val="single" w:sz="4" w:space="0" w:color="000000"/>
            </w:tcBorders>
          </w:tcPr>
          <w:p>
            <w:pPr/>
          </w:p>
        </w:tc>
        <w:tc>
          <w:tcPr>
            <w:tcW w:w="941" w:type="dxa"/>
            <w:vMerge/>
            <w:tcBorders>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出口业务。</w:t>
            </w:r>
          </w:p>
        </w:tc>
        <w:tc>
          <w:tcPr>
            <w:tcW w:w="941" w:type="dxa"/>
            <w:vMerge/>
            <w:tcBorders>
              <w:left w:val="single" w:sz="4" w:space="0" w:color="000000"/>
              <w:bottom w:val="single" w:sz="4" w:space="0" w:color="000000"/>
              <w:right w:val="single" w:sz="4" w:space="0" w:color="000000"/>
            </w:tcBorders>
          </w:tcPr>
          <w:p>
            <w:pPr/>
          </w:p>
        </w:tc>
        <w:tc>
          <w:tcPr>
            <w:tcW w:w="946" w:type="dxa"/>
            <w:vMerge/>
            <w:tcBorders>
              <w:left w:val="single" w:sz="4" w:space="0" w:color="000000"/>
              <w:bottom w:val="single" w:sz="4" w:space="0" w:color="000000"/>
              <w:right w:val="single" w:sz="4" w:space="0" w:color="000000"/>
            </w:tcBorders>
          </w:tcPr>
          <w:p>
            <w:pPr/>
          </w:p>
        </w:tc>
        <w:tc>
          <w:tcPr>
            <w:tcW w:w="941" w:type="dxa"/>
            <w:vMerge/>
            <w:tcBorders>
              <w:left w:val="single" w:sz="4" w:space="0" w:color="000000"/>
              <w:bottom w:val="single" w:sz="4" w:space="0" w:color="000000"/>
              <w:right w:val="single" w:sz="4" w:space="0" w:color="000000"/>
            </w:tcBorders>
          </w:tcPr>
          <w:p>
            <w:pPr/>
          </w:p>
        </w:tc>
        <w:tc>
          <w:tcPr>
            <w:tcW w:w="946" w:type="dxa"/>
            <w:vMerge/>
            <w:tcBorders>
              <w:left w:val="single" w:sz="4" w:space="0" w:color="000000"/>
              <w:bottom w:val="single" w:sz="4" w:space="0" w:color="000000"/>
              <w:right w:val="single" w:sz="4" w:space="0" w:color="000000"/>
            </w:tcBorders>
          </w:tcPr>
          <w:p>
            <w:pPr/>
          </w:p>
        </w:tc>
        <w:tc>
          <w:tcPr>
            <w:tcW w:w="806"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r>
      <w:tr>
        <w:trPr>
          <w:trHeight w:val="359" w:hRule="exact"/>
        </w:trPr>
        <w:tc>
          <w:tcPr>
            <w:tcW w:w="946" w:type="dxa"/>
            <w:tcBorders>
              <w:top w:val="single" w:sz="4" w:space="0" w:color="000000"/>
              <w:left w:val="single" w:sz="4" w:space="0" w:color="000000"/>
              <w:bottom w:val="nil" w:sz="6" w:space="0" w:color="auto"/>
              <w:right w:val="single" w:sz="4" w:space="0" w:color="000000"/>
            </w:tcBorders>
          </w:tcPr>
          <w:p>
            <w:pPr/>
          </w:p>
        </w:tc>
        <w:tc>
          <w:tcPr>
            <w:tcW w:w="1075"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有机化学</w:t>
            </w:r>
          </w:p>
        </w:tc>
        <w:tc>
          <w:tcPr>
            <w:tcW w:w="941"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946"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r>
      <w:tr>
        <w:trPr>
          <w:trHeight w:val="1562"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9" w:lineRule="auto"/>
              <w:ind w:left="24" w:right="185"/>
              <w:jc w:val="both"/>
              <w:rPr>
                <w:rFonts w:ascii="宋体" w:hAnsi="宋体" w:cs="宋体" w:eastAsia="宋体" w:hint="default"/>
                <w:sz w:val="18"/>
                <w:szCs w:val="18"/>
              </w:rPr>
            </w:pPr>
            <w:r>
              <w:rPr>
                <w:rFonts w:ascii="宋体" w:hAnsi="宋体" w:cs="宋体" w:eastAsia="宋体" w:hint="default"/>
                <w:sz w:val="18"/>
                <w:szCs w:val="18"/>
              </w:rPr>
              <w:t>烟台安诺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其精细化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工有限公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染料</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4" w:right="2"/>
              <w:jc w:val="left"/>
              <w:rPr>
                <w:rFonts w:ascii="宋体" w:hAnsi="宋体" w:cs="宋体" w:eastAsia="宋体" w:hint="default"/>
                <w:sz w:val="18"/>
                <w:szCs w:val="18"/>
              </w:rPr>
            </w:pPr>
            <w:r>
              <w:rPr>
                <w:rFonts w:ascii="宋体" w:hAnsi="宋体" w:cs="宋体" w:eastAsia="宋体" w:hint="default"/>
                <w:sz w:val="18"/>
                <w:szCs w:val="18"/>
              </w:rPr>
              <w:t>原料的研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究服务制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造、销售，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货物进出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口，技术进</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万元</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110,369,52</w:t>
            </w:r>
          </w:p>
          <w:p>
            <w:pPr>
              <w:pStyle w:val="TableParagraph"/>
              <w:spacing w:line="240" w:lineRule="auto" w:before="110"/>
              <w:ind w:left="590" w:right="0"/>
              <w:jc w:val="left"/>
              <w:rPr>
                <w:rFonts w:ascii="Times New Roman" w:hAnsi="Times New Roman" w:cs="Times New Roman" w:eastAsia="Times New Roman" w:hint="default"/>
                <w:sz w:val="18"/>
                <w:szCs w:val="18"/>
              </w:rPr>
            </w:pPr>
            <w:r>
              <w:rPr>
                <w:rFonts w:ascii="Times New Roman"/>
                <w:sz w:val="18"/>
              </w:rPr>
              <w:t>9.81</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48,929,915.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91</w:t>
            </w:r>
          </w:p>
        </w:tc>
        <w:tc>
          <w:tcPr>
            <w:tcW w:w="9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0" w:right="0"/>
              <w:jc w:val="left"/>
              <w:rPr>
                <w:rFonts w:ascii="Times New Roman" w:hAnsi="Times New Roman" w:cs="Times New Roman" w:eastAsia="Times New Roman" w:hint="default"/>
                <w:sz w:val="18"/>
                <w:szCs w:val="18"/>
              </w:rPr>
            </w:pPr>
            <w:r>
              <w:rPr>
                <w:rFonts w:ascii="Times New Roman"/>
                <w:sz w:val="18"/>
              </w:rPr>
              <w:t>0.00</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-1,226,66</w:t>
            </w:r>
          </w:p>
          <w:p>
            <w:pPr>
              <w:pStyle w:val="TableParagraph"/>
              <w:spacing w:line="240" w:lineRule="auto" w:before="110"/>
              <w:ind w:left="456" w:right="0"/>
              <w:jc w:val="left"/>
              <w:rPr>
                <w:rFonts w:ascii="Times New Roman" w:hAnsi="Times New Roman" w:cs="Times New Roman" w:eastAsia="Times New Roman" w:hint="default"/>
                <w:sz w:val="18"/>
                <w:szCs w:val="18"/>
              </w:rPr>
            </w:pPr>
            <w:r>
              <w:rPr>
                <w:rFonts w:ascii="Times New Roman"/>
                <w:sz w:val="18"/>
              </w:rPr>
              <w:t>2.65</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-1,069,838.59</w:t>
            </w:r>
          </w:p>
        </w:tc>
      </w:tr>
      <w:tr>
        <w:trPr>
          <w:trHeight w:val="354" w:hRule="exact"/>
        </w:trPr>
        <w:tc>
          <w:tcPr>
            <w:tcW w:w="946" w:type="dxa"/>
            <w:tcBorders>
              <w:top w:val="nil" w:sz="6" w:space="0" w:color="auto"/>
              <w:left w:val="single" w:sz="4" w:space="0" w:color="000000"/>
              <w:bottom w:val="single" w:sz="4" w:space="0" w:color="000000"/>
              <w:right w:val="single" w:sz="4" w:space="0" w:color="000000"/>
            </w:tcBorders>
          </w:tcPr>
          <w:p>
            <w:pPr/>
          </w:p>
        </w:tc>
        <w:tc>
          <w:tcPr>
            <w:tcW w:w="1075"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941"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946"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r>
    </w:tbl>
    <w:p>
      <w:pPr>
        <w:pStyle w:val="Heading4"/>
        <w:spacing w:line="240" w:lineRule="auto"/>
        <w:ind w:left="575" w:right="111"/>
        <w:jc w:val="left"/>
        <w:rPr>
          <w:b w:val="0"/>
          <w:bCs w:val="0"/>
        </w:rPr>
      </w:pPr>
      <w:r>
        <w:rPr/>
        <w:t>主要子公司、参股公司情况说明</w:t>
      </w:r>
      <w:r>
        <w:rPr>
          <w:b w:val="0"/>
          <w:bCs w:val="0"/>
        </w:rPr>
      </w:r>
    </w:p>
    <w:p>
      <w:pPr>
        <w:pStyle w:val="BodyText"/>
        <w:spacing w:line="240" w:lineRule="auto" w:before="171"/>
        <w:ind w:left="575" w:right="111"/>
        <w:jc w:val="left"/>
      </w:pPr>
      <w:r>
        <w:rPr>
          <w:spacing w:val="7"/>
        </w:rPr>
        <w:t>①江苏安诺其化工有限公司为本公司之控股子公司，经众华会计师事务所审计，</w:t>
      </w:r>
      <w:r>
        <w:rPr>
          <w:rFonts w:ascii="Arial" w:hAnsi="Arial" w:cs="Arial" w:eastAsia="Arial" w:hint="default"/>
          <w:spacing w:val="7"/>
        </w:rPr>
        <w:t>2014  </w:t>
      </w:r>
      <w:r>
        <w:rPr>
          <w:rFonts w:ascii="Arial" w:hAnsi="Arial" w:cs="Arial" w:eastAsia="Arial" w:hint="default"/>
          <w:spacing w:val="46"/>
        </w:rPr>
        <w:t> </w:t>
      </w:r>
      <w:r>
        <w:rPr>
          <w:spacing w:val="6"/>
        </w:rPr>
        <w:t>年净利润</w:t>
      </w:r>
    </w:p>
    <w:p>
      <w:pPr>
        <w:pStyle w:val="BodyText"/>
        <w:spacing w:line="240" w:lineRule="auto" w:before="176"/>
        <w:ind w:right="111"/>
        <w:jc w:val="left"/>
      </w:pPr>
      <w:r>
        <w:rPr>
          <w:rFonts w:ascii="Arial" w:hAnsi="Arial" w:cs="Arial" w:eastAsia="Arial" w:hint="default"/>
        </w:rPr>
        <w:t>1,959.66 </w:t>
      </w:r>
      <w:r>
        <w:rPr/>
        <w:t>万元，比上年同期增加 </w:t>
      </w:r>
      <w:r>
        <w:rPr>
          <w:rFonts w:ascii="Arial" w:hAnsi="Arial" w:cs="Arial" w:eastAsia="Arial" w:hint="default"/>
          <w:spacing w:val="-5"/>
        </w:rPr>
        <w:t>1,711.71 </w:t>
      </w:r>
      <w:r>
        <w:rPr/>
        <w:t>万元，主要是：上年 </w:t>
      </w:r>
      <w:r>
        <w:rPr>
          <w:rFonts w:ascii="Arial" w:hAnsi="Arial" w:cs="Arial" w:eastAsia="Arial" w:hint="default"/>
        </w:rPr>
        <w:t>8</w:t>
      </w:r>
      <w:r>
        <w:rPr>
          <w:rFonts w:ascii="Arial" w:hAnsi="Arial" w:cs="Arial" w:eastAsia="Arial" w:hint="default"/>
          <w:spacing w:val="-29"/>
        </w:rPr>
        <w:t> </w:t>
      </w:r>
      <w:r>
        <w:rPr/>
        <w:t>月份收购，纳入合并报表，报告期全年</w:t>
      </w:r>
    </w:p>
    <w:p>
      <w:pPr>
        <w:pStyle w:val="BodyText"/>
        <w:spacing w:line="240" w:lineRule="auto" w:before="180"/>
        <w:ind w:right="111"/>
        <w:jc w:val="left"/>
      </w:pPr>
      <w:r>
        <w:rPr/>
        <w:t>营业收入比上年纳入合并报表数据增加</w:t>
      </w:r>
      <w:r>
        <w:rPr>
          <w:spacing w:val="-44"/>
        </w:rPr>
        <w:t> </w:t>
      </w:r>
      <w:r>
        <w:rPr>
          <w:rFonts w:ascii="Arial" w:hAnsi="Arial" w:cs="Arial" w:eastAsia="Arial" w:hint="default"/>
          <w:spacing w:val="-3"/>
        </w:rPr>
        <w:t>13,072</w:t>
      </w:r>
      <w:r>
        <w:rPr>
          <w:rFonts w:ascii="Arial" w:hAnsi="Arial" w:cs="Arial" w:eastAsia="Arial" w:hint="default"/>
          <w:spacing w:val="-2"/>
        </w:rPr>
        <w:t> </w:t>
      </w:r>
      <w:r>
        <w:rPr/>
        <w:t>万元。</w:t>
      </w:r>
    </w:p>
    <w:p>
      <w:pPr>
        <w:pStyle w:val="BodyText"/>
        <w:spacing w:line="240" w:lineRule="auto" w:before="176"/>
        <w:ind w:left="575" w:right="111"/>
        <w:jc w:val="left"/>
        <w:rPr>
          <w:rFonts w:ascii="Arial" w:hAnsi="Arial" w:cs="Arial" w:eastAsia="Arial" w:hint="default"/>
        </w:rPr>
      </w:pPr>
      <w:r>
        <w:rPr>
          <w:spacing w:val="-3"/>
        </w:rPr>
        <w:t>②浙江安诺其助剂有限公司为本公司之全资子公司，经众华会计师事务所审计，</w:t>
      </w:r>
      <w:r>
        <w:rPr>
          <w:rFonts w:ascii="Arial" w:hAnsi="Arial" w:cs="Arial" w:eastAsia="Arial" w:hint="default"/>
          <w:spacing w:val="-3"/>
        </w:rPr>
        <w:t>2014 </w:t>
      </w:r>
      <w:r>
        <w:rPr/>
        <w:t>年净利润</w:t>
      </w:r>
      <w:r>
        <w:rPr>
          <w:spacing w:val="-5"/>
        </w:rPr>
        <w:t> </w:t>
      </w:r>
      <w:r>
        <w:rPr>
          <w:rFonts w:ascii="Arial" w:hAnsi="Arial" w:cs="Arial" w:eastAsia="Arial" w:hint="default"/>
          <w:spacing w:val="-3"/>
        </w:rPr>
        <w:t>56.72</w:t>
      </w:r>
    </w:p>
    <w:p>
      <w:pPr>
        <w:pStyle w:val="BodyText"/>
        <w:spacing w:line="386" w:lineRule="auto" w:before="180"/>
        <w:ind w:right="216"/>
        <w:jc w:val="left"/>
      </w:pPr>
      <w:r>
        <w:rPr/>
        <w:t>万元，比上年同期减少 </w:t>
      </w:r>
      <w:r>
        <w:rPr>
          <w:rFonts w:ascii="Arial" w:hAnsi="Arial" w:cs="Arial" w:eastAsia="Arial" w:hint="default"/>
          <w:spacing w:val="-3"/>
        </w:rPr>
        <w:t>239.93</w:t>
      </w:r>
      <w:r>
        <w:rPr>
          <w:rFonts w:ascii="Arial" w:hAnsi="Arial" w:cs="Arial" w:eastAsia="Arial" w:hint="default"/>
          <w:spacing w:val="24"/>
        </w:rPr>
        <w:t> </w:t>
      </w:r>
      <w:r>
        <w:rPr/>
        <w:t>万元，主要是：报告期内公司对助剂产品进行结构调整，优化产品结构、</w:t>
      </w:r>
      <w:r>
        <w:rPr>
          <w:w w:val="100"/>
        </w:rPr>
        <w:t> </w:t>
      </w:r>
      <w:r>
        <w:rPr/>
        <w:t>对浙江工厂厂区、生产设备、环保设施进行更新改造，改造期间相应减少产能。</w:t>
      </w:r>
    </w:p>
    <w:p>
      <w:pPr>
        <w:pStyle w:val="Heading4"/>
        <w:spacing w:line="240" w:lineRule="auto"/>
        <w:ind w:left="575" w:right="111"/>
        <w:jc w:val="left"/>
        <w:rPr>
          <w:b w:val="0"/>
          <w:bCs w:val="0"/>
        </w:rPr>
      </w:pPr>
      <w:r>
        <w:rPr/>
        <w:t>报告期内取得和处置子公司的情况</w:t>
      </w:r>
      <w:r>
        <w:rPr>
          <w:b w:val="0"/>
          <w:bCs w:val="0"/>
        </w:rPr>
      </w:r>
    </w:p>
    <w:p>
      <w:pPr>
        <w:pStyle w:val="BodyText"/>
        <w:spacing w:line="240" w:lineRule="auto" w:before="167"/>
        <w:ind w:left="575" w:right="111"/>
        <w:jc w:val="left"/>
      </w:pPr>
      <w:r>
        <w:rPr/>
        <w:t>□ 适用 √</w:t>
      </w:r>
      <w:r>
        <w:rPr>
          <w:spacing w:val="3"/>
        </w:rPr>
        <w:t> </w:t>
      </w:r>
      <w:r>
        <w:rPr/>
        <w:t>不适用</w:t>
      </w:r>
    </w:p>
    <w:p>
      <w:pPr>
        <w:spacing w:line="240" w:lineRule="auto" w:before="9"/>
        <w:rPr>
          <w:rFonts w:ascii="宋体" w:hAnsi="宋体" w:cs="宋体" w:eastAsia="宋体" w:hint="default"/>
          <w:sz w:val="26"/>
          <w:szCs w:val="26"/>
        </w:rPr>
      </w:pPr>
    </w:p>
    <w:p>
      <w:pPr>
        <w:pStyle w:val="Heading4"/>
        <w:spacing w:line="240" w:lineRule="auto"/>
        <w:ind w:right="111"/>
        <w:jc w:val="left"/>
        <w:rPr>
          <w:b w:val="0"/>
          <w:bCs w:val="0"/>
        </w:rPr>
      </w:pPr>
      <w:r>
        <w:rPr/>
        <w:t>（</w:t>
      </w:r>
      <w:r>
        <w:rPr>
          <w:rFonts w:ascii="Times New Roman" w:hAnsi="Times New Roman" w:cs="Times New Roman" w:eastAsia="Times New Roman" w:hint="default"/>
        </w:rPr>
        <w:t>7</w:t>
      </w:r>
      <w:r>
        <w:rPr/>
        <w:t>）公司控制的特殊目的主体情况</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240" w:lineRule="auto"/>
        <w:ind w:left="575" w:right="111"/>
        <w:jc w:val="left"/>
      </w:pPr>
      <w:r>
        <w:rPr/>
        <w:t>□ 适用 √</w:t>
      </w:r>
      <w:r>
        <w:rPr>
          <w:spacing w:val="3"/>
        </w:rPr>
        <w:t> </w:t>
      </w:r>
      <w:r>
        <w:rPr/>
        <w:t>不适用</w:t>
      </w:r>
    </w:p>
    <w:p>
      <w:pPr>
        <w:spacing w:line="240" w:lineRule="auto" w:before="4"/>
        <w:rPr>
          <w:rFonts w:ascii="宋体" w:hAnsi="宋体" w:cs="宋体" w:eastAsia="宋体" w:hint="default"/>
          <w:sz w:val="23"/>
          <w:szCs w:val="23"/>
        </w:rPr>
      </w:pPr>
    </w:p>
    <w:p>
      <w:pPr>
        <w:pStyle w:val="Heading3"/>
        <w:spacing w:line="240" w:lineRule="auto"/>
        <w:ind w:right="111"/>
        <w:jc w:val="left"/>
        <w:rPr>
          <w:b w:val="0"/>
          <w:bCs w:val="0"/>
        </w:rPr>
      </w:pPr>
      <w:r>
        <w:rPr/>
        <w:t>二、公司未来发展的展望</w:t>
      </w:r>
      <w:r>
        <w:rPr>
          <w:b w:val="0"/>
          <w:bCs w:val="0"/>
        </w:rPr>
      </w:r>
    </w:p>
    <w:p>
      <w:pPr>
        <w:spacing w:line="240" w:lineRule="auto" w:before="5"/>
        <w:rPr>
          <w:rFonts w:ascii="Microsoft JhengHei" w:hAnsi="Microsoft JhengHei" w:cs="Microsoft JhengHei" w:eastAsia="Microsoft JhengHei" w:hint="default"/>
          <w:b/>
          <w:bCs/>
          <w:sz w:val="18"/>
          <w:szCs w:val="18"/>
        </w:rPr>
      </w:pPr>
    </w:p>
    <w:p>
      <w:pPr>
        <w:pStyle w:val="Heading4"/>
        <w:spacing w:line="240" w:lineRule="auto"/>
        <w:ind w:left="575" w:right="111"/>
        <w:jc w:val="left"/>
        <w:rPr>
          <w:b w:val="0"/>
          <w:bCs w:val="0"/>
        </w:rPr>
      </w:pPr>
      <w:r>
        <w:rPr/>
        <w:t>（一）公司外部经营环境的变动趋势和竞争格局。</w:t>
      </w:r>
      <w:r>
        <w:rPr>
          <w:b w:val="0"/>
          <w:bCs w:val="0"/>
        </w:rPr>
      </w:r>
    </w:p>
    <w:p>
      <w:pPr>
        <w:pStyle w:val="Heading4"/>
        <w:spacing w:line="240" w:lineRule="auto" w:before="100"/>
        <w:ind w:left="575" w:right="111"/>
        <w:jc w:val="left"/>
        <w:rPr>
          <w:b w:val="0"/>
          <w:bCs w:val="0"/>
        </w:rPr>
      </w:pPr>
      <w:r>
        <w:rPr>
          <w:rFonts w:ascii="Arial" w:hAnsi="Arial" w:cs="Arial" w:eastAsia="Arial" w:hint="default"/>
        </w:rPr>
        <w:t>1</w:t>
      </w:r>
      <w:r>
        <w:rPr/>
        <w:t>、产业背景</w:t>
      </w:r>
      <w:r>
        <w:rPr>
          <w:b w:val="0"/>
          <w:bCs w:val="0"/>
        </w:rPr>
      </w:r>
    </w:p>
    <w:p>
      <w:pPr>
        <w:pStyle w:val="BodyText"/>
        <w:spacing w:line="405" w:lineRule="auto" w:before="171"/>
        <w:ind w:right="111" w:firstLine="422"/>
        <w:jc w:val="left"/>
      </w:pPr>
      <w:r>
        <w:rPr>
          <w:spacing w:val="-5"/>
        </w:rPr>
        <w:t>染料行业是纺织化工行业的重要分支之一，染料工业所生产的各类染料、有机颜料等广泛应用于纺织、</w:t>
      </w:r>
      <w:r>
        <w:rPr>
          <w:w w:val="100"/>
        </w:rPr>
        <w:t> </w:t>
      </w:r>
      <w:r>
        <w:rPr/>
        <w:t>食品、皮革、轻工产品、涂料、油墨等各个领域。</w:t>
      </w:r>
    </w:p>
    <w:p>
      <w:pPr>
        <w:pStyle w:val="BodyText"/>
        <w:spacing w:line="398" w:lineRule="auto" w:before="50"/>
        <w:ind w:right="222" w:firstLine="422"/>
        <w:jc w:val="both"/>
      </w:pPr>
      <w:r>
        <w:rPr>
          <w:spacing w:val="-3"/>
        </w:rPr>
        <w:t>染料最大的应用领域是纺织印染行业，是纺织印染行业对染料的需求占染料总需求的</w:t>
      </w:r>
      <w:r>
        <w:rPr>
          <w:spacing w:val="13"/>
        </w:rPr>
        <w:t> </w:t>
      </w:r>
      <w:r>
        <w:rPr>
          <w:rFonts w:ascii="Arial" w:hAnsi="Arial" w:cs="Arial" w:eastAsia="Arial" w:hint="default"/>
          <w:spacing w:val="-6"/>
        </w:rPr>
        <w:t>80%</w:t>
      </w:r>
      <w:r>
        <w:rPr>
          <w:spacing w:val="-6"/>
        </w:rPr>
        <w:t>以上，染料</w:t>
      </w:r>
      <w:r>
        <w:rPr>
          <w:w w:val="100"/>
        </w:rPr>
        <w:t> </w:t>
      </w:r>
      <w:r>
        <w:rPr>
          <w:spacing w:val="-2"/>
        </w:rPr>
        <w:t>行业的发展与纺织印染行业的景气度直接相关。我国纺织印染行业对外依存度较高，受国际市场需求波动</w:t>
      </w:r>
      <w:r>
        <w:rPr>
          <w:spacing w:val="-35"/>
        </w:rPr>
        <w:t> </w:t>
      </w:r>
      <w:r>
        <w:rPr>
          <w:spacing w:val="-35"/>
        </w:rPr>
      </w:r>
      <w:r>
        <w:rPr/>
        <w:t>影响较大。</w:t>
      </w:r>
    </w:p>
    <w:p>
      <w:pPr>
        <w:spacing w:after="0" w:line="398" w:lineRule="auto"/>
        <w:jc w:val="both"/>
        <w:sectPr>
          <w:pgSz w:w="11900" w:h="16840"/>
          <w:pgMar w:header="742" w:footer="984" w:top="1060" w:bottom="1180" w:left="980" w:right="9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98" w:lineRule="auto"/>
        <w:ind w:right="111" w:firstLine="422"/>
        <w:jc w:val="left"/>
      </w:pPr>
      <w:r>
        <w:rPr>
          <w:rFonts w:ascii="Arial" w:hAnsi="Arial" w:cs="Arial" w:eastAsia="Arial" w:hint="default"/>
          <w:spacing w:val="-3"/>
        </w:rPr>
        <w:t>2014</w:t>
      </w:r>
      <w:r>
        <w:rPr>
          <w:rFonts w:ascii="Arial" w:hAnsi="Arial" w:cs="Arial" w:eastAsia="Arial" w:hint="default"/>
          <w:spacing w:val="11"/>
        </w:rPr>
        <w:t> </w:t>
      </w:r>
      <w:r>
        <w:rPr/>
        <w:t>年，随着国家治理环保力度加强，部分省份执行更严格的排放指标，部分中小型印染企业由于</w:t>
      </w:r>
      <w:r>
        <w:rPr>
          <w:w w:val="100"/>
        </w:rPr>
        <w:t> </w:t>
      </w:r>
      <w:r>
        <w:rPr>
          <w:spacing w:val="-4"/>
        </w:rPr>
        <w:t>环保治理不规范，竞争力下滑，大中型纺织印染企业三废投入力度大，市场竞争力在不断增强，定单增长，</w:t>
      </w:r>
      <w:r>
        <w:rPr>
          <w:spacing w:val="-44"/>
        </w:rPr>
        <w:t> </w:t>
      </w:r>
      <w:r>
        <w:rPr>
          <w:spacing w:val="-44"/>
        </w:rPr>
      </w:r>
      <w:r>
        <w:rPr/>
        <w:t>效益增长显著。</w:t>
      </w:r>
    </w:p>
    <w:p>
      <w:pPr>
        <w:pStyle w:val="Heading4"/>
        <w:spacing w:line="351" w:lineRule="exact"/>
        <w:ind w:left="575" w:right="111"/>
        <w:jc w:val="left"/>
        <w:rPr>
          <w:b w:val="0"/>
          <w:bCs w:val="0"/>
        </w:rPr>
      </w:pPr>
      <w:r>
        <w:rPr>
          <w:rFonts w:ascii="Arial" w:hAnsi="Arial" w:cs="Arial" w:eastAsia="Arial" w:hint="default"/>
        </w:rPr>
        <w:t>2</w:t>
      </w:r>
      <w:r>
        <w:rPr/>
        <w:t>、我国染料市场规模的变化</w:t>
      </w:r>
      <w:r>
        <w:rPr>
          <w:b w:val="0"/>
          <w:bCs w:val="0"/>
        </w:rPr>
      </w:r>
    </w:p>
    <w:p>
      <w:pPr>
        <w:pStyle w:val="BodyText"/>
        <w:spacing w:line="386" w:lineRule="auto" w:before="171"/>
        <w:ind w:right="111" w:firstLine="422"/>
        <w:jc w:val="left"/>
      </w:pPr>
      <w:r>
        <w:rPr>
          <w:spacing w:val="-4"/>
        </w:rPr>
        <w:t>经过多年的发展，我国染料产量约占世界染料总产量的</w:t>
      </w:r>
      <w:r>
        <w:rPr>
          <w:spacing w:val="18"/>
        </w:rPr>
        <w:t> </w:t>
      </w:r>
      <w:r>
        <w:rPr>
          <w:rFonts w:ascii="Arial" w:hAnsi="Arial" w:cs="Arial" w:eastAsia="Arial" w:hint="default"/>
          <w:spacing w:val="-8"/>
        </w:rPr>
        <w:t>60%</w:t>
      </w:r>
      <w:r>
        <w:rPr>
          <w:spacing w:val="-8"/>
        </w:rPr>
        <w:t>。根据染料工业“十二五”发展规划纲要，</w:t>
      </w:r>
      <w:r>
        <w:rPr>
          <w:w w:val="100"/>
        </w:rPr>
        <w:t> </w:t>
      </w:r>
      <w:r>
        <w:rPr/>
        <w:t>未来五年纺织工业对国内染料的需求会以年均</w:t>
      </w:r>
      <w:r>
        <w:rPr>
          <w:spacing w:val="-17"/>
        </w:rPr>
        <w:t> </w:t>
      </w:r>
      <w:r>
        <w:rPr>
          <w:rFonts w:ascii="Arial" w:hAnsi="Arial" w:cs="Arial" w:eastAsia="Arial" w:hint="default"/>
        </w:rPr>
        <w:t>7%</w:t>
      </w:r>
      <w:r>
        <w:rPr/>
        <w:t>的速度增长。到</w:t>
      </w:r>
      <w:r>
        <w:rPr>
          <w:spacing w:val="-17"/>
        </w:rPr>
        <w:t> </w:t>
      </w:r>
      <w:r>
        <w:rPr>
          <w:rFonts w:ascii="Arial" w:hAnsi="Arial" w:cs="Arial" w:eastAsia="Arial" w:hint="default"/>
          <w:spacing w:val="-3"/>
        </w:rPr>
        <w:t>2015</w:t>
      </w:r>
      <w:r>
        <w:rPr>
          <w:rFonts w:ascii="Arial" w:hAnsi="Arial" w:cs="Arial" w:eastAsia="Arial" w:hint="default"/>
          <w:spacing w:val="27"/>
        </w:rPr>
        <w:t> </w:t>
      </w:r>
      <w:r>
        <w:rPr/>
        <w:t>年我国纺织纤维的产量将会达到</w:t>
      </w:r>
      <w:r>
        <w:rPr>
          <w:spacing w:val="-102"/>
        </w:rPr>
        <w:t> </w:t>
      </w:r>
      <w:r>
        <w:rPr>
          <w:spacing w:val="-102"/>
        </w:rPr>
      </w:r>
      <w:r>
        <w:rPr>
          <w:rFonts w:ascii="Arial" w:hAnsi="Arial" w:cs="Arial" w:eastAsia="Arial" w:hint="default"/>
          <w:spacing w:val="-3"/>
        </w:rPr>
        <w:t>5000</w:t>
      </w:r>
      <w:r>
        <w:rPr>
          <w:rFonts w:ascii="Arial" w:hAnsi="Arial" w:cs="Arial" w:eastAsia="Arial" w:hint="default"/>
          <w:spacing w:val="-4"/>
        </w:rPr>
        <w:t> </w:t>
      </w:r>
      <w:r>
        <w:rPr/>
        <w:t>万吨以上，染料的年消耗量（加上出口量）将增加到</w:t>
      </w:r>
      <w:r>
        <w:rPr>
          <w:spacing w:val="-48"/>
        </w:rPr>
        <w:t> </w:t>
      </w:r>
      <w:r>
        <w:rPr>
          <w:rFonts w:ascii="Arial" w:hAnsi="Arial" w:cs="Arial" w:eastAsia="Arial" w:hint="default"/>
        </w:rPr>
        <w:t>100</w:t>
      </w:r>
      <w:r>
        <w:rPr>
          <w:rFonts w:ascii="Arial" w:hAnsi="Arial" w:cs="Arial" w:eastAsia="Arial" w:hint="default"/>
          <w:spacing w:val="-4"/>
        </w:rPr>
        <w:t> </w:t>
      </w:r>
      <w:r>
        <w:rPr/>
        <w:t>万吨以上，纺织印染助剂将会超过</w:t>
      </w:r>
      <w:r>
        <w:rPr>
          <w:spacing w:val="-48"/>
        </w:rPr>
        <w:t> </w:t>
      </w:r>
      <w:r>
        <w:rPr>
          <w:rFonts w:ascii="Arial" w:hAnsi="Arial" w:cs="Arial" w:eastAsia="Arial" w:hint="default"/>
        </w:rPr>
        <w:t>120</w:t>
      </w:r>
      <w:r>
        <w:rPr>
          <w:rFonts w:ascii="Arial" w:hAnsi="Arial" w:cs="Arial" w:eastAsia="Arial" w:hint="default"/>
          <w:spacing w:val="-4"/>
        </w:rPr>
        <w:t> </w:t>
      </w:r>
      <w:r>
        <w:rPr/>
        <w:t>万</w:t>
      </w:r>
      <w:r>
        <w:rPr>
          <w:w w:val="100"/>
        </w:rPr>
        <w:t> </w:t>
      </w:r>
      <w:r>
        <w:rPr/>
        <w:t>吨。</w:t>
      </w:r>
    </w:p>
    <w:p>
      <w:pPr>
        <w:pStyle w:val="Heading4"/>
        <w:spacing w:line="240" w:lineRule="auto"/>
        <w:ind w:left="575" w:right="111"/>
        <w:jc w:val="left"/>
        <w:rPr>
          <w:b w:val="0"/>
          <w:bCs w:val="0"/>
        </w:rPr>
      </w:pPr>
      <w:r>
        <w:rPr>
          <w:rFonts w:ascii="Arial" w:hAnsi="Arial" w:cs="Arial" w:eastAsia="Arial" w:hint="default"/>
        </w:rPr>
        <w:t>3</w:t>
      </w:r>
      <w:r>
        <w:rPr/>
        <w:t>、生态环保型染料需求加大</w:t>
      </w:r>
      <w:r>
        <w:rPr>
          <w:b w:val="0"/>
          <w:bCs w:val="0"/>
        </w:rPr>
      </w:r>
    </w:p>
    <w:p>
      <w:pPr>
        <w:pStyle w:val="BodyText"/>
        <w:spacing w:line="240" w:lineRule="auto" w:before="167"/>
        <w:ind w:left="575" w:right="111"/>
        <w:jc w:val="left"/>
        <w:rPr>
          <w:rFonts w:ascii="Arial" w:hAnsi="Arial" w:cs="Arial" w:eastAsia="Arial" w:hint="default"/>
        </w:rPr>
      </w:pPr>
      <w:r>
        <w:rPr>
          <w:rFonts w:ascii="Arial" w:hAnsi="Arial" w:cs="Arial" w:eastAsia="Arial" w:hint="default"/>
          <w:spacing w:val="-3"/>
          <w:w w:val="100"/>
        </w:rPr>
        <w:t>201</w:t>
      </w:r>
      <w:r>
        <w:rPr>
          <w:rFonts w:ascii="Arial" w:hAnsi="Arial" w:cs="Arial" w:eastAsia="Arial" w:hint="default"/>
          <w:w w:val="100"/>
        </w:rPr>
        <w:t>2</w:t>
      </w:r>
      <w:r>
        <w:rPr>
          <w:rFonts w:ascii="Arial" w:hAnsi="Arial" w:cs="Arial" w:eastAsia="Arial" w:hint="default"/>
          <w:spacing w:val="-4"/>
        </w:rPr>
        <w:t> </w:t>
      </w:r>
      <w:r>
        <w:rPr>
          <w:w w:val="100"/>
        </w:rPr>
        <w:t>年</w:t>
      </w:r>
      <w:r>
        <w:rPr>
          <w:spacing w:val="-48"/>
        </w:rPr>
        <w:t> </w:t>
      </w:r>
      <w:r>
        <w:rPr>
          <w:rFonts w:ascii="Arial" w:hAnsi="Arial" w:cs="Arial" w:eastAsia="Arial" w:hint="default"/>
          <w:spacing w:val="-17"/>
          <w:w w:val="100"/>
        </w:rPr>
        <w:t>1</w:t>
      </w:r>
      <w:r>
        <w:rPr>
          <w:rFonts w:ascii="Arial" w:hAnsi="Arial" w:cs="Arial" w:eastAsia="Arial" w:hint="default"/>
          <w:w w:val="100"/>
        </w:rPr>
        <w:t>1</w:t>
      </w:r>
      <w:r>
        <w:rPr>
          <w:rFonts w:ascii="Arial" w:hAnsi="Arial" w:cs="Arial" w:eastAsia="Arial" w:hint="default"/>
          <w:spacing w:val="-4"/>
        </w:rPr>
        <w:t> </w:t>
      </w:r>
      <w:r>
        <w:rPr>
          <w:w w:val="100"/>
        </w:rPr>
        <w:t>月</w:t>
      </w:r>
      <w:r>
        <w:rPr>
          <w:spacing w:val="-48"/>
        </w:rPr>
        <w:t> </w:t>
      </w:r>
      <w:r>
        <w:rPr>
          <w:rFonts w:ascii="Arial" w:hAnsi="Arial" w:cs="Arial" w:eastAsia="Arial" w:hint="default"/>
          <w:spacing w:val="-3"/>
          <w:w w:val="100"/>
        </w:rPr>
        <w:t>1</w:t>
      </w:r>
      <w:r>
        <w:rPr>
          <w:rFonts w:ascii="Arial" w:hAnsi="Arial" w:cs="Arial" w:eastAsia="Arial" w:hint="default"/>
          <w:w w:val="100"/>
        </w:rPr>
        <w:t>9</w:t>
      </w:r>
      <w:r>
        <w:rPr>
          <w:rFonts w:ascii="Arial" w:hAnsi="Arial" w:cs="Arial" w:eastAsia="Arial" w:hint="default"/>
          <w:spacing w:val="-4"/>
        </w:rPr>
        <w:t> </w:t>
      </w:r>
      <w:r>
        <w:rPr>
          <w:w w:val="100"/>
        </w:rPr>
        <w:t>日，环境保护</w:t>
      </w:r>
      <w:r>
        <w:rPr>
          <w:spacing w:val="-5"/>
          <w:w w:val="100"/>
        </w:rPr>
        <w:t>部</w:t>
      </w:r>
      <w:r>
        <w:rPr>
          <w:w w:val="100"/>
        </w:rPr>
        <w:t>公布了</w:t>
      </w:r>
      <w:r>
        <w:rPr>
          <w:spacing w:val="-5"/>
          <w:w w:val="100"/>
        </w:rPr>
        <w:t>新</w:t>
      </w:r>
      <w:r>
        <w:rPr>
          <w:w w:val="100"/>
        </w:rPr>
        <w:t>的《纺</w:t>
      </w:r>
      <w:r>
        <w:rPr>
          <w:spacing w:val="-5"/>
          <w:w w:val="100"/>
        </w:rPr>
        <w:t>织</w:t>
      </w:r>
      <w:r>
        <w:rPr>
          <w:w w:val="100"/>
        </w:rPr>
        <w:t>染整工业</w:t>
      </w:r>
      <w:r>
        <w:rPr>
          <w:spacing w:val="-5"/>
          <w:w w:val="100"/>
        </w:rPr>
        <w:t>水</w:t>
      </w:r>
      <w:r>
        <w:rPr>
          <w:w w:val="100"/>
        </w:rPr>
        <w:t>污染物</w:t>
      </w:r>
      <w:r>
        <w:rPr>
          <w:spacing w:val="-5"/>
          <w:w w:val="100"/>
        </w:rPr>
        <w:t>排</w:t>
      </w:r>
      <w:r>
        <w:rPr>
          <w:w w:val="100"/>
        </w:rPr>
        <w:t>放标准</w:t>
      </w:r>
      <w:r>
        <w:rPr>
          <w:spacing w:val="-106"/>
          <w:w w:val="100"/>
        </w:rPr>
        <w:t>》</w:t>
      </w:r>
      <w:r>
        <w:rPr>
          <w:spacing w:val="-5"/>
          <w:w w:val="100"/>
        </w:rPr>
        <w:t>，</w:t>
      </w:r>
      <w:r>
        <w:rPr>
          <w:w w:val="100"/>
        </w:rPr>
        <w:t>于</w:t>
      </w:r>
      <w:r>
        <w:rPr>
          <w:spacing w:val="-48"/>
        </w:rPr>
        <w:t> </w:t>
      </w:r>
      <w:r>
        <w:rPr>
          <w:rFonts w:ascii="Arial" w:hAnsi="Arial" w:cs="Arial" w:eastAsia="Arial" w:hint="default"/>
          <w:spacing w:val="-3"/>
          <w:w w:val="100"/>
        </w:rPr>
        <w:t>201</w:t>
      </w:r>
      <w:r>
        <w:rPr>
          <w:rFonts w:ascii="Arial" w:hAnsi="Arial" w:cs="Arial" w:eastAsia="Arial" w:hint="default"/>
          <w:w w:val="100"/>
        </w:rPr>
        <w:t>3</w:t>
      </w:r>
      <w:r>
        <w:rPr>
          <w:rFonts w:ascii="Arial" w:hAnsi="Arial" w:cs="Arial" w:eastAsia="Arial" w:hint="default"/>
          <w:spacing w:val="-4"/>
        </w:rPr>
        <w:t> </w:t>
      </w:r>
      <w:r>
        <w:rPr>
          <w:w w:val="100"/>
        </w:rPr>
        <w:t>年</w:t>
      </w:r>
      <w:r>
        <w:rPr>
          <w:spacing w:val="-48"/>
        </w:rPr>
        <w:t> </w:t>
      </w:r>
      <w:r>
        <w:rPr>
          <w:rFonts w:ascii="Arial" w:hAnsi="Arial" w:cs="Arial" w:eastAsia="Arial" w:hint="default"/>
          <w:w w:val="100"/>
        </w:rPr>
        <w:t>1</w:t>
      </w:r>
      <w:r>
        <w:rPr>
          <w:rFonts w:ascii="Arial" w:hAnsi="Arial" w:cs="Arial" w:eastAsia="Arial" w:hint="default"/>
          <w:spacing w:val="-3"/>
        </w:rPr>
        <w:t> </w:t>
      </w:r>
      <w:r>
        <w:rPr>
          <w:w w:val="100"/>
        </w:rPr>
        <w:t>月</w:t>
      </w:r>
      <w:r>
        <w:rPr>
          <w:spacing w:val="-48"/>
        </w:rPr>
        <w:t> </w:t>
      </w:r>
      <w:r>
        <w:rPr>
          <w:rFonts w:ascii="Arial" w:hAnsi="Arial" w:cs="Arial" w:eastAsia="Arial" w:hint="default"/>
          <w:w w:val="100"/>
        </w:rPr>
        <w:t>1</w:t>
      </w:r>
    </w:p>
    <w:p>
      <w:pPr>
        <w:pStyle w:val="BodyText"/>
        <w:spacing w:line="398" w:lineRule="auto" w:before="180"/>
        <w:ind w:left="0" w:right="202"/>
        <w:jc w:val="right"/>
      </w:pPr>
      <w:r>
        <w:rPr/>
        <w:t>日开始执行。与现在实行的 </w:t>
      </w:r>
      <w:r>
        <w:rPr>
          <w:rFonts w:ascii="Arial" w:hAnsi="Arial" w:cs="Arial" w:eastAsia="Arial" w:hint="default"/>
          <w:spacing w:val="-3"/>
        </w:rPr>
        <w:t>1992</w:t>
      </w:r>
      <w:r>
        <w:rPr>
          <w:rFonts w:ascii="Arial" w:hAnsi="Arial" w:cs="Arial" w:eastAsia="Arial" w:hint="default"/>
          <w:spacing w:val="-12"/>
        </w:rPr>
        <w:t> </w:t>
      </w:r>
      <w:r>
        <w:rPr/>
        <w:t>年颁布的标准相比，新标准中各污染物的排放限值均明显下调，并增加</w:t>
      </w:r>
      <w:r>
        <w:rPr>
          <w:w w:val="100"/>
        </w:rPr>
        <w:t> </w:t>
      </w:r>
      <w:r>
        <w:rPr>
          <w:spacing w:val="-3"/>
        </w:rPr>
        <w:t>了总氮、总磷、可吸附有机卤素（</w:t>
      </w:r>
      <w:r>
        <w:rPr>
          <w:rFonts w:ascii="Arial" w:hAnsi="Arial" w:cs="Arial" w:eastAsia="Arial" w:hint="default"/>
          <w:spacing w:val="-3"/>
        </w:rPr>
        <w:t>AOX</w:t>
      </w:r>
      <w:r>
        <w:rPr>
          <w:spacing w:val="-3"/>
        </w:rPr>
        <w:t>）等指标。下游排污门槛的提高，对染料及印染助剂提出更高的要</w:t>
      </w:r>
      <w:r>
        <w:rPr>
          <w:spacing w:val="-42"/>
        </w:rPr>
        <w:t> </w:t>
      </w:r>
      <w:r>
        <w:rPr>
          <w:spacing w:val="-42"/>
        </w:rPr>
      </w:r>
      <w:r>
        <w:rPr>
          <w:spacing w:val="-2"/>
        </w:rPr>
        <w:t>求，为此，染料行业也将不断推出高端产品，调整产业结构，力促环保升级。随着国家环保和生态发展的</w:t>
      </w:r>
      <w:r>
        <w:rPr>
          <w:spacing w:val="-77"/>
        </w:rPr>
        <w:t> </w:t>
      </w:r>
      <w:r>
        <w:rPr>
          <w:spacing w:val="-77"/>
        </w:rPr>
      </w:r>
      <w:r>
        <w:rPr>
          <w:spacing w:val="-2"/>
        </w:rPr>
        <w:t>要求不断提高，对纺织化学领域提出更高的挑战，对节能减排、环境友好型染料及助剂需求会不断上升。</w:t>
      </w:r>
      <w:r>
        <w:rPr>
          <w:spacing w:val="-23"/>
        </w:rPr>
        <w:t> </w:t>
      </w:r>
      <w:r>
        <w:rPr>
          <w:spacing w:val="-23"/>
        </w:rPr>
      </w:r>
      <w:r>
        <w:rPr>
          <w:spacing w:val="-2"/>
        </w:rPr>
        <w:t>近年来染料和印染助剂产品的不断升级已经大幅减少了纺织染整过程中的污水排量。另外，活性染料</w:t>
      </w:r>
    </w:p>
    <w:p>
      <w:pPr>
        <w:pStyle w:val="BodyText"/>
        <w:spacing w:line="350" w:lineRule="auto" w:before="52"/>
        <w:ind w:left="575" w:right="111" w:hanging="423"/>
        <w:jc w:val="left"/>
      </w:pPr>
      <w:r>
        <w:rPr/>
        <w:t>低温染色工艺、喷墨印花等染整新工艺的不断涌现，也实现了污水减排甚至零排放。</w:t>
      </w:r>
      <w:r>
        <w:rPr>
          <w:w w:val="100"/>
        </w:rPr>
        <w:t> </w:t>
      </w:r>
      <w:r>
        <w:rPr>
          <w:rFonts w:ascii="Arial" w:hAnsi="Arial" w:cs="Arial" w:eastAsia="Arial" w:hint="default"/>
          <w:b/>
          <w:bCs/>
        </w:rPr>
        <w:t>4</w:t>
      </w:r>
      <w:r>
        <w:rPr>
          <w:rFonts w:ascii="Microsoft JhengHei" w:hAnsi="Microsoft JhengHei" w:cs="Microsoft JhengHei" w:eastAsia="Microsoft JhengHei" w:hint="default"/>
          <w:b/>
          <w:bCs/>
        </w:rPr>
        <w:t>、市场竞争格局的变化</w:t>
      </w:r>
      <w:r>
        <w:rPr>
          <w:rFonts w:ascii="Microsoft JhengHei" w:hAnsi="Microsoft JhengHei" w:cs="Microsoft JhengHei" w:eastAsia="Microsoft JhengHei" w:hint="default"/>
          <w:b/>
          <w:bCs/>
          <w:w w:val="100"/>
        </w:rPr>
        <w:t> </w:t>
      </w:r>
      <w:r>
        <w:rPr>
          <w:spacing w:val="-2"/>
        </w:rPr>
        <w:t>经过近十年市场竞争的不断淘汰和整合，中国染料生产的集中度在不断提高。中国主要的染料生产基</w:t>
      </w:r>
    </w:p>
    <w:p>
      <w:pPr>
        <w:pStyle w:val="BodyText"/>
        <w:spacing w:line="386" w:lineRule="auto" w:before="99"/>
        <w:ind w:right="111"/>
        <w:jc w:val="left"/>
      </w:pPr>
      <w:r>
        <w:rPr>
          <w:spacing w:val="-3"/>
        </w:rPr>
        <w:t>地，已从原来的吉林、湖北、天津等地，转移到目前的浙江、江苏、上海，这 </w:t>
      </w:r>
      <w:r>
        <w:rPr>
          <w:rFonts w:ascii="Arial" w:hAnsi="Arial" w:cs="Arial" w:eastAsia="Arial" w:hint="default"/>
        </w:rPr>
        <w:t>3 </w:t>
      </w:r>
      <w:r>
        <w:rPr/>
        <w:t>个省的染料年产量已达到</w:t>
      </w:r>
      <w:r>
        <w:rPr>
          <w:spacing w:val="-95"/>
        </w:rPr>
        <w:t> </w:t>
      </w:r>
      <w:r>
        <w:rPr>
          <w:spacing w:val="-95"/>
        </w:rPr>
      </w:r>
      <w:r>
        <w:rPr/>
        <w:t>全国产量的</w:t>
      </w:r>
      <w:r>
        <w:rPr>
          <w:spacing w:val="-56"/>
        </w:rPr>
        <w:t> </w:t>
      </w:r>
      <w:r>
        <w:rPr>
          <w:rFonts w:ascii="Arial" w:hAnsi="Arial" w:cs="Arial" w:eastAsia="Arial" w:hint="default"/>
        </w:rPr>
        <w:t>80%</w:t>
      </w:r>
      <w:r>
        <w:rPr/>
        <w:t>以上，浙江、江苏两省的染料年出口量接近全国的</w:t>
      </w:r>
      <w:r>
        <w:rPr>
          <w:spacing w:val="-57"/>
        </w:rPr>
        <w:t> </w:t>
      </w:r>
      <w:r>
        <w:rPr>
          <w:rFonts w:ascii="Arial" w:hAnsi="Arial" w:cs="Arial" w:eastAsia="Arial" w:hint="default"/>
        </w:rPr>
        <w:t>60%</w:t>
      </w:r>
      <w:r>
        <w:rPr/>
        <w:t>。</w:t>
      </w:r>
    </w:p>
    <w:p>
      <w:pPr>
        <w:pStyle w:val="BodyText"/>
        <w:spacing w:line="408" w:lineRule="auto" w:before="37"/>
        <w:ind w:right="221" w:firstLine="422"/>
        <w:jc w:val="both"/>
      </w:pPr>
      <w:r>
        <w:rPr>
          <w:spacing w:val="-2"/>
        </w:rPr>
        <w:t>活性染料相对分散染料而言，市场集中度还不高，行业产能过剩严重，未来行业洗牌不可避免。活性</w:t>
      </w:r>
      <w:r>
        <w:rPr>
          <w:w w:val="100"/>
        </w:rPr>
        <w:t> </w:t>
      </w:r>
      <w:r>
        <w:rPr>
          <w:spacing w:val="-2"/>
        </w:rPr>
        <w:t>染料、酸性染料的生产也正在由分散走向集中，最终将形成与分散染料类似的几家企业垄断市场的竞争格</w:t>
      </w:r>
      <w:r>
        <w:rPr>
          <w:spacing w:val="-35"/>
        </w:rPr>
        <w:t> </w:t>
      </w:r>
      <w:r>
        <w:rPr>
          <w:spacing w:val="-35"/>
        </w:rPr>
      </w:r>
      <w:r>
        <w:rPr/>
        <w:t>局。</w:t>
      </w:r>
    </w:p>
    <w:p>
      <w:pPr>
        <w:pStyle w:val="BodyText"/>
        <w:spacing w:line="388" w:lineRule="auto" w:before="43"/>
        <w:ind w:right="111" w:firstLine="422"/>
        <w:jc w:val="left"/>
      </w:pPr>
      <w:r>
        <w:rPr/>
        <w:t>目前全国助剂生产商达</w:t>
      </w:r>
      <w:r>
        <w:rPr>
          <w:spacing w:val="-49"/>
        </w:rPr>
        <w:t> </w:t>
      </w:r>
      <w:r>
        <w:rPr>
          <w:rFonts w:ascii="Arial" w:hAnsi="Arial" w:cs="Arial" w:eastAsia="Arial" w:hint="default"/>
        </w:rPr>
        <w:t>1.6</w:t>
      </w:r>
      <w:r>
        <w:rPr>
          <w:rFonts w:ascii="Arial" w:hAnsi="Arial" w:cs="Arial" w:eastAsia="Arial" w:hint="default"/>
          <w:spacing w:val="-5"/>
        </w:rPr>
        <w:t> </w:t>
      </w:r>
      <w:r>
        <w:rPr>
          <w:spacing w:val="-5"/>
        </w:rPr>
        <w:t>万家，产能超过</w:t>
      </w:r>
      <w:r>
        <w:rPr>
          <w:spacing w:val="-49"/>
        </w:rPr>
        <w:t> </w:t>
      </w:r>
      <w:r>
        <w:rPr>
          <w:rFonts w:ascii="Arial" w:hAnsi="Arial" w:cs="Arial" w:eastAsia="Arial" w:hint="default"/>
        </w:rPr>
        <w:t>150</w:t>
      </w:r>
      <w:r>
        <w:rPr>
          <w:rFonts w:ascii="Arial" w:hAnsi="Arial" w:cs="Arial" w:eastAsia="Arial" w:hint="default"/>
          <w:spacing w:val="-5"/>
        </w:rPr>
        <w:t> </w:t>
      </w:r>
      <w:r>
        <w:rPr>
          <w:spacing w:val="-3"/>
        </w:rPr>
        <w:t>万吨，助剂的市场规模大约为</w:t>
      </w:r>
      <w:r>
        <w:rPr>
          <w:spacing w:val="-49"/>
        </w:rPr>
        <w:t> </w:t>
      </w:r>
      <w:r>
        <w:rPr>
          <w:rFonts w:ascii="Arial" w:hAnsi="Arial" w:cs="Arial" w:eastAsia="Arial" w:hint="default"/>
        </w:rPr>
        <w:t>600-700</w:t>
      </w:r>
      <w:r>
        <w:rPr>
          <w:rFonts w:ascii="Arial" w:hAnsi="Arial" w:cs="Arial" w:eastAsia="Arial" w:hint="default"/>
          <w:spacing w:val="-5"/>
        </w:rPr>
        <w:t> </w:t>
      </w:r>
      <w:r>
        <w:rPr>
          <w:spacing w:val="-4"/>
        </w:rPr>
        <w:t>亿元。纺织助</w:t>
      </w:r>
      <w:r>
        <w:rPr>
          <w:w w:val="100"/>
        </w:rPr>
        <w:t> </w:t>
      </w:r>
      <w:r>
        <w:rPr/>
        <w:t>剂市场集中度比较低，未来会逐渐由分散走向集中。</w:t>
      </w:r>
    </w:p>
    <w:p>
      <w:pPr>
        <w:pStyle w:val="BodyText"/>
        <w:spacing w:line="410" w:lineRule="auto" w:before="60"/>
        <w:ind w:right="111" w:firstLine="422"/>
        <w:jc w:val="left"/>
      </w:pPr>
      <w:r>
        <w:rPr>
          <w:spacing w:val="-2"/>
        </w:rPr>
        <w:t>尽管目前中国染料行业企业的产业化集中度已经有了很大提高，但还没有形成分工合作、优势互补，</w:t>
      </w:r>
      <w:r>
        <w:rPr>
          <w:w w:val="100"/>
        </w:rPr>
        <w:t> </w:t>
      </w:r>
      <w:r>
        <w:rPr/>
        <w:t>更没有发挥出整体效能。</w:t>
      </w:r>
    </w:p>
    <w:p>
      <w:pPr>
        <w:pStyle w:val="Heading4"/>
        <w:spacing w:line="340" w:lineRule="exact"/>
        <w:ind w:left="575" w:right="111"/>
        <w:jc w:val="left"/>
        <w:rPr>
          <w:b w:val="0"/>
          <w:bCs w:val="0"/>
        </w:rPr>
      </w:pPr>
      <w:r>
        <w:rPr>
          <w:rFonts w:ascii="Arial" w:hAnsi="Arial" w:cs="Arial" w:eastAsia="Arial" w:hint="default"/>
        </w:rPr>
        <w:t>5</w:t>
      </w:r>
      <w:r>
        <w:rPr/>
        <w:t>、本公司在行业中的市场竞争优势</w:t>
      </w:r>
      <w:r>
        <w:rPr>
          <w:b w:val="0"/>
          <w:bCs w:val="0"/>
        </w:rPr>
      </w:r>
    </w:p>
    <w:p>
      <w:pPr>
        <w:pStyle w:val="BodyText"/>
        <w:spacing w:line="240" w:lineRule="auto" w:before="171"/>
        <w:ind w:left="575" w:right="111"/>
        <w:jc w:val="left"/>
      </w:pPr>
      <w:r>
        <w:rPr/>
        <w:t>本公司的主要染料产品为新型环保差异化染料，属于功能精细化学品，是我国重点支持的高新技术领</w:t>
      </w:r>
    </w:p>
    <w:p>
      <w:pPr>
        <w:spacing w:line="240" w:lineRule="auto" w:before="8"/>
        <w:rPr>
          <w:rFonts w:ascii="宋体" w:hAnsi="宋体" w:cs="宋体" w:eastAsia="宋体" w:hint="default"/>
          <w:sz w:val="14"/>
          <w:szCs w:val="14"/>
        </w:rPr>
      </w:pPr>
    </w:p>
    <w:p>
      <w:pPr>
        <w:pStyle w:val="BodyText"/>
        <w:spacing w:line="240" w:lineRule="auto"/>
        <w:ind w:right="111"/>
        <w:jc w:val="left"/>
      </w:pPr>
      <w:r>
        <w:rPr/>
        <w:t>域。</w:t>
      </w:r>
    </w:p>
    <w:p>
      <w:pPr>
        <w:spacing w:after="0" w:line="240" w:lineRule="auto"/>
        <w:jc w:val="left"/>
        <w:sectPr>
          <w:footerReference w:type="default" r:id="rId14"/>
          <w:pgSz w:w="11900" w:h="16840"/>
          <w:pgMar w:footer="984" w:header="742" w:top="1060" w:bottom="1180" w:left="980" w:right="900"/>
          <w:pgNumType w:start="27"/>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88" w:lineRule="auto"/>
        <w:ind w:right="110" w:firstLine="422"/>
        <w:jc w:val="left"/>
      </w:pPr>
      <w:r>
        <w:rPr/>
        <w:t>公司在差异化分散染料和低温活性染料、活性印花染料市场拥有较高的市场占有率。</w:t>
      </w:r>
      <w:r>
        <w:rPr>
          <w:rFonts w:ascii="Arial" w:hAnsi="Arial" w:cs="Arial" w:eastAsia="Arial" w:hint="default"/>
        </w:rPr>
        <w:t>2014 </w:t>
      </w:r>
      <w:r>
        <w:rPr/>
        <w:t>年公司重</w:t>
      </w:r>
      <w:r>
        <w:rPr>
          <w:w w:val="100"/>
        </w:rPr>
        <w:t> </w:t>
      </w:r>
      <w:r>
        <w:rPr/>
        <w:t>点推广的产品包括黑</w:t>
      </w:r>
      <w:r>
        <w:rPr>
          <w:spacing w:val="-46"/>
        </w:rPr>
        <w:t> </w:t>
      </w:r>
      <w:r>
        <w:rPr>
          <w:rFonts w:ascii="Arial" w:hAnsi="Arial" w:cs="Arial" w:eastAsia="Arial" w:hint="default"/>
          <w:spacing w:val="-3"/>
        </w:rPr>
        <w:t>PUD-EW</w:t>
      </w:r>
      <w:r>
        <w:rPr>
          <w:spacing w:val="-3"/>
        </w:rPr>
        <w:t>、黑</w:t>
      </w:r>
      <w:r>
        <w:rPr>
          <w:spacing w:val="-48"/>
        </w:rPr>
        <w:t> </w:t>
      </w:r>
      <w:r>
        <w:rPr>
          <w:rFonts w:ascii="Arial" w:hAnsi="Arial" w:cs="Arial" w:eastAsia="Arial" w:hint="default"/>
          <w:spacing w:val="-3"/>
        </w:rPr>
        <w:t>PUD-SW</w:t>
      </w:r>
      <w:r>
        <w:rPr>
          <w:spacing w:val="-3"/>
        </w:rPr>
        <w:t>、分散</w:t>
      </w:r>
      <w:r>
        <w:rPr>
          <w:spacing w:val="-53"/>
        </w:rPr>
        <w:t> </w:t>
      </w:r>
      <w:r>
        <w:rPr>
          <w:rFonts w:ascii="Arial" w:hAnsi="Arial" w:cs="Arial" w:eastAsia="Arial" w:hint="default"/>
        </w:rPr>
        <w:t>DRDW</w:t>
      </w:r>
      <w:r>
        <w:rPr>
          <w:rFonts w:ascii="Arial" w:hAnsi="Arial" w:cs="Arial" w:eastAsia="Arial" w:hint="default"/>
          <w:spacing w:val="7"/>
        </w:rPr>
        <w:t> </w:t>
      </w:r>
      <w:r>
        <w:rPr>
          <w:spacing w:val="-4"/>
        </w:rPr>
        <w:t>系列、分散</w:t>
      </w:r>
      <w:r>
        <w:rPr>
          <w:spacing w:val="-48"/>
        </w:rPr>
        <w:t> </w:t>
      </w:r>
      <w:r>
        <w:rPr>
          <w:rFonts w:ascii="Arial" w:hAnsi="Arial" w:cs="Arial" w:eastAsia="Arial" w:hint="default"/>
        </w:rPr>
        <w:t>HA</w:t>
      </w:r>
      <w:r>
        <w:rPr>
          <w:rFonts w:ascii="Arial" w:hAnsi="Arial" w:cs="Arial" w:eastAsia="Arial" w:hint="default"/>
          <w:spacing w:val="-3"/>
        </w:rPr>
        <w:t> </w:t>
      </w:r>
      <w:r>
        <w:rPr>
          <w:spacing w:val="-3"/>
        </w:rPr>
        <w:t>系列、锦棉一浴</w:t>
      </w:r>
      <w:r>
        <w:rPr>
          <w:spacing w:val="-52"/>
        </w:rPr>
        <w:t> </w:t>
      </w:r>
      <w:r>
        <w:rPr>
          <w:rFonts w:ascii="Arial" w:hAnsi="Arial" w:cs="Arial" w:eastAsia="Arial" w:hint="default"/>
        </w:rPr>
        <w:t>NC</w:t>
      </w:r>
      <w:r>
        <w:rPr>
          <w:rFonts w:ascii="Arial" w:hAnsi="Arial" w:cs="Arial" w:eastAsia="Arial" w:hint="default"/>
          <w:spacing w:val="1"/>
        </w:rPr>
        <w:t> </w:t>
      </w:r>
      <w:r>
        <w:rPr>
          <w:spacing w:val="-4"/>
        </w:rPr>
        <w:t>系列、分</w:t>
      </w:r>
      <w:r>
        <w:rPr>
          <w:spacing w:val="-91"/>
        </w:rPr>
        <w:t> </w:t>
      </w:r>
      <w:r>
        <w:rPr>
          <w:spacing w:val="-91"/>
        </w:rPr>
      </w:r>
      <w:r>
        <w:rPr/>
        <w:t>散印花</w:t>
      </w:r>
      <w:r>
        <w:rPr>
          <w:spacing w:val="-49"/>
        </w:rPr>
        <w:t> </w:t>
      </w:r>
      <w:r>
        <w:rPr>
          <w:rFonts w:ascii="Arial" w:hAnsi="Arial" w:cs="Arial" w:eastAsia="Arial" w:hint="default"/>
        </w:rPr>
        <w:t>P/P-D</w:t>
      </w:r>
      <w:r>
        <w:rPr>
          <w:rFonts w:ascii="Arial" w:hAnsi="Arial" w:cs="Arial" w:eastAsia="Arial" w:hint="default"/>
          <w:spacing w:val="-1"/>
        </w:rPr>
        <w:t> </w:t>
      </w:r>
      <w:r>
        <w:rPr/>
        <w:t>系列。公司研发的环保型分散染料安诺可隆</w:t>
      </w:r>
      <w:r>
        <w:rPr>
          <w:spacing w:val="-49"/>
        </w:rPr>
        <w:t> </w:t>
      </w:r>
      <w:r>
        <w:rPr>
          <w:rFonts w:ascii="Arial" w:hAnsi="Arial" w:cs="Arial" w:eastAsia="Arial" w:hint="default"/>
        </w:rPr>
        <w:t>DRDW</w:t>
      </w:r>
      <w:r>
        <w:rPr>
          <w:rFonts w:ascii="Arial" w:hAnsi="Arial" w:cs="Arial" w:eastAsia="Arial" w:hint="default"/>
          <w:spacing w:val="5"/>
        </w:rPr>
        <w:t> </w:t>
      </w:r>
      <w:r>
        <w:rPr/>
        <w:t>系列染料产品不含可裂解致癌苏香胺、</w:t>
      </w:r>
      <w:r>
        <w:rPr>
          <w:w w:val="100"/>
        </w:rPr>
        <w:t> </w:t>
      </w:r>
      <w:r>
        <w:rPr>
          <w:spacing w:val="-4"/>
        </w:rPr>
        <w:t>不含致癌染料、不含致敏染料及其他禁用分散染料，完全符合</w:t>
      </w:r>
      <w:r>
        <w:rPr>
          <w:spacing w:val="-48"/>
        </w:rPr>
        <w:t> </w:t>
      </w:r>
      <w:r>
        <w:rPr>
          <w:rFonts w:ascii="Arial" w:hAnsi="Arial" w:cs="Arial" w:eastAsia="Arial" w:hint="default"/>
          <w:spacing w:val="-5"/>
        </w:rPr>
        <w:t>OEKO-Tex</w:t>
      </w:r>
      <w:r>
        <w:rPr>
          <w:rFonts w:ascii="Arial" w:hAnsi="Arial" w:cs="Arial" w:eastAsia="Arial" w:hint="default"/>
          <w:spacing w:val="-1"/>
        </w:rPr>
        <w:t> </w:t>
      </w:r>
      <w:r>
        <w:rPr>
          <w:rFonts w:ascii="Arial" w:hAnsi="Arial" w:cs="Arial" w:eastAsia="Arial" w:hint="default"/>
        </w:rPr>
        <w:t>100</w:t>
      </w:r>
      <w:r>
        <w:rPr>
          <w:rFonts w:ascii="Arial" w:hAnsi="Arial" w:cs="Arial" w:eastAsia="Arial" w:hint="default"/>
          <w:spacing w:val="-5"/>
        </w:rPr>
        <w:t> </w:t>
      </w:r>
      <w:r>
        <w:rPr/>
        <w:t>对</w:t>
      </w:r>
      <w:r>
        <w:rPr>
          <w:spacing w:val="-48"/>
        </w:rPr>
        <w:t> </w:t>
      </w:r>
      <w:r>
        <w:rPr>
          <w:rFonts w:ascii="Arial" w:hAnsi="Arial" w:cs="Arial" w:eastAsia="Arial" w:hint="default"/>
          <w:spacing w:val="-4"/>
        </w:rPr>
        <w:t>PCP/TeCP </w:t>
      </w:r>
      <w:r>
        <w:rPr/>
        <w:t>的</w:t>
      </w:r>
      <w:r>
        <w:rPr>
          <w:spacing w:val="-48"/>
        </w:rPr>
        <w:t> </w:t>
      </w:r>
      <w:r>
        <w:rPr>
          <w:rFonts w:ascii="Arial" w:hAnsi="Arial" w:cs="Arial" w:eastAsia="Arial" w:hint="default"/>
        </w:rPr>
        <w:t>I</w:t>
      </w:r>
      <w:r>
        <w:rPr>
          <w:rFonts w:ascii="Arial" w:hAnsi="Arial" w:cs="Arial" w:eastAsia="Arial" w:hint="default"/>
          <w:spacing w:val="-2"/>
        </w:rPr>
        <w:t> </w:t>
      </w:r>
      <w:r>
        <w:rPr/>
        <w:t>类标准要</w:t>
      </w:r>
      <w:r>
        <w:rPr>
          <w:spacing w:val="-93"/>
        </w:rPr>
        <w:t> </w:t>
      </w:r>
      <w:r>
        <w:rPr>
          <w:spacing w:val="-4"/>
          <w:w w:val="100"/>
        </w:rPr>
        <w:t>求。公司研发的节水一浴染色分散染料安诺可隆</w:t>
      </w:r>
      <w:r>
        <w:rPr>
          <w:spacing w:val="-38"/>
          <w:w w:val="100"/>
        </w:rPr>
        <w:t> </w:t>
      </w:r>
      <w:r>
        <w:rPr>
          <w:rFonts w:ascii="Arial" w:hAnsi="Arial" w:cs="Arial" w:eastAsia="Arial" w:hint="default"/>
          <w:w w:val="100"/>
        </w:rPr>
        <w:t>HA</w:t>
      </w:r>
      <w:r>
        <w:rPr>
          <w:rFonts w:ascii="Arial" w:hAnsi="Arial" w:cs="Arial" w:eastAsia="Arial" w:hint="default"/>
          <w:spacing w:val="2"/>
          <w:w w:val="100"/>
        </w:rPr>
        <w:t> </w:t>
      </w:r>
      <w:r>
        <w:rPr>
          <w:spacing w:val="-9"/>
          <w:w w:val="100"/>
        </w:rPr>
        <w:t>系列染料产品耐碱性能优异，“练漂</w:t>
      </w:r>
      <w:r>
        <w:rPr>
          <w:rFonts w:ascii="Arial" w:hAnsi="Arial" w:cs="Arial" w:eastAsia="Arial" w:hint="default"/>
          <w:spacing w:val="-9"/>
          <w:w w:val="100"/>
        </w:rPr>
        <w:t>+</w:t>
      </w:r>
      <w:r>
        <w:rPr>
          <w:spacing w:val="-9"/>
          <w:w w:val="100"/>
        </w:rPr>
        <w:t>染涤”同浴进行，</w:t>
      </w:r>
      <w:r>
        <w:rPr>
          <w:spacing w:val="-103"/>
          <w:w w:val="100"/>
        </w:rPr>
        <w:t> </w:t>
      </w:r>
      <w:r>
        <w:rPr>
          <w:spacing w:val="-103"/>
          <w:w w:val="100"/>
        </w:rPr>
      </w:r>
      <w:r>
        <w:rPr/>
        <w:t>节能减排效果明显，避免了涂料印花的诸多缺陷。公司的 </w:t>
      </w:r>
      <w:r>
        <w:rPr>
          <w:rFonts w:ascii="Arial" w:hAnsi="Arial" w:cs="Arial" w:eastAsia="Arial" w:hint="default"/>
        </w:rPr>
        <w:t>PUD </w:t>
      </w:r>
      <w:r>
        <w:rPr/>
        <w:t>型高水洗牢度分散染料产品可以较一般的</w:t>
      </w:r>
      <w:r>
        <w:rPr>
          <w:w w:val="100"/>
        </w:rPr>
        <w:t> </w:t>
      </w:r>
      <w:r>
        <w:rPr>
          <w:spacing w:val="-7"/>
          <w:w w:val="100"/>
        </w:rPr>
        <w:t>染料减少一次还原清洗过程，从而减少</w:t>
      </w:r>
      <w:r>
        <w:rPr>
          <w:spacing w:val="-45"/>
          <w:w w:val="100"/>
        </w:rPr>
        <w:t> </w:t>
      </w:r>
      <w:r>
        <w:rPr>
          <w:rFonts w:ascii="Arial" w:hAnsi="Arial" w:cs="Arial" w:eastAsia="Arial" w:hint="default"/>
          <w:spacing w:val="-7"/>
          <w:w w:val="100"/>
        </w:rPr>
        <w:t>20%</w:t>
      </w:r>
      <w:r>
        <w:rPr>
          <w:spacing w:val="-7"/>
          <w:w w:val="100"/>
        </w:rPr>
        <w:t>左右的用水量和废水排放。自主研发的</w:t>
      </w:r>
      <w:r>
        <w:rPr>
          <w:spacing w:val="-45"/>
          <w:w w:val="100"/>
        </w:rPr>
        <w:t> </w:t>
      </w:r>
      <w:r>
        <w:rPr>
          <w:rFonts w:ascii="Arial" w:hAnsi="Arial" w:cs="Arial" w:eastAsia="Arial" w:hint="default"/>
          <w:w w:val="100"/>
        </w:rPr>
        <w:t>L </w:t>
      </w:r>
      <w:r>
        <w:rPr>
          <w:spacing w:val="-2"/>
          <w:w w:val="100"/>
        </w:rPr>
        <w:t>型低温活性染料产品，</w:t>
      </w:r>
      <w:r>
        <w:rPr>
          <w:spacing w:val="-103"/>
          <w:w w:val="100"/>
        </w:rPr>
        <w:t> </w:t>
      </w:r>
      <w:r>
        <w:rPr>
          <w:spacing w:val="-103"/>
          <w:w w:val="100"/>
        </w:rPr>
      </w:r>
      <w:r>
        <w:rPr/>
        <w:t>可以较常规活性染料降低 </w:t>
      </w:r>
      <w:r>
        <w:rPr>
          <w:rFonts w:ascii="Arial" w:hAnsi="Arial" w:cs="Arial" w:eastAsia="Arial" w:hint="default"/>
        </w:rPr>
        <w:t>30%</w:t>
      </w:r>
      <w:r>
        <w:rPr/>
        <w:t>的蒸汽消耗和减少</w:t>
      </w:r>
      <w:r>
        <w:rPr>
          <w:spacing w:val="-25"/>
        </w:rPr>
        <w:t> </w:t>
      </w:r>
      <w:r>
        <w:rPr>
          <w:rFonts w:ascii="Arial" w:hAnsi="Arial" w:cs="Arial" w:eastAsia="Arial" w:hint="default"/>
        </w:rPr>
        <w:t>30%</w:t>
      </w:r>
      <w:r>
        <w:rPr/>
        <w:t>的污水排放，节能减排的效益显著。公司将通过不</w:t>
      </w:r>
      <w:r>
        <w:rPr>
          <w:w w:val="100"/>
        </w:rPr>
        <w:t> </w:t>
      </w:r>
      <w:r>
        <w:rPr/>
        <w:t>断调整产品结构，不断开发节能环保型染料产品，未来的产品发展方向完全符合国家环保升级的趋势。</w:t>
      </w:r>
    </w:p>
    <w:p>
      <w:pPr>
        <w:pStyle w:val="BodyText"/>
        <w:spacing w:line="408" w:lineRule="auto" w:before="60"/>
        <w:ind w:right="217" w:firstLine="422"/>
        <w:jc w:val="both"/>
      </w:pPr>
      <w:r>
        <w:rPr>
          <w:spacing w:val="-2"/>
        </w:rPr>
        <w:t>为了维护和提高公司的市场地位，公司未来将努力提高产品销量，特别是同质化产品的销量，提高其</w:t>
      </w:r>
      <w:r>
        <w:rPr>
          <w:w w:val="100"/>
        </w:rPr>
        <w:t> </w:t>
      </w:r>
      <w:r>
        <w:rPr>
          <w:spacing w:val="-2"/>
        </w:rPr>
        <w:t>在同类产品市场的份额，同时继续加强在差异化分散染料、活性印花染料市场和低温活性染料市场的领先</w:t>
      </w:r>
      <w:r>
        <w:rPr>
          <w:spacing w:val="-36"/>
        </w:rPr>
        <w:t> </w:t>
      </w:r>
      <w:r>
        <w:rPr>
          <w:spacing w:val="-36"/>
        </w:rPr>
      </w:r>
      <w:r>
        <w:rPr/>
        <w:t>优势。</w:t>
      </w:r>
    </w:p>
    <w:p>
      <w:pPr>
        <w:pStyle w:val="Heading4"/>
        <w:spacing w:line="347" w:lineRule="exact"/>
        <w:ind w:left="575" w:right="111"/>
        <w:jc w:val="left"/>
        <w:rPr>
          <w:b w:val="0"/>
          <w:bCs w:val="0"/>
        </w:rPr>
      </w:pPr>
      <w:r>
        <w:rPr/>
        <w:t>（二）公司未来发展战略规划及 </w:t>
      </w:r>
      <w:r>
        <w:rPr>
          <w:rFonts w:ascii="Arial" w:hAnsi="Arial" w:cs="Arial" w:eastAsia="Arial" w:hint="default"/>
          <w:spacing w:val="-3"/>
        </w:rPr>
        <w:t>2015</w:t>
      </w:r>
      <w:r>
        <w:rPr>
          <w:rFonts w:ascii="Arial" w:hAnsi="Arial" w:cs="Arial" w:eastAsia="Arial" w:hint="default"/>
          <w:spacing w:val="18"/>
        </w:rPr>
        <w:t> </w:t>
      </w:r>
      <w:r>
        <w:rPr/>
        <w:t>年经营计划</w:t>
      </w:r>
      <w:r>
        <w:rPr>
          <w:b w:val="0"/>
          <w:bCs w:val="0"/>
        </w:rPr>
      </w:r>
    </w:p>
    <w:p>
      <w:pPr>
        <w:pStyle w:val="Heading4"/>
        <w:spacing w:line="240" w:lineRule="auto" w:before="100"/>
        <w:ind w:left="575" w:right="111"/>
        <w:jc w:val="left"/>
        <w:rPr>
          <w:b w:val="0"/>
          <w:bCs w:val="0"/>
        </w:rPr>
      </w:pPr>
      <w:r>
        <w:rPr>
          <w:rFonts w:ascii="Arial" w:hAnsi="Arial" w:cs="Arial" w:eastAsia="Arial" w:hint="default"/>
        </w:rPr>
        <w:t>1</w:t>
      </w:r>
      <w:r>
        <w:rPr/>
        <w:t>、公司未来发展战略规划</w:t>
      </w:r>
      <w:r>
        <w:rPr>
          <w:b w:val="0"/>
          <w:bCs w:val="0"/>
        </w:rPr>
      </w:r>
    </w:p>
    <w:p>
      <w:pPr>
        <w:pStyle w:val="BodyText"/>
        <w:spacing w:line="408" w:lineRule="auto" w:before="171"/>
        <w:ind w:right="222" w:firstLine="422"/>
        <w:jc w:val="both"/>
      </w:pPr>
      <w:r>
        <w:rPr>
          <w:spacing w:val="-2"/>
        </w:rPr>
        <w:t>随着当前全社会环保意识的不断增强，染料品种升级换代，进入环保染料时代是必然趋势。同时，随</w:t>
      </w:r>
      <w:r>
        <w:rPr>
          <w:w w:val="100"/>
        </w:rPr>
        <w:t> </w:t>
      </w:r>
      <w:r>
        <w:rPr>
          <w:spacing w:val="-2"/>
        </w:rPr>
        <w:t>着国内纺织行业产业升级，高档织物面料层出不穷，对性能优异、节能环保新产品需求旺盛，未来公司将</w:t>
      </w:r>
      <w:r>
        <w:rPr>
          <w:spacing w:val="-36"/>
        </w:rPr>
        <w:t> </w:t>
      </w:r>
      <w:r>
        <w:rPr>
          <w:spacing w:val="-36"/>
        </w:rPr>
      </w:r>
      <w:r>
        <w:rPr/>
        <w:t>继续巩固在国内高端、特色化染料市场的竞争优势。</w:t>
      </w:r>
    </w:p>
    <w:p>
      <w:pPr>
        <w:pStyle w:val="BodyText"/>
        <w:spacing w:line="410" w:lineRule="auto" w:before="43"/>
        <w:ind w:right="111" w:firstLine="422"/>
        <w:jc w:val="left"/>
      </w:pPr>
      <w:r>
        <w:rPr/>
        <w:t>在继续促进主业做大做强的同时积极拓展主业延伸及相关领域多元化发展，公司将在染料相关上游中</w:t>
      </w:r>
      <w:r>
        <w:rPr>
          <w:w w:val="100"/>
        </w:rPr>
        <w:t> </w:t>
      </w:r>
      <w:r>
        <w:rPr>
          <w:spacing w:val="-4"/>
        </w:rPr>
        <w:t>间体化学品及应用新材料领域积极开展市场调研工作，拓展业务发展及投资渠道，不断提升公司业绩增长。</w:t>
      </w:r>
    </w:p>
    <w:p>
      <w:pPr>
        <w:pStyle w:val="BodyText"/>
        <w:spacing w:line="408" w:lineRule="auto" w:before="41"/>
        <w:ind w:right="222" w:firstLine="422"/>
        <w:jc w:val="both"/>
      </w:pPr>
      <w:r>
        <w:rPr>
          <w:spacing w:val="-2"/>
        </w:rPr>
        <w:t>未来公司将积极有效地实施集团化管理管控，充分发挥集团公司的优势，完善各项内控制度和内控流</w:t>
      </w:r>
      <w:r>
        <w:rPr>
          <w:w w:val="100"/>
        </w:rPr>
        <w:t> </w:t>
      </w:r>
      <w:r>
        <w:rPr>
          <w:spacing w:val="-2"/>
        </w:rPr>
        <w:t>程，加强监督，贯彻落实各项管理制度的执行，实现管理的规范化、精细化、流程化、透明化。同时借助</w:t>
      </w:r>
      <w:r>
        <w:rPr>
          <w:spacing w:val="-42"/>
        </w:rPr>
        <w:t> </w:t>
      </w:r>
      <w:r>
        <w:rPr>
          <w:spacing w:val="-42"/>
        </w:rPr>
      </w:r>
      <w:r>
        <w:rPr/>
        <w:t>于资本市场的有利条件，保持在具有优势的高端细分领域的领先地位，持续提升行业地位。</w:t>
      </w:r>
    </w:p>
    <w:p>
      <w:pPr>
        <w:pStyle w:val="Heading4"/>
        <w:spacing w:line="347" w:lineRule="exact"/>
        <w:ind w:left="575" w:right="111"/>
        <w:jc w:val="left"/>
        <w:rPr>
          <w:b w:val="0"/>
          <w:bCs w:val="0"/>
        </w:rPr>
      </w:pPr>
      <w:r>
        <w:rPr>
          <w:rFonts w:ascii="Arial" w:hAnsi="Arial" w:cs="Arial" w:eastAsia="Arial" w:hint="default"/>
        </w:rPr>
        <w:t>2</w:t>
      </w:r>
      <w:r>
        <w:rPr/>
        <w:t>、</w:t>
      </w:r>
      <w:r>
        <w:rPr>
          <w:rFonts w:ascii="Arial" w:hAnsi="Arial" w:cs="Arial" w:eastAsia="Arial" w:hint="default"/>
        </w:rPr>
        <w:t>2015</w:t>
      </w:r>
      <w:r>
        <w:rPr>
          <w:rFonts w:ascii="Arial" w:hAnsi="Arial" w:cs="Arial" w:eastAsia="Arial" w:hint="default"/>
          <w:spacing w:val="-7"/>
        </w:rPr>
        <w:t> </w:t>
      </w:r>
      <w:r>
        <w:rPr/>
        <w:t>年经营计划</w:t>
      </w:r>
      <w:r>
        <w:rPr>
          <w:b w:val="0"/>
          <w:bCs w:val="0"/>
        </w:rPr>
      </w:r>
    </w:p>
    <w:p>
      <w:pPr>
        <w:pStyle w:val="BodyText"/>
        <w:spacing w:line="240" w:lineRule="auto" w:before="167"/>
        <w:ind w:left="575" w:right="111"/>
        <w:jc w:val="left"/>
      </w:pPr>
      <w:r>
        <w:rPr>
          <w:rFonts w:ascii="Arial" w:hAnsi="Arial" w:cs="Arial" w:eastAsia="Arial" w:hint="default"/>
          <w:spacing w:val="-3"/>
          <w:w w:val="100"/>
        </w:rPr>
        <w:t>201</w:t>
      </w:r>
      <w:r>
        <w:rPr>
          <w:rFonts w:ascii="Arial" w:hAnsi="Arial" w:cs="Arial" w:eastAsia="Arial" w:hint="default"/>
          <w:w w:val="100"/>
        </w:rPr>
        <w:t>5</w:t>
      </w:r>
      <w:r>
        <w:rPr>
          <w:rFonts w:ascii="Arial" w:hAnsi="Arial" w:cs="Arial" w:eastAsia="Arial" w:hint="default"/>
          <w:spacing w:val="-9"/>
        </w:rPr>
        <w:t> </w:t>
      </w:r>
      <w:r>
        <w:rPr>
          <w:w w:val="100"/>
        </w:rPr>
        <w:t>年</w:t>
      </w:r>
      <w:r>
        <w:rPr>
          <w:spacing w:val="-5"/>
          <w:w w:val="100"/>
        </w:rPr>
        <w:t>，</w:t>
      </w:r>
      <w:r>
        <w:rPr>
          <w:w w:val="100"/>
        </w:rPr>
        <w:t>公司的经营目标为</w:t>
      </w:r>
      <w:r>
        <w:rPr>
          <w:spacing w:val="-111"/>
          <w:w w:val="100"/>
        </w:rPr>
        <w:t>：</w:t>
      </w:r>
      <w:r>
        <w:rPr>
          <w:spacing w:val="-5"/>
          <w:w w:val="100"/>
        </w:rPr>
        <w:t>“</w:t>
      </w:r>
      <w:r>
        <w:rPr>
          <w:w w:val="100"/>
        </w:rPr>
        <w:t>提升产</w:t>
      </w:r>
      <w:r>
        <w:rPr>
          <w:spacing w:val="-5"/>
          <w:w w:val="100"/>
        </w:rPr>
        <w:t>品</w:t>
      </w:r>
      <w:r>
        <w:rPr>
          <w:w w:val="100"/>
        </w:rPr>
        <w:t>市场占</w:t>
      </w:r>
      <w:r>
        <w:rPr>
          <w:spacing w:val="-5"/>
          <w:w w:val="100"/>
        </w:rPr>
        <w:t>有率；</w:t>
      </w:r>
      <w:r>
        <w:rPr>
          <w:w w:val="100"/>
        </w:rPr>
        <w:t>加快对外</w:t>
      </w:r>
      <w:r>
        <w:rPr>
          <w:spacing w:val="-5"/>
          <w:w w:val="100"/>
        </w:rPr>
        <w:t>投</w:t>
      </w:r>
      <w:r>
        <w:rPr>
          <w:w w:val="100"/>
        </w:rPr>
        <w:t>资项目</w:t>
      </w:r>
      <w:r>
        <w:rPr>
          <w:spacing w:val="-5"/>
          <w:w w:val="100"/>
        </w:rPr>
        <w:t>建</w:t>
      </w:r>
      <w:r>
        <w:rPr>
          <w:w w:val="100"/>
        </w:rPr>
        <w:t>设</w:t>
      </w:r>
      <w:r>
        <w:rPr>
          <w:spacing w:val="-5"/>
          <w:w w:val="100"/>
        </w:rPr>
        <w:t>；</w:t>
      </w:r>
      <w:r>
        <w:rPr>
          <w:w w:val="100"/>
        </w:rPr>
        <w:t>积</w:t>
      </w:r>
      <w:r>
        <w:rPr>
          <w:spacing w:val="-5"/>
          <w:w w:val="100"/>
        </w:rPr>
        <w:t>极</w:t>
      </w:r>
      <w:r>
        <w:rPr>
          <w:w w:val="100"/>
        </w:rPr>
        <w:t>拓展主</w:t>
      </w:r>
      <w:r>
        <w:rPr>
          <w:spacing w:val="-5"/>
          <w:w w:val="100"/>
        </w:rPr>
        <w:t>业</w:t>
      </w:r>
      <w:r>
        <w:rPr>
          <w:w w:val="100"/>
        </w:rPr>
        <w:t>延伸及</w:t>
      </w:r>
    </w:p>
    <w:p>
      <w:pPr>
        <w:pStyle w:val="BodyText"/>
        <w:spacing w:line="240" w:lineRule="auto" w:before="180"/>
        <w:ind w:right="111"/>
        <w:jc w:val="left"/>
        <w:rPr>
          <w:rFonts w:ascii="Arial" w:hAnsi="Arial" w:cs="Arial" w:eastAsia="Arial" w:hint="default"/>
        </w:rPr>
      </w:pPr>
      <w:r>
        <w:rPr>
          <w:w w:val="100"/>
        </w:rPr>
        <w:t>相关领域</w:t>
      </w:r>
      <w:r>
        <w:rPr>
          <w:spacing w:val="-5"/>
          <w:w w:val="100"/>
        </w:rPr>
        <w:t>多</w:t>
      </w:r>
      <w:r>
        <w:rPr>
          <w:w w:val="100"/>
        </w:rPr>
        <w:t>元化发展</w:t>
      </w:r>
      <w:r>
        <w:rPr>
          <w:spacing w:val="-82"/>
          <w:w w:val="100"/>
        </w:rPr>
        <w:t>；</w:t>
      </w:r>
      <w:r>
        <w:rPr>
          <w:w w:val="100"/>
        </w:rPr>
        <w:t>强化集</w:t>
      </w:r>
      <w:r>
        <w:rPr>
          <w:spacing w:val="-5"/>
          <w:w w:val="100"/>
        </w:rPr>
        <w:t>团</w:t>
      </w:r>
      <w:r>
        <w:rPr>
          <w:w w:val="100"/>
        </w:rPr>
        <w:t>管控模式</w:t>
      </w:r>
      <w:r>
        <w:rPr>
          <w:spacing w:val="-106"/>
          <w:w w:val="100"/>
        </w:rPr>
        <w:t>”</w:t>
      </w:r>
      <w:r>
        <w:rPr>
          <w:spacing w:val="-82"/>
          <w:w w:val="100"/>
        </w:rPr>
        <w:t>，</w:t>
      </w:r>
      <w:r>
        <w:rPr>
          <w:w w:val="100"/>
        </w:rPr>
        <w:t>同时</w:t>
      </w:r>
      <w:r>
        <w:rPr>
          <w:spacing w:val="-5"/>
          <w:w w:val="100"/>
        </w:rPr>
        <w:t>结合</w:t>
      </w:r>
      <w:r>
        <w:rPr>
          <w:w w:val="100"/>
        </w:rPr>
        <w:t>公司未来</w:t>
      </w:r>
      <w:r>
        <w:rPr>
          <w:spacing w:val="-5"/>
          <w:w w:val="100"/>
        </w:rPr>
        <w:t>五</w:t>
      </w:r>
      <w:r>
        <w:rPr>
          <w:w w:val="100"/>
        </w:rPr>
        <w:t>年发展</w:t>
      </w:r>
      <w:r>
        <w:rPr>
          <w:spacing w:val="-5"/>
          <w:w w:val="100"/>
        </w:rPr>
        <w:t>战</w:t>
      </w:r>
      <w:r>
        <w:rPr>
          <w:w w:val="100"/>
        </w:rPr>
        <w:t>略规划</w:t>
      </w:r>
      <w:r>
        <w:rPr>
          <w:spacing w:val="-77"/>
          <w:w w:val="100"/>
        </w:rPr>
        <w:t>，</w:t>
      </w:r>
      <w:r>
        <w:rPr>
          <w:spacing w:val="-5"/>
          <w:w w:val="100"/>
        </w:rPr>
        <w:t>公</w:t>
      </w:r>
      <w:r>
        <w:rPr>
          <w:w w:val="100"/>
        </w:rPr>
        <w:t>司董事</w:t>
      </w:r>
      <w:r>
        <w:rPr>
          <w:spacing w:val="-5"/>
          <w:w w:val="100"/>
        </w:rPr>
        <w:t>会</w:t>
      </w:r>
      <w:r>
        <w:rPr>
          <w:w w:val="100"/>
        </w:rPr>
        <w:t>确立的</w:t>
      </w:r>
      <w:r>
        <w:rPr>
          <w:spacing w:val="-53"/>
        </w:rPr>
        <w:t> </w:t>
      </w:r>
      <w:r>
        <w:rPr>
          <w:rFonts w:ascii="Arial" w:hAnsi="Arial" w:cs="Arial" w:eastAsia="Arial" w:hint="default"/>
          <w:spacing w:val="-3"/>
          <w:w w:val="100"/>
        </w:rPr>
        <w:t>201</w:t>
      </w:r>
      <w:r>
        <w:rPr>
          <w:rFonts w:ascii="Arial" w:hAnsi="Arial" w:cs="Arial" w:eastAsia="Arial" w:hint="default"/>
          <w:w w:val="100"/>
        </w:rPr>
        <w:t>5</w:t>
      </w:r>
    </w:p>
    <w:p>
      <w:pPr>
        <w:pStyle w:val="BodyText"/>
        <w:spacing w:line="240" w:lineRule="auto" w:before="176"/>
        <w:ind w:right="111"/>
        <w:jc w:val="left"/>
      </w:pPr>
      <w:r>
        <w:rPr/>
        <w:t>年度经营计划：</w:t>
      </w:r>
    </w:p>
    <w:p>
      <w:pPr>
        <w:pStyle w:val="Heading4"/>
        <w:spacing w:line="240" w:lineRule="auto" w:before="128"/>
        <w:ind w:left="575" w:right="111"/>
        <w:jc w:val="left"/>
        <w:rPr>
          <w:b w:val="0"/>
          <w:bCs w:val="0"/>
        </w:rPr>
      </w:pPr>
      <w:r>
        <w:rPr/>
        <w:t>（</w:t>
      </w:r>
      <w:r>
        <w:rPr>
          <w:rFonts w:ascii="Arial" w:hAnsi="Arial" w:cs="Arial" w:eastAsia="Arial" w:hint="default"/>
        </w:rPr>
        <w:t>1</w:t>
      </w:r>
      <w:r>
        <w:rPr/>
        <w:t>）提升产品市场占有率</w:t>
      </w:r>
      <w:r>
        <w:rPr>
          <w:b w:val="0"/>
          <w:bCs w:val="0"/>
        </w:rPr>
      </w:r>
    </w:p>
    <w:p>
      <w:pPr>
        <w:pStyle w:val="BodyText"/>
        <w:spacing w:line="410" w:lineRule="auto" w:before="167"/>
        <w:ind w:right="111" w:firstLine="422"/>
        <w:jc w:val="left"/>
      </w:pPr>
      <w:r>
        <w:rPr>
          <w:spacing w:val="-2"/>
        </w:rPr>
        <w:t>不断优化现有的营销模式、营销政策及销售制度，继续实施产品品牌策略、价格策略、渠道策略、促</w:t>
      </w:r>
      <w:r>
        <w:rPr>
          <w:w w:val="100"/>
        </w:rPr>
        <w:t> </w:t>
      </w:r>
      <w:r>
        <w:rPr/>
        <w:t>销策略，大力开拓有质量的新客户，做好现有客户的维护。</w:t>
      </w:r>
    </w:p>
    <w:p>
      <w:pPr>
        <w:pStyle w:val="Heading4"/>
        <w:spacing w:line="340" w:lineRule="exact"/>
        <w:ind w:left="575" w:right="111"/>
        <w:jc w:val="left"/>
        <w:rPr>
          <w:b w:val="0"/>
          <w:bCs w:val="0"/>
        </w:rPr>
      </w:pPr>
      <w:r>
        <w:rPr/>
        <w:t>（</w:t>
      </w:r>
      <w:r>
        <w:rPr>
          <w:rFonts w:ascii="Arial" w:hAnsi="Arial" w:cs="Arial" w:eastAsia="Arial" w:hint="default"/>
        </w:rPr>
        <w:t>2</w:t>
      </w:r>
      <w:r>
        <w:rPr/>
        <w:t>）加快对外投资项目建设</w:t>
      </w:r>
      <w:r>
        <w:rPr>
          <w:b w:val="0"/>
          <w:bCs w:val="0"/>
        </w:rPr>
      </w:r>
    </w:p>
    <w:p>
      <w:pPr>
        <w:spacing w:after="0" w:line="340" w:lineRule="exact"/>
        <w:jc w:val="left"/>
        <w:sectPr>
          <w:pgSz w:w="11900" w:h="16840"/>
          <w:pgMar w:header="742" w:footer="984" w:top="1060" w:bottom="1180" w:left="980" w:right="900"/>
        </w:sectPr>
      </w:pPr>
    </w:p>
    <w:p>
      <w:pPr>
        <w:spacing w:line="240" w:lineRule="auto" w:before="7"/>
        <w:rPr>
          <w:rFonts w:ascii="Microsoft JhengHei" w:hAnsi="Microsoft JhengHei" w:cs="Microsoft JhengHei" w:eastAsia="Microsoft JhengHei" w:hint="default"/>
          <w:b/>
          <w:bCs/>
          <w:sz w:val="23"/>
          <w:szCs w:val="23"/>
        </w:rPr>
      </w:pPr>
    </w:p>
    <w:p>
      <w:pPr>
        <w:pStyle w:val="BodyText"/>
        <w:spacing w:line="240" w:lineRule="auto" w:before="36"/>
        <w:ind w:left="575" w:right="111"/>
        <w:jc w:val="left"/>
      </w:pPr>
      <w:r>
        <w:rPr>
          <w:rFonts w:ascii="Arial" w:hAnsi="Arial" w:cs="Arial" w:eastAsia="Arial" w:hint="default"/>
          <w:spacing w:val="-3"/>
          <w:w w:val="100"/>
        </w:rPr>
        <w:t>201</w:t>
      </w:r>
      <w:r>
        <w:rPr>
          <w:rFonts w:ascii="Arial" w:hAnsi="Arial" w:cs="Arial" w:eastAsia="Arial" w:hint="default"/>
          <w:w w:val="100"/>
        </w:rPr>
        <w:t>5</w:t>
      </w:r>
      <w:r>
        <w:rPr>
          <w:rFonts w:ascii="Arial" w:hAnsi="Arial" w:cs="Arial" w:eastAsia="Arial" w:hint="default"/>
          <w:spacing w:val="-9"/>
        </w:rPr>
        <w:t> </w:t>
      </w:r>
      <w:r>
        <w:rPr>
          <w:w w:val="100"/>
        </w:rPr>
        <w:t>年</w:t>
      </w:r>
      <w:r>
        <w:rPr>
          <w:spacing w:val="-10"/>
          <w:w w:val="100"/>
        </w:rPr>
        <w:t>，</w:t>
      </w:r>
      <w:r>
        <w:rPr>
          <w:w w:val="100"/>
        </w:rPr>
        <w:t>公司将</w:t>
      </w:r>
      <w:r>
        <w:rPr>
          <w:spacing w:val="-10"/>
          <w:w w:val="100"/>
        </w:rPr>
        <w:t>以</w:t>
      </w:r>
      <w:r>
        <w:rPr>
          <w:w w:val="100"/>
        </w:rPr>
        <w:t>“东营</w:t>
      </w:r>
      <w:r>
        <w:rPr>
          <w:spacing w:val="-53"/>
        </w:rPr>
        <w:t> </w:t>
      </w:r>
      <w:r>
        <w:rPr>
          <w:rFonts w:ascii="Arial" w:hAnsi="Arial" w:cs="Arial" w:eastAsia="Arial" w:hint="default"/>
          <w:spacing w:val="-3"/>
          <w:w w:val="100"/>
        </w:rPr>
        <w:t>2500</w:t>
      </w:r>
      <w:r>
        <w:rPr>
          <w:rFonts w:ascii="Arial" w:hAnsi="Arial" w:cs="Arial" w:eastAsia="Arial" w:hint="default"/>
          <w:w w:val="100"/>
        </w:rPr>
        <w:t>0</w:t>
      </w:r>
      <w:r>
        <w:rPr>
          <w:rFonts w:ascii="Arial" w:hAnsi="Arial" w:cs="Arial" w:eastAsia="Arial" w:hint="default"/>
          <w:spacing w:val="-9"/>
        </w:rPr>
        <w:t> </w:t>
      </w:r>
      <w:r>
        <w:rPr>
          <w:w w:val="100"/>
        </w:rPr>
        <w:t>吨分散染料生</w:t>
      </w:r>
      <w:r>
        <w:rPr>
          <w:spacing w:val="-5"/>
          <w:w w:val="100"/>
        </w:rPr>
        <w:t>产项</w:t>
      </w:r>
      <w:r>
        <w:rPr>
          <w:w w:val="100"/>
        </w:rPr>
        <w:t>目</w:t>
      </w:r>
      <w:r>
        <w:rPr>
          <w:spacing w:val="-106"/>
          <w:w w:val="100"/>
        </w:rPr>
        <w:t>”</w:t>
      </w:r>
      <w:r>
        <w:rPr>
          <w:spacing w:val="-116"/>
          <w:w w:val="100"/>
        </w:rPr>
        <w:t>、</w:t>
      </w:r>
      <w:r>
        <w:rPr>
          <w:w w:val="100"/>
        </w:rPr>
        <w:t>“烟</w:t>
      </w:r>
      <w:r>
        <w:rPr>
          <w:spacing w:val="-5"/>
          <w:w w:val="100"/>
        </w:rPr>
        <w:t>台</w:t>
      </w:r>
      <w:r>
        <w:rPr>
          <w:w w:val="100"/>
        </w:rPr>
        <w:t>年产</w:t>
      </w:r>
      <w:r>
        <w:rPr>
          <w:spacing w:val="-53"/>
        </w:rPr>
        <w:t> </w:t>
      </w:r>
      <w:r>
        <w:rPr>
          <w:rFonts w:ascii="Arial" w:hAnsi="Arial" w:cs="Arial" w:eastAsia="Arial" w:hint="default"/>
          <w:spacing w:val="-3"/>
          <w:w w:val="100"/>
        </w:rPr>
        <w:t>3000</w:t>
      </w:r>
      <w:r>
        <w:rPr>
          <w:rFonts w:ascii="Arial" w:hAnsi="Arial" w:cs="Arial" w:eastAsia="Arial" w:hint="default"/>
          <w:w w:val="100"/>
        </w:rPr>
        <w:t>0</w:t>
      </w:r>
      <w:r>
        <w:rPr>
          <w:rFonts w:ascii="Arial" w:hAnsi="Arial" w:cs="Arial" w:eastAsia="Arial" w:hint="default"/>
          <w:spacing w:val="-9"/>
        </w:rPr>
        <w:t> </w:t>
      </w:r>
      <w:r>
        <w:rPr>
          <w:w w:val="100"/>
        </w:rPr>
        <w:t>吨精细化工中间</w:t>
      </w:r>
      <w:r>
        <w:rPr>
          <w:spacing w:val="-5"/>
          <w:w w:val="100"/>
        </w:rPr>
        <w:t>体</w:t>
      </w:r>
      <w:r>
        <w:rPr>
          <w:w w:val="100"/>
        </w:rPr>
        <w:t>建设项</w:t>
      </w:r>
    </w:p>
    <w:p>
      <w:pPr>
        <w:pStyle w:val="BodyText"/>
        <w:spacing w:line="240" w:lineRule="auto" w:before="176"/>
        <w:ind w:right="0"/>
        <w:jc w:val="both"/>
      </w:pPr>
      <w:r>
        <w:rPr>
          <w:w w:val="100"/>
        </w:rPr>
        <w:t>目</w:t>
      </w:r>
      <w:r>
        <w:rPr>
          <w:spacing w:val="-106"/>
          <w:w w:val="100"/>
        </w:rPr>
        <w:t>”</w:t>
      </w:r>
      <w:r>
        <w:rPr>
          <w:spacing w:val="-154"/>
          <w:w w:val="100"/>
        </w:rPr>
        <w:t>、</w:t>
      </w:r>
      <w:r>
        <w:rPr>
          <w:w w:val="100"/>
        </w:rPr>
        <w:t>“江苏安</w:t>
      </w:r>
      <w:r>
        <w:rPr>
          <w:spacing w:val="-5"/>
          <w:w w:val="100"/>
        </w:rPr>
        <w:t>诺</w:t>
      </w:r>
      <w:r>
        <w:rPr>
          <w:w w:val="100"/>
        </w:rPr>
        <w:t>其活</w:t>
      </w:r>
      <w:r>
        <w:rPr>
          <w:spacing w:val="-5"/>
          <w:w w:val="100"/>
        </w:rPr>
        <w:t>性</w:t>
      </w:r>
      <w:r>
        <w:rPr>
          <w:w w:val="100"/>
        </w:rPr>
        <w:t>染料扩</w:t>
      </w:r>
      <w:r>
        <w:rPr>
          <w:spacing w:val="-5"/>
          <w:w w:val="100"/>
        </w:rPr>
        <w:t>建</w:t>
      </w:r>
      <w:r>
        <w:rPr>
          <w:w w:val="100"/>
        </w:rPr>
        <w:t>项目</w:t>
      </w:r>
      <w:r>
        <w:rPr>
          <w:spacing w:val="-48"/>
          <w:w w:val="100"/>
        </w:rPr>
        <w:t>”</w:t>
      </w:r>
      <w:r>
        <w:rPr>
          <w:w w:val="100"/>
        </w:rPr>
        <w:t>作</w:t>
      </w:r>
      <w:r>
        <w:rPr>
          <w:spacing w:val="-5"/>
          <w:w w:val="100"/>
        </w:rPr>
        <w:t>为</w:t>
      </w:r>
      <w:r>
        <w:rPr>
          <w:w w:val="100"/>
        </w:rPr>
        <w:t>公司的</w:t>
      </w:r>
      <w:r>
        <w:rPr>
          <w:spacing w:val="-5"/>
          <w:w w:val="100"/>
        </w:rPr>
        <w:t>重</w:t>
      </w:r>
      <w:r>
        <w:rPr>
          <w:w w:val="100"/>
        </w:rPr>
        <w:t>点建设项目</w:t>
      </w:r>
      <w:r>
        <w:rPr>
          <w:spacing w:val="-48"/>
          <w:w w:val="100"/>
        </w:rPr>
        <w:t>，</w:t>
      </w:r>
      <w:r>
        <w:rPr>
          <w:spacing w:val="-5"/>
          <w:w w:val="100"/>
        </w:rPr>
        <w:t>其</w:t>
      </w:r>
      <w:r>
        <w:rPr>
          <w:spacing w:val="-49"/>
          <w:w w:val="100"/>
        </w:rPr>
        <w:t>中</w:t>
      </w:r>
      <w:r>
        <w:rPr>
          <w:w w:val="100"/>
        </w:rPr>
        <w:t>“东营</w:t>
      </w:r>
      <w:r>
        <w:rPr>
          <w:spacing w:val="-53"/>
        </w:rPr>
        <w:t> </w:t>
      </w:r>
      <w:r>
        <w:rPr>
          <w:rFonts w:ascii="Arial" w:hAnsi="Arial" w:cs="Arial" w:eastAsia="Arial" w:hint="default"/>
          <w:spacing w:val="-3"/>
          <w:w w:val="100"/>
        </w:rPr>
        <w:t>2500</w:t>
      </w:r>
      <w:r>
        <w:rPr>
          <w:rFonts w:ascii="Arial" w:hAnsi="Arial" w:cs="Arial" w:eastAsia="Arial" w:hint="default"/>
          <w:w w:val="100"/>
        </w:rPr>
        <w:t>0</w:t>
      </w:r>
      <w:r>
        <w:rPr>
          <w:rFonts w:ascii="Arial" w:hAnsi="Arial" w:cs="Arial" w:eastAsia="Arial" w:hint="default"/>
          <w:spacing w:val="-9"/>
        </w:rPr>
        <w:t> </w:t>
      </w:r>
      <w:r>
        <w:rPr>
          <w:w w:val="100"/>
        </w:rPr>
        <w:t>吨分散染料生</w:t>
      </w:r>
      <w:r>
        <w:rPr>
          <w:spacing w:val="-5"/>
          <w:w w:val="100"/>
        </w:rPr>
        <w:t>产</w:t>
      </w:r>
      <w:r>
        <w:rPr>
          <w:w w:val="100"/>
        </w:rPr>
        <w:t>项目”</w:t>
      </w:r>
    </w:p>
    <w:p>
      <w:pPr>
        <w:pStyle w:val="BodyText"/>
        <w:spacing w:line="240" w:lineRule="auto" w:before="180"/>
        <w:ind w:right="0"/>
        <w:jc w:val="both"/>
        <w:rPr>
          <w:rFonts w:ascii="Arial" w:hAnsi="Arial" w:cs="Arial" w:eastAsia="Arial" w:hint="default"/>
        </w:rPr>
      </w:pPr>
      <w:r>
        <w:rPr>
          <w:w w:val="100"/>
        </w:rPr>
        <w:t>计划</w:t>
      </w:r>
      <w:r>
        <w:rPr>
          <w:spacing w:val="-57"/>
        </w:rPr>
        <w:t> </w:t>
      </w:r>
      <w:r>
        <w:rPr>
          <w:rFonts w:ascii="Arial" w:hAnsi="Arial" w:cs="Arial" w:eastAsia="Arial" w:hint="default"/>
          <w:spacing w:val="-3"/>
          <w:w w:val="100"/>
        </w:rPr>
        <w:t>201</w:t>
      </w:r>
      <w:r>
        <w:rPr>
          <w:rFonts w:ascii="Arial" w:hAnsi="Arial" w:cs="Arial" w:eastAsia="Arial" w:hint="default"/>
          <w:w w:val="100"/>
        </w:rPr>
        <w:t>5</w:t>
      </w:r>
      <w:r>
        <w:rPr>
          <w:rFonts w:ascii="Arial" w:hAnsi="Arial" w:cs="Arial" w:eastAsia="Arial" w:hint="default"/>
          <w:spacing w:val="-13"/>
        </w:rPr>
        <w:t> </w:t>
      </w:r>
      <w:r>
        <w:rPr>
          <w:w w:val="100"/>
        </w:rPr>
        <w:t>年投产并根据市场情</w:t>
      </w:r>
      <w:r>
        <w:rPr>
          <w:spacing w:val="-5"/>
          <w:w w:val="100"/>
        </w:rPr>
        <w:t>况</w:t>
      </w:r>
      <w:r>
        <w:rPr>
          <w:w w:val="100"/>
        </w:rPr>
        <w:t>逐步释</w:t>
      </w:r>
      <w:r>
        <w:rPr>
          <w:spacing w:val="-5"/>
          <w:w w:val="100"/>
        </w:rPr>
        <w:t>放</w:t>
      </w:r>
      <w:r>
        <w:rPr>
          <w:w w:val="100"/>
        </w:rPr>
        <w:t>产能</w:t>
      </w:r>
      <w:r>
        <w:rPr>
          <w:spacing w:val="-212"/>
          <w:w w:val="100"/>
        </w:rPr>
        <w:t>；</w:t>
      </w:r>
      <w:r>
        <w:rPr>
          <w:w w:val="100"/>
        </w:rPr>
        <w:t>“</w:t>
      </w:r>
      <w:r>
        <w:rPr>
          <w:spacing w:val="-5"/>
          <w:w w:val="100"/>
        </w:rPr>
        <w:t>烟</w:t>
      </w:r>
      <w:r>
        <w:rPr>
          <w:w w:val="100"/>
        </w:rPr>
        <w:t>台年产</w:t>
      </w:r>
      <w:r>
        <w:rPr>
          <w:spacing w:val="-57"/>
        </w:rPr>
        <w:t> </w:t>
      </w:r>
      <w:r>
        <w:rPr>
          <w:rFonts w:ascii="Arial" w:hAnsi="Arial" w:cs="Arial" w:eastAsia="Arial" w:hint="default"/>
          <w:spacing w:val="-3"/>
          <w:w w:val="100"/>
        </w:rPr>
        <w:t>3000</w:t>
      </w:r>
      <w:r>
        <w:rPr>
          <w:rFonts w:ascii="Arial" w:hAnsi="Arial" w:cs="Arial" w:eastAsia="Arial" w:hint="default"/>
          <w:w w:val="100"/>
        </w:rPr>
        <w:t>0</w:t>
      </w:r>
      <w:r>
        <w:rPr>
          <w:rFonts w:ascii="Arial" w:hAnsi="Arial" w:cs="Arial" w:eastAsia="Arial" w:hint="default"/>
          <w:spacing w:val="-13"/>
        </w:rPr>
        <w:t> </w:t>
      </w:r>
      <w:r>
        <w:rPr>
          <w:w w:val="100"/>
        </w:rPr>
        <w:t>吨精细化工中间体建</w:t>
      </w:r>
      <w:r>
        <w:rPr>
          <w:spacing w:val="-5"/>
          <w:w w:val="100"/>
        </w:rPr>
        <w:t>设</w:t>
      </w:r>
      <w:r>
        <w:rPr>
          <w:w w:val="100"/>
        </w:rPr>
        <w:t>项目</w:t>
      </w:r>
      <w:r>
        <w:rPr>
          <w:spacing w:val="-106"/>
          <w:w w:val="100"/>
        </w:rPr>
        <w:t>”</w:t>
      </w:r>
      <w:r>
        <w:rPr>
          <w:w w:val="100"/>
        </w:rPr>
        <w:t>计划</w:t>
      </w:r>
      <w:r>
        <w:rPr>
          <w:spacing w:val="-57"/>
        </w:rPr>
        <w:t> </w:t>
      </w:r>
      <w:r>
        <w:rPr>
          <w:rFonts w:ascii="Arial" w:hAnsi="Arial" w:cs="Arial" w:eastAsia="Arial" w:hint="default"/>
          <w:spacing w:val="-3"/>
          <w:w w:val="100"/>
        </w:rPr>
        <w:t>201</w:t>
      </w:r>
      <w:r>
        <w:rPr>
          <w:rFonts w:ascii="Arial" w:hAnsi="Arial" w:cs="Arial" w:eastAsia="Arial" w:hint="default"/>
          <w:w w:val="100"/>
        </w:rPr>
        <w:t>5</w:t>
      </w:r>
    </w:p>
    <w:p>
      <w:pPr>
        <w:pStyle w:val="BodyText"/>
        <w:spacing w:line="398" w:lineRule="auto" w:before="176"/>
        <w:ind w:right="202"/>
        <w:jc w:val="both"/>
      </w:pPr>
      <w:r>
        <w:rPr>
          <w:spacing w:val="-1"/>
          <w:w w:val="100"/>
        </w:rPr>
        <w:t>年内开工建设，并计划</w:t>
      </w:r>
      <w:r>
        <w:rPr>
          <w:spacing w:val="-48"/>
          <w:w w:val="100"/>
        </w:rPr>
        <w:t> </w:t>
      </w:r>
      <w:r>
        <w:rPr>
          <w:rFonts w:ascii="Arial" w:hAnsi="Arial" w:cs="Arial" w:eastAsia="Arial" w:hint="default"/>
          <w:spacing w:val="-3"/>
          <w:w w:val="100"/>
        </w:rPr>
        <w:t>2015</w:t>
      </w:r>
      <w:r>
        <w:rPr>
          <w:rFonts w:ascii="Arial" w:hAnsi="Arial" w:cs="Arial" w:eastAsia="Arial" w:hint="default"/>
          <w:spacing w:val="-4"/>
          <w:w w:val="100"/>
        </w:rPr>
        <w:t> </w:t>
      </w:r>
      <w:r>
        <w:rPr>
          <w:spacing w:val="-6"/>
          <w:w w:val="100"/>
        </w:rPr>
        <w:t>年下半年部分产品投产；“江苏安诺其活性染料扩建项目”计划</w:t>
      </w:r>
      <w:r>
        <w:rPr>
          <w:spacing w:val="-48"/>
          <w:w w:val="100"/>
        </w:rPr>
        <w:t> </w:t>
      </w:r>
      <w:r>
        <w:rPr>
          <w:rFonts w:ascii="Arial" w:hAnsi="Arial" w:cs="Arial" w:eastAsia="Arial" w:hint="default"/>
          <w:spacing w:val="-3"/>
          <w:w w:val="100"/>
        </w:rPr>
        <w:t>2015</w:t>
      </w:r>
      <w:r>
        <w:rPr>
          <w:rFonts w:ascii="Arial" w:hAnsi="Arial" w:cs="Arial" w:eastAsia="Arial" w:hint="default"/>
          <w:spacing w:val="-4"/>
          <w:w w:val="100"/>
        </w:rPr>
        <w:t> </w:t>
      </w:r>
      <w:r>
        <w:rPr>
          <w:w w:val="100"/>
        </w:rPr>
        <w:t>年内完</w:t>
      </w:r>
      <w:r>
        <w:rPr>
          <w:spacing w:val="-101"/>
          <w:w w:val="100"/>
        </w:rPr>
        <w:t> </w:t>
      </w:r>
      <w:r>
        <w:rPr>
          <w:spacing w:val="-2"/>
        </w:rPr>
        <w:t>成该项目的前期规划、可行性研究并通过环评审核。上述项目的建设，将促进公司主营业务的稳定增长，</w:t>
      </w:r>
      <w:r>
        <w:rPr>
          <w:spacing w:val="-15"/>
        </w:rPr>
        <w:t> </w:t>
      </w:r>
      <w:r>
        <w:rPr>
          <w:spacing w:val="-15"/>
        </w:rPr>
      </w:r>
      <w:r>
        <w:rPr/>
        <w:t>促使公司向全产业链、规模化大型集团公司跨越。</w:t>
      </w:r>
    </w:p>
    <w:p>
      <w:pPr>
        <w:pStyle w:val="Heading4"/>
        <w:spacing w:line="356" w:lineRule="exact"/>
        <w:ind w:left="575" w:right="111"/>
        <w:jc w:val="left"/>
        <w:rPr>
          <w:b w:val="0"/>
          <w:bCs w:val="0"/>
        </w:rPr>
      </w:pPr>
      <w:r>
        <w:rPr/>
        <w:t>（</w:t>
      </w:r>
      <w:r>
        <w:rPr>
          <w:rFonts w:ascii="Arial" w:hAnsi="Arial" w:cs="Arial" w:eastAsia="Arial" w:hint="default"/>
        </w:rPr>
        <w:t>3</w:t>
      </w:r>
      <w:r>
        <w:rPr/>
        <w:t>）积极拓展主业延伸及相关领域多元化发展</w:t>
      </w:r>
      <w:r>
        <w:rPr>
          <w:b w:val="0"/>
          <w:bCs w:val="0"/>
        </w:rPr>
      </w:r>
    </w:p>
    <w:p>
      <w:pPr>
        <w:pStyle w:val="BodyText"/>
        <w:spacing w:line="398" w:lineRule="auto" w:before="167"/>
        <w:ind w:right="221" w:firstLine="422"/>
        <w:jc w:val="both"/>
      </w:pPr>
      <w:r>
        <w:rPr>
          <w:rFonts w:ascii="Arial" w:hAnsi="Arial" w:cs="Arial" w:eastAsia="Arial" w:hint="default"/>
          <w:spacing w:val="-3"/>
          <w:w w:val="100"/>
        </w:rPr>
        <w:t>2015</w:t>
      </w:r>
      <w:r>
        <w:rPr>
          <w:rFonts w:ascii="Arial" w:hAnsi="Arial" w:cs="Arial" w:eastAsia="Arial" w:hint="default"/>
          <w:spacing w:val="-6"/>
          <w:w w:val="100"/>
        </w:rPr>
        <w:t> </w:t>
      </w:r>
      <w:r>
        <w:rPr>
          <w:spacing w:val="-4"/>
          <w:w w:val="100"/>
        </w:rPr>
        <w:t>年，公司将在数码印花专用材料领域、染料电子商务领域探索多元化发展模式，“安诺其数码印</w:t>
      </w:r>
      <w:r>
        <w:rPr>
          <w:w w:val="100"/>
        </w:rPr>
        <w:t> </w:t>
      </w:r>
      <w:r>
        <w:rPr>
          <w:spacing w:val="-2"/>
        </w:rPr>
        <w:t>花项目”实施后，主要生产活性数码印花专用材料和分散数码印花专用材料，形成数码印花专用材料生产</w:t>
      </w:r>
      <w:r>
        <w:rPr>
          <w:spacing w:val="-36"/>
        </w:rPr>
        <w:t> </w:t>
      </w:r>
      <w:r>
        <w:rPr>
          <w:spacing w:val="-36"/>
        </w:rPr>
      </w:r>
      <w:r>
        <w:rPr/>
        <w:t>能力 </w:t>
      </w:r>
      <w:r>
        <w:rPr>
          <w:rFonts w:ascii="Arial" w:hAnsi="Arial" w:cs="Arial" w:eastAsia="Arial" w:hint="default"/>
          <w:spacing w:val="-3"/>
        </w:rPr>
        <w:t>2000</w:t>
      </w:r>
      <w:r>
        <w:rPr>
          <w:rFonts w:ascii="Arial" w:hAnsi="Arial" w:cs="Arial" w:eastAsia="Arial" w:hint="default"/>
          <w:spacing w:val="-13"/>
        </w:rPr>
        <w:t> </w:t>
      </w:r>
      <w:r>
        <w:rPr/>
        <w:t>吨，其具有行业前瞻性，并推进国内数码喷墨印花技术运用，替代国外产品，提高公司综合竞</w:t>
      </w:r>
      <w:r>
        <w:rPr>
          <w:w w:val="100"/>
        </w:rPr>
        <w:t> </w:t>
      </w:r>
      <w:r>
        <w:rPr>
          <w:spacing w:val="-2"/>
          <w:w w:val="100"/>
        </w:rPr>
        <w:t>争力，从而更好的参与国内外市场竞争，符合公司发展规划，拥有广阔的市场前景。“七彩云染料电商项</w:t>
      </w:r>
      <w:r>
        <w:rPr>
          <w:spacing w:val="-99"/>
          <w:w w:val="100"/>
        </w:rPr>
        <w:t> </w:t>
      </w:r>
      <w:r>
        <w:rPr>
          <w:spacing w:val="-99"/>
          <w:w w:val="100"/>
        </w:rPr>
      </w:r>
      <w:r>
        <w:rPr>
          <w:spacing w:val="-2"/>
        </w:rPr>
        <w:t>目”将率先在染料行业引入电子商务模式，缩短流通渠道，提高行业整体运行效率。其电子商务模式将借</w:t>
      </w:r>
      <w:r>
        <w:rPr>
          <w:spacing w:val="-36"/>
        </w:rPr>
        <w:t> </w:t>
      </w:r>
      <w:r>
        <w:rPr>
          <w:spacing w:val="-36"/>
        </w:rPr>
      </w:r>
      <w:r>
        <w:rPr/>
        <w:t>鉴 </w:t>
      </w:r>
      <w:r>
        <w:rPr>
          <w:rFonts w:ascii="Arial" w:hAnsi="Arial" w:cs="Arial" w:eastAsia="Arial" w:hint="default"/>
        </w:rPr>
        <w:t>O2O </w:t>
      </w:r>
      <w:r>
        <w:rPr/>
        <w:t>电商的先进模式，在平台推广、染料产品销售中广泛使用线下交流、对接、推进。公司将通过整</w:t>
      </w:r>
      <w:r>
        <w:rPr>
          <w:w w:val="100"/>
        </w:rPr>
        <w:t> </w:t>
      </w:r>
      <w:r>
        <w:rPr>
          <w:spacing w:val="-2"/>
        </w:rPr>
        <w:t>合行业资源、联合行业内优势企业，紧紧抓住市场发展的大好时机，立足本业，本着稳健、高效原则，发</w:t>
      </w:r>
      <w:r>
        <w:rPr>
          <w:spacing w:val="-35"/>
        </w:rPr>
        <w:t> </w:t>
      </w:r>
      <w:r>
        <w:rPr>
          <w:spacing w:val="-35"/>
        </w:rPr>
      </w:r>
      <w:r>
        <w:rPr>
          <w:spacing w:val="-4"/>
        </w:rPr>
        <w:t>挥行业优势，拓展行业销售模式，建立染料及化工产品的细分化 </w:t>
      </w:r>
      <w:r>
        <w:rPr>
          <w:rFonts w:ascii="Arial" w:hAnsi="Arial" w:cs="Arial" w:eastAsia="Arial" w:hint="default"/>
        </w:rPr>
        <w:t>B2B </w:t>
      </w:r>
      <w:r>
        <w:rPr>
          <w:spacing w:val="-4"/>
        </w:rPr>
        <w:t>电子商务平台，积极拓展公司业务发</w:t>
      </w:r>
      <w:r>
        <w:rPr>
          <w:spacing w:val="-89"/>
        </w:rPr>
        <w:t> </w:t>
      </w:r>
      <w:r>
        <w:rPr>
          <w:spacing w:val="-89"/>
        </w:rPr>
      </w:r>
      <w:r>
        <w:rPr>
          <w:spacing w:val="-2"/>
        </w:rPr>
        <w:t>展和利润增长。另外，公司将在染料相关上游中间体化学品及应用新材料领域积极开展市场调研工作，拓</w:t>
      </w:r>
      <w:r>
        <w:rPr>
          <w:spacing w:val="-35"/>
        </w:rPr>
        <w:t> </w:t>
      </w:r>
      <w:r>
        <w:rPr>
          <w:spacing w:val="-35"/>
        </w:rPr>
      </w:r>
      <w:r>
        <w:rPr/>
        <w:t>展业务发展及投资渠道，不断提升公司业绩增长。</w:t>
      </w:r>
    </w:p>
    <w:p>
      <w:pPr>
        <w:pStyle w:val="Heading4"/>
        <w:spacing w:line="351" w:lineRule="exact"/>
        <w:ind w:left="575" w:right="111"/>
        <w:jc w:val="left"/>
        <w:rPr>
          <w:b w:val="0"/>
          <w:bCs w:val="0"/>
        </w:rPr>
      </w:pPr>
      <w:r>
        <w:rPr/>
        <w:t>（</w:t>
      </w:r>
      <w:r>
        <w:rPr>
          <w:rFonts w:ascii="Arial" w:hAnsi="Arial" w:cs="Arial" w:eastAsia="Arial" w:hint="default"/>
        </w:rPr>
        <w:t>4</w:t>
      </w:r>
      <w:r>
        <w:rPr/>
        <w:t>）强化集团管控模式</w:t>
      </w:r>
      <w:r>
        <w:rPr>
          <w:b w:val="0"/>
          <w:bCs w:val="0"/>
        </w:rPr>
      </w:r>
    </w:p>
    <w:p>
      <w:pPr>
        <w:pStyle w:val="BodyText"/>
        <w:spacing w:line="386" w:lineRule="auto" w:before="171"/>
        <w:ind w:right="111" w:firstLine="422"/>
        <w:jc w:val="left"/>
      </w:pPr>
      <w:r>
        <w:rPr>
          <w:rFonts w:ascii="Arial" w:hAnsi="Arial" w:cs="Arial" w:eastAsia="Arial" w:hint="default"/>
          <w:spacing w:val="-3"/>
        </w:rPr>
        <w:t>2015</w:t>
      </w:r>
      <w:r>
        <w:rPr>
          <w:rFonts w:ascii="Arial" w:hAnsi="Arial" w:cs="Arial" w:eastAsia="Arial" w:hint="default"/>
          <w:spacing w:val="33"/>
        </w:rPr>
        <w:t> </w:t>
      </w:r>
      <w:r>
        <w:rPr/>
        <w:t>年，公司将积极有效地实施集团化管理管控，充分发挥集团公司的优势，完善各项内控制度和</w:t>
      </w:r>
      <w:r>
        <w:rPr>
          <w:w w:val="100"/>
        </w:rPr>
        <w:t> </w:t>
      </w:r>
      <w:r>
        <w:rPr/>
        <w:t>内控流程，加强监督，贯彻落实各项管理制度的执行，实现管理的规范化、精细化、流程化、透明化。</w:t>
      </w:r>
    </w:p>
    <w:p>
      <w:pPr>
        <w:spacing w:line="240" w:lineRule="auto" w:before="12"/>
        <w:rPr>
          <w:rFonts w:ascii="宋体" w:hAnsi="宋体" w:cs="宋体" w:eastAsia="宋体" w:hint="default"/>
          <w:sz w:val="13"/>
          <w:szCs w:val="13"/>
        </w:rPr>
      </w:pPr>
    </w:p>
    <w:p>
      <w:pPr>
        <w:pStyle w:val="Heading3"/>
        <w:spacing w:line="240" w:lineRule="auto"/>
        <w:ind w:right="0"/>
        <w:jc w:val="both"/>
        <w:rPr>
          <w:b w:val="0"/>
          <w:bCs w:val="0"/>
        </w:rPr>
      </w:pPr>
      <w:r>
        <w:rPr/>
        <w:t>三、董事会、监事会对会计师事务所本报告期“非标准审计报告”的说明</w:t>
      </w:r>
      <w:r>
        <w:rPr>
          <w:b w:val="0"/>
          <w:bCs w:val="0"/>
        </w:rPr>
      </w:r>
    </w:p>
    <w:p>
      <w:pPr>
        <w:spacing w:line="240" w:lineRule="auto" w:before="15"/>
        <w:rPr>
          <w:rFonts w:ascii="Microsoft JhengHei" w:hAnsi="Microsoft JhengHei" w:cs="Microsoft JhengHei" w:eastAsia="Microsoft JhengHei" w:hint="default"/>
          <w:b/>
          <w:bCs/>
          <w:sz w:val="21"/>
          <w:szCs w:val="21"/>
        </w:rPr>
      </w:pPr>
    </w:p>
    <w:p>
      <w:pPr>
        <w:pStyle w:val="BodyText"/>
        <w:spacing w:line="240" w:lineRule="auto"/>
        <w:ind w:left="575" w:right="111"/>
        <w:jc w:val="left"/>
      </w:pPr>
      <w:r>
        <w:rPr/>
        <w:t>□ 适用 √</w:t>
      </w:r>
      <w:r>
        <w:rPr>
          <w:spacing w:val="3"/>
        </w:rPr>
        <w:t> </w:t>
      </w:r>
      <w:r>
        <w:rPr/>
        <w:t>不适用</w:t>
      </w:r>
    </w:p>
    <w:p>
      <w:pPr>
        <w:spacing w:line="240" w:lineRule="auto" w:before="9"/>
        <w:rPr>
          <w:rFonts w:ascii="宋体" w:hAnsi="宋体" w:cs="宋体" w:eastAsia="宋体" w:hint="default"/>
          <w:sz w:val="23"/>
          <w:szCs w:val="23"/>
        </w:rPr>
      </w:pPr>
    </w:p>
    <w:p>
      <w:pPr>
        <w:pStyle w:val="Heading3"/>
        <w:spacing w:line="240" w:lineRule="auto"/>
        <w:ind w:right="0"/>
        <w:jc w:val="both"/>
        <w:rPr>
          <w:b w:val="0"/>
          <w:bCs w:val="0"/>
        </w:rPr>
      </w:pPr>
      <w:r>
        <w:rPr/>
        <w:t>四、董事会关于报告期会计政策、会计估计变更或重要前期差错更正的说明</w:t>
      </w:r>
      <w:r>
        <w:rPr>
          <w:b w:val="0"/>
          <w:bCs w:val="0"/>
        </w:rPr>
      </w:r>
    </w:p>
    <w:p>
      <w:pPr>
        <w:spacing w:line="240" w:lineRule="auto" w:before="15"/>
        <w:rPr>
          <w:rFonts w:ascii="Microsoft JhengHei" w:hAnsi="Microsoft JhengHei" w:cs="Microsoft JhengHei" w:eastAsia="Microsoft JhengHei" w:hint="default"/>
          <w:b/>
          <w:bCs/>
          <w:sz w:val="21"/>
          <w:szCs w:val="21"/>
        </w:rPr>
      </w:pPr>
    </w:p>
    <w:p>
      <w:pPr>
        <w:pStyle w:val="BodyText"/>
        <w:spacing w:line="240" w:lineRule="auto"/>
        <w:ind w:left="575" w:right="111"/>
        <w:jc w:val="left"/>
      </w:pPr>
      <w:r>
        <w:rPr/>
        <w:t>□ 适用 √</w:t>
      </w:r>
      <w:r>
        <w:rPr>
          <w:spacing w:val="3"/>
        </w:rPr>
        <w:t> </w:t>
      </w:r>
      <w:r>
        <w:rPr/>
        <w:t>不适用</w:t>
      </w:r>
    </w:p>
    <w:p>
      <w:pPr>
        <w:spacing w:line="240" w:lineRule="auto" w:before="9"/>
        <w:rPr>
          <w:rFonts w:ascii="宋体" w:hAnsi="宋体" w:cs="宋体" w:eastAsia="宋体" w:hint="default"/>
          <w:sz w:val="23"/>
          <w:szCs w:val="23"/>
        </w:rPr>
      </w:pPr>
    </w:p>
    <w:p>
      <w:pPr>
        <w:pStyle w:val="Heading3"/>
        <w:spacing w:line="240" w:lineRule="auto"/>
        <w:ind w:right="0"/>
        <w:jc w:val="both"/>
        <w:rPr>
          <w:b w:val="0"/>
          <w:bCs w:val="0"/>
        </w:rPr>
      </w:pPr>
      <w:r>
        <w:rPr/>
        <w:t>五、公司利润分配及分红派息情况</w:t>
      </w:r>
      <w:r>
        <w:rPr>
          <w:b w:val="0"/>
          <w:bCs w:val="0"/>
        </w:rPr>
      </w:r>
    </w:p>
    <w:p>
      <w:pPr>
        <w:spacing w:line="240" w:lineRule="auto" w:before="17"/>
        <w:rPr>
          <w:rFonts w:ascii="Microsoft JhengHei" w:hAnsi="Microsoft JhengHei" w:cs="Microsoft JhengHei" w:eastAsia="Microsoft JhengHei" w:hint="default"/>
          <w:b/>
          <w:bCs/>
          <w:sz w:val="17"/>
          <w:szCs w:val="17"/>
        </w:rPr>
      </w:pPr>
    </w:p>
    <w:p>
      <w:pPr>
        <w:pStyle w:val="Heading4"/>
        <w:spacing w:line="240" w:lineRule="auto"/>
        <w:ind w:left="575" w:right="111"/>
        <w:jc w:val="left"/>
        <w:rPr>
          <w:b w:val="0"/>
          <w:bCs w:val="0"/>
        </w:rPr>
      </w:pPr>
      <w:r>
        <w:rPr/>
        <w:t>报告期内利润分配政策特别是现金分红政策的制定、执行或调整情况</w:t>
      </w:r>
      <w:r>
        <w:rPr>
          <w:b w:val="0"/>
          <w:bCs w:val="0"/>
        </w:rPr>
      </w:r>
    </w:p>
    <w:p>
      <w:pPr>
        <w:pStyle w:val="BodyText"/>
        <w:spacing w:line="240" w:lineRule="auto" w:before="167"/>
        <w:ind w:left="575" w:right="111"/>
        <w:jc w:val="left"/>
      </w:pPr>
      <w:r>
        <w:rPr/>
        <w:t>√ 适用 □</w:t>
      </w:r>
      <w:r>
        <w:rPr>
          <w:spacing w:val="3"/>
        </w:rPr>
        <w:t> </w:t>
      </w:r>
      <w:r>
        <w:rPr/>
        <w:t>不适用</w:t>
      </w:r>
    </w:p>
    <w:p>
      <w:pPr>
        <w:spacing w:after="0" w:line="240" w:lineRule="auto"/>
        <w:jc w:val="left"/>
        <w:sectPr>
          <w:footerReference w:type="default" r:id="rId15"/>
          <w:pgSz w:w="11900" w:h="16840"/>
          <w:pgMar w:footer="984" w:header="742" w:top="1060" w:bottom="1180" w:left="980" w:right="900"/>
          <w:pgNumType w:start="29"/>
        </w:sectPr>
      </w:pPr>
    </w:p>
    <w:p>
      <w:pPr>
        <w:spacing w:line="240" w:lineRule="auto" w:before="0"/>
        <w:rPr>
          <w:rFonts w:ascii="宋体" w:hAnsi="宋体" w:cs="宋体" w:eastAsia="宋体" w:hint="default"/>
          <w:sz w:val="20"/>
          <w:szCs w:val="20"/>
        </w:rPr>
      </w:pPr>
    </w:p>
    <w:p>
      <w:pPr>
        <w:pStyle w:val="BodyText"/>
        <w:spacing w:line="240" w:lineRule="auto" w:before="182"/>
        <w:ind w:left="575" w:right="0"/>
        <w:jc w:val="left"/>
      </w:pPr>
      <w:r>
        <w:rPr>
          <w:rFonts w:ascii="Arial" w:hAnsi="Arial" w:cs="Arial" w:eastAsia="Arial" w:hint="default"/>
        </w:rPr>
        <w:t>1</w:t>
      </w:r>
      <w:r>
        <w:rPr/>
        <w:t>、利润分配政策的执行情况：</w:t>
      </w:r>
      <w:r>
        <w:rPr>
          <w:rFonts w:ascii="Arial" w:hAnsi="Arial" w:cs="Arial" w:eastAsia="Arial" w:hint="default"/>
        </w:rPr>
        <w:t>2014 </w:t>
      </w:r>
      <w:r>
        <w:rPr/>
        <w:t>年</w:t>
      </w:r>
      <w:r>
        <w:rPr>
          <w:spacing w:val="-44"/>
        </w:rPr>
        <w:t> </w:t>
      </w:r>
      <w:r>
        <w:rPr>
          <w:rFonts w:ascii="Arial" w:hAnsi="Arial" w:cs="Arial" w:eastAsia="Arial" w:hint="default"/>
        </w:rPr>
        <w:t>3 </w:t>
      </w:r>
      <w:r>
        <w:rPr/>
        <w:t>月</w:t>
      </w:r>
      <w:r>
        <w:rPr>
          <w:spacing w:val="-44"/>
        </w:rPr>
        <w:t> </w:t>
      </w:r>
      <w:r>
        <w:rPr>
          <w:rFonts w:ascii="Arial" w:hAnsi="Arial" w:cs="Arial" w:eastAsia="Arial" w:hint="default"/>
        </w:rPr>
        <w:t>24 </w:t>
      </w:r>
      <w:r>
        <w:rPr/>
        <w:t>日，公司第二届董事会第十九次会议审议通过了《公</w:t>
      </w:r>
    </w:p>
    <w:p>
      <w:pPr>
        <w:pStyle w:val="BodyText"/>
        <w:spacing w:line="240" w:lineRule="auto" w:before="176"/>
        <w:ind w:right="0"/>
        <w:jc w:val="left"/>
        <w:rPr>
          <w:rFonts w:ascii="Arial" w:hAnsi="Arial" w:cs="Arial" w:eastAsia="Arial" w:hint="default"/>
        </w:rPr>
      </w:pPr>
      <w:r>
        <w:rPr>
          <w:w w:val="100"/>
        </w:rPr>
        <w:t>司</w:t>
      </w:r>
      <w:r>
        <w:rPr>
          <w:spacing w:val="-48"/>
        </w:rPr>
        <w:t> </w:t>
      </w:r>
      <w:r>
        <w:rPr>
          <w:rFonts w:ascii="Arial" w:hAnsi="Arial" w:cs="Arial" w:eastAsia="Arial" w:hint="default"/>
          <w:spacing w:val="-3"/>
          <w:w w:val="100"/>
        </w:rPr>
        <w:t>201</w:t>
      </w:r>
      <w:r>
        <w:rPr>
          <w:rFonts w:ascii="Arial" w:hAnsi="Arial" w:cs="Arial" w:eastAsia="Arial" w:hint="default"/>
          <w:w w:val="100"/>
        </w:rPr>
        <w:t>3</w:t>
      </w:r>
      <w:r>
        <w:rPr>
          <w:rFonts w:ascii="Arial" w:hAnsi="Arial" w:cs="Arial" w:eastAsia="Arial" w:hint="default"/>
          <w:spacing w:val="-4"/>
        </w:rPr>
        <w:t> </w:t>
      </w:r>
      <w:r>
        <w:rPr>
          <w:w w:val="100"/>
        </w:rPr>
        <w:t>年度利润分配预案</w:t>
      </w:r>
      <w:r>
        <w:rPr>
          <w:spacing w:val="-111"/>
          <w:w w:val="100"/>
        </w:rPr>
        <w:t>》</w:t>
      </w:r>
      <w:r>
        <w:rPr>
          <w:spacing w:val="-1"/>
          <w:w w:val="100"/>
        </w:rPr>
        <w:t>，</w:t>
      </w:r>
      <w:r>
        <w:rPr>
          <w:w w:val="100"/>
        </w:rPr>
        <w:t>以公司</w:t>
      </w:r>
      <w:r>
        <w:rPr>
          <w:spacing w:val="-48"/>
        </w:rPr>
        <w:t> </w:t>
      </w:r>
      <w:r>
        <w:rPr>
          <w:rFonts w:ascii="Arial" w:hAnsi="Arial" w:cs="Arial" w:eastAsia="Arial" w:hint="default"/>
          <w:spacing w:val="-3"/>
          <w:w w:val="100"/>
        </w:rPr>
        <w:t>201</w:t>
      </w:r>
      <w:r>
        <w:rPr>
          <w:rFonts w:ascii="Arial" w:hAnsi="Arial" w:cs="Arial" w:eastAsia="Arial" w:hint="default"/>
          <w:w w:val="100"/>
        </w:rPr>
        <w:t>3</w:t>
      </w:r>
      <w:r>
        <w:rPr>
          <w:rFonts w:ascii="Arial" w:hAnsi="Arial" w:cs="Arial" w:eastAsia="Arial" w:hint="default"/>
          <w:spacing w:val="-4"/>
        </w:rPr>
        <w:t> </w:t>
      </w:r>
      <w:r>
        <w:rPr>
          <w:w w:val="100"/>
        </w:rPr>
        <w:t>年</w:t>
      </w:r>
      <w:r>
        <w:rPr>
          <w:spacing w:val="-48"/>
        </w:rPr>
        <w:t> </w:t>
      </w:r>
      <w:r>
        <w:rPr>
          <w:rFonts w:ascii="Arial" w:hAnsi="Arial" w:cs="Arial" w:eastAsia="Arial" w:hint="default"/>
          <w:spacing w:val="-3"/>
          <w:w w:val="100"/>
        </w:rPr>
        <w:t>1</w:t>
      </w:r>
      <w:r>
        <w:rPr>
          <w:rFonts w:ascii="Arial" w:hAnsi="Arial" w:cs="Arial" w:eastAsia="Arial" w:hint="default"/>
          <w:w w:val="100"/>
        </w:rPr>
        <w:t>2</w:t>
      </w:r>
      <w:r>
        <w:rPr>
          <w:rFonts w:ascii="Arial" w:hAnsi="Arial" w:cs="Arial" w:eastAsia="Arial" w:hint="default"/>
          <w:spacing w:val="-4"/>
        </w:rPr>
        <w:t> </w:t>
      </w:r>
      <w:r>
        <w:rPr>
          <w:w w:val="100"/>
        </w:rPr>
        <w:t>月</w:t>
      </w:r>
      <w:r>
        <w:rPr>
          <w:spacing w:val="-48"/>
        </w:rPr>
        <w:t> </w:t>
      </w:r>
      <w:r>
        <w:rPr>
          <w:rFonts w:ascii="Arial" w:hAnsi="Arial" w:cs="Arial" w:eastAsia="Arial" w:hint="default"/>
          <w:spacing w:val="-3"/>
          <w:w w:val="100"/>
        </w:rPr>
        <w:t>3</w:t>
      </w:r>
      <w:r>
        <w:rPr>
          <w:rFonts w:ascii="Arial" w:hAnsi="Arial" w:cs="Arial" w:eastAsia="Arial" w:hint="default"/>
          <w:w w:val="100"/>
        </w:rPr>
        <w:t>1</w:t>
      </w:r>
      <w:r>
        <w:rPr>
          <w:rFonts w:ascii="Arial" w:hAnsi="Arial" w:cs="Arial" w:eastAsia="Arial" w:hint="default"/>
          <w:spacing w:val="-4"/>
        </w:rPr>
        <w:t> </w:t>
      </w:r>
      <w:r>
        <w:rPr>
          <w:w w:val="100"/>
        </w:rPr>
        <w:t>日总股本</w:t>
      </w:r>
      <w:r>
        <w:rPr>
          <w:spacing w:val="-48"/>
        </w:rPr>
        <w:t> </w:t>
      </w:r>
      <w:r>
        <w:rPr>
          <w:rFonts w:ascii="Arial" w:hAnsi="Arial" w:cs="Arial" w:eastAsia="Arial" w:hint="default"/>
          <w:spacing w:val="-3"/>
          <w:w w:val="100"/>
        </w:rPr>
        <w:t>16356</w:t>
      </w:r>
      <w:r>
        <w:rPr>
          <w:rFonts w:ascii="Arial" w:hAnsi="Arial" w:cs="Arial" w:eastAsia="Arial" w:hint="default"/>
          <w:spacing w:val="-2"/>
          <w:w w:val="100"/>
        </w:rPr>
        <w:t>.</w:t>
      </w:r>
      <w:r>
        <w:rPr>
          <w:rFonts w:ascii="Arial" w:hAnsi="Arial" w:cs="Arial" w:eastAsia="Arial" w:hint="default"/>
          <w:w w:val="100"/>
        </w:rPr>
        <w:t>6</w:t>
      </w:r>
      <w:r>
        <w:rPr>
          <w:rFonts w:ascii="Arial" w:hAnsi="Arial" w:cs="Arial" w:eastAsia="Arial" w:hint="default"/>
          <w:spacing w:val="-4"/>
        </w:rPr>
        <w:t> </w:t>
      </w:r>
      <w:r>
        <w:rPr>
          <w:w w:val="100"/>
        </w:rPr>
        <w:t>万股为基数，向全体股</w:t>
      </w:r>
      <w:r>
        <w:rPr>
          <w:spacing w:val="-5"/>
          <w:w w:val="100"/>
        </w:rPr>
        <w:t>东</w:t>
      </w:r>
      <w:r>
        <w:rPr>
          <w:w w:val="100"/>
        </w:rPr>
        <w:t>每</w:t>
      </w:r>
      <w:r>
        <w:rPr>
          <w:spacing w:val="-48"/>
        </w:rPr>
        <w:t> </w:t>
      </w:r>
      <w:r>
        <w:rPr>
          <w:rFonts w:ascii="Arial" w:hAnsi="Arial" w:cs="Arial" w:eastAsia="Arial" w:hint="default"/>
          <w:spacing w:val="-3"/>
          <w:w w:val="100"/>
        </w:rPr>
        <w:t>1</w:t>
      </w:r>
      <w:r>
        <w:rPr>
          <w:rFonts w:ascii="Arial" w:hAnsi="Arial" w:cs="Arial" w:eastAsia="Arial" w:hint="default"/>
          <w:w w:val="100"/>
        </w:rPr>
        <w:t>0</w:t>
      </w:r>
    </w:p>
    <w:p>
      <w:pPr>
        <w:pStyle w:val="BodyText"/>
        <w:spacing w:line="240" w:lineRule="auto" w:before="180"/>
        <w:ind w:right="0"/>
        <w:jc w:val="left"/>
      </w:pPr>
      <w:r>
        <w:rPr>
          <w:w w:val="100"/>
        </w:rPr>
        <w:t>股派发现</w:t>
      </w:r>
      <w:r>
        <w:rPr>
          <w:spacing w:val="-5"/>
          <w:w w:val="100"/>
        </w:rPr>
        <w:t>金</w:t>
      </w:r>
      <w:r>
        <w:rPr>
          <w:w w:val="100"/>
        </w:rPr>
        <w:t>股利</w:t>
      </w:r>
      <w:r>
        <w:rPr>
          <w:spacing w:val="-53"/>
        </w:rPr>
        <w:t> </w:t>
      </w:r>
      <w:r>
        <w:rPr>
          <w:rFonts w:ascii="Arial" w:hAnsi="Arial" w:cs="Arial" w:eastAsia="Arial" w:hint="default"/>
          <w:w w:val="100"/>
        </w:rPr>
        <w:t>1</w:t>
      </w:r>
      <w:r>
        <w:rPr>
          <w:rFonts w:ascii="Arial" w:hAnsi="Arial" w:cs="Arial" w:eastAsia="Arial" w:hint="default"/>
          <w:spacing w:val="-8"/>
        </w:rPr>
        <w:t> </w:t>
      </w:r>
      <w:r>
        <w:rPr>
          <w:w w:val="100"/>
        </w:rPr>
        <w:t>元人</w:t>
      </w:r>
      <w:r>
        <w:rPr>
          <w:spacing w:val="-5"/>
          <w:w w:val="100"/>
        </w:rPr>
        <w:t>民</w:t>
      </w:r>
      <w:r>
        <w:rPr>
          <w:spacing w:val="-10"/>
          <w:w w:val="100"/>
        </w:rPr>
        <w:t>币</w:t>
      </w:r>
      <w:r>
        <w:rPr>
          <w:w w:val="100"/>
        </w:rPr>
        <w:t>（含税</w:t>
      </w:r>
      <w:r>
        <w:rPr>
          <w:spacing w:val="-106"/>
          <w:w w:val="100"/>
        </w:rPr>
        <w:t>）</w:t>
      </w:r>
      <w:r>
        <w:rPr>
          <w:spacing w:val="-15"/>
          <w:w w:val="100"/>
        </w:rPr>
        <w:t>，</w:t>
      </w:r>
      <w:r>
        <w:rPr>
          <w:w w:val="100"/>
        </w:rPr>
        <w:t>合计派</w:t>
      </w:r>
      <w:r>
        <w:rPr>
          <w:spacing w:val="-5"/>
          <w:w w:val="100"/>
        </w:rPr>
        <w:t>发</w:t>
      </w:r>
      <w:r>
        <w:rPr>
          <w:w w:val="100"/>
        </w:rPr>
        <w:t>现</w:t>
      </w:r>
      <w:r>
        <w:rPr>
          <w:spacing w:val="-5"/>
          <w:w w:val="100"/>
        </w:rPr>
        <w:t>金</w:t>
      </w:r>
      <w:r>
        <w:rPr>
          <w:w w:val="100"/>
        </w:rPr>
        <w:t>额</w:t>
      </w:r>
      <w:r>
        <w:rPr>
          <w:spacing w:val="-53"/>
        </w:rPr>
        <w:t> </w:t>
      </w:r>
      <w:r>
        <w:rPr>
          <w:rFonts w:ascii="Arial" w:hAnsi="Arial" w:cs="Arial" w:eastAsia="Arial" w:hint="default"/>
          <w:spacing w:val="-3"/>
          <w:w w:val="100"/>
        </w:rPr>
        <w:t>16</w:t>
      </w:r>
      <w:r>
        <w:rPr>
          <w:rFonts w:ascii="Arial" w:hAnsi="Arial" w:cs="Arial" w:eastAsia="Arial" w:hint="default"/>
          <w:spacing w:val="-2"/>
          <w:w w:val="100"/>
        </w:rPr>
        <w:t>,</w:t>
      </w:r>
      <w:r>
        <w:rPr>
          <w:rFonts w:ascii="Arial" w:hAnsi="Arial" w:cs="Arial" w:eastAsia="Arial" w:hint="default"/>
          <w:spacing w:val="-3"/>
          <w:w w:val="100"/>
        </w:rPr>
        <w:t>35</w:t>
      </w:r>
      <w:r>
        <w:rPr>
          <w:rFonts w:ascii="Arial" w:hAnsi="Arial" w:cs="Arial" w:eastAsia="Arial" w:hint="default"/>
          <w:spacing w:val="2"/>
          <w:w w:val="100"/>
        </w:rPr>
        <w:t>6</w:t>
      </w:r>
      <w:r>
        <w:rPr>
          <w:rFonts w:ascii="Arial" w:hAnsi="Arial" w:cs="Arial" w:eastAsia="Arial" w:hint="default"/>
          <w:spacing w:val="-2"/>
          <w:w w:val="100"/>
        </w:rPr>
        <w:t>,</w:t>
      </w:r>
      <w:r>
        <w:rPr>
          <w:rFonts w:ascii="Arial" w:hAnsi="Arial" w:cs="Arial" w:eastAsia="Arial" w:hint="default"/>
          <w:spacing w:val="-3"/>
          <w:w w:val="100"/>
        </w:rPr>
        <w:t>6</w:t>
      </w:r>
      <w:r>
        <w:rPr>
          <w:rFonts w:ascii="Arial" w:hAnsi="Arial" w:cs="Arial" w:eastAsia="Arial" w:hint="default"/>
          <w:spacing w:val="2"/>
          <w:w w:val="100"/>
        </w:rPr>
        <w:t>0</w:t>
      </w:r>
      <w:r>
        <w:rPr>
          <w:rFonts w:ascii="Arial" w:hAnsi="Arial" w:cs="Arial" w:eastAsia="Arial" w:hint="default"/>
          <w:w w:val="100"/>
        </w:rPr>
        <w:t>0</w:t>
      </w:r>
      <w:r>
        <w:rPr>
          <w:rFonts w:ascii="Arial" w:hAnsi="Arial" w:cs="Arial" w:eastAsia="Arial" w:hint="default"/>
          <w:spacing w:val="-9"/>
        </w:rPr>
        <w:t> </w:t>
      </w:r>
      <w:r>
        <w:rPr>
          <w:w w:val="100"/>
        </w:rPr>
        <w:t>元</w:t>
      </w:r>
      <w:r>
        <w:rPr>
          <w:spacing w:val="-10"/>
          <w:w w:val="100"/>
        </w:rPr>
        <w:t>，</w:t>
      </w:r>
      <w:r>
        <w:rPr>
          <w:w w:val="100"/>
        </w:rPr>
        <w:t>其余未分配</w:t>
      </w:r>
      <w:r>
        <w:rPr>
          <w:spacing w:val="-5"/>
          <w:w w:val="100"/>
        </w:rPr>
        <w:t>利</w:t>
      </w:r>
      <w:r>
        <w:rPr>
          <w:w w:val="100"/>
        </w:rPr>
        <w:t>润结转</w:t>
      </w:r>
      <w:r>
        <w:rPr>
          <w:spacing w:val="-5"/>
          <w:w w:val="100"/>
        </w:rPr>
        <w:t>下</w:t>
      </w:r>
      <w:r>
        <w:rPr>
          <w:w w:val="100"/>
        </w:rPr>
        <w:t>年</w:t>
      </w:r>
      <w:r>
        <w:rPr>
          <w:spacing w:val="-10"/>
          <w:w w:val="100"/>
        </w:rPr>
        <w:t>；</w:t>
      </w:r>
      <w:r>
        <w:rPr>
          <w:w w:val="100"/>
        </w:rPr>
        <w:t>同</w:t>
      </w:r>
      <w:r>
        <w:rPr>
          <w:spacing w:val="-5"/>
          <w:w w:val="100"/>
        </w:rPr>
        <w:t>时</w:t>
      </w:r>
      <w:r>
        <w:rPr>
          <w:w w:val="100"/>
        </w:rPr>
        <w:t>进</w:t>
      </w:r>
    </w:p>
    <w:p>
      <w:pPr>
        <w:pStyle w:val="BodyText"/>
        <w:spacing w:line="240" w:lineRule="auto" w:before="176"/>
        <w:ind w:right="0"/>
        <w:jc w:val="left"/>
      </w:pPr>
      <w:r>
        <w:rPr/>
        <w:t>行资本公积金转增股本，以公司总股本</w:t>
      </w:r>
      <w:r>
        <w:rPr>
          <w:spacing w:val="-32"/>
        </w:rPr>
        <w:t> </w:t>
      </w:r>
      <w:r>
        <w:rPr>
          <w:rFonts w:ascii="Arial" w:hAnsi="Arial" w:cs="Arial" w:eastAsia="Arial" w:hint="default"/>
        </w:rPr>
        <w:t>163,566,000</w:t>
      </w:r>
      <w:r>
        <w:rPr>
          <w:rFonts w:ascii="Arial" w:hAnsi="Arial" w:cs="Arial" w:eastAsia="Arial" w:hint="default"/>
          <w:spacing w:val="16"/>
        </w:rPr>
        <w:t> </w:t>
      </w:r>
      <w:r>
        <w:rPr/>
        <w:t>股为基数向全体股东每</w:t>
      </w:r>
      <w:r>
        <w:rPr>
          <w:spacing w:val="-32"/>
        </w:rPr>
        <w:t> </w:t>
      </w:r>
      <w:r>
        <w:rPr>
          <w:rFonts w:ascii="Arial" w:hAnsi="Arial" w:cs="Arial" w:eastAsia="Arial" w:hint="default"/>
        </w:rPr>
        <w:t>10</w:t>
      </w:r>
      <w:r>
        <w:rPr>
          <w:rFonts w:ascii="Arial" w:hAnsi="Arial" w:cs="Arial" w:eastAsia="Arial" w:hint="default"/>
          <w:spacing w:val="12"/>
        </w:rPr>
        <w:t> </w:t>
      </w:r>
      <w:r>
        <w:rPr/>
        <w:t>股转增</w:t>
      </w:r>
      <w:r>
        <w:rPr>
          <w:spacing w:val="-32"/>
        </w:rPr>
        <w:t> </w:t>
      </w:r>
      <w:r>
        <w:rPr>
          <w:rFonts w:ascii="Arial" w:hAnsi="Arial" w:cs="Arial" w:eastAsia="Arial" w:hint="default"/>
        </w:rPr>
        <w:t>10</w:t>
      </w:r>
      <w:r>
        <w:rPr>
          <w:rFonts w:ascii="Arial" w:hAnsi="Arial" w:cs="Arial" w:eastAsia="Arial" w:hint="default"/>
          <w:spacing w:val="12"/>
        </w:rPr>
        <w:t> </w:t>
      </w:r>
      <w:r>
        <w:rPr/>
        <w:t>股，共计转增</w:t>
      </w:r>
    </w:p>
    <w:p>
      <w:pPr>
        <w:pStyle w:val="BodyText"/>
        <w:spacing w:line="240" w:lineRule="auto" w:before="180"/>
        <w:ind w:right="0"/>
        <w:jc w:val="left"/>
      </w:pPr>
      <w:r>
        <w:rPr>
          <w:rFonts w:ascii="Arial" w:hAnsi="Arial" w:cs="Arial" w:eastAsia="Arial" w:hint="default"/>
        </w:rPr>
        <w:t>163,566,000</w:t>
      </w:r>
      <w:r>
        <w:rPr>
          <w:rFonts w:ascii="Arial" w:hAnsi="Arial" w:cs="Arial" w:eastAsia="Arial" w:hint="default"/>
          <w:spacing w:val="-2"/>
        </w:rPr>
        <w:t> </w:t>
      </w:r>
      <w:r>
        <w:rPr/>
        <w:t>股，转增后公司总股本将增加至</w:t>
      </w:r>
      <w:r>
        <w:rPr>
          <w:spacing w:val="-46"/>
        </w:rPr>
        <w:t> </w:t>
      </w:r>
      <w:r>
        <w:rPr>
          <w:rFonts w:ascii="Arial" w:hAnsi="Arial" w:cs="Arial" w:eastAsia="Arial" w:hint="default"/>
          <w:spacing w:val="-3"/>
        </w:rPr>
        <w:t>327,132,000</w:t>
      </w:r>
      <w:r>
        <w:rPr>
          <w:rFonts w:ascii="Arial" w:hAnsi="Arial" w:cs="Arial" w:eastAsia="Arial" w:hint="default"/>
          <w:spacing w:val="-2"/>
        </w:rPr>
        <w:t> </w:t>
      </w:r>
      <w:r>
        <w:rPr/>
        <w:t>股。</w:t>
      </w:r>
      <w:r>
        <w:rPr>
          <w:rFonts w:ascii="Arial" w:hAnsi="Arial" w:cs="Arial" w:eastAsia="Arial" w:hint="default"/>
        </w:rPr>
        <w:t>2014</w:t>
      </w:r>
      <w:r>
        <w:rPr>
          <w:rFonts w:ascii="Arial" w:hAnsi="Arial" w:cs="Arial" w:eastAsia="Arial" w:hint="default"/>
          <w:spacing w:val="-2"/>
        </w:rPr>
        <w:t> </w:t>
      </w:r>
      <w:r>
        <w:rPr/>
        <w:t>年</w:t>
      </w:r>
      <w:r>
        <w:rPr>
          <w:spacing w:val="-46"/>
        </w:rPr>
        <w:t> </w:t>
      </w:r>
      <w:r>
        <w:rPr>
          <w:rFonts w:ascii="Arial" w:hAnsi="Arial" w:cs="Arial" w:eastAsia="Arial" w:hint="default"/>
        </w:rPr>
        <w:t>4</w:t>
      </w:r>
      <w:r>
        <w:rPr>
          <w:rFonts w:ascii="Arial" w:hAnsi="Arial" w:cs="Arial" w:eastAsia="Arial" w:hint="default"/>
          <w:spacing w:val="-1"/>
        </w:rPr>
        <w:t> </w:t>
      </w:r>
      <w:r>
        <w:rPr/>
        <w:t>月</w:t>
      </w:r>
      <w:r>
        <w:rPr>
          <w:spacing w:val="-46"/>
        </w:rPr>
        <w:t> </w:t>
      </w:r>
      <w:r>
        <w:rPr>
          <w:rFonts w:ascii="Arial" w:hAnsi="Arial" w:cs="Arial" w:eastAsia="Arial" w:hint="default"/>
        </w:rPr>
        <w:t>18</w:t>
      </w:r>
      <w:r>
        <w:rPr>
          <w:rFonts w:ascii="Arial" w:hAnsi="Arial" w:cs="Arial" w:eastAsia="Arial" w:hint="default"/>
          <w:spacing w:val="-2"/>
        </w:rPr>
        <w:t> </w:t>
      </w:r>
      <w:r>
        <w:rPr/>
        <w:t>日，公司</w:t>
      </w:r>
      <w:r>
        <w:rPr>
          <w:spacing w:val="-46"/>
        </w:rPr>
        <w:t> </w:t>
      </w:r>
      <w:r>
        <w:rPr>
          <w:rFonts w:ascii="Arial" w:hAnsi="Arial" w:cs="Arial" w:eastAsia="Arial" w:hint="default"/>
          <w:spacing w:val="-3"/>
        </w:rPr>
        <w:t>2013</w:t>
      </w:r>
      <w:r>
        <w:rPr>
          <w:rFonts w:ascii="Arial" w:hAnsi="Arial" w:cs="Arial" w:eastAsia="Arial" w:hint="default"/>
          <w:spacing w:val="-2"/>
        </w:rPr>
        <w:t> </w:t>
      </w:r>
      <w:r>
        <w:rPr/>
        <w:t>年度股东</w:t>
      </w:r>
    </w:p>
    <w:p>
      <w:pPr>
        <w:pStyle w:val="BodyText"/>
        <w:spacing w:line="240" w:lineRule="auto" w:before="176"/>
        <w:ind w:right="0"/>
        <w:jc w:val="left"/>
      </w:pPr>
      <w:r>
        <w:rPr>
          <w:w w:val="100"/>
        </w:rPr>
        <w:t>大会审议</w:t>
      </w:r>
      <w:r>
        <w:rPr>
          <w:spacing w:val="-5"/>
          <w:w w:val="100"/>
        </w:rPr>
        <w:t>通</w:t>
      </w:r>
      <w:r>
        <w:rPr>
          <w:w w:val="100"/>
        </w:rPr>
        <w:t>过了《公司</w:t>
      </w:r>
      <w:r>
        <w:rPr>
          <w:spacing w:val="-53"/>
        </w:rPr>
        <w:t> </w:t>
      </w:r>
      <w:r>
        <w:rPr>
          <w:rFonts w:ascii="Arial" w:hAnsi="Arial" w:cs="Arial" w:eastAsia="Arial" w:hint="default"/>
          <w:spacing w:val="-3"/>
          <w:w w:val="100"/>
        </w:rPr>
        <w:t>201</w:t>
      </w:r>
      <w:r>
        <w:rPr>
          <w:rFonts w:ascii="Arial" w:hAnsi="Arial" w:cs="Arial" w:eastAsia="Arial" w:hint="default"/>
          <w:w w:val="100"/>
        </w:rPr>
        <w:t>3</w:t>
      </w:r>
      <w:r>
        <w:rPr>
          <w:rFonts w:ascii="Arial" w:hAnsi="Arial" w:cs="Arial" w:eastAsia="Arial" w:hint="default"/>
          <w:spacing w:val="-9"/>
        </w:rPr>
        <w:t> </w:t>
      </w:r>
      <w:r>
        <w:rPr>
          <w:w w:val="100"/>
        </w:rPr>
        <w:t>年度利润分配预</w:t>
      </w:r>
      <w:r>
        <w:rPr>
          <w:spacing w:val="-5"/>
          <w:w w:val="100"/>
        </w:rPr>
        <w:t>案</w:t>
      </w:r>
      <w:r>
        <w:rPr>
          <w:spacing w:val="-106"/>
          <w:w w:val="100"/>
        </w:rPr>
        <w:t>》</w:t>
      </w:r>
      <w:r>
        <w:rPr>
          <w:spacing w:val="-1"/>
          <w:w w:val="100"/>
        </w:rPr>
        <w:t>。</w:t>
      </w:r>
      <w:r>
        <w:rPr>
          <w:rFonts w:ascii="Arial" w:hAnsi="Arial" w:cs="Arial" w:eastAsia="Arial" w:hint="default"/>
          <w:spacing w:val="-3"/>
          <w:w w:val="100"/>
        </w:rPr>
        <w:t>201</w:t>
      </w:r>
      <w:r>
        <w:rPr>
          <w:rFonts w:ascii="Arial" w:hAnsi="Arial" w:cs="Arial" w:eastAsia="Arial" w:hint="default"/>
          <w:w w:val="100"/>
        </w:rPr>
        <w:t>4</w:t>
      </w:r>
      <w:r>
        <w:rPr>
          <w:rFonts w:ascii="Arial" w:hAnsi="Arial" w:cs="Arial" w:eastAsia="Arial" w:hint="default"/>
          <w:spacing w:val="-9"/>
        </w:rPr>
        <w:t> </w:t>
      </w:r>
      <w:r>
        <w:rPr>
          <w:w w:val="100"/>
        </w:rPr>
        <w:t>年</w:t>
      </w:r>
      <w:r>
        <w:rPr>
          <w:spacing w:val="-48"/>
        </w:rPr>
        <w:t> </w:t>
      </w:r>
      <w:r>
        <w:rPr>
          <w:rFonts w:ascii="Arial" w:hAnsi="Arial" w:cs="Arial" w:eastAsia="Arial" w:hint="default"/>
          <w:w w:val="100"/>
        </w:rPr>
        <w:t>5</w:t>
      </w:r>
      <w:r>
        <w:rPr>
          <w:rFonts w:ascii="Arial" w:hAnsi="Arial" w:cs="Arial" w:eastAsia="Arial" w:hint="default"/>
          <w:spacing w:val="-8"/>
        </w:rPr>
        <w:t> </w:t>
      </w:r>
      <w:r>
        <w:rPr>
          <w:w w:val="100"/>
        </w:rPr>
        <w:t>月</w:t>
      </w:r>
      <w:r>
        <w:rPr>
          <w:spacing w:val="-48"/>
        </w:rPr>
        <w:t> </w:t>
      </w:r>
      <w:r>
        <w:rPr>
          <w:rFonts w:ascii="Arial" w:hAnsi="Arial" w:cs="Arial" w:eastAsia="Arial" w:hint="default"/>
          <w:w w:val="100"/>
        </w:rPr>
        <w:t>6</w:t>
      </w:r>
      <w:r>
        <w:rPr>
          <w:rFonts w:ascii="Arial" w:hAnsi="Arial" w:cs="Arial" w:eastAsia="Arial" w:hint="default"/>
          <w:spacing w:val="-8"/>
        </w:rPr>
        <w:t> </w:t>
      </w:r>
      <w:r>
        <w:rPr>
          <w:w w:val="100"/>
        </w:rPr>
        <w:t>日，公司在中国证监</w:t>
      </w:r>
      <w:r>
        <w:rPr>
          <w:spacing w:val="-5"/>
          <w:w w:val="100"/>
        </w:rPr>
        <w:t>会</w:t>
      </w:r>
      <w:r>
        <w:rPr>
          <w:w w:val="100"/>
        </w:rPr>
        <w:t>指定</w:t>
      </w:r>
      <w:r>
        <w:rPr>
          <w:spacing w:val="-5"/>
          <w:w w:val="100"/>
        </w:rPr>
        <w:t>创</w:t>
      </w:r>
      <w:r>
        <w:rPr>
          <w:w w:val="100"/>
        </w:rPr>
        <w:t>业板信息</w:t>
      </w:r>
    </w:p>
    <w:p>
      <w:pPr>
        <w:pStyle w:val="BodyText"/>
        <w:spacing w:line="240" w:lineRule="auto" w:before="180"/>
        <w:ind w:right="0"/>
        <w:jc w:val="left"/>
      </w:pPr>
      <w:r>
        <w:rPr>
          <w:w w:val="100"/>
        </w:rPr>
        <w:t>披露网站</w:t>
      </w:r>
      <w:r>
        <w:rPr>
          <w:spacing w:val="-5"/>
          <w:w w:val="100"/>
        </w:rPr>
        <w:t>刊</w:t>
      </w:r>
      <w:r>
        <w:rPr>
          <w:w w:val="100"/>
        </w:rPr>
        <w:t>登</w:t>
      </w:r>
      <w:r>
        <w:rPr>
          <w:spacing w:val="-34"/>
          <w:w w:val="100"/>
        </w:rPr>
        <w:t>了</w:t>
      </w:r>
      <w:r>
        <w:rPr>
          <w:spacing w:val="-5"/>
          <w:w w:val="100"/>
        </w:rPr>
        <w:t>《</w:t>
      </w:r>
      <w:r>
        <w:rPr>
          <w:w w:val="100"/>
        </w:rPr>
        <w:t>上海安</w:t>
      </w:r>
      <w:r>
        <w:rPr>
          <w:spacing w:val="-5"/>
          <w:w w:val="100"/>
        </w:rPr>
        <w:t>诺</w:t>
      </w:r>
      <w:r>
        <w:rPr>
          <w:w w:val="100"/>
        </w:rPr>
        <w:t>其纺织</w:t>
      </w:r>
      <w:r>
        <w:rPr>
          <w:spacing w:val="-5"/>
          <w:w w:val="100"/>
        </w:rPr>
        <w:t>化</w:t>
      </w:r>
      <w:r>
        <w:rPr>
          <w:w w:val="100"/>
        </w:rPr>
        <w:t>工股份</w:t>
      </w:r>
      <w:r>
        <w:rPr>
          <w:spacing w:val="-5"/>
          <w:w w:val="100"/>
        </w:rPr>
        <w:t>有</w:t>
      </w:r>
      <w:r>
        <w:rPr>
          <w:w w:val="100"/>
        </w:rPr>
        <w:t>限公司</w:t>
      </w:r>
      <w:r>
        <w:rPr>
          <w:spacing w:val="-57"/>
        </w:rPr>
        <w:t> </w:t>
      </w:r>
      <w:r>
        <w:rPr>
          <w:rFonts w:ascii="Arial" w:hAnsi="Arial" w:cs="Arial" w:eastAsia="Arial" w:hint="default"/>
          <w:spacing w:val="-3"/>
          <w:w w:val="100"/>
        </w:rPr>
        <w:t>201</w:t>
      </w:r>
      <w:r>
        <w:rPr>
          <w:rFonts w:ascii="Arial" w:hAnsi="Arial" w:cs="Arial" w:eastAsia="Arial" w:hint="default"/>
          <w:w w:val="100"/>
        </w:rPr>
        <w:t>3</w:t>
      </w:r>
      <w:r>
        <w:rPr>
          <w:rFonts w:ascii="Arial" w:hAnsi="Arial" w:cs="Arial" w:eastAsia="Arial" w:hint="default"/>
          <w:spacing w:val="-9"/>
        </w:rPr>
        <w:t> </w:t>
      </w:r>
      <w:r>
        <w:rPr>
          <w:w w:val="100"/>
        </w:rPr>
        <w:t>年利润分配实施公告</w:t>
      </w:r>
      <w:r>
        <w:rPr>
          <w:spacing w:val="-111"/>
          <w:w w:val="100"/>
        </w:rPr>
        <w:t>》</w:t>
      </w:r>
      <w:r>
        <w:rPr>
          <w:spacing w:val="-34"/>
          <w:w w:val="100"/>
        </w:rPr>
        <w:t>，</w:t>
      </w:r>
      <w:r>
        <w:rPr>
          <w:w w:val="100"/>
        </w:rPr>
        <w:t>本次</w:t>
      </w:r>
      <w:r>
        <w:rPr>
          <w:spacing w:val="-5"/>
          <w:w w:val="100"/>
        </w:rPr>
        <w:t>权</w:t>
      </w:r>
      <w:r>
        <w:rPr>
          <w:w w:val="100"/>
        </w:rPr>
        <w:t>益分派</w:t>
      </w:r>
      <w:r>
        <w:rPr>
          <w:spacing w:val="-5"/>
          <w:w w:val="100"/>
        </w:rPr>
        <w:t>股</w:t>
      </w:r>
      <w:r>
        <w:rPr>
          <w:w w:val="100"/>
        </w:rPr>
        <w:t>权登记</w:t>
      </w:r>
    </w:p>
    <w:p>
      <w:pPr>
        <w:pStyle w:val="BodyText"/>
        <w:spacing w:line="240" w:lineRule="auto" w:before="176"/>
        <w:ind w:right="0"/>
        <w:jc w:val="left"/>
      </w:pPr>
      <w:r>
        <w:rPr/>
        <w:t>日为</w:t>
      </w:r>
      <w:r>
        <w:rPr>
          <w:spacing w:val="-52"/>
        </w:rPr>
        <w:t> </w:t>
      </w:r>
      <w:r>
        <w:rPr>
          <w:rFonts w:ascii="Arial" w:hAnsi="Arial" w:cs="Arial" w:eastAsia="Arial" w:hint="default"/>
          <w:spacing w:val="-3"/>
        </w:rPr>
        <w:t>2014</w:t>
      </w:r>
      <w:r>
        <w:rPr>
          <w:rFonts w:ascii="Arial" w:hAnsi="Arial" w:cs="Arial" w:eastAsia="Arial" w:hint="default"/>
          <w:spacing w:val="-8"/>
        </w:rPr>
        <w:t> </w:t>
      </w:r>
      <w:r>
        <w:rPr/>
        <w:t>年</w:t>
      </w:r>
      <w:r>
        <w:rPr>
          <w:spacing w:val="-52"/>
        </w:rPr>
        <w:t> </w:t>
      </w:r>
      <w:r>
        <w:rPr>
          <w:rFonts w:ascii="Arial" w:hAnsi="Arial" w:cs="Arial" w:eastAsia="Arial" w:hint="default"/>
        </w:rPr>
        <w:t>5</w:t>
      </w:r>
      <w:r>
        <w:rPr>
          <w:rFonts w:ascii="Arial" w:hAnsi="Arial" w:cs="Arial" w:eastAsia="Arial" w:hint="default"/>
          <w:spacing w:val="-7"/>
        </w:rPr>
        <w:t> </w:t>
      </w:r>
      <w:r>
        <w:rPr/>
        <w:t>月</w:t>
      </w:r>
      <w:r>
        <w:rPr>
          <w:spacing w:val="-52"/>
        </w:rPr>
        <w:t> </w:t>
      </w:r>
      <w:r>
        <w:rPr>
          <w:rFonts w:ascii="Arial" w:hAnsi="Arial" w:cs="Arial" w:eastAsia="Arial" w:hint="default"/>
        </w:rPr>
        <w:t>12</w:t>
      </w:r>
      <w:r>
        <w:rPr>
          <w:rFonts w:ascii="Arial" w:hAnsi="Arial" w:cs="Arial" w:eastAsia="Arial" w:hint="default"/>
          <w:spacing w:val="-7"/>
        </w:rPr>
        <w:t> </w:t>
      </w:r>
      <w:r>
        <w:rPr/>
        <w:t>日，</w:t>
      </w:r>
      <w:r>
        <w:rPr>
          <w:rFonts w:ascii="Arial" w:hAnsi="Arial" w:cs="Arial" w:eastAsia="Arial" w:hint="default"/>
        </w:rPr>
        <w:t>2014</w:t>
      </w:r>
      <w:r>
        <w:rPr>
          <w:rFonts w:ascii="Arial" w:hAnsi="Arial" w:cs="Arial" w:eastAsia="Arial" w:hint="default"/>
          <w:spacing w:val="-7"/>
        </w:rPr>
        <w:t> </w:t>
      </w:r>
      <w:r>
        <w:rPr/>
        <w:t>年</w:t>
      </w:r>
      <w:r>
        <w:rPr>
          <w:spacing w:val="-52"/>
        </w:rPr>
        <w:t> </w:t>
      </w:r>
      <w:r>
        <w:rPr>
          <w:rFonts w:ascii="Arial" w:hAnsi="Arial" w:cs="Arial" w:eastAsia="Arial" w:hint="default"/>
        </w:rPr>
        <w:t>5</w:t>
      </w:r>
      <w:r>
        <w:rPr>
          <w:rFonts w:ascii="Arial" w:hAnsi="Arial" w:cs="Arial" w:eastAsia="Arial" w:hint="default"/>
          <w:spacing w:val="-7"/>
        </w:rPr>
        <w:t> </w:t>
      </w:r>
      <w:r>
        <w:rPr/>
        <w:t>月</w:t>
      </w:r>
      <w:r>
        <w:rPr>
          <w:spacing w:val="-52"/>
        </w:rPr>
        <w:t> </w:t>
      </w:r>
      <w:r>
        <w:rPr>
          <w:rFonts w:ascii="Arial" w:hAnsi="Arial" w:cs="Arial" w:eastAsia="Arial" w:hint="default"/>
        </w:rPr>
        <w:t>13</w:t>
      </w:r>
      <w:r>
        <w:rPr>
          <w:rFonts w:ascii="Arial" w:hAnsi="Arial" w:cs="Arial" w:eastAsia="Arial" w:hint="default"/>
          <w:spacing w:val="-7"/>
        </w:rPr>
        <w:t> </w:t>
      </w:r>
      <w:r>
        <w:rPr/>
        <w:t>日公司完成本次权益分派。</w:t>
      </w:r>
    </w:p>
    <w:p>
      <w:pPr>
        <w:pStyle w:val="BodyText"/>
        <w:spacing w:line="400" w:lineRule="auto" w:before="180"/>
        <w:ind w:right="141" w:firstLine="422"/>
        <w:jc w:val="both"/>
      </w:pPr>
      <w:r>
        <w:rPr>
          <w:rFonts w:ascii="Arial" w:hAnsi="Arial" w:cs="Arial" w:eastAsia="Arial" w:hint="default"/>
        </w:rPr>
        <w:t>2</w:t>
      </w:r>
      <w:r>
        <w:rPr/>
        <w:t>、公司利润分配政策的制定情况：根据中国证券监督管理委员会、深圳证券交易所和中国证券监督</w:t>
      </w:r>
      <w:r>
        <w:rPr>
          <w:w w:val="100"/>
        </w:rPr>
        <w:t> </w:t>
      </w:r>
      <w:r>
        <w:rPr>
          <w:spacing w:val="-2"/>
        </w:rPr>
        <w:t>管理委员会上海监管局的文件通知，公司对《公司章程》中关于利润分配政策的条款作出修改，对现金分</w:t>
      </w:r>
      <w:r>
        <w:rPr>
          <w:spacing w:val="-36"/>
        </w:rPr>
        <w:t> </w:t>
      </w:r>
      <w:r>
        <w:rPr>
          <w:spacing w:val="-36"/>
        </w:rPr>
      </w:r>
      <w:r>
        <w:rPr>
          <w:spacing w:val="-2"/>
        </w:rPr>
        <w:t>红政策进行了进一步的细化，公司分红标准和比例得到明确，相关决策程序和机制进一步完善，独立董事</w:t>
      </w:r>
      <w:r>
        <w:rPr>
          <w:spacing w:val="-35"/>
        </w:rPr>
        <w:t> </w:t>
      </w:r>
      <w:r>
        <w:rPr>
          <w:spacing w:val="-35"/>
        </w:rPr>
      </w:r>
      <w:r>
        <w:rPr>
          <w:spacing w:val="-2"/>
        </w:rPr>
        <w:t>和监事会的权责明晰，明确了中小股东表达诉求的机制，有利于中小股东的合法权益的充分维护。并经公</w:t>
      </w:r>
      <w:r>
        <w:rPr>
          <w:spacing w:val="-36"/>
        </w:rPr>
        <w:t> </w:t>
      </w:r>
      <w:r>
        <w:rPr>
          <w:spacing w:val="-36"/>
        </w:rPr>
      </w:r>
      <w:r>
        <w:rPr/>
        <w:t>司</w:t>
      </w:r>
      <w:r>
        <w:rPr>
          <w:spacing w:val="-48"/>
        </w:rPr>
        <w:t> </w:t>
      </w:r>
      <w:r>
        <w:rPr>
          <w:rFonts w:ascii="Arial" w:hAnsi="Arial" w:cs="Arial" w:eastAsia="Arial" w:hint="default"/>
          <w:spacing w:val="-6"/>
        </w:rPr>
        <w:t>2011</w:t>
      </w:r>
      <w:r>
        <w:rPr>
          <w:rFonts w:ascii="Arial" w:hAnsi="Arial" w:cs="Arial" w:eastAsia="Arial" w:hint="default"/>
          <w:spacing w:val="-4"/>
        </w:rPr>
        <w:t> </w:t>
      </w:r>
      <w:r>
        <w:rPr>
          <w:spacing w:val="-3"/>
        </w:rPr>
        <w:t>年度股东大会审议通过。具体内容详见</w:t>
      </w:r>
      <w:r>
        <w:rPr>
          <w:spacing w:val="-48"/>
        </w:rPr>
        <w:t> </w:t>
      </w:r>
      <w:r>
        <w:rPr>
          <w:rFonts w:ascii="Arial" w:hAnsi="Arial" w:cs="Arial" w:eastAsia="Arial" w:hint="default"/>
          <w:spacing w:val="-3"/>
        </w:rPr>
        <w:t>2012</w:t>
      </w:r>
      <w:r>
        <w:rPr>
          <w:rFonts w:ascii="Arial" w:hAnsi="Arial" w:cs="Arial" w:eastAsia="Arial" w:hint="default"/>
          <w:spacing w:val="-4"/>
        </w:rPr>
        <w:t> </w:t>
      </w:r>
      <w:r>
        <w:rPr/>
        <w:t>年</w:t>
      </w:r>
      <w:r>
        <w:rPr>
          <w:spacing w:val="-48"/>
        </w:rPr>
        <w:t> </w:t>
      </w:r>
      <w:r>
        <w:rPr>
          <w:rFonts w:ascii="Arial" w:hAnsi="Arial" w:cs="Arial" w:eastAsia="Arial" w:hint="default"/>
        </w:rPr>
        <w:t>4</w:t>
      </w:r>
      <w:r>
        <w:rPr>
          <w:rFonts w:ascii="Arial" w:hAnsi="Arial" w:cs="Arial" w:eastAsia="Arial" w:hint="default"/>
          <w:spacing w:val="-3"/>
        </w:rPr>
        <w:t> </w:t>
      </w:r>
      <w:r>
        <w:rPr/>
        <w:t>月</w:t>
      </w:r>
      <w:r>
        <w:rPr>
          <w:spacing w:val="-48"/>
        </w:rPr>
        <w:t> </w:t>
      </w:r>
      <w:r>
        <w:rPr>
          <w:rFonts w:ascii="Arial" w:hAnsi="Arial" w:cs="Arial" w:eastAsia="Arial" w:hint="default"/>
        </w:rPr>
        <w:t>12</w:t>
      </w:r>
      <w:r>
        <w:rPr>
          <w:rFonts w:ascii="Arial" w:hAnsi="Arial" w:cs="Arial" w:eastAsia="Arial" w:hint="default"/>
          <w:spacing w:val="-3"/>
        </w:rPr>
        <w:t> </w:t>
      </w:r>
      <w:r>
        <w:rPr/>
        <w:t>日刊登在中国证监会指定信息披露网站上</w:t>
      </w:r>
      <w:r>
        <w:rPr>
          <w:w w:val="100"/>
        </w:rPr>
        <w:t> </w:t>
      </w:r>
      <w:r>
        <w:rPr/>
        <w:t>的公告。</w:t>
      </w:r>
    </w:p>
    <w:p>
      <w:pPr>
        <w:pStyle w:val="BodyText"/>
        <w:spacing w:line="408" w:lineRule="auto" w:before="55"/>
        <w:ind w:right="142" w:firstLine="422"/>
        <w:jc w:val="both"/>
      </w:pPr>
      <w:r>
        <w:rPr>
          <w:spacing w:val="-2"/>
        </w:rPr>
        <w:t>综上，公司现金分红政策的制定和执行情况符合公司章程的规定和股东大会决议的要求，分红标准和</w:t>
      </w:r>
      <w:r>
        <w:rPr>
          <w:w w:val="100"/>
        </w:rPr>
        <w:t> </w:t>
      </w:r>
      <w:r>
        <w:rPr>
          <w:spacing w:val="-2"/>
        </w:rPr>
        <w:t>比例明确、清晰，相关决策程序和机制完备，独立董事尽职履责并发挥了应有的作用，中小股东的合法权</w:t>
      </w:r>
      <w:r>
        <w:rPr>
          <w:spacing w:val="-35"/>
        </w:rPr>
        <w:t> </w:t>
      </w:r>
      <w:r>
        <w:rPr>
          <w:spacing w:val="-35"/>
        </w:rPr>
      </w:r>
      <w:r>
        <w:rPr/>
        <w:t>益得到充分维护，利润分配政策调整或变更的条件和程序合规、透明。</w:t>
      </w:r>
    </w:p>
    <w:p>
      <w:pPr>
        <w:spacing w:line="240" w:lineRule="auto" w:before="1"/>
        <w:rPr>
          <w:rFonts w:ascii="宋体" w:hAnsi="宋体" w:cs="宋体" w:eastAsia="宋体" w:hint="default"/>
          <w:sz w:val="22"/>
          <w:szCs w:val="22"/>
        </w:rPr>
      </w:pPr>
    </w:p>
    <w:tbl>
      <w:tblPr>
        <w:tblW w:w="0" w:type="auto"/>
        <w:jc w:val="left"/>
        <w:tblInd w:w="160" w:type="dxa"/>
        <w:tblLayout w:type="fixed"/>
        <w:tblCellMar>
          <w:top w:w="0" w:type="dxa"/>
          <w:left w:w="0" w:type="dxa"/>
          <w:bottom w:w="0" w:type="dxa"/>
          <w:right w:w="0" w:type="dxa"/>
        </w:tblCellMar>
        <w:tblLook w:val="01E0"/>
      </w:tblPr>
      <w:tblGrid>
        <w:gridCol w:w="4762"/>
        <w:gridCol w:w="4793"/>
      </w:tblGrid>
      <w:tr>
        <w:trPr>
          <w:trHeight w:val="398" w:hRule="exact"/>
        </w:trPr>
        <w:tc>
          <w:tcPr>
            <w:tcW w:w="95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0"/>
              <w:jc w:val="center"/>
              <w:rPr>
                <w:rFonts w:ascii="宋体" w:hAnsi="宋体" w:cs="宋体" w:eastAsia="宋体" w:hint="default"/>
                <w:sz w:val="18"/>
                <w:szCs w:val="18"/>
              </w:rPr>
            </w:pPr>
            <w:r>
              <w:rPr>
                <w:rFonts w:ascii="宋体" w:hAnsi="宋体" w:cs="宋体" w:eastAsia="宋体" w:hint="default"/>
                <w:spacing w:val="-3"/>
                <w:sz w:val="18"/>
                <w:szCs w:val="18"/>
              </w:rPr>
              <w:t>现金分红政策的专项说明</w:t>
            </w:r>
          </w:p>
        </w:tc>
      </w:tr>
      <w:tr>
        <w:trPr>
          <w:trHeight w:val="408"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是否符合公司章程的规定或股东大会决议的要求：</w:t>
            </w:r>
          </w:p>
        </w:tc>
        <w:tc>
          <w:tcPr>
            <w:tcW w:w="4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分红标准和比例是否明确和清晰：</w:t>
            </w:r>
          </w:p>
        </w:tc>
        <w:tc>
          <w:tcPr>
            <w:tcW w:w="4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8"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相关的决策程序和机制是否完备：</w:t>
            </w:r>
          </w:p>
        </w:tc>
        <w:tc>
          <w:tcPr>
            <w:tcW w:w="4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独立董事是否履职尽责并发挥了应有的作用：</w:t>
            </w:r>
          </w:p>
        </w:tc>
        <w:tc>
          <w:tcPr>
            <w:tcW w:w="4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53"/>
              <w:jc w:val="left"/>
              <w:rPr>
                <w:rFonts w:ascii="宋体" w:hAnsi="宋体" w:cs="宋体" w:eastAsia="宋体" w:hint="default"/>
                <w:sz w:val="18"/>
                <w:szCs w:val="18"/>
              </w:rPr>
            </w:pPr>
            <w:r>
              <w:rPr>
                <w:rFonts w:ascii="宋体" w:hAnsi="宋体" w:cs="宋体" w:eastAsia="宋体" w:hint="default"/>
                <w:spacing w:val="-3"/>
                <w:sz w:val="18"/>
                <w:szCs w:val="18"/>
              </w:rPr>
              <w:t>中小股东是否有充分表达意见和诉求的机会，其合法权益是</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3"/>
                <w:sz w:val="18"/>
                <w:szCs w:val="18"/>
              </w:rPr>
              <w:t>否得到了充分保护：</w:t>
            </w:r>
          </w:p>
        </w:tc>
        <w:tc>
          <w:tcPr>
            <w:tcW w:w="4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3"/>
              <w:jc w:val="left"/>
              <w:rPr>
                <w:rFonts w:ascii="宋体" w:hAnsi="宋体" w:cs="宋体" w:eastAsia="宋体" w:hint="default"/>
                <w:sz w:val="18"/>
                <w:szCs w:val="18"/>
              </w:rPr>
            </w:pPr>
            <w:r>
              <w:rPr>
                <w:rFonts w:ascii="宋体" w:hAnsi="宋体" w:cs="宋体" w:eastAsia="宋体" w:hint="default"/>
                <w:spacing w:val="-3"/>
                <w:sz w:val="18"/>
                <w:szCs w:val="18"/>
              </w:rPr>
              <w:t>现金分红政策进行调整或变更的，条件及程序是否合规、透</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z w:val="18"/>
                <w:szCs w:val="18"/>
              </w:rPr>
              <w:t>明：</w:t>
            </w:r>
          </w:p>
        </w:tc>
        <w:tc>
          <w:tcPr>
            <w:tcW w:w="4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pStyle w:val="Heading4"/>
        <w:spacing w:line="240" w:lineRule="auto"/>
        <w:ind w:left="575" w:right="0"/>
        <w:jc w:val="left"/>
        <w:rPr>
          <w:b w:val="0"/>
          <w:bCs w:val="0"/>
        </w:rPr>
      </w:pPr>
      <w:r>
        <w:rPr/>
        <w:t>公司报告期利润分配预案及资本公积金转增股本预案与公司章程和分红管理办法等的相关规定一致</w:t>
      </w:r>
      <w:r>
        <w:rPr>
          <w:b w:val="0"/>
          <w:bCs w:val="0"/>
        </w:rPr>
      </w:r>
    </w:p>
    <w:p>
      <w:pPr>
        <w:pStyle w:val="BodyText"/>
        <w:spacing w:line="410" w:lineRule="auto" w:before="167"/>
        <w:ind w:left="575" w:right="0"/>
        <w:jc w:val="left"/>
      </w:pPr>
      <w:r>
        <w:rPr/>
        <w:t>√ 是 □ 否</w:t>
      </w:r>
      <w:r>
        <w:rPr>
          <w:spacing w:val="-5"/>
        </w:rPr>
        <w:t> </w:t>
      </w:r>
      <w:r>
        <w:rPr/>
        <w:t>□ 不适用</w:t>
      </w:r>
      <w:r>
        <w:rPr>
          <w:spacing w:val="-102"/>
        </w:rPr>
        <w:t> </w:t>
      </w:r>
      <w:r>
        <w:rPr>
          <w:spacing w:val="-102"/>
        </w:rPr>
      </w:r>
      <w:r>
        <w:rPr>
          <w:spacing w:val="-2"/>
        </w:rPr>
        <w:t>公司报告期利润分配预案及资本公积金转增股本预案符合公司章程等的相关规定。</w:t>
      </w:r>
    </w:p>
    <w:p>
      <w:pPr>
        <w:pStyle w:val="Heading4"/>
        <w:spacing w:line="340" w:lineRule="exact"/>
        <w:ind w:left="575" w:right="0"/>
        <w:jc w:val="left"/>
        <w:rPr>
          <w:b w:val="0"/>
          <w:bCs w:val="0"/>
        </w:rPr>
      </w:pPr>
      <w:r>
        <w:rPr/>
        <w:t>本年度利润分配及资本公积金转增股本预案</w:t>
      </w:r>
      <w:r>
        <w:rPr>
          <w:b w:val="0"/>
          <w:bCs w:val="0"/>
        </w:rPr>
      </w:r>
    </w:p>
    <w:p>
      <w:pPr>
        <w:spacing w:after="0" w:line="340" w:lineRule="exact"/>
        <w:jc w:val="left"/>
        <w:sectPr>
          <w:pgSz w:w="11900" w:h="16840"/>
          <w:pgMar w:header="742" w:footer="984" w:top="1060" w:bottom="1180" w:left="980" w:right="98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25"/>
          <w:szCs w:val="25"/>
        </w:rPr>
      </w:pPr>
    </w:p>
    <w:p>
      <w:pPr>
        <w:spacing w:before="46"/>
        <w:ind w:left="0" w:right="146" w:firstLine="0"/>
        <w:jc w:val="right"/>
        <w:rPr>
          <w:rFonts w:ascii="宋体" w:hAnsi="宋体" w:cs="宋体" w:eastAsia="宋体" w:hint="default"/>
          <w:sz w:val="18"/>
          <w:szCs w:val="18"/>
        </w:rPr>
      </w:pPr>
      <w:r>
        <w:rPr/>
        <w:pict>
          <v:shape style="position:absolute;margin-left:56.400002pt;margin-top:-264.148285pt;width:479.05pt;height:299.5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06"/>
                    <w:gridCol w:w="5861"/>
                  </w:tblGrid>
                  <w:tr>
                    <w:trPr>
                      <w:trHeight w:val="403"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股送红股数（股）</w:t>
                        </w:r>
                      </w:p>
                    </w:tc>
                    <w:tc>
                      <w:tcPr>
                        <w:tcW w:w="586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每</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股</w:t>
                        </w:r>
                        <w:r>
                          <w:rPr>
                            <w:rFonts w:ascii="宋体" w:hAnsi="宋体" w:cs="宋体" w:eastAsia="宋体" w:hint="default"/>
                            <w:spacing w:val="-5"/>
                            <w:w w:val="101"/>
                            <w:sz w:val="18"/>
                            <w:szCs w:val="18"/>
                          </w:rPr>
                          <w:t>派</w:t>
                        </w:r>
                        <w:r>
                          <w:rPr>
                            <w:rFonts w:ascii="宋体" w:hAnsi="宋体" w:cs="宋体" w:eastAsia="宋体" w:hint="default"/>
                            <w:w w:val="101"/>
                            <w:sz w:val="18"/>
                            <w:szCs w:val="18"/>
                          </w:rPr>
                          <w:t>息</w:t>
                        </w:r>
                        <w:r>
                          <w:rPr>
                            <w:rFonts w:ascii="宋体" w:hAnsi="宋体" w:cs="宋体" w:eastAsia="宋体" w:hint="default"/>
                            <w:spacing w:val="-5"/>
                            <w:w w:val="101"/>
                            <w:sz w:val="18"/>
                            <w:szCs w:val="18"/>
                          </w:rPr>
                          <w:t>数</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spacing w:val="-91"/>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含</w:t>
                        </w:r>
                        <w:r>
                          <w:rPr>
                            <w:rFonts w:ascii="宋体" w:hAnsi="宋体" w:cs="宋体" w:eastAsia="宋体" w:hint="default"/>
                            <w:spacing w:val="-5"/>
                            <w:w w:val="101"/>
                            <w:sz w:val="18"/>
                            <w:szCs w:val="18"/>
                          </w:rPr>
                          <w:t>税</w:t>
                        </w:r>
                        <w:r>
                          <w:rPr>
                            <w:rFonts w:ascii="宋体" w:hAnsi="宋体" w:cs="宋体" w:eastAsia="宋体" w:hint="default"/>
                            <w:w w:val="101"/>
                            <w:sz w:val="18"/>
                            <w:szCs w:val="18"/>
                          </w:rPr>
                          <w:t>）</w:t>
                        </w:r>
                        <w:r>
                          <w:rPr>
                            <w:rFonts w:ascii="宋体" w:hAnsi="宋体" w:cs="宋体" w:eastAsia="宋体" w:hint="default"/>
                            <w:sz w:val="18"/>
                            <w:szCs w:val="18"/>
                          </w:rPr>
                        </w:r>
                      </w:p>
                    </w:tc>
                    <w:tc>
                      <w:tcPr>
                        <w:tcW w:w="586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0.50</w:t>
                        </w:r>
                      </w:p>
                    </w:tc>
                  </w:tr>
                  <w:tr>
                    <w:trPr>
                      <w:trHeight w:val="403"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每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股转增数（股）</w:t>
                        </w:r>
                      </w:p>
                    </w:tc>
                    <w:tc>
                      <w:tcPr>
                        <w:tcW w:w="586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r>
                  <w:tr>
                    <w:trPr>
                      <w:trHeight w:val="403"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分配预案的股本基数（股）</w:t>
                        </w:r>
                      </w:p>
                    </w:tc>
                    <w:tc>
                      <w:tcPr>
                        <w:tcW w:w="586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329,162,000</w:t>
                        </w:r>
                      </w:p>
                    </w:tc>
                  </w:tr>
                  <w:tr>
                    <w:trPr>
                      <w:trHeight w:val="403"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总</w:t>
                        </w:r>
                        <w:r>
                          <w:rPr>
                            <w:rFonts w:ascii="宋体" w:hAnsi="宋体" w:cs="宋体" w:eastAsia="宋体" w:hint="default"/>
                            <w:spacing w:val="-5"/>
                            <w:w w:val="101"/>
                            <w:sz w:val="18"/>
                            <w:szCs w:val="18"/>
                          </w:rPr>
                          <w:t>额</w:t>
                        </w:r>
                        <w:r>
                          <w:rPr>
                            <w:rFonts w:ascii="宋体" w:hAnsi="宋体" w:cs="宋体" w:eastAsia="宋体" w:hint="default"/>
                            <w:w w:val="101"/>
                            <w:sz w:val="18"/>
                            <w:szCs w:val="18"/>
                          </w:rPr>
                          <w:t>（元</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税）</w:t>
                        </w:r>
                        <w:r>
                          <w:rPr>
                            <w:rFonts w:ascii="宋体" w:hAnsi="宋体" w:cs="宋体" w:eastAsia="宋体" w:hint="default"/>
                            <w:sz w:val="18"/>
                            <w:szCs w:val="18"/>
                          </w:rPr>
                        </w:r>
                      </w:p>
                    </w:tc>
                    <w:tc>
                      <w:tcPr>
                        <w:tcW w:w="586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16,458,100.00</w:t>
                        </w:r>
                      </w:p>
                    </w:tc>
                  </w:tr>
                  <w:tr>
                    <w:trPr>
                      <w:trHeight w:val="398"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107,801,546.76</w:t>
                        </w:r>
                      </w:p>
                    </w:tc>
                  </w:tr>
                  <w:tr>
                    <w:trPr>
                      <w:trHeight w:val="403"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现金分红占利润分配总额的比例</w:t>
                        </w:r>
                      </w:p>
                    </w:tc>
                    <w:tc>
                      <w:tcPr>
                        <w:tcW w:w="586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3" w:hRule="exact"/>
                    </w:trPr>
                    <w:tc>
                      <w:tcPr>
                        <w:tcW w:w="95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715" w:hRule="exact"/>
                    </w:trPr>
                    <w:tc>
                      <w:tcPr>
                        <w:tcW w:w="9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公司发展阶段属成长期且有重大资金支出安排的，进行利润分配时，现金分红在本次利润分配中所占比例最低应达到 </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98" w:hRule="exact"/>
                    </w:trPr>
                    <w:tc>
                      <w:tcPr>
                        <w:tcW w:w="95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9" w:right="0"/>
                          <w:jc w:val="left"/>
                          <w:rPr>
                            <w:rFonts w:ascii="宋体" w:hAnsi="宋体" w:cs="宋体" w:eastAsia="宋体" w:hint="default"/>
                            <w:sz w:val="18"/>
                            <w:szCs w:val="18"/>
                          </w:rPr>
                        </w:pPr>
                        <w:r>
                          <w:rPr>
                            <w:rFonts w:ascii="宋体" w:hAnsi="宋体" w:cs="宋体" w:eastAsia="宋体" w:hint="default"/>
                            <w:spacing w:val="-3"/>
                            <w:sz w:val="18"/>
                            <w:szCs w:val="18"/>
                          </w:rPr>
                          <w:t>利润分配或资本公积金转增预案的详细情况说明</w:t>
                        </w:r>
                      </w:p>
                    </w:tc>
                  </w:tr>
                  <w:tr>
                    <w:trPr>
                      <w:trHeight w:val="1651" w:hRule="exact"/>
                    </w:trPr>
                    <w:tc>
                      <w:tcPr>
                        <w:tcW w:w="9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鉴于公司 </w:t>
                        </w:r>
                        <w:r>
                          <w:rPr>
                            <w:rFonts w:ascii="Times New Roman" w:hAnsi="Times New Roman" w:cs="Times New Roman" w:eastAsia="Times New Roman" w:hint="default"/>
                            <w:sz w:val="18"/>
                            <w:szCs w:val="18"/>
                          </w:rPr>
                          <w:t>2014  </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年的经营状况及公司未来的发展潜力，为回报股东，与全体股东分享公司快速发展的经营成果，并增加公</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5"/>
                            <w:sz w:val="18"/>
                            <w:szCs w:val="18"/>
                          </w:rPr>
                          <w:t>司股票的流动性，公司拟定 </w:t>
                        </w:r>
                        <w:r>
                          <w:rPr>
                            <w:rFonts w:ascii="Times New Roman" w:hAnsi="Times New Roman" w:cs="Times New Roman" w:eastAsia="Times New Roman" w:hint="default"/>
                            <w:sz w:val="18"/>
                            <w:szCs w:val="18"/>
                          </w:rPr>
                          <w:t>2014 </w:t>
                        </w:r>
                        <w:r>
                          <w:rPr>
                            <w:rFonts w:ascii="宋体" w:hAnsi="宋体" w:cs="宋体" w:eastAsia="宋体" w:hint="default"/>
                            <w:spacing w:val="-4"/>
                            <w:sz w:val="18"/>
                            <w:szCs w:val="18"/>
                          </w:rPr>
                          <w:t>年度利润分配及资本公积转增股本预案为：以公司现有总股本  </w:t>
                        </w:r>
                        <w:r>
                          <w:rPr>
                            <w:rFonts w:ascii="Times New Roman" w:hAnsi="Times New Roman" w:cs="Times New Roman" w:eastAsia="Times New Roman" w:hint="default"/>
                            <w:sz w:val="18"/>
                            <w:szCs w:val="18"/>
                          </w:rPr>
                          <w:t>329,162,000</w:t>
                        </w:r>
                        <w:r>
                          <w:rPr>
                            <w:rFonts w:ascii="Times New Roman" w:hAnsi="Times New Roman" w:cs="Times New Roman" w:eastAsia="Times New Roman" w:hint="default"/>
                            <w:spacing w:val="6"/>
                            <w:sz w:val="18"/>
                            <w:szCs w:val="18"/>
                          </w:rPr>
                          <w:t> </w:t>
                        </w:r>
                        <w:r>
                          <w:rPr>
                            <w:rFonts w:ascii="宋体" w:hAnsi="宋体" w:cs="宋体" w:eastAsia="宋体" w:hint="default"/>
                            <w:spacing w:val="-6"/>
                            <w:sz w:val="18"/>
                            <w:szCs w:val="18"/>
                          </w:rPr>
                          <w:t>股为基数，向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全</w:t>
                        </w:r>
                        <w:r>
                          <w:rPr>
                            <w:rFonts w:ascii="宋体" w:hAnsi="宋体" w:cs="宋体" w:eastAsia="宋体" w:hint="default"/>
                            <w:spacing w:val="-5"/>
                            <w:w w:val="101"/>
                            <w:sz w:val="18"/>
                            <w:szCs w:val="18"/>
                          </w:rPr>
                          <w:t>体</w:t>
                        </w:r>
                        <w:r>
                          <w:rPr>
                            <w:rFonts w:ascii="宋体" w:hAnsi="宋体" w:cs="宋体" w:eastAsia="宋体" w:hint="default"/>
                            <w:w w:val="101"/>
                            <w:sz w:val="18"/>
                            <w:szCs w:val="18"/>
                          </w:rPr>
                          <w:t>股东每</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股</w:t>
                        </w:r>
                        <w:r>
                          <w:rPr>
                            <w:rFonts w:ascii="宋体" w:hAnsi="宋体" w:cs="宋体" w:eastAsia="宋体" w:hint="default"/>
                            <w:spacing w:val="-5"/>
                            <w:w w:val="101"/>
                            <w:sz w:val="18"/>
                            <w:szCs w:val="18"/>
                          </w:rPr>
                          <w:t>派</w:t>
                        </w:r>
                        <w:r>
                          <w:rPr>
                            <w:rFonts w:ascii="宋体" w:hAnsi="宋体" w:cs="宋体" w:eastAsia="宋体" w:hint="default"/>
                            <w:w w:val="101"/>
                            <w:sz w:val="18"/>
                            <w:szCs w:val="18"/>
                          </w:rPr>
                          <w:t>发</w:t>
                        </w:r>
                        <w:r>
                          <w:rPr>
                            <w:rFonts w:ascii="宋体" w:hAnsi="宋体" w:cs="宋体" w:eastAsia="宋体" w:hint="default"/>
                            <w:spacing w:val="-5"/>
                            <w:w w:val="101"/>
                            <w:sz w:val="18"/>
                            <w:szCs w:val="18"/>
                          </w:rPr>
                          <w:t>现</w:t>
                        </w:r>
                        <w:r>
                          <w:rPr>
                            <w:rFonts w:ascii="宋体" w:hAnsi="宋体" w:cs="宋体" w:eastAsia="宋体" w:hint="default"/>
                            <w:w w:val="101"/>
                            <w:sz w:val="18"/>
                            <w:szCs w:val="18"/>
                          </w:rPr>
                          <w:t>金股利</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0</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元</w:t>
                        </w:r>
                        <w:r>
                          <w:rPr>
                            <w:rFonts w:ascii="宋体" w:hAnsi="宋体" w:cs="宋体" w:eastAsia="宋体" w:hint="default"/>
                            <w:spacing w:val="-5"/>
                            <w:w w:val="101"/>
                            <w:sz w:val="18"/>
                            <w:szCs w:val="18"/>
                          </w:rPr>
                          <w:t>人</w:t>
                        </w:r>
                        <w:r>
                          <w:rPr>
                            <w:rFonts w:ascii="宋体" w:hAnsi="宋体" w:cs="宋体" w:eastAsia="宋体" w:hint="default"/>
                            <w:w w:val="101"/>
                            <w:sz w:val="18"/>
                            <w:szCs w:val="18"/>
                          </w:rPr>
                          <w:t>民</w:t>
                        </w:r>
                        <w:r>
                          <w:rPr>
                            <w:rFonts w:ascii="宋体" w:hAnsi="宋体" w:cs="宋体" w:eastAsia="宋体" w:hint="default"/>
                            <w:spacing w:val="-5"/>
                            <w:w w:val="101"/>
                            <w:sz w:val="18"/>
                            <w:szCs w:val="18"/>
                          </w:rPr>
                          <w:t>币</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税</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合</w:t>
                        </w:r>
                        <w:r>
                          <w:rPr>
                            <w:rFonts w:ascii="宋体" w:hAnsi="宋体" w:cs="宋体" w:eastAsia="宋体" w:hint="default"/>
                            <w:w w:val="101"/>
                            <w:sz w:val="18"/>
                            <w:szCs w:val="18"/>
                          </w:rPr>
                          <w:t>计</w:t>
                        </w:r>
                        <w:r>
                          <w:rPr>
                            <w:rFonts w:ascii="宋体" w:hAnsi="宋体" w:cs="宋体" w:eastAsia="宋体" w:hint="default"/>
                            <w:spacing w:val="-5"/>
                            <w:w w:val="101"/>
                            <w:sz w:val="18"/>
                            <w:szCs w:val="18"/>
                          </w:rPr>
                          <w:t>派</w:t>
                        </w:r>
                        <w:r>
                          <w:rPr>
                            <w:rFonts w:ascii="宋体" w:hAnsi="宋体" w:cs="宋体" w:eastAsia="宋体" w:hint="default"/>
                            <w:w w:val="101"/>
                            <w:sz w:val="18"/>
                            <w:szCs w:val="18"/>
                          </w:rPr>
                          <w:t>发</w:t>
                        </w:r>
                        <w:r>
                          <w:rPr>
                            <w:rFonts w:ascii="宋体" w:hAnsi="宋体" w:cs="宋体" w:eastAsia="宋体" w:hint="default"/>
                            <w:spacing w:val="-5"/>
                            <w:w w:val="101"/>
                            <w:sz w:val="18"/>
                            <w:szCs w:val="18"/>
                          </w:rPr>
                          <w:t>现</w:t>
                        </w:r>
                        <w:r>
                          <w:rPr>
                            <w:rFonts w:ascii="宋体" w:hAnsi="宋体" w:cs="宋体" w:eastAsia="宋体" w:hint="default"/>
                            <w:w w:val="101"/>
                            <w:sz w:val="18"/>
                            <w:szCs w:val="18"/>
                          </w:rPr>
                          <w:t>金额</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5"/>
                            <w:w w:val="101"/>
                            <w:sz w:val="18"/>
                            <w:szCs w:val="18"/>
                          </w:rPr>
                          <w:t>6</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4</w:t>
                        </w:r>
                        <w:r>
                          <w:rPr>
                            <w:rFonts w:ascii="Times New Roman" w:hAnsi="Times New Roman" w:cs="Times New Roman" w:eastAsia="Times New Roman" w:hint="default"/>
                            <w:spacing w:val="-5"/>
                            <w:w w:val="101"/>
                            <w:sz w:val="18"/>
                            <w:szCs w:val="18"/>
                          </w:rPr>
                          <w:t>5</w:t>
                        </w:r>
                        <w:r>
                          <w:rPr>
                            <w:rFonts w:ascii="Times New Roman" w:hAnsi="Times New Roman" w:cs="Times New Roman" w:eastAsia="Times New Roman" w:hint="default"/>
                            <w:w w:val="101"/>
                            <w:sz w:val="18"/>
                            <w:szCs w:val="18"/>
                          </w:rPr>
                          <w:t>8</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w w:val="101"/>
                            <w:sz w:val="18"/>
                            <w:szCs w:val="18"/>
                          </w:rPr>
                          <w:t>00</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元</w:t>
                        </w:r>
                        <w:r>
                          <w:rPr>
                            <w:rFonts w:ascii="宋体" w:hAnsi="宋体" w:cs="宋体" w:eastAsia="宋体" w:hint="default"/>
                            <w:w w:val="101"/>
                            <w:sz w:val="18"/>
                            <w:szCs w:val="18"/>
                          </w:rPr>
                          <w:t>，</w:t>
                        </w:r>
                        <w:r>
                          <w:rPr>
                            <w:rFonts w:ascii="宋体" w:hAnsi="宋体" w:cs="宋体" w:eastAsia="宋体" w:hint="default"/>
                            <w:spacing w:val="-5"/>
                            <w:w w:val="101"/>
                            <w:sz w:val="18"/>
                            <w:szCs w:val="18"/>
                          </w:rPr>
                          <w:t>其</w:t>
                        </w:r>
                        <w:r>
                          <w:rPr>
                            <w:rFonts w:ascii="宋体" w:hAnsi="宋体" w:cs="宋体" w:eastAsia="宋体" w:hint="default"/>
                            <w:w w:val="101"/>
                            <w:sz w:val="18"/>
                            <w:szCs w:val="18"/>
                          </w:rPr>
                          <w:t>余</w:t>
                        </w:r>
                        <w:r>
                          <w:rPr>
                            <w:rFonts w:ascii="宋体" w:hAnsi="宋体" w:cs="宋体" w:eastAsia="宋体" w:hint="default"/>
                            <w:spacing w:val="-5"/>
                            <w:w w:val="101"/>
                            <w:sz w:val="18"/>
                            <w:szCs w:val="18"/>
                          </w:rPr>
                          <w:t>未</w:t>
                        </w:r>
                        <w:r>
                          <w:rPr>
                            <w:rFonts w:ascii="宋体" w:hAnsi="宋体" w:cs="宋体" w:eastAsia="宋体" w:hint="default"/>
                            <w:w w:val="101"/>
                            <w:sz w:val="18"/>
                            <w:szCs w:val="18"/>
                          </w:rPr>
                          <w:t>分</w:t>
                        </w:r>
                        <w:r>
                          <w:rPr>
                            <w:rFonts w:ascii="宋体" w:hAnsi="宋体" w:cs="宋体" w:eastAsia="宋体" w:hint="default"/>
                            <w:spacing w:val="-5"/>
                            <w:w w:val="101"/>
                            <w:sz w:val="18"/>
                            <w:szCs w:val="18"/>
                          </w:rPr>
                          <w:t>配</w:t>
                        </w:r>
                        <w:r>
                          <w:rPr>
                            <w:rFonts w:ascii="宋体" w:hAnsi="宋体" w:cs="宋体" w:eastAsia="宋体" w:hint="default"/>
                            <w:w w:val="101"/>
                            <w:sz w:val="18"/>
                            <w:szCs w:val="18"/>
                          </w:rPr>
                          <w:t>利</w:t>
                        </w:r>
                        <w:r>
                          <w:rPr>
                            <w:rFonts w:ascii="宋体" w:hAnsi="宋体" w:cs="宋体" w:eastAsia="宋体" w:hint="default"/>
                            <w:spacing w:val="-5"/>
                            <w:w w:val="101"/>
                            <w:sz w:val="18"/>
                            <w:szCs w:val="18"/>
                          </w:rPr>
                          <w:t>润</w:t>
                        </w:r>
                        <w:r>
                          <w:rPr>
                            <w:rFonts w:ascii="宋体" w:hAnsi="宋体" w:cs="宋体" w:eastAsia="宋体" w:hint="default"/>
                            <w:w w:val="101"/>
                            <w:sz w:val="18"/>
                            <w:szCs w:val="18"/>
                          </w:rPr>
                          <w:t>结</w:t>
                        </w:r>
                        <w:r>
                          <w:rPr>
                            <w:rFonts w:ascii="宋体" w:hAnsi="宋体" w:cs="宋体" w:eastAsia="宋体" w:hint="default"/>
                            <w:spacing w:val="-5"/>
                            <w:w w:val="101"/>
                            <w:sz w:val="18"/>
                            <w:szCs w:val="18"/>
                          </w:rPr>
                          <w:t>转</w:t>
                        </w:r>
                        <w:r>
                          <w:rPr>
                            <w:rFonts w:ascii="宋体" w:hAnsi="宋体" w:cs="宋体" w:eastAsia="宋体" w:hint="default"/>
                            <w:w w:val="101"/>
                            <w:sz w:val="18"/>
                            <w:szCs w:val="18"/>
                          </w:rPr>
                          <w:t>下</w:t>
                        </w:r>
                        <w:r>
                          <w:rPr>
                            <w:rFonts w:ascii="宋体" w:hAnsi="宋体" w:cs="宋体" w:eastAsia="宋体" w:hint="default"/>
                            <w:spacing w:val="-5"/>
                            <w:w w:val="101"/>
                            <w:sz w:val="18"/>
                            <w:szCs w:val="18"/>
                          </w:rPr>
                          <w:t>年</w:t>
                        </w:r>
                        <w:r>
                          <w:rPr>
                            <w:rFonts w:ascii="宋体" w:hAnsi="宋体" w:cs="宋体" w:eastAsia="宋体" w:hint="default"/>
                            <w:w w:val="101"/>
                            <w:sz w:val="18"/>
                            <w:szCs w:val="18"/>
                          </w:rPr>
                          <w:t>；</w:t>
                        </w:r>
                        <w:r>
                          <w:rPr>
                            <w:rFonts w:ascii="宋体" w:hAnsi="宋体" w:cs="宋体" w:eastAsia="宋体" w:hint="default"/>
                            <w:spacing w:val="-5"/>
                            <w:w w:val="101"/>
                            <w:sz w:val="18"/>
                            <w:szCs w:val="18"/>
                          </w:rPr>
                          <w:t>同</w:t>
                        </w:r>
                        <w:r>
                          <w:rPr>
                            <w:rFonts w:ascii="宋体" w:hAnsi="宋体" w:cs="宋体" w:eastAsia="宋体" w:hint="default"/>
                            <w:w w:val="101"/>
                            <w:sz w:val="18"/>
                            <w:szCs w:val="18"/>
                          </w:rPr>
                          <w:t>时进</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行资本公积金转增股本，以公司现有总股本</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329,162,000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股转增</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pacing w:val="-5"/>
                            <w:sz w:val="18"/>
                            <w:szCs w:val="18"/>
                          </w:rPr>
                          <w:t>股，共计转增</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197,497,200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pacing w:val="-3"/>
                            <w:sz w:val="18"/>
                            <w:szCs w:val="18"/>
                          </w:rPr>
                          <w:t>转增后公司总股本将增加至 </w:t>
                        </w:r>
                        <w:r>
                          <w:rPr>
                            <w:rFonts w:ascii="Times New Roman" w:hAnsi="Times New Roman" w:cs="Times New Roman" w:eastAsia="Times New Roman" w:hint="default"/>
                            <w:sz w:val="18"/>
                            <w:szCs w:val="18"/>
                          </w:rPr>
                          <w:t>526,659,200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股。</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4"/>
        <w:spacing w:line="335" w:lineRule="exact"/>
        <w:ind w:left="575" w:right="0"/>
        <w:jc w:val="left"/>
        <w:rPr>
          <w:b w:val="0"/>
          <w:bCs w:val="0"/>
        </w:rPr>
      </w:pPr>
      <w:r>
        <w:rPr/>
        <w:t>公司近 </w:t>
      </w:r>
      <w:r>
        <w:rPr>
          <w:rFonts w:ascii="Arial" w:hAnsi="Arial" w:cs="Arial" w:eastAsia="Arial" w:hint="default"/>
        </w:rPr>
        <w:t>3</w:t>
      </w:r>
      <w:r>
        <w:rPr>
          <w:rFonts w:ascii="Arial" w:hAnsi="Arial" w:cs="Arial" w:eastAsia="Arial" w:hint="default"/>
          <w:spacing w:val="18"/>
        </w:rPr>
        <w:t> </w:t>
      </w:r>
      <w:r>
        <w:rPr/>
        <w:t>年（含报告期）的利润分配方案及资本公积金转增股本方案情况</w:t>
      </w:r>
      <w:r>
        <w:rPr>
          <w:b w:val="0"/>
          <w:bCs w:val="0"/>
        </w:rPr>
      </w:r>
    </w:p>
    <w:p>
      <w:pPr>
        <w:pStyle w:val="BodyText"/>
        <w:spacing w:line="240" w:lineRule="auto" w:before="171"/>
        <w:ind w:left="575" w:right="0"/>
        <w:jc w:val="left"/>
      </w:pPr>
      <w:r>
        <w:rPr>
          <w:rFonts w:ascii="Arial" w:hAnsi="Arial" w:cs="Arial" w:eastAsia="Arial" w:hint="default"/>
        </w:rPr>
        <w:t>1</w:t>
      </w:r>
      <w:r>
        <w:rPr/>
        <w:t>、公司</w:t>
      </w:r>
      <w:r>
        <w:rPr>
          <w:spacing w:val="-51"/>
        </w:rPr>
        <w:t> </w:t>
      </w:r>
      <w:r>
        <w:rPr>
          <w:rFonts w:ascii="Arial" w:hAnsi="Arial" w:cs="Arial" w:eastAsia="Arial" w:hint="default"/>
        </w:rPr>
        <w:t>2012</w:t>
      </w:r>
      <w:r>
        <w:rPr>
          <w:rFonts w:ascii="Arial" w:hAnsi="Arial" w:cs="Arial" w:eastAsia="Arial" w:hint="default"/>
          <w:spacing w:val="-6"/>
        </w:rPr>
        <w:t> </w:t>
      </w:r>
      <w:r>
        <w:rPr/>
        <w:t>年度利润分配方案为：以公司</w:t>
      </w:r>
      <w:r>
        <w:rPr>
          <w:spacing w:val="-51"/>
        </w:rPr>
        <w:t> </w:t>
      </w:r>
      <w:r>
        <w:rPr>
          <w:rFonts w:ascii="Arial" w:hAnsi="Arial" w:cs="Arial" w:eastAsia="Arial" w:hint="default"/>
          <w:spacing w:val="-3"/>
        </w:rPr>
        <w:t>2012</w:t>
      </w:r>
      <w:r>
        <w:rPr>
          <w:rFonts w:ascii="Arial" w:hAnsi="Arial" w:cs="Arial" w:eastAsia="Arial" w:hint="default"/>
          <w:spacing w:val="-7"/>
        </w:rPr>
        <w:t> </w:t>
      </w:r>
      <w:r>
        <w:rPr/>
        <w:t>年</w:t>
      </w:r>
      <w:r>
        <w:rPr>
          <w:spacing w:val="-45"/>
        </w:rPr>
        <w:t> </w:t>
      </w:r>
      <w:r>
        <w:rPr>
          <w:rFonts w:ascii="Arial" w:hAnsi="Arial" w:cs="Arial" w:eastAsia="Arial" w:hint="default"/>
        </w:rPr>
        <w:t>12</w:t>
      </w:r>
      <w:r>
        <w:rPr>
          <w:rFonts w:ascii="Arial" w:hAnsi="Arial" w:cs="Arial" w:eastAsia="Arial" w:hint="default"/>
          <w:spacing w:val="-6"/>
        </w:rPr>
        <w:t> </w:t>
      </w:r>
      <w:r>
        <w:rPr/>
        <w:t>月</w:t>
      </w:r>
      <w:r>
        <w:rPr>
          <w:spacing w:val="-45"/>
        </w:rPr>
        <w:t> </w:t>
      </w:r>
      <w:r>
        <w:rPr>
          <w:rFonts w:ascii="Arial" w:hAnsi="Arial" w:cs="Arial" w:eastAsia="Arial" w:hint="default"/>
        </w:rPr>
        <w:t>31</w:t>
      </w:r>
      <w:r>
        <w:rPr>
          <w:rFonts w:ascii="Arial" w:hAnsi="Arial" w:cs="Arial" w:eastAsia="Arial" w:hint="default"/>
          <w:spacing w:val="-6"/>
        </w:rPr>
        <w:t> </w:t>
      </w:r>
      <w:r>
        <w:rPr/>
        <w:t>日总股本</w:t>
      </w:r>
      <w:r>
        <w:rPr>
          <w:spacing w:val="-51"/>
        </w:rPr>
        <w:t> </w:t>
      </w:r>
      <w:r>
        <w:rPr>
          <w:rFonts w:ascii="Arial" w:hAnsi="Arial" w:cs="Arial" w:eastAsia="Arial" w:hint="default"/>
        </w:rPr>
        <w:t>16,050</w:t>
      </w:r>
      <w:r>
        <w:rPr>
          <w:rFonts w:ascii="Arial" w:hAnsi="Arial" w:cs="Arial" w:eastAsia="Arial" w:hint="default"/>
          <w:spacing w:val="-6"/>
        </w:rPr>
        <w:t> </w:t>
      </w:r>
      <w:r>
        <w:rPr/>
        <w:t>万股为基数，向全体</w:t>
      </w:r>
    </w:p>
    <w:p>
      <w:pPr>
        <w:pStyle w:val="BodyText"/>
        <w:spacing w:line="240" w:lineRule="auto" w:before="176"/>
        <w:ind w:right="0"/>
        <w:jc w:val="left"/>
      </w:pPr>
      <w:r>
        <w:rPr>
          <w:w w:val="100"/>
        </w:rPr>
        <w:t>股东每</w:t>
      </w:r>
      <w:r>
        <w:rPr>
          <w:spacing w:val="-53"/>
        </w:rPr>
        <w:t> </w:t>
      </w:r>
      <w:r>
        <w:rPr>
          <w:rFonts w:ascii="Arial" w:hAnsi="Arial" w:cs="Arial" w:eastAsia="Arial" w:hint="default"/>
          <w:spacing w:val="-3"/>
          <w:w w:val="100"/>
        </w:rPr>
        <w:t>1</w:t>
      </w:r>
      <w:r>
        <w:rPr>
          <w:rFonts w:ascii="Arial" w:hAnsi="Arial" w:cs="Arial" w:eastAsia="Arial" w:hint="default"/>
          <w:w w:val="100"/>
        </w:rPr>
        <w:t>0</w:t>
      </w:r>
      <w:r>
        <w:rPr>
          <w:rFonts w:ascii="Arial" w:hAnsi="Arial" w:cs="Arial" w:eastAsia="Arial" w:hint="default"/>
          <w:spacing w:val="-8"/>
        </w:rPr>
        <w:t> </w:t>
      </w:r>
      <w:r>
        <w:rPr>
          <w:w w:val="100"/>
        </w:rPr>
        <w:t>股派发</w:t>
      </w:r>
      <w:r>
        <w:rPr>
          <w:spacing w:val="-5"/>
          <w:w w:val="100"/>
        </w:rPr>
        <w:t>现</w:t>
      </w:r>
      <w:r>
        <w:rPr>
          <w:w w:val="100"/>
        </w:rPr>
        <w:t>金红利</w:t>
      </w:r>
      <w:r>
        <w:rPr>
          <w:spacing w:val="-53"/>
        </w:rPr>
        <w:t> </w:t>
      </w:r>
      <w:r>
        <w:rPr>
          <w:rFonts w:ascii="Arial" w:hAnsi="Arial" w:cs="Arial" w:eastAsia="Arial" w:hint="default"/>
          <w:spacing w:val="-3"/>
          <w:w w:val="100"/>
        </w:rPr>
        <w:t>0</w:t>
      </w:r>
      <w:r>
        <w:rPr>
          <w:rFonts w:ascii="Arial" w:hAnsi="Arial" w:cs="Arial" w:eastAsia="Arial" w:hint="default"/>
          <w:spacing w:val="-2"/>
          <w:w w:val="100"/>
        </w:rPr>
        <w:t>.</w:t>
      </w:r>
      <w:r>
        <w:rPr>
          <w:rFonts w:ascii="Arial" w:hAnsi="Arial" w:cs="Arial" w:eastAsia="Arial" w:hint="default"/>
          <w:w w:val="100"/>
        </w:rPr>
        <w:t>8</w:t>
      </w:r>
      <w:r>
        <w:rPr>
          <w:rFonts w:ascii="Arial" w:hAnsi="Arial" w:cs="Arial" w:eastAsia="Arial" w:hint="default"/>
          <w:spacing w:val="-8"/>
        </w:rPr>
        <w:t> </w:t>
      </w:r>
      <w:r>
        <w:rPr>
          <w:w w:val="100"/>
        </w:rPr>
        <w:t>元（含</w:t>
      </w:r>
      <w:r>
        <w:rPr>
          <w:spacing w:val="-5"/>
          <w:w w:val="100"/>
        </w:rPr>
        <w:t>税</w:t>
      </w:r>
      <w:r>
        <w:rPr>
          <w:spacing w:val="-106"/>
          <w:w w:val="100"/>
        </w:rPr>
        <w:t>）</w:t>
      </w:r>
      <w:r>
        <w:rPr>
          <w:spacing w:val="-1"/>
          <w:w w:val="100"/>
        </w:rPr>
        <w:t>，</w:t>
      </w:r>
      <w:r>
        <w:rPr>
          <w:w w:val="100"/>
        </w:rPr>
        <w:t>合</w:t>
      </w:r>
      <w:r>
        <w:rPr>
          <w:spacing w:val="-5"/>
          <w:w w:val="100"/>
        </w:rPr>
        <w:t>计</w:t>
      </w:r>
      <w:r>
        <w:rPr>
          <w:w w:val="100"/>
        </w:rPr>
        <w:t>派</w:t>
      </w:r>
      <w:r>
        <w:rPr>
          <w:spacing w:val="-5"/>
          <w:w w:val="100"/>
        </w:rPr>
        <w:t>发</w:t>
      </w:r>
      <w:r>
        <w:rPr>
          <w:w w:val="100"/>
        </w:rPr>
        <w:t>现金</w:t>
      </w:r>
      <w:r>
        <w:rPr>
          <w:spacing w:val="-53"/>
        </w:rPr>
        <w:t> </w:t>
      </w:r>
      <w:r>
        <w:rPr>
          <w:rFonts w:ascii="Arial" w:hAnsi="Arial" w:cs="Arial" w:eastAsia="Arial" w:hint="default"/>
          <w:spacing w:val="-3"/>
          <w:w w:val="100"/>
        </w:rPr>
        <w:t>12</w:t>
      </w:r>
      <w:r>
        <w:rPr>
          <w:rFonts w:ascii="Arial" w:hAnsi="Arial" w:cs="Arial" w:eastAsia="Arial" w:hint="default"/>
          <w:spacing w:val="-2"/>
          <w:w w:val="100"/>
        </w:rPr>
        <w:t>,</w:t>
      </w:r>
      <w:r>
        <w:rPr>
          <w:rFonts w:ascii="Arial" w:hAnsi="Arial" w:cs="Arial" w:eastAsia="Arial" w:hint="default"/>
          <w:spacing w:val="-3"/>
          <w:w w:val="100"/>
        </w:rPr>
        <w:t>840</w:t>
      </w:r>
      <w:r>
        <w:rPr>
          <w:rFonts w:ascii="Arial" w:hAnsi="Arial" w:cs="Arial" w:eastAsia="Arial" w:hint="default"/>
          <w:spacing w:val="3"/>
          <w:w w:val="100"/>
        </w:rPr>
        <w:t>,</w:t>
      </w:r>
      <w:r>
        <w:rPr>
          <w:rFonts w:ascii="Arial" w:hAnsi="Arial" w:cs="Arial" w:eastAsia="Arial" w:hint="default"/>
          <w:spacing w:val="-3"/>
          <w:w w:val="100"/>
        </w:rPr>
        <w:t>00</w:t>
      </w:r>
      <w:r>
        <w:rPr>
          <w:rFonts w:ascii="Arial" w:hAnsi="Arial" w:cs="Arial" w:eastAsia="Arial" w:hint="default"/>
          <w:w w:val="100"/>
        </w:rPr>
        <w:t>0</w:t>
      </w:r>
      <w:r>
        <w:rPr>
          <w:rFonts w:ascii="Arial" w:hAnsi="Arial" w:cs="Arial" w:eastAsia="Arial" w:hint="default"/>
        </w:rPr>
        <w:t> </w:t>
      </w:r>
      <w:r>
        <w:rPr>
          <w:rFonts w:ascii="Arial" w:hAnsi="Arial" w:cs="Arial" w:eastAsia="Arial" w:hint="default"/>
          <w:spacing w:val="-14"/>
        </w:rPr>
        <w:t> </w:t>
      </w:r>
      <w:r>
        <w:rPr>
          <w:w w:val="100"/>
        </w:rPr>
        <w:t>元，其余未分配利润</w:t>
      </w:r>
      <w:r>
        <w:rPr>
          <w:spacing w:val="-5"/>
          <w:w w:val="100"/>
        </w:rPr>
        <w:t>结</w:t>
      </w:r>
      <w:r>
        <w:rPr>
          <w:w w:val="100"/>
        </w:rPr>
        <w:t>转下年。</w:t>
      </w:r>
    </w:p>
    <w:p>
      <w:pPr>
        <w:pStyle w:val="BodyText"/>
        <w:spacing w:line="240" w:lineRule="auto" w:before="180"/>
        <w:ind w:left="575" w:right="0"/>
        <w:jc w:val="left"/>
      </w:pPr>
      <w:r>
        <w:rPr>
          <w:rFonts w:ascii="Arial" w:hAnsi="Arial" w:cs="Arial" w:eastAsia="Arial" w:hint="default"/>
        </w:rPr>
        <w:t>2</w:t>
      </w:r>
      <w:r>
        <w:rPr/>
        <w:t>、公司</w:t>
      </w:r>
      <w:r>
        <w:rPr>
          <w:spacing w:val="-55"/>
        </w:rPr>
        <w:t> </w:t>
      </w:r>
      <w:r>
        <w:rPr>
          <w:rFonts w:ascii="Arial" w:hAnsi="Arial" w:cs="Arial" w:eastAsia="Arial" w:hint="default"/>
          <w:spacing w:val="-3"/>
        </w:rPr>
        <w:t>2013</w:t>
      </w:r>
      <w:r>
        <w:rPr>
          <w:rFonts w:ascii="Arial" w:hAnsi="Arial" w:cs="Arial" w:eastAsia="Arial" w:hint="default"/>
          <w:spacing w:val="-9"/>
        </w:rPr>
        <w:t> </w:t>
      </w:r>
      <w:r>
        <w:rPr/>
        <w:t>年度利润分配方案为：以公司总股本</w:t>
      </w:r>
      <w:r>
        <w:rPr>
          <w:spacing w:val="-55"/>
        </w:rPr>
        <w:t> </w:t>
      </w:r>
      <w:r>
        <w:rPr>
          <w:rFonts w:ascii="Arial" w:hAnsi="Arial" w:cs="Arial" w:eastAsia="Arial" w:hint="default"/>
        </w:rPr>
        <w:t>163,566,000</w:t>
      </w:r>
      <w:r>
        <w:rPr>
          <w:rFonts w:ascii="Arial" w:hAnsi="Arial" w:cs="Arial" w:eastAsia="Arial" w:hint="default"/>
          <w:spacing w:val="-10"/>
        </w:rPr>
        <w:t> </w:t>
      </w:r>
      <w:r>
        <w:rPr/>
        <w:t>股为基数，向全体股东每</w:t>
      </w:r>
      <w:r>
        <w:rPr>
          <w:spacing w:val="-55"/>
        </w:rPr>
        <w:t> </w:t>
      </w:r>
      <w:r>
        <w:rPr>
          <w:rFonts w:ascii="Arial" w:hAnsi="Arial" w:cs="Arial" w:eastAsia="Arial" w:hint="default"/>
        </w:rPr>
        <w:t>10</w:t>
      </w:r>
      <w:r>
        <w:rPr>
          <w:rFonts w:ascii="Arial" w:hAnsi="Arial" w:cs="Arial" w:eastAsia="Arial" w:hint="default"/>
          <w:spacing w:val="-9"/>
        </w:rPr>
        <w:t> </w:t>
      </w:r>
      <w:r>
        <w:rPr/>
        <w:t>股派发</w:t>
      </w:r>
    </w:p>
    <w:p>
      <w:pPr>
        <w:pStyle w:val="BodyText"/>
        <w:spacing w:line="240" w:lineRule="auto" w:before="176"/>
        <w:ind w:right="0"/>
        <w:jc w:val="left"/>
      </w:pPr>
      <w:r>
        <w:rPr>
          <w:w w:val="100"/>
        </w:rPr>
        <w:t>现金股利</w:t>
      </w:r>
      <w:r>
        <w:rPr>
          <w:spacing w:val="-53"/>
        </w:rPr>
        <w:t> </w:t>
      </w:r>
      <w:r>
        <w:rPr>
          <w:rFonts w:ascii="Arial" w:hAnsi="Arial" w:cs="Arial" w:eastAsia="Arial" w:hint="default"/>
          <w:w w:val="100"/>
        </w:rPr>
        <w:t>1</w:t>
      </w:r>
      <w:r>
        <w:rPr>
          <w:rFonts w:ascii="Arial" w:hAnsi="Arial" w:cs="Arial" w:eastAsia="Arial" w:hint="default"/>
          <w:spacing w:val="-8"/>
        </w:rPr>
        <w:t> </w:t>
      </w:r>
      <w:r>
        <w:rPr>
          <w:w w:val="100"/>
        </w:rPr>
        <w:t>元</w:t>
      </w:r>
      <w:r>
        <w:rPr>
          <w:spacing w:val="-5"/>
          <w:w w:val="100"/>
        </w:rPr>
        <w:t>人</w:t>
      </w:r>
      <w:r>
        <w:rPr>
          <w:w w:val="100"/>
        </w:rPr>
        <w:t>民</w:t>
      </w:r>
      <w:r>
        <w:rPr>
          <w:spacing w:val="-10"/>
          <w:w w:val="100"/>
        </w:rPr>
        <w:t>币</w:t>
      </w:r>
      <w:r>
        <w:rPr>
          <w:w w:val="100"/>
        </w:rPr>
        <w:t>（含</w:t>
      </w:r>
      <w:r>
        <w:rPr>
          <w:spacing w:val="-5"/>
          <w:w w:val="100"/>
        </w:rPr>
        <w:t>税</w:t>
      </w:r>
      <w:r>
        <w:rPr>
          <w:spacing w:val="-106"/>
          <w:w w:val="100"/>
        </w:rPr>
        <w:t>）</w:t>
      </w:r>
      <w:r>
        <w:rPr>
          <w:spacing w:val="-10"/>
          <w:w w:val="100"/>
        </w:rPr>
        <w:t>，</w:t>
      </w:r>
      <w:r>
        <w:rPr>
          <w:w w:val="100"/>
        </w:rPr>
        <w:t>合计</w:t>
      </w:r>
      <w:r>
        <w:rPr>
          <w:spacing w:val="-5"/>
          <w:w w:val="100"/>
        </w:rPr>
        <w:t>派</w:t>
      </w:r>
      <w:r>
        <w:rPr>
          <w:w w:val="100"/>
        </w:rPr>
        <w:t>发现</w:t>
      </w:r>
      <w:r>
        <w:rPr>
          <w:spacing w:val="-5"/>
          <w:w w:val="100"/>
        </w:rPr>
        <w:t>金</w:t>
      </w:r>
      <w:r>
        <w:rPr>
          <w:w w:val="100"/>
        </w:rPr>
        <w:t>额</w:t>
      </w:r>
      <w:r>
        <w:rPr>
          <w:spacing w:val="-53"/>
        </w:rPr>
        <w:t> </w:t>
      </w:r>
      <w:r>
        <w:rPr>
          <w:rFonts w:ascii="Arial" w:hAnsi="Arial" w:cs="Arial" w:eastAsia="Arial" w:hint="default"/>
          <w:spacing w:val="-3"/>
          <w:w w:val="100"/>
        </w:rPr>
        <w:t>16</w:t>
      </w:r>
      <w:r>
        <w:rPr>
          <w:rFonts w:ascii="Arial" w:hAnsi="Arial" w:cs="Arial" w:eastAsia="Arial" w:hint="default"/>
          <w:spacing w:val="-2"/>
          <w:w w:val="100"/>
        </w:rPr>
        <w:t>,</w:t>
      </w:r>
      <w:r>
        <w:rPr>
          <w:rFonts w:ascii="Arial" w:hAnsi="Arial" w:cs="Arial" w:eastAsia="Arial" w:hint="default"/>
          <w:spacing w:val="-3"/>
          <w:w w:val="100"/>
        </w:rPr>
        <w:t>3</w:t>
      </w:r>
      <w:r>
        <w:rPr>
          <w:rFonts w:ascii="Arial" w:hAnsi="Arial" w:cs="Arial" w:eastAsia="Arial" w:hint="default"/>
          <w:spacing w:val="2"/>
          <w:w w:val="100"/>
        </w:rPr>
        <w:t>5</w:t>
      </w:r>
      <w:r>
        <w:rPr>
          <w:rFonts w:ascii="Arial" w:hAnsi="Arial" w:cs="Arial" w:eastAsia="Arial" w:hint="default"/>
          <w:spacing w:val="-3"/>
          <w:w w:val="100"/>
        </w:rPr>
        <w:t>6</w:t>
      </w:r>
      <w:r>
        <w:rPr>
          <w:rFonts w:ascii="Arial" w:hAnsi="Arial" w:cs="Arial" w:eastAsia="Arial" w:hint="default"/>
          <w:spacing w:val="-2"/>
          <w:w w:val="100"/>
        </w:rPr>
        <w:t>,</w:t>
      </w:r>
      <w:r>
        <w:rPr>
          <w:rFonts w:ascii="Arial" w:hAnsi="Arial" w:cs="Arial" w:eastAsia="Arial" w:hint="default"/>
          <w:spacing w:val="-3"/>
          <w:w w:val="100"/>
        </w:rPr>
        <w:t>60</w:t>
      </w:r>
      <w:r>
        <w:rPr>
          <w:rFonts w:ascii="Arial" w:hAnsi="Arial" w:cs="Arial" w:eastAsia="Arial" w:hint="default"/>
          <w:w w:val="100"/>
        </w:rPr>
        <w:t>0</w:t>
      </w:r>
      <w:r>
        <w:rPr>
          <w:rFonts w:ascii="Arial" w:hAnsi="Arial" w:cs="Arial" w:eastAsia="Arial" w:hint="default"/>
          <w:spacing w:val="-9"/>
        </w:rPr>
        <w:t> </w:t>
      </w:r>
      <w:r>
        <w:rPr>
          <w:w w:val="100"/>
        </w:rPr>
        <w:t>元</w:t>
      </w:r>
      <w:r>
        <w:rPr>
          <w:spacing w:val="-10"/>
          <w:w w:val="100"/>
        </w:rPr>
        <w:t>，</w:t>
      </w:r>
      <w:r>
        <w:rPr>
          <w:w w:val="100"/>
        </w:rPr>
        <w:t>其余未分配利润结转</w:t>
      </w:r>
      <w:r>
        <w:rPr>
          <w:spacing w:val="-5"/>
          <w:w w:val="100"/>
        </w:rPr>
        <w:t>下</w:t>
      </w:r>
      <w:r>
        <w:rPr>
          <w:w w:val="100"/>
        </w:rPr>
        <w:t>年</w:t>
      </w:r>
      <w:r>
        <w:rPr>
          <w:spacing w:val="-10"/>
          <w:w w:val="100"/>
        </w:rPr>
        <w:t>；</w:t>
      </w:r>
      <w:r>
        <w:rPr>
          <w:w w:val="100"/>
        </w:rPr>
        <w:t>同</w:t>
      </w:r>
      <w:r>
        <w:rPr>
          <w:spacing w:val="-5"/>
          <w:w w:val="100"/>
        </w:rPr>
        <w:t>时</w:t>
      </w:r>
      <w:r>
        <w:rPr>
          <w:w w:val="100"/>
        </w:rPr>
        <w:t>进行资本</w:t>
      </w:r>
    </w:p>
    <w:p>
      <w:pPr>
        <w:pStyle w:val="BodyText"/>
        <w:spacing w:line="240" w:lineRule="auto" w:before="180"/>
        <w:ind w:right="0"/>
        <w:jc w:val="left"/>
      </w:pPr>
      <w:r>
        <w:rPr>
          <w:spacing w:val="9"/>
        </w:rPr>
        <w:t>公积金转增股本，以公司总股本 </w:t>
      </w:r>
      <w:r>
        <w:rPr>
          <w:rFonts w:ascii="Arial" w:hAnsi="Arial" w:cs="Arial" w:eastAsia="Arial" w:hint="default"/>
          <w:spacing w:val="-3"/>
        </w:rPr>
        <w:t>163,566,000  </w:t>
      </w:r>
      <w:r>
        <w:rPr>
          <w:spacing w:val="9"/>
        </w:rPr>
        <w:t>股为基数向全体股东每 </w:t>
      </w:r>
      <w:r>
        <w:rPr>
          <w:rFonts w:ascii="Arial" w:hAnsi="Arial" w:cs="Arial" w:eastAsia="Arial" w:hint="default"/>
        </w:rPr>
        <w:t>10  </w:t>
      </w:r>
      <w:r>
        <w:rPr>
          <w:spacing w:val="5"/>
        </w:rPr>
        <w:t>股转增 </w:t>
      </w:r>
      <w:r>
        <w:rPr>
          <w:rFonts w:ascii="Arial" w:hAnsi="Arial" w:cs="Arial" w:eastAsia="Arial" w:hint="default"/>
        </w:rPr>
        <w:t>10   </w:t>
      </w:r>
      <w:r>
        <w:rPr>
          <w:rFonts w:ascii="Arial" w:hAnsi="Arial" w:cs="Arial" w:eastAsia="Arial" w:hint="default"/>
          <w:spacing w:val="2"/>
        </w:rPr>
        <w:t> </w:t>
      </w:r>
      <w:r>
        <w:rPr>
          <w:spacing w:val="8"/>
        </w:rPr>
        <w:t>股，共计转增</w:t>
      </w:r>
    </w:p>
    <w:p>
      <w:pPr>
        <w:pStyle w:val="BodyText"/>
        <w:spacing w:line="240" w:lineRule="auto" w:before="176"/>
        <w:ind w:right="0"/>
        <w:jc w:val="left"/>
      </w:pPr>
      <w:r>
        <w:rPr>
          <w:rFonts w:ascii="Arial" w:hAnsi="Arial" w:cs="Arial" w:eastAsia="Arial" w:hint="default"/>
        </w:rPr>
        <w:t>163,566,000</w:t>
      </w:r>
      <w:r>
        <w:rPr>
          <w:rFonts w:ascii="Arial" w:hAnsi="Arial" w:cs="Arial" w:eastAsia="Arial" w:hint="default"/>
          <w:spacing w:val="-5"/>
        </w:rPr>
        <w:t> </w:t>
      </w:r>
      <w:r>
        <w:rPr/>
        <w:t>股，转增后公司总股本将增加至</w:t>
      </w:r>
      <w:r>
        <w:rPr>
          <w:spacing w:val="-48"/>
        </w:rPr>
        <w:t> </w:t>
      </w:r>
      <w:r>
        <w:rPr>
          <w:rFonts w:ascii="Arial" w:hAnsi="Arial" w:cs="Arial" w:eastAsia="Arial" w:hint="default"/>
          <w:spacing w:val="-3"/>
        </w:rPr>
        <w:t>327,132,000</w:t>
      </w:r>
      <w:r>
        <w:rPr>
          <w:rFonts w:ascii="Arial" w:hAnsi="Arial" w:cs="Arial" w:eastAsia="Arial" w:hint="default"/>
          <w:spacing w:val="-5"/>
        </w:rPr>
        <w:t> </w:t>
      </w:r>
      <w:r>
        <w:rPr/>
        <w:t>股。</w:t>
      </w:r>
    </w:p>
    <w:p>
      <w:pPr>
        <w:pStyle w:val="BodyText"/>
        <w:spacing w:line="240" w:lineRule="auto" w:before="180"/>
        <w:ind w:left="575" w:right="0"/>
        <w:jc w:val="left"/>
      </w:pPr>
      <w:r>
        <w:rPr>
          <w:rFonts w:ascii="Arial" w:hAnsi="Arial" w:cs="Arial" w:eastAsia="Arial" w:hint="default"/>
        </w:rPr>
        <w:t>3</w:t>
      </w:r>
      <w:r>
        <w:rPr/>
        <w:t>、公司</w:t>
      </w:r>
      <w:r>
        <w:rPr>
          <w:spacing w:val="-55"/>
        </w:rPr>
        <w:t> </w:t>
      </w:r>
      <w:r>
        <w:rPr>
          <w:rFonts w:ascii="Arial" w:hAnsi="Arial" w:cs="Arial" w:eastAsia="Arial" w:hint="default"/>
          <w:spacing w:val="-3"/>
        </w:rPr>
        <w:t>2014</w:t>
      </w:r>
      <w:r>
        <w:rPr>
          <w:rFonts w:ascii="Arial" w:hAnsi="Arial" w:cs="Arial" w:eastAsia="Arial" w:hint="default"/>
          <w:spacing w:val="-11"/>
        </w:rPr>
        <w:t> </w:t>
      </w:r>
      <w:r>
        <w:rPr/>
        <w:t>年度利润分配方案为：以公司现有总股本</w:t>
      </w:r>
      <w:r>
        <w:rPr>
          <w:spacing w:val="-55"/>
        </w:rPr>
        <w:t> </w:t>
      </w:r>
      <w:r>
        <w:rPr>
          <w:rFonts w:ascii="Arial" w:hAnsi="Arial" w:cs="Arial" w:eastAsia="Arial" w:hint="default"/>
        </w:rPr>
        <w:t>329,162,000</w:t>
      </w:r>
      <w:r>
        <w:rPr>
          <w:rFonts w:ascii="Arial" w:hAnsi="Arial" w:cs="Arial" w:eastAsia="Arial" w:hint="default"/>
          <w:spacing w:val="-11"/>
        </w:rPr>
        <w:t> </w:t>
      </w:r>
      <w:r>
        <w:rPr/>
        <w:t>股为基数，向全体股东每</w:t>
      </w:r>
      <w:r>
        <w:rPr>
          <w:spacing w:val="-55"/>
        </w:rPr>
        <w:t> </w:t>
      </w:r>
      <w:r>
        <w:rPr>
          <w:rFonts w:ascii="Arial" w:hAnsi="Arial" w:cs="Arial" w:eastAsia="Arial" w:hint="default"/>
        </w:rPr>
        <w:t>10</w:t>
      </w:r>
      <w:r>
        <w:rPr>
          <w:rFonts w:ascii="Arial" w:hAnsi="Arial" w:cs="Arial" w:eastAsia="Arial" w:hint="default"/>
          <w:spacing w:val="-10"/>
        </w:rPr>
        <w:t> </w:t>
      </w:r>
      <w:r>
        <w:rPr/>
        <w:t>股</w:t>
      </w:r>
    </w:p>
    <w:p>
      <w:pPr>
        <w:pStyle w:val="BodyText"/>
        <w:spacing w:line="240" w:lineRule="auto" w:before="176"/>
        <w:ind w:right="0"/>
        <w:jc w:val="left"/>
      </w:pPr>
      <w:r>
        <w:rPr>
          <w:w w:val="100"/>
        </w:rPr>
        <w:t>派发现金</w:t>
      </w:r>
      <w:r>
        <w:rPr>
          <w:spacing w:val="-5"/>
          <w:w w:val="100"/>
        </w:rPr>
        <w:t>股</w:t>
      </w:r>
      <w:r>
        <w:rPr>
          <w:w w:val="100"/>
        </w:rPr>
        <w:t>利</w:t>
      </w:r>
      <w:r>
        <w:rPr>
          <w:spacing w:val="-53"/>
        </w:rPr>
        <w:t> </w:t>
      </w:r>
      <w:r>
        <w:rPr>
          <w:rFonts w:ascii="Arial" w:hAnsi="Arial" w:cs="Arial" w:eastAsia="Arial" w:hint="default"/>
          <w:spacing w:val="-3"/>
          <w:w w:val="100"/>
        </w:rPr>
        <w:t>0</w:t>
      </w:r>
      <w:r>
        <w:rPr>
          <w:rFonts w:ascii="Arial" w:hAnsi="Arial" w:cs="Arial" w:eastAsia="Arial" w:hint="default"/>
          <w:spacing w:val="-2"/>
          <w:w w:val="100"/>
        </w:rPr>
        <w:t>.</w:t>
      </w:r>
      <w:r>
        <w:rPr>
          <w:rFonts w:ascii="Arial" w:hAnsi="Arial" w:cs="Arial" w:eastAsia="Arial" w:hint="default"/>
          <w:w w:val="100"/>
        </w:rPr>
        <w:t>5</w:t>
      </w:r>
      <w:r>
        <w:rPr>
          <w:rFonts w:ascii="Arial" w:hAnsi="Arial" w:cs="Arial" w:eastAsia="Arial" w:hint="default"/>
          <w:spacing w:val="-8"/>
        </w:rPr>
        <w:t> </w:t>
      </w:r>
      <w:r>
        <w:rPr>
          <w:w w:val="100"/>
        </w:rPr>
        <w:t>元人民币（</w:t>
      </w:r>
      <w:r>
        <w:rPr>
          <w:spacing w:val="-5"/>
          <w:w w:val="100"/>
        </w:rPr>
        <w:t>含</w:t>
      </w:r>
      <w:r>
        <w:rPr>
          <w:spacing w:val="-1"/>
          <w:w w:val="100"/>
        </w:rPr>
        <w:t>税</w:t>
      </w:r>
      <w:r>
        <w:rPr>
          <w:spacing w:val="-106"/>
          <w:w w:val="100"/>
        </w:rPr>
        <w:t>）</w:t>
      </w:r>
      <w:r>
        <w:rPr>
          <w:spacing w:val="-1"/>
          <w:w w:val="100"/>
        </w:rPr>
        <w:t>，</w:t>
      </w:r>
      <w:r>
        <w:rPr>
          <w:spacing w:val="-5"/>
          <w:w w:val="100"/>
        </w:rPr>
        <w:t>合</w:t>
      </w:r>
      <w:r>
        <w:rPr>
          <w:w w:val="100"/>
        </w:rPr>
        <w:t>计</w:t>
      </w:r>
      <w:r>
        <w:rPr>
          <w:spacing w:val="-1"/>
          <w:w w:val="100"/>
        </w:rPr>
        <w:t>派</w:t>
      </w:r>
      <w:r>
        <w:rPr>
          <w:w w:val="100"/>
        </w:rPr>
        <w:t>发</w:t>
      </w:r>
      <w:r>
        <w:rPr>
          <w:spacing w:val="-5"/>
          <w:w w:val="100"/>
        </w:rPr>
        <w:t>现金</w:t>
      </w:r>
      <w:r>
        <w:rPr>
          <w:w w:val="100"/>
        </w:rPr>
        <w:t>额</w:t>
      </w:r>
      <w:r>
        <w:rPr>
          <w:spacing w:val="-53"/>
        </w:rPr>
        <w:t> </w:t>
      </w:r>
      <w:r>
        <w:rPr>
          <w:rFonts w:ascii="Arial" w:hAnsi="Arial" w:cs="Arial" w:eastAsia="Arial" w:hint="default"/>
          <w:spacing w:val="-3"/>
          <w:w w:val="100"/>
        </w:rPr>
        <w:t>16</w:t>
      </w:r>
      <w:r>
        <w:rPr>
          <w:rFonts w:ascii="Arial" w:hAnsi="Arial" w:cs="Arial" w:eastAsia="Arial" w:hint="default"/>
          <w:spacing w:val="-2"/>
          <w:w w:val="100"/>
        </w:rPr>
        <w:t>,</w:t>
      </w:r>
      <w:r>
        <w:rPr>
          <w:rFonts w:ascii="Arial" w:hAnsi="Arial" w:cs="Arial" w:eastAsia="Arial" w:hint="default"/>
          <w:spacing w:val="-3"/>
          <w:w w:val="100"/>
        </w:rPr>
        <w:t>45</w:t>
      </w:r>
      <w:r>
        <w:rPr>
          <w:rFonts w:ascii="Arial" w:hAnsi="Arial" w:cs="Arial" w:eastAsia="Arial" w:hint="default"/>
          <w:spacing w:val="2"/>
          <w:w w:val="100"/>
        </w:rPr>
        <w:t>8</w:t>
      </w:r>
      <w:r>
        <w:rPr>
          <w:rFonts w:ascii="Arial" w:hAnsi="Arial" w:cs="Arial" w:eastAsia="Arial" w:hint="default"/>
          <w:spacing w:val="-2"/>
          <w:w w:val="100"/>
        </w:rPr>
        <w:t>,</w:t>
      </w:r>
      <w:r>
        <w:rPr>
          <w:rFonts w:ascii="Arial" w:hAnsi="Arial" w:cs="Arial" w:eastAsia="Arial" w:hint="default"/>
          <w:spacing w:val="-3"/>
          <w:w w:val="100"/>
        </w:rPr>
        <w:t>1</w:t>
      </w:r>
      <w:r>
        <w:rPr>
          <w:rFonts w:ascii="Arial" w:hAnsi="Arial" w:cs="Arial" w:eastAsia="Arial" w:hint="default"/>
          <w:spacing w:val="2"/>
          <w:w w:val="100"/>
        </w:rPr>
        <w:t>0</w:t>
      </w:r>
      <w:r>
        <w:rPr>
          <w:rFonts w:ascii="Arial" w:hAnsi="Arial" w:cs="Arial" w:eastAsia="Arial" w:hint="default"/>
          <w:w w:val="100"/>
        </w:rPr>
        <w:t>0</w:t>
      </w:r>
      <w:r>
        <w:rPr>
          <w:rFonts w:ascii="Arial" w:hAnsi="Arial" w:cs="Arial" w:eastAsia="Arial" w:hint="default"/>
          <w:spacing w:val="-9"/>
        </w:rPr>
        <w:t> </w:t>
      </w:r>
      <w:r>
        <w:rPr>
          <w:w w:val="100"/>
        </w:rPr>
        <w:t>元，其余未分</w:t>
      </w:r>
      <w:r>
        <w:rPr>
          <w:spacing w:val="-5"/>
          <w:w w:val="100"/>
        </w:rPr>
        <w:t>配</w:t>
      </w:r>
      <w:r>
        <w:rPr>
          <w:w w:val="100"/>
        </w:rPr>
        <w:t>利润结</w:t>
      </w:r>
      <w:r>
        <w:rPr>
          <w:spacing w:val="-5"/>
          <w:w w:val="100"/>
        </w:rPr>
        <w:t>转</w:t>
      </w:r>
      <w:r>
        <w:rPr>
          <w:w w:val="100"/>
        </w:rPr>
        <w:t>下年；</w:t>
      </w:r>
      <w:r>
        <w:rPr>
          <w:spacing w:val="-5"/>
          <w:w w:val="100"/>
        </w:rPr>
        <w:t>同时</w:t>
      </w:r>
      <w:r>
        <w:rPr>
          <w:w w:val="100"/>
        </w:rPr>
        <w:t>进</w:t>
      </w:r>
    </w:p>
    <w:p>
      <w:pPr>
        <w:pStyle w:val="BodyText"/>
        <w:spacing w:line="240" w:lineRule="auto" w:before="180"/>
        <w:ind w:right="0"/>
        <w:jc w:val="left"/>
      </w:pPr>
      <w:r>
        <w:rPr/>
        <w:t>行资本公积金转增股本，以公司现有总股本</w:t>
      </w:r>
      <w:r>
        <w:rPr>
          <w:spacing w:val="-48"/>
        </w:rPr>
        <w:t> </w:t>
      </w:r>
      <w:r>
        <w:rPr>
          <w:rFonts w:ascii="Arial" w:hAnsi="Arial" w:cs="Arial" w:eastAsia="Arial" w:hint="default"/>
        </w:rPr>
        <w:t>329,162,000</w:t>
      </w:r>
      <w:r>
        <w:rPr>
          <w:rFonts w:ascii="Arial" w:hAnsi="Arial" w:cs="Arial" w:eastAsia="Arial" w:hint="default"/>
          <w:spacing w:val="-4"/>
        </w:rPr>
        <w:t> </w:t>
      </w:r>
      <w:r>
        <w:rPr/>
        <w:t>股为基数向全体股东每</w:t>
      </w:r>
      <w:r>
        <w:rPr>
          <w:spacing w:val="-47"/>
        </w:rPr>
        <w:t> </w:t>
      </w:r>
      <w:r>
        <w:rPr>
          <w:rFonts w:ascii="Arial" w:hAnsi="Arial" w:cs="Arial" w:eastAsia="Arial" w:hint="default"/>
        </w:rPr>
        <w:t>10</w:t>
      </w:r>
      <w:r>
        <w:rPr>
          <w:rFonts w:ascii="Arial" w:hAnsi="Arial" w:cs="Arial" w:eastAsia="Arial" w:hint="default"/>
          <w:spacing w:val="-4"/>
        </w:rPr>
        <w:t> </w:t>
      </w:r>
      <w:r>
        <w:rPr/>
        <w:t>股转增</w:t>
      </w:r>
      <w:r>
        <w:rPr>
          <w:spacing w:val="-48"/>
        </w:rPr>
        <w:t> </w:t>
      </w:r>
      <w:r>
        <w:rPr>
          <w:rFonts w:ascii="Arial" w:hAnsi="Arial" w:cs="Arial" w:eastAsia="Arial" w:hint="default"/>
        </w:rPr>
        <w:t>6</w:t>
      </w:r>
      <w:r>
        <w:rPr>
          <w:rFonts w:ascii="Arial" w:hAnsi="Arial" w:cs="Arial" w:eastAsia="Arial" w:hint="default"/>
          <w:spacing w:val="-3"/>
        </w:rPr>
        <w:t> </w:t>
      </w:r>
      <w:r>
        <w:rPr/>
        <w:t>股，共计转</w:t>
      </w:r>
    </w:p>
    <w:p>
      <w:pPr>
        <w:pStyle w:val="BodyText"/>
        <w:spacing w:line="240" w:lineRule="auto" w:before="176"/>
        <w:ind w:right="0"/>
        <w:jc w:val="left"/>
      </w:pPr>
      <w:r>
        <w:rPr/>
        <w:t>增</w:t>
      </w:r>
      <w:r>
        <w:rPr>
          <w:spacing w:val="-50"/>
        </w:rPr>
        <w:t> </w:t>
      </w:r>
      <w:r>
        <w:rPr>
          <w:rFonts w:ascii="Arial" w:hAnsi="Arial" w:cs="Arial" w:eastAsia="Arial" w:hint="default"/>
        </w:rPr>
        <w:t>197,497,200</w:t>
      </w:r>
      <w:r>
        <w:rPr>
          <w:rFonts w:ascii="Arial" w:hAnsi="Arial" w:cs="Arial" w:eastAsia="Arial" w:hint="default"/>
          <w:spacing w:val="-6"/>
        </w:rPr>
        <w:t> </w:t>
      </w:r>
      <w:r>
        <w:rPr/>
        <w:t>股，转增后公司总股本将增加至</w:t>
      </w:r>
      <w:r>
        <w:rPr>
          <w:spacing w:val="-49"/>
        </w:rPr>
        <w:t> </w:t>
      </w:r>
      <w:r>
        <w:rPr>
          <w:rFonts w:ascii="Arial" w:hAnsi="Arial" w:cs="Arial" w:eastAsia="Arial" w:hint="default"/>
          <w:spacing w:val="-3"/>
        </w:rPr>
        <w:t>526,659,200</w:t>
      </w:r>
      <w:r>
        <w:rPr>
          <w:rFonts w:ascii="Arial" w:hAnsi="Arial" w:cs="Arial" w:eastAsia="Arial" w:hint="default"/>
          <w:spacing w:val="-6"/>
        </w:rPr>
        <w:t> </w:t>
      </w:r>
      <w:r>
        <w:rPr/>
        <w:t>股。</w:t>
      </w:r>
    </w:p>
    <w:p>
      <w:pPr>
        <w:pStyle w:val="Heading4"/>
        <w:spacing w:line="240" w:lineRule="auto" w:before="114"/>
        <w:ind w:left="575" w:right="0"/>
        <w:jc w:val="left"/>
        <w:rPr>
          <w:b w:val="0"/>
          <w:bCs w:val="0"/>
        </w:rPr>
      </w:pPr>
      <w:r>
        <w:rPr/>
        <w:t>公司近三年现金分红情况表</w:t>
      </w:r>
      <w:r>
        <w:rPr>
          <w:b w:val="0"/>
          <w:bCs w:val="0"/>
        </w:rPr>
      </w:r>
    </w:p>
    <w:p>
      <w:pPr>
        <w:spacing w:before="154"/>
        <w:ind w:left="0" w:right="146"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0"/>
        <w:gridCol w:w="2395"/>
        <w:gridCol w:w="2390"/>
        <w:gridCol w:w="2390"/>
      </w:tblGrid>
      <w:tr>
        <w:trPr>
          <w:trHeight w:val="318"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5"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10" w:right="103"/>
              <w:jc w:val="center"/>
              <w:rPr>
                <w:rFonts w:ascii="宋体" w:hAnsi="宋体" w:cs="宋体" w:eastAsia="宋体" w:hint="default"/>
                <w:sz w:val="18"/>
                <w:szCs w:val="18"/>
              </w:rPr>
            </w:pPr>
            <w:r>
              <w:rPr>
                <w:rFonts w:ascii="宋体" w:hAnsi="宋体" w:cs="宋体" w:eastAsia="宋体" w:hint="default"/>
                <w:spacing w:val="-3"/>
                <w:sz w:val="18"/>
                <w:szCs w:val="18"/>
              </w:rPr>
              <w:t>分红年度合并报表中归属于</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3"/>
                <w:sz w:val="18"/>
                <w:szCs w:val="18"/>
              </w:rPr>
              <w:t>上市公司普通股股东的净利</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润</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10" w:right="103"/>
              <w:jc w:val="center"/>
              <w:rPr>
                <w:rFonts w:ascii="宋体" w:hAnsi="宋体" w:cs="宋体" w:eastAsia="宋体" w:hint="default"/>
                <w:sz w:val="18"/>
                <w:szCs w:val="18"/>
              </w:rPr>
            </w:pPr>
            <w:r>
              <w:rPr>
                <w:rFonts w:ascii="宋体" w:hAnsi="宋体" w:cs="宋体" w:eastAsia="宋体" w:hint="default"/>
                <w:spacing w:val="-3"/>
                <w:sz w:val="18"/>
                <w:szCs w:val="18"/>
              </w:rPr>
              <w:t>占合并报表中归属于上市公</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3"/>
                <w:sz w:val="18"/>
                <w:szCs w:val="18"/>
              </w:rPr>
              <w:t>司普通股股东的净利润的比</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率</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3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0" w:type="dxa"/>
            <w:vMerge/>
            <w:tcBorders>
              <w:left w:val="single" w:sz="4" w:space="0" w:color="000000"/>
              <w:right w:val="single" w:sz="4" w:space="0" w:color="000000"/>
            </w:tcBorders>
            <w:shd w:val="clear" w:color="auto" w:fill="D2D2D2"/>
          </w:tcPr>
          <w:p>
            <w:pPr/>
          </w:p>
        </w:tc>
        <w:tc>
          <w:tcPr>
            <w:tcW w:w="2390" w:type="dxa"/>
            <w:vMerge/>
            <w:tcBorders>
              <w:left w:val="single" w:sz="4" w:space="0" w:color="000000"/>
              <w:right w:val="single" w:sz="4" w:space="0" w:color="000000"/>
            </w:tcBorders>
            <w:shd w:val="clear" w:color="auto" w:fill="D2D2D2"/>
          </w:tcPr>
          <w:p>
            <w:pPr/>
          </w:p>
        </w:tc>
      </w:tr>
      <w:tr>
        <w:trPr>
          <w:trHeight w:val="317"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9"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16,458,100.00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100,871,442.71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16.32%</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16,356,600.00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47,726,565.71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34.27%</w:t>
            </w:r>
          </w:p>
        </w:tc>
      </w:tr>
    </w:tbl>
    <w:p>
      <w:pPr>
        <w:spacing w:after="0" w:line="240" w:lineRule="auto"/>
        <w:jc w:val="right"/>
        <w:rPr>
          <w:rFonts w:ascii="Times New Roman" w:hAnsi="Times New Roman" w:cs="Times New Roman" w:eastAsia="Times New Roman" w:hint="default"/>
          <w:sz w:val="18"/>
          <w:szCs w:val="18"/>
        </w:rPr>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0"/>
        <w:gridCol w:w="2395"/>
        <w:gridCol w:w="2390"/>
        <w:gridCol w:w="2390"/>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20" w:right="0"/>
              <w:jc w:val="left"/>
              <w:rPr>
                <w:rFonts w:ascii="Times New Roman" w:hAnsi="Times New Roman" w:cs="Times New Roman" w:eastAsia="Times New Roman" w:hint="default"/>
                <w:sz w:val="18"/>
                <w:szCs w:val="18"/>
              </w:rPr>
            </w:pPr>
            <w:r>
              <w:rPr>
                <w:rFonts w:ascii="Times New Roman"/>
                <w:sz w:val="18"/>
              </w:rPr>
              <w:t>12,840,000.00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20" w:right="0"/>
              <w:jc w:val="left"/>
              <w:rPr>
                <w:rFonts w:ascii="Times New Roman" w:hAnsi="Times New Roman" w:cs="Times New Roman" w:eastAsia="Times New Roman" w:hint="default"/>
                <w:sz w:val="18"/>
                <w:szCs w:val="18"/>
              </w:rPr>
            </w:pPr>
            <w:r>
              <w:rPr>
                <w:rFonts w:ascii="Times New Roman"/>
                <w:sz w:val="18"/>
              </w:rPr>
              <w:t>22,889,031.23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56.10%</w:t>
            </w:r>
          </w:p>
        </w:tc>
      </w:tr>
    </w:tbl>
    <w:p>
      <w:pPr>
        <w:pStyle w:val="Heading4"/>
        <w:spacing w:line="240" w:lineRule="auto"/>
        <w:ind w:left="575" w:right="0"/>
        <w:jc w:val="left"/>
        <w:rPr>
          <w:b w:val="0"/>
          <w:bCs w:val="0"/>
        </w:rPr>
      </w:pPr>
      <w:r>
        <w:rPr/>
        <w:t>公司报告期内盈利且母公司未分配利润为正但未提出现金红利分配预案</w:t>
      </w:r>
      <w:r>
        <w:rPr>
          <w:b w:val="0"/>
          <w:bCs w:val="0"/>
        </w:rPr>
      </w:r>
    </w:p>
    <w:p>
      <w:pPr>
        <w:pStyle w:val="BodyText"/>
        <w:spacing w:line="240" w:lineRule="auto" w:before="167"/>
        <w:ind w:left="575" w:right="0"/>
        <w:jc w:val="left"/>
      </w:pPr>
      <w:r>
        <w:rPr/>
        <w:t>□ 适用 √</w:t>
      </w:r>
      <w:r>
        <w:rPr>
          <w:spacing w:val="3"/>
        </w:rPr>
        <w:t> </w:t>
      </w:r>
      <w:r>
        <w:rPr/>
        <w:t>不适用</w:t>
      </w:r>
    </w:p>
    <w:p>
      <w:pPr>
        <w:spacing w:line="240" w:lineRule="auto" w:before="9"/>
        <w:rPr>
          <w:rFonts w:ascii="宋体" w:hAnsi="宋体" w:cs="宋体" w:eastAsia="宋体" w:hint="default"/>
          <w:sz w:val="23"/>
          <w:szCs w:val="23"/>
        </w:rPr>
      </w:pPr>
    </w:p>
    <w:p>
      <w:pPr>
        <w:pStyle w:val="Heading3"/>
        <w:spacing w:line="240" w:lineRule="auto"/>
        <w:ind w:right="0"/>
        <w:jc w:val="left"/>
        <w:rPr>
          <w:b w:val="0"/>
          <w:bCs w:val="0"/>
        </w:rPr>
      </w:pPr>
      <w:r>
        <w:rPr/>
        <w:t>六、内幕信息知情人管理制度的建立和执行情况</w:t>
      </w:r>
      <w:r>
        <w:rPr>
          <w:b w:val="0"/>
          <w:bCs w:val="0"/>
        </w:rPr>
      </w:r>
    </w:p>
    <w:p>
      <w:pPr>
        <w:spacing w:line="240" w:lineRule="auto" w:before="15"/>
        <w:rPr>
          <w:rFonts w:ascii="Microsoft JhengHei" w:hAnsi="Microsoft JhengHei" w:cs="Microsoft JhengHei" w:eastAsia="Microsoft JhengHei" w:hint="default"/>
          <w:b/>
          <w:bCs/>
          <w:sz w:val="21"/>
          <w:szCs w:val="21"/>
        </w:rPr>
      </w:pPr>
    </w:p>
    <w:p>
      <w:pPr>
        <w:pStyle w:val="BodyText"/>
        <w:spacing w:line="410" w:lineRule="auto"/>
        <w:ind w:right="142" w:firstLine="422"/>
        <w:jc w:val="both"/>
      </w:pPr>
      <w:r>
        <w:rPr>
          <w:spacing w:val="-2"/>
          <w:w w:val="100"/>
        </w:rPr>
        <w:t>公司第一届董事会第十八次会议审议通过了《内幕信息知情人登记制度》，对公司内幕信息的流转进</w:t>
      </w:r>
      <w:r>
        <w:rPr>
          <w:w w:val="100"/>
        </w:rPr>
        <w:t> </w:t>
      </w:r>
      <w:r>
        <w:rPr>
          <w:spacing w:val="-2"/>
        </w:rPr>
        <w:t>行了严格的规定，制订了备案登记和保密措施，加强了法定范围人员买卖股票的管理；公司第二届董事会</w:t>
      </w:r>
      <w:r>
        <w:rPr>
          <w:spacing w:val="-35"/>
        </w:rPr>
        <w:t> </w:t>
      </w:r>
      <w:r>
        <w:rPr>
          <w:spacing w:val="-35"/>
        </w:rPr>
      </w:r>
      <w:r>
        <w:rPr>
          <w:spacing w:val="-2"/>
          <w:w w:val="100"/>
        </w:rPr>
        <w:t>第十九次会议审议通过了《公司内幕信息知情人登记制度修订本》，进一步完善规范了该制度；第二届董</w:t>
      </w:r>
      <w:r>
        <w:rPr>
          <w:spacing w:val="-97"/>
          <w:w w:val="100"/>
        </w:rPr>
        <w:t> </w:t>
      </w:r>
      <w:r>
        <w:rPr>
          <w:spacing w:val="-97"/>
          <w:w w:val="100"/>
        </w:rPr>
      </w:r>
      <w:r>
        <w:rPr>
          <w:spacing w:val="-4"/>
          <w:w w:val="100"/>
        </w:rPr>
        <w:t>事会第二次会议审议通过了《对外信息报送和使用管理制度》，规范公司信息外报流程。</w:t>
      </w:r>
    </w:p>
    <w:p>
      <w:pPr>
        <w:pStyle w:val="BodyText"/>
        <w:spacing w:line="408" w:lineRule="auto" w:before="41"/>
        <w:ind w:right="141" w:firstLine="422"/>
        <w:jc w:val="both"/>
      </w:pPr>
      <w:r>
        <w:rPr>
          <w:spacing w:val="-2"/>
        </w:rPr>
        <w:t>报告期公司严格执行了上述制度，未发生内幕信息知情人买卖本公司股票及其衍生品种的情况；公司</w:t>
      </w:r>
      <w:r>
        <w:rPr>
          <w:w w:val="100"/>
        </w:rPr>
        <w:t> </w:t>
      </w:r>
      <w:r>
        <w:rPr/>
        <w:t>及相关人员未发生因内幕信息知情人登记管理制度执行或涉嫌内幕交易被监管部门采取监管措施及行政</w:t>
      </w:r>
      <w:r>
        <w:rPr>
          <w:spacing w:val="58"/>
        </w:rPr>
        <w:t> </w:t>
      </w:r>
      <w:r>
        <w:rPr>
          <w:spacing w:val="58"/>
        </w:rPr>
      </w:r>
      <w:r>
        <w:rPr/>
        <w:t>处罚的情况。</w:t>
      </w:r>
    </w:p>
    <w:p>
      <w:pPr>
        <w:pStyle w:val="Heading3"/>
        <w:spacing w:line="240" w:lineRule="auto" w:before="162"/>
        <w:ind w:right="0"/>
        <w:jc w:val="left"/>
        <w:rPr>
          <w:b w:val="0"/>
          <w:bCs w:val="0"/>
        </w:rPr>
      </w:pPr>
      <w:r>
        <w:rPr/>
        <w:t>七、报告期内接待调研、沟通、采访等活动登记表</w:t>
      </w:r>
      <w:r>
        <w:rPr>
          <w:b w:val="0"/>
          <w:bCs w:val="0"/>
        </w:rPr>
      </w:r>
    </w:p>
    <w:p>
      <w:pPr>
        <w:spacing w:line="240" w:lineRule="auto" w:before="15"/>
        <w:rPr>
          <w:rFonts w:ascii="Microsoft JhengHei" w:hAnsi="Microsoft JhengHei" w:cs="Microsoft JhengHei" w:eastAsia="Microsoft JhengHei" w:hint="default"/>
          <w:b/>
          <w:bCs/>
          <w:sz w:val="21"/>
          <w:szCs w:val="21"/>
        </w:rPr>
      </w:pPr>
    </w:p>
    <w:p>
      <w:pPr>
        <w:pStyle w:val="BodyText"/>
        <w:spacing w:line="240" w:lineRule="auto"/>
        <w:ind w:left="575" w:right="0"/>
        <w:jc w:val="left"/>
      </w:pPr>
      <w:r>
        <w:rPr/>
        <w:t>√ 适用 □</w:t>
      </w:r>
      <w:r>
        <w:rPr>
          <w:spacing w:val="3"/>
        </w:rPr>
        <w:t> </w:t>
      </w:r>
      <w:r>
        <w:rPr/>
        <w:t>不适用</w:t>
      </w:r>
    </w:p>
    <w:p>
      <w:pPr>
        <w:spacing w:line="240" w:lineRule="auto" w:before="6"/>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1493"/>
        <w:gridCol w:w="1498"/>
        <w:gridCol w:w="1498"/>
        <w:gridCol w:w="1498"/>
        <w:gridCol w:w="1498"/>
        <w:gridCol w:w="2088"/>
      </w:tblGrid>
      <w:tr>
        <w:trPr>
          <w:trHeight w:val="715" w:hRule="exact"/>
        </w:trPr>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854" w:right="46" w:hanging="807"/>
              <w:jc w:val="left"/>
              <w:rPr>
                <w:rFonts w:ascii="宋体" w:hAnsi="宋体" w:cs="宋体" w:eastAsia="宋体" w:hint="default"/>
                <w:sz w:val="18"/>
                <w:szCs w:val="18"/>
              </w:rPr>
            </w:pPr>
            <w:r>
              <w:rPr>
                <w:rFonts w:ascii="宋体" w:hAnsi="宋体" w:cs="宋体" w:eastAsia="宋体" w:hint="default"/>
                <w:spacing w:val="-3"/>
                <w:sz w:val="18"/>
                <w:szCs w:val="18"/>
              </w:rPr>
              <w:t>谈论的主要内容及提供的</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资料</w:t>
            </w:r>
          </w:p>
        </w:tc>
      </w:tr>
      <w:tr>
        <w:trPr>
          <w:trHeight w:val="357" w:hRule="exact"/>
        </w:trPr>
        <w:tc>
          <w:tcPr>
            <w:tcW w:w="1493"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广发证券化工行业</w:t>
            </w:r>
          </w:p>
        </w:tc>
        <w:tc>
          <w:tcPr>
            <w:tcW w:w="20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目前染料行业状况、公司</w:t>
            </w:r>
          </w:p>
        </w:tc>
      </w:tr>
      <w:tr>
        <w:trPr>
          <w:trHeight w:val="319" w:hRule="exact"/>
        </w:trPr>
        <w:tc>
          <w:tcPr>
            <w:tcW w:w="1493"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研究员王剑雨、嘉</w:t>
            </w:r>
          </w:p>
        </w:tc>
        <w:tc>
          <w:tcPr>
            <w:tcW w:w="208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pacing w:val="-3"/>
                <w:sz w:val="18"/>
                <w:szCs w:val="18"/>
              </w:rPr>
              <w:t>未来发展方向以及公司情</w:t>
            </w:r>
          </w:p>
        </w:tc>
      </w:tr>
      <w:tr>
        <w:trPr>
          <w:trHeight w:val="351" w:hRule="exact"/>
        </w:trPr>
        <w:tc>
          <w:tcPr>
            <w:tcW w:w="1493"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时基金研究员徐斌</w:t>
            </w:r>
          </w:p>
        </w:tc>
        <w:tc>
          <w:tcPr>
            <w:tcW w:w="20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w w:val="101"/>
                <w:sz w:val="18"/>
                <w:szCs w:val="18"/>
              </w:rPr>
              <w:t>况</w:t>
            </w:r>
            <w:r>
              <w:rPr>
                <w:rFonts w:ascii="宋体" w:hAnsi="宋体" w:cs="宋体" w:eastAsia="宋体" w:hint="default"/>
                <w:sz w:val="18"/>
                <w:szCs w:val="18"/>
              </w:rPr>
            </w:r>
          </w:p>
        </w:tc>
      </w:tr>
      <w:tr>
        <w:trPr>
          <w:trHeight w:val="357" w:hRule="exact"/>
        </w:trPr>
        <w:tc>
          <w:tcPr>
            <w:tcW w:w="1493"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长江证券化工行业</w:t>
            </w:r>
          </w:p>
        </w:tc>
        <w:tc>
          <w:tcPr>
            <w:tcW w:w="2088" w:type="dxa"/>
            <w:tcBorders>
              <w:top w:val="single" w:sz="4" w:space="0" w:color="000000"/>
              <w:left w:val="single" w:sz="4" w:space="0" w:color="000000"/>
              <w:bottom w:val="nil" w:sz="6" w:space="0" w:color="auto"/>
              <w:right w:val="single" w:sz="4" w:space="0" w:color="000000"/>
            </w:tcBorders>
          </w:tcPr>
          <w:p>
            <w:pPr/>
          </w:p>
        </w:tc>
      </w:tr>
      <w:tr>
        <w:trPr>
          <w:trHeight w:val="310" w:hRule="exact"/>
        </w:trPr>
        <w:tc>
          <w:tcPr>
            <w:tcW w:w="1493"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分析师张坤、东方</w:t>
            </w:r>
          </w:p>
        </w:tc>
        <w:tc>
          <w:tcPr>
            <w:tcW w:w="2088"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49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17"/>
              <w:jc w:val="both"/>
              <w:rPr>
                <w:rFonts w:ascii="宋体" w:hAnsi="宋体" w:cs="宋体" w:eastAsia="宋体" w:hint="default"/>
                <w:sz w:val="18"/>
                <w:szCs w:val="18"/>
              </w:rPr>
            </w:pPr>
            <w:r>
              <w:rPr>
                <w:rFonts w:ascii="宋体" w:hAnsi="宋体" w:cs="宋体" w:eastAsia="宋体" w:hint="default"/>
                <w:spacing w:val="-2"/>
                <w:sz w:val="18"/>
                <w:szCs w:val="18"/>
              </w:rPr>
              <w:t>证券石油与化工行</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业高级研究员虞瑞</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捷、东吴基金研究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员李鹏飞以及西南</w:t>
            </w:r>
          </w:p>
        </w:tc>
        <w:tc>
          <w:tcPr>
            <w:tcW w:w="208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23" w:right="70"/>
              <w:jc w:val="both"/>
              <w:rPr>
                <w:rFonts w:ascii="宋体" w:hAnsi="宋体" w:cs="宋体" w:eastAsia="宋体" w:hint="default"/>
                <w:sz w:val="18"/>
                <w:szCs w:val="18"/>
              </w:rPr>
            </w:pPr>
            <w:r>
              <w:rPr>
                <w:rFonts w:ascii="宋体" w:hAnsi="宋体" w:cs="宋体" w:eastAsia="宋体" w:hint="default"/>
                <w:spacing w:val="-3"/>
                <w:sz w:val="18"/>
                <w:szCs w:val="18"/>
              </w:rPr>
              <w:t>目前染料行业状况、公司</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3"/>
                <w:sz w:val="18"/>
                <w:szCs w:val="18"/>
              </w:rPr>
              <w:t>未来发展方向以及公司情</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况</w:t>
            </w:r>
          </w:p>
        </w:tc>
      </w:tr>
      <w:tr>
        <w:trPr>
          <w:trHeight w:val="314" w:hRule="exact"/>
        </w:trPr>
        <w:tc>
          <w:tcPr>
            <w:tcW w:w="1493"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证券化工行业研究</w:t>
            </w:r>
          </w:p>
        </w:tc>
        <w:tc>
          <w:tcPr>
            <w:tcW w:w="2088"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1493"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员商艾华</w:t>
            </w:r>
          </w:p>
        </w:tc>
        <w:tc>
          <w:tcPr>
            <w:tcW w:w="208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493"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华创证券基础化工</w:t>
            </w:r>
          </w:p>
        </w:tc>
        <w:tc>
          <w:tcPr>
            <w:tcW w:w="2088" w:type="dxa"/>
            <w:tcBorders>
              <w:top w:val="single" w:sz="4" w:space="0" w:color="000000"/>
              <w:left w:val="single" w:sz="4" w:space="0" w:color="000000"/>
              <w:bottom w:val="nil" w:sz="6" w:space="0" w:color="auto"/>
              <w:right w:val="single" w:sz="4" w:space="0" w:color="000000"/>
            </w:tcBorders>
          </w:tcPr>
          <w:p>
            <w:pPr/>
          </w:p>
        </w:tc>
      </w:tr>
      <w:tr>
        <w:trPr>
          <w:trHeight w:val="310" w:hRule="exact"/>
        </w:trPr>
        <w:tc>
          <w:tcPr>
            <w:tcW w:w="1493"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首席分析师程磊、</w:t>
            </w:r>
          </w:p>
        </w:tc>
        <w:tc>
          <w:tcPr>
            <w:tcW w:w="2088"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1493"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华创证券基础化工</w:t>
            </w:r>
          </w:p>
        </w:tc>
        <w:tc>
          <w:tcPr>
            <w:tcW w:w="2088"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8"/>
                <w:szCs w:val="18"/>
              </w:rPr>
            </w:pPr>
            <w:r>
              <w:rPr>
                <w:rFonts w:ascii="宋体" w:hAnsi="宋体" w:cs="宋体" w:eastAsia="宋体" w:hint="default"/>
                <w:spacing w:val="-3"/>
                <w:sz w:val="18"/>
                <w:szCs w:val="18"/>
              </w:rPr>
              <w:t>目前染料行业状况、公司</w:t>
            </w:r>
          </w:p>
        </w:tc>
      </w:tr>
      <w:tr>
        <w:trPr>
          <w:trHeight w:val="317" w:hRule="exact"/>
        </w:trPr>
        <w:tc>
          <w:tcPr>
            <w:tcW w:w="1493"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分析师吴钊华、华</w:t>
            </w:r>
          </w:p>
        </w:tc>
        <w:tc>
          <w:tcPr>
            <w:tcW w:w="208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pacing w:val="-3"/>
                <w:sz w:val="18"/>
                <w:szCs w:val="18"/>
              </w:rPr>
              <w:t>未来发展方向以及公司情</w:t>
            </w:r>
          </w:p>
        </w:tc>
      </w:tr>
      <w:tr>
        <w:trPr>
          <w:trHeight w:val="307" w:hRule="exact"/>
        </w:trPr>
        <w:tc>
          <w:tcPr>
            <w:tcW w:w="1493"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pacing w:val="-3"/>
                <w:sz w:val="18"/>
                <w:szCs w:val="18"/>
              </w:rPr>
              <w:t>安基金研究员曾</w:t>
            </w:r>
          </w:p>
        </w:tc>
        <w:tc>
          <w:tcPr>
            <w:tcW w:w="208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w w:val="101"/>
                <w:sz w:val="18"/>
                <w:szCs w:val="18"/>
              </w:rPr>
              <w:t>况</w:t>
            </w:r>
            <w:r>
              <w:rPr>
                <w:rFonts w:ascii="宋体" w:hAnsi="宋体" w:cs="宋体" w:eastAsia="宋体" w:hint="default"/>
                <w:sz w:val="18"/>
                <w:szCs w:val="18"/>
              </w:rPr>
            </w:r>
          </w:p>
        </w:tc>
      </w:tr>
      <w:tr>
        <w:trPr>
          <w:trHeight w:val="312" w:hRule="exact"/>
        </w:trPr>
        <w:tc>
          <w:tcPr>
            <w:tcW w:w="1493"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彪、钜熹资产管理</w:t>
            </w:r>
          </w:p>
        </w:tc>
        <w:tc>
          <w:tcPr>
            <w:tcW w:w="2088"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1493"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pacing w:val="-3"/>
                <w:sz w:val="18"/>
                <w:szCs w:val="18"/>
              </w:rPr>
              <w:t>投资总监江建军</w:t>
            </w:r>
          </w:p>
        </w:tc>
        <w:tc>
          <w:tcPr>
            <w:tcW w:w="2088"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广发证券化工行业</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pacing w:val="-3"/>
                <w:sz w:val="18"/>
                <w:szCs w:val="18"/>
              </w:rPr>
              <w:t>目前染料行业状况、公司</w:t>
            </w:r>
          </w:p>
        </w:tc>
      </w:tr>
    </w:tbl>
    <w:p>
      <w:pPr>
        <w:spacing w:after="0" w:line="240" w:lineRule="auto"/>
        <w:jc w:val="left"/>
        <w:rPr>
          <w:rFonts w:ascii="宋体" w:hAnsi="宋体" w:cs="宋体" w:eastAsia="宋体" w:hint="default"/>
          <w:sz w:val="18"/>
          <w:szCs w:val="18"/>
        </w:rPr>
        <w:sectPr>
          <w:pgSz w:w="11900" w:h="16840"/>
          <w:pgMar w:header="742" w:footer="984"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93"/>
        <w:gridCol w:w="1498"/>
        <w:gridCol w:w="1498"/>
        <w:gridCol w:w="1498"/>
        <w:gridCol w:w="1498"/>
        <w:gridCol w:w="2088"/>
      </w:tblGrid>
      <w:tr>
        <w:trPr>
          <w:trHeight w:val="316" w:hRule="exact"/>
        </w:trPr>
        <w:tc>
          <w:tcPr>
            <w:tcW w:w="1493" w:type="dxa"/>
            <w:vMerge w:val="restart"/>
            <w:tcBorders>
              <w:top w:val="single" w:sz="4" w:space="0" w:color="000000"/>
              <w:left w:val="single" w:sz="4" w:space="0" w:color="000000"/>
              <w:right w:val="single" w:sz="4" w:space="0" w:color="000000"/>
            </w:tcBorders>
          </w:tcPr>
          <w:p>
            <w:pPr/>
          </w:p>
        </w:tc>
        <w:tc>
          <w:tcPr>
            <w:tcW w:w="1498" w:type="dxa"/>
            <w:vMerge w:val="restart"/>
            <w:tcBorders>
              <w:top w:val="single" w:sz="4" w:space="0" w:color="000000"/>
              <w:left w:val="single" w:sz="4" w:space="0" w:color="000000"/>
              <w:right w:val="single" w:sz="4" w:space="0" w:color="000000"/>
            </w:tcBorders>
          </w:tcPr>
          <w:p>
            <w:pPr/>
          </w:p>
        </w:tc>
        <w:tc>
          <w:tcPr>
            <w:tcW w:w="1498" w:type="dxa"/>
            <w:vMerge w:val="restart"/>
            <w:tcBorders>
              <w:top w:val="single" w:sz="4" w:space="0" w:color="000000"/>
              <w:left w:val="single" w:sz="4" w:space="0" w:color="000000"/>
              <w:right w:val="single" w:sz="4" w:space="0" w:color="000000"/>
            </w:tcBorders>
          </w:tcPr>
          <w:p>
            <w:pPr/>
          </w:p>
        </w:tc>
        <w:tc>
          <w:tcPr>
            <w:tcW w:w="1498" w:type="dxa"/>
            <w:vMerge w:val="restart"/>
            <w:tcBorders>
              <w:top w:val="single" w:sz="4" w:space="0" w:color="000000"/>
              <w:left w:val="single" w:sz="4" w:space="0" w:color="000000"/>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研究员王剑雨、华</w:t>
            </w:r>
          </w:p>
        </w:tc>
        <w:tc>
          <w:tcPr>
            <w:tcW w:w="20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未来发展方向以及公司情</w:t>
            </w:r>
          </w:p>
        </w:tc>
      </w:tr>
      <w:tr>
        <w:trPr>
          <w:trHeight w:val="314" w:hRule="exact"/>
        </w:trPr>
        <w:tc>
          <w:tcPr>
            <w:tcW w:w="1493"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泰柏瑞基金高级研</w:t>
            </w:r>
          </w:p>
        </w:tc>
        <w:tc>
          <w:tcPr>
            <w:tcW w:w="2088"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8"/>
                <w:szCs w:val="18"/>
              </w:rPr>
            </w:pPr>
            <w:r>
              <w:rPr>
                <w:rFonts w:ascii="宋体" w:hAnsi="宋体" w:cs="宋体" w:eastAsia="宋体" w:hint="default"/>
                <w:w w:val="101"/>
                <w:sz w:val="18"/>
                <w:szCs w:val="18"/>
              </w:rPr>
              <w:t>况</w:t>
            </w:r>
            <w:r>
              <w:rPr>
                <w:rFonts w:ascii="宋体" w:hAnsi="宋体" w:cs="宋体" w:eastAsia="宋体" w:hint="default"/>
                <w:sz w:val="18"/>
                <w:szCs w:val="18"/>
              </w:rPr>
            </w:r>
          </w:p>
        </w:tc>
      </w:tr>
      <w:tr>
        <w:trPr>
          <w:trHeight w:val="312" w:hRule="exact"/>
        </w:trPr>
        <w:tc>
          <w:tcPr>
            <w:tcW w:w="1493"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vMerge/>
            <w:tcBorders>
              <w:left w:val="single" w:sz="4" w:space="0" w:color="000000"/>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究员吴建江、财通</w:t>
            </w:r>
          </w:p>
        </w:tc>
        <w:tc>
          <w:tcPr>
            <w:tcW w:w="2088"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1493" w:type="dxa"/>
            <w:vMerge/>
            <w:tcBorders>
              <w:left w:val="single" w:sz="4" w:space="0" w:color="000000"/>
              <w:bottom w:val="single" w:sz="4" w:space="0" w:color="000000"/>
              <w:right w:val="single" w:sz="4" w:space="0" w:color="000000"/>
            </w:tcBorders>
          </w:tcPr>
          <w:p>
            <w:pPr/>
          </w:p>
        </w:tc>
        <w:tc>
          <w:tcPr>
            <w:tcW w:w="1498" w:type="dxa"/>
            <w:vMerge/>
            <w:tcBorders>
              <w:left w:val="single" w:sz="4" w:space="0" w:color="000000"/>
              <w:bottom w:val="single" w:sz="4" w:space="0" w:color="000000"/>
              <w:right w:val="single" w:sz="4" w:space="0" w:color="000000"/>
            </w:tcBorders>
          </w:tcPr>
          <w:p>
            <w:pPr/>
          </w:p>
        </w:tc>
        <w:tc>
          <w:tcPr>
            <w:tcW w:w="1498" w:type="dxa"/>
            <w:vMerge/>
            <w:tcBorders>
              <w:left w:val="single" w:sz="4" w:space="0" w:color="000000"/>
              <w:bottom w:val="single" w:sz="4" w:space="0" w:color="000000"/>
              <w:right w:val="single" w:sz="4" w:space="0" w:color="000000"/>
            </w:tcBorders>
          </w:tcPr>
          <w:p>
            <w:pPr/>
          </w:p>
        </w:tc>
        <w:tc>
          <w:tcPr>
            <w:tcW w:w="1498" w:type="dxa"/>
            <w:vMerge/>
            <w:tcBorders>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证券研究员李明刚</w:t>
            </w:r>
          </w:p>
        </w:tc>
        <w:tc>
          <w:tcPr>
            <w:tcW w:w="2088"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2"/>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23" w:right="17"/>
              <w:jc w:val="left"/>
              <w:rPr>
                <w:rFonts w:ascii="宋体" w:hAnsi="宋体" w:cs="宋体" w:eastAsia="宋体" w:hint="default"/>
                <w:sz w:val="18"/>
                <w:szCs w:val="18"/>
              </w:rPr>
            </w:pPr>
            <w:r>
              <w:rPr>
                <w:rFonts w:ascii="宋体" w:hAnsi="宋体" w:cs="宋体" w:eastAsia="宋体" w:hint="default"/>
                <w:spacing w:val="-2"/>
                <w:sz w:val="18"/>
                <w:szCs w:val="18"/>
              </w:rPr>
              <w:t>华创证券基础化工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分析师曹令</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70"/>
              <w:jc w:val="both"/>
              <w:rPr>
                <w:rFonts w:ascii="宋体" w:hAnsi="宋体" w:cs="宋体" w:eastAsia="宋体" w:hint="default"/>
                <w:sz w:val="18"/>
                <w:szCs w:val="18"/>
              </w:rPr>
            </w:pPr>
            <w:r>
              <w:rPr>
                <w:rFonts w:ascii="宋体" w:hAnsi="宋体" w:cs="宋体" w:eastAsia="宋体" w:hint="default"/>
                <w:spacing w:val="-3"/>
                <w:sz w:val="18"/>
                <w:szCs w:val="18"/>
              </w:rPr>
              <w:t>目前染料行业状况、公司</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3"/>
                <w:sz w:val="18"/>
                <w:szCs w:val="18"/>
              </w:rPr>
              <w:t>未来发展方向以及公司情</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况</w:t>
            </w:r>
          </w:p>
        </w:tc>
      </w:tr>
      <w:tr>
        <w:trPr>
          <w:trHeight w:val="357" w:hRule="exact"/>
        </w:trPr>
        <w:tc>
          <w:tcPr>
            <w:tcW w:w="1493"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广发证券研究员王</w:t>
            </w:r>
          </w:p>
        </w:tc>
        <w:tc>
          <w:tcPr>
            <w:tcW w:w="2088" w:type="dxa"/>
            <w:tcBorders>
              <w:top w:val="single" w:sz="4" w:space="0" w:color="000000"/>
              <w:left w:val="single" w:sz="4" w:space="0" w:color="000000"/>
              <w:bottom w:val="nil" w:sz="6" w:space="0" w:color="auto"/>
              <w:right w:val="single" w:sz="4" w:space="0" w:color="000000"/>
            </w:tcBorders>
          </w:tcPr>
          <w:p>
            <w:pPr/>
          </w:p>
        </w:tc>
      </w:tr>
      <w:tr>
        <w:trPr>
          <w:trHeight w:val="310" w:hRule="exact"/>
        </w:trPr>
        <w:tc>
          <w:tcPr>
            <w:tcW w:w="1493"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剑雨、华富基金研</w:t>
            </w:r>
          </w:p>
        </w:tc>
        <w:tc>
          <w:tcPr>
            <w:tcW w:w="20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3"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究员许一、信达澳</w:t>
            </w:r>
          </w:p>
        </w:tc>
        <w:tc>
          <w:tcPr>
            <w:tcW w:w="20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3"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银基金经理杜蜀</w:t>
            </w:r>
          </w:p>
        </w:tc>
        <w:tc>
          <w:tcPr>
            <w:tcW w:w="20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3"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鹏、鹏华基金研究</w:t>
            </w:r>
          </w:p>
        </w:tc>
        <w:tc>
          <w:tcPr>
            <w:tcW w:w="20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3"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员张鹏、东北证券</w:t>
            </w:r>
          </w:p>
        </w:tc>
        <w:tc>
          <w:tcPr>
            <w:tcW w:w="20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3"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投资经理赵志海、</w:t>
            </w:r>
          </w:p>
        </w:tc>
        <w:tc>
          <w:tcPr>
            <w:tcW w:w="20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3"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华宝兴业研究员徐</w:t>
            </w:r>
          </w:p>
        </w:tc>
        <w:tc>
          <w:tcPr>
            <w:tcW w:w="20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3"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程惠、民生加银基</w:t>
            </w:r>
          </w:p>
        </w:tc>
        <w:tc>
          <w:tcPr>
            <w:tcW w:w="20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3"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金研究员朱振坤、</w:t>
            </w:r>
          </w:p>
        </w:tc>
        <w:tc>
          <w:tcPr>
            <w:tcW w:w="2088"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1493"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中信建投研究员李</w:t>
            </w:r>
          </w:p>
        </w:tc>
        <w:tc>
          <w:tcPr>
            <w:tcW w:w="2088"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8"/>
                <w:szCs w:val="18"/>
              </w:rPr>
            </w:pPr>
            <w:r>
              <w:rPr>
                <w:rFonts w:ascii="宋体" w:hAnsi="宋体" w:cs="宋体" w:eastAsia="宋体" w:hint="default"/>
                <w:spacing w:val="-3"/>
                <w:sz w:val="18"/>
                <w:szCs w:val="18"/>
              </w:rPr>
              <w:t>目前染料行业状况、公司</w:t>
            </w:r>
          </w:p>
        </w:tc>
      </w:tr>
      <w:tr>
        <w:trPr>
          <w:trHeight w:val="317" w:hRule="exact"/>
        </w:trPr>
        <w:tc>
          <w:tcPr>
            <w:tcW w:w="1493"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2"/>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明刚、富国基金研</w:t>
            </w:r>
          </w:p>
        </w:tc>
        <w:tc>
          <w:tcPr>
            <w:tcW w:w="208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pacing w:val="-3"/>
                <w:sz w:val="18"/>
                <w:szCs w:val="18"/>
              </w:rPr>
              <w:t>未来发展方向以及公司情</w:t>
            </w:r>
          </w:p>
        </w:tc>
      </w:tr>
      <w:tr>
        <w:trPr>
          <w:trHeight w:val="307" w:hRule="exact"/>
        </w:trPr>
        <w:tc>
          <w:tcPr>
            <w:tcW w:w="1493"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究员张啸伟、长信</w:t>
            </w:r>
          </w:p>
        </w:tc>
        <w:tc>
          <w:tcPr>
            <w:tcW w:w="208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w w:val="101"/>
                <w:sz w:val="18"/>
                <w:szCs w:val="18"/>
              </w:rPr>
              <w:t>况</w:t>
            </w:r>
            <w:r>
              <w:rPr>
                <w:rFonts w:ascii="宋体" w:hAnsi="宋体" w:cs="宋体" w:eastAsia="宋体" w:hint="default"/>
                <w:sz w:val="18"/>
                <w:szCs w:val="18"/>
              </w:rPr>
            </w:r>
          </w:p>
        </w:tc>
      </w:tr>
      <w:tr>
        <w:trPr>
          <w:trHeight w:val="310" w:hRule="exact"/>
        </w:trPr>
        <w:tc>
          <w:tcPr>
            <w:tcW w:w="1493"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pacing w:val="-3"/>
                <w:sz w:val="18"/>
                <w:szCs w:val="18"/>
              </w:rPr>
              <w:t>基金研究员陈言</w:t>
            </w:r>
          </w:p>
        </w:tc>
        <w:tc>
          <w:tcPr>
            <w:tcW w:w="20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3"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午、华泰资产投资</w:t>
            </w:r>
          </w:p>
        </w:tc>
        <w:tc>
          <w:tcPr>
            <w:tcW w:w="20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3"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经理助理尚烁徽、</w:t>
            </w:r>
          </w:p>
        </w:tc>
        <w:tc>
          <w:tcPr>
            <w:tcW w:w="20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3"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元泓投资投资经理</w:t>
            </w:r>
          </w:p>
        </w:tc>
        <w:tc>
          <w:tcPr>
            <w:tcW w:w="20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3"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周立恒、泽履资产</w:t>
            </w:r>
          </w:p>
        </w:tc>
        <w:tc>
          <w:tcPr>
            <w:tcW w:w="20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3"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合伙人黄长征、中</w:t>
            </w:r>
          </w:p>
        </w:tc>
        <w:tc>
          <w:tcPr>
            <w:tcW w:w="20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3"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银基金研究员马</w:t>
            </w:r>
          </w:p>
        </w:tc>
        <w:tc>
          <w:tcPr>
            <w:tcW w:w="20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93"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蘅、信诚基金研究</w:t>
            </w:r>
          </w:p>
        </w:tc>
        <w:tc>
          <w:tcPr>
            <w:tcW w:w="2088"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1493"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员聂炜、泰信基金</w:t>
            </w:r>
          </w:p>
        </w:tc>
        <w:tc>
          <w:tcPr>
            <w:tcW w:w="2088"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1493"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研究员徐慕浩</w:t>
            </w:r>
          </w:p>
        </w:tc>
        <w:tc>
          <w:tcPr>
            <w:tcW w:w="208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493"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信达证券投资经理</w:t>
            </w:r>
          </w:p>
        </w:tc>
        <w:tc>
          <w:tcPr>
            <w:tcW w:w="20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目前染料行业状况、公司</w:t>
            </w:r>
          </w:p>
        </w:tc>
      </w:tr>
      <w:tr>
        <w:trPr>
          <w:trHeight w:val="319" w:hRule="exact"/>
        </w:trPr>
        <w:tc>
          <w:tcPr>
            <w:tcW w:w="1493"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2"/>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邹心勇、铭岗投资</w:t>
            </w:r>
          </w:p>
        </w:tc>
        <w:tc>
          <w:tcPr>
            <w:tcW w:w="208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pacing w:val="-3"/>
                <w:sz w:val="18"/>
                <w:szCs w:val="18"/>
              </w:rPr>
              <w:t>未来发展方向以及公司情</w:t>
            </w:r>
          </w:p>
        </w:tc>
      </w:tr>
      <w:tr>
        <w:trPr>
          <w:trHeight w:val="351" w:hRule="exact"/>
        </w:trPr>
        <w:tc>
          <w:tcPr>
            <w:tcW w:w="1493"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吴志良</w:t>
            </w:r>
          </w:p>
        </w:tc>
        <w:tc>
          <w:tcPr>
            <w:tcW w:w="20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w w:val="101"/>
                <w:sz w:val="18"/>
                <w:szCs w:val="18"/>
              </w:rPr>
              <w:t>况</w:t>
            </w:r>
            <w:r>
              <w:rPr>
                <w:rFonts w:ascii="宋体" w:hAnsi="宋体" w:cs="宋体" w:eastAsia="宋体" w:hint="default"/>
                <w:sz w:val="18"/>
                <w:szCs w:val="18"/>
              </w:rPr>
            </w:r>
          </w:p>
        </w:tc>
      </w:tr>
      <w:tr>
        <w:trPr>
          <w:trHeight w:val="357" w:hRule="exact"/>
        </w:trPr>
        <w:tc>
          <w:tcPr>
            <w:tcW w:w="1493"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华创证券研究员曹</w:t>
            </w:r>
          </w:p>
        </w:tc>
        <w:tc>
          <w:tcPr>
            <w:tcW w:w="20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目前染料行业状况、公司</w:t>
            </w:r>
          </w:p>
        </w:tc>
      </w:tr>
      <w:tr>
        <w:trPr>
          <w:trHeight w:val="319" w:hRule="exact"/>
        </w:trPr>
        <w:tc>
          <w:tcPr>
            <w:tcW w:w="1493"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2"/>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令、博时基金研究</w:t>
            </w:r>
          </w:p>
        </w:tc>
        <w:tc>
          <w:tcPr>
            <w:tcW w:w="208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pacing w:val="-3"/>
                <w:sz w:val="18"/>
                <w:szCs w:val="18"/>
              </w:rPr>
              <w:t>未来发展方向以及公司情</w:t>
            </w:r>
          </w:p>
        </w:tc>
      </w:tr>
      <w:tr>
        <w:trPr>
          <w:trHeight w:val="346" w:hRule="exact"/>
        </w:trPr>
        <w:tc>
          <w:tcPr>
            <w:tcW w:w="1493"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员李京飞</w:t>
            </w:r>
          </w:p>
        </w:tc>
        <w:tc>
          <w:tcPr>
            <w:tcW w:w="20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w w:val="101"/>
                <w:sz w:val="18"/>
                <w:szCs w:val="18"/>
              </w:rPr>
              <w:t>况</w:t>
            </w:r>
            <w:r>
              <w:rPr>
                <w:rFonts w:ascii="宋体" w:hAnsi="宋体" w:cs="宋体" w:eastAsia="宋体" w:hint="default"/>
                <w:sz w:val="18"/>
                <w:szCs w:val="18"/>
              </w:rPr>
            </w:r>
          </w:p>
        </w:tc>
      </w:tr>
      <w:tr>
        <w:trPr>
          <w:trHeight w:val="1027"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2"/>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23" w:right="17"/>
              <w:jc w:val="left"/>
              <w:rPr>
                <w:rFonts w:ascii="宋体" w:hAnsi="宋体" w:cs="宋体" w:eastAsia="宋体" w:hint="default"/>
                <w:sz w:val="18"/>
                <w:szCs w:val="18"/>
              </w:rPr>
            </w:pPr>
            <w:r>
              <w:rPr>
                <w:rFonts w:ascii="宋体" w:hAnsi="宋体" w:cs="宋体" w:eastAsia="宋体" w:hint="default"/>
                <w:spacing w:val="-2"/>
                <w:sz w:val="18"/>
                <w:szCs w:val="18"/>
              </w:rPr>
              <w:t>东兴证券研究员梁</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博</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70"/>
              <w:jc w:val="both"/>
              <w:rPr>
                <w:rFonts w:ascii="宋体" w:hAnsi="宋体" w:cs="宋体" w:eastAsia="宋体" w:hint="default"/>
                <w:sz w:val="18"/>
                <w:szCs w:val="18"/>
              </w:rPr>
            </w:pPr>
            <w:r>
              <w:rPr>
                <w:rFonts w:ascii="宋体" w:hAnsi="宋体" w:cs="宋体" w:eastAsia="宋体" w:hint="default"/>
                <w:spacing w:val="-3"/>
                <w:sz w:val="18"/>
                <w:szCs w:val="18"/>
              </w:rPr>
              <w:t>目前染料行业状况、公司</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3"/>
                <w:sz w:val="18"/>
                <w:szCs w:val="18"/>
              </w:rPr>
              <w:t>未来发展方向以及公司情</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况</w:t>
            </w:r>
          </w:p>
        </w:tc>
      </w:tr>
      <w:tr>
        <w:trPr>
          <w:trHeight w:val="357" w:hRule="exact"/>
        </w:trPr>
        <w:tc>
          <w:tcPr>
            <w:tcW w:w="1493"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联讯证券研究员丁</w:t>
            </w:r>
          </w:p>
        </w:tc>
        <w:tc>
          <w:tcPr>
            <w:tcW w:w="20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目前染料行业状况、公司</w:t>
            </w:r>
          </w:p>
        </w:tc>
      </w:tr>
      <w:tr>
        <w:trPr>
          <w:trHeight w:val="319" w:hRule="exact"/>
        </w:trPr>
        <w:tc>
          <w:tcPr>
            <w:tcW w:w="1493"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2"/>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思德、国海证券研</w:t>
            </w:r>
          </w:p>
        </w:tc>
        <w:tc>
          <w:tcPr>
            <w:tcW w:w="208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pacing w:val="-3"/>
                <w:sz w:val="18"/>
                <w:szCs w:val="18"/>
              </w:rPr>
              <w:t>未来发展方向以及公司情</w:t>
            </w:r>
          </w:p>
        </w:tc>
      </w:tr>
      <w:tr>
        <w:trPr>
          <w:trHeight w:val="351" w:hRule="exact"/>
        </w:trPr>
        <w:tc>
          <w:tcPr>
            <w:tcW w:w="1493"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究员代鹏举</w:t>
            </w:r>
          </w:p>
        </w:tc>
        <w:tc>
          <w:tcPr>
            <w:tcW w:w="20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w w:val="101"/>
                <w:sz w:val="18"/>
                <w:szCs w:val="18"/>
              </w:rPr>
              <w:t>况</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00" w:h="16840"/>
          <w:pgMar w:header="742" w:footer="984"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93"/>
        <w:gridCol w:w="1498"/>
        <w:gridCol w:w="1498"/>
        <w:gridCol w:w="1498"/>
        <w:gridCol w:w="1498"/>
        <w:gridCol w:w="2088"/>
      </w:tblGrid>
      <w:tr>
        <w:trPr>
          <w:trHeight w:val="1339" w:hRule="exact"/>
        </w:trPr>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2"/>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
              <w:jc w:val="both"/>
              <w:rPr>
                <w:rFonts w:ascii="宋体" w:hAnsi="宋体" w:cs="宋体" w:eastAsia="宋体" w:hint="default"/>
                <w:sz w:val="18"/>
                <w:szCs w:val="18"/>
              </w:rPr>
            </w:pPr>
            <w:r>
              <w:rPr>
                <w:rFonts w:ascii="宋体" w:hAnsi="宋体" w:cs="宋体" w:eastAsia="宋体" w:hint="default"/>
                <w:spacing w:val="-2"/>
                <w:sz w:val="18"/>
                <w:szCs w:val="18"/>
              </w:rPr>
              <w:t>民生证券化工行业</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首席分析师刘威、</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华夏人寿投资经理</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方伟宁</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70"/>
              <w:jc w:val="both"/>
              <w:rPr>
                <w:rFonts w:ascii="宋体" w:hAnsi="宋体" w:cs="宋体" w:eastAsia="宋体" w:hint="default"/>
                <w:sz w:val="18"/>
                <w:szCs w:val="18"/>
              </w:rPr>
            </w:pPr>
            <w:r>
              <w:rPr>
                <w:rFonts w:ascii="宋体" w:hAnsi="宋体" w:cs="宋体" w:eastAsia="宋体" w:hint="default"/>
                <w:spacing w:val="-3"/>
                <w:sz w:val="18"/>
                <w:szCs w:val="18"/>
              </w:rPr>
              <w:t>目前染料行业状况、公司</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3"/>
                <w:sz w:val="18"/>
                <w:szCs w:val="18"/>
              </w:rPr>
              <w:t>未来发展方向以及公司情</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况</w:t>
            </w:r>
          </w:p>
        </w:tc>
      </w:tr>
      <w:tr>
        <w:trPr>
          <w:trHeight w:val="357" w:hRule="exact"/>
        </w:trPr>
        <w:tc>
          <w:tcPr>
            <w:tcW w:w="1493"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中国人保资产管理</w:t>
            </w:r>
          </w:p>
        </w:tc>
        <w:tc>
          <w:tcPr>
            <w:tcW w:w="208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493"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股份有限公司证券</w:t>
            </w:r>
          </w:p>
        </w:tc>
        <w:tc>
          <w:tcPr>
            <w:tcW w:w="208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pacing w:val="-3"/>
                <w:sz w:val="18"/>
                <w:szCs w:val="18"/>
              </w:rPr>
              <w:t>目前染料行业状况、公司</w:t>
            </w:r>
          </w:p>
        </w:tc>
      </w:tr>
      <w:tr>
        <w:trPr>
          <w:trHeight w:val="317" w:hRule="exact"/>
        </w:trPr>
        <w:tc>
          <w:tcPr>
            <w:tcW w:w="1493"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12"/>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研究部田垒、富安</w:t>
            </w:r>
          </w:p>
        </w:tc>
        <w:tc>
          <w:tcPr>
            <w:tcW w:w="208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pacing w:val="-3"/>
                <w:sz w:val="18"/>
                <w:szCs w:val="18"/>
              </w:rPr>
              <w:t>未来发展方向以及公司情</w:t>
            </w:r>
          </w:p>
        </w:tc>
      </w:tr>
      <w:tr>
        <w:trPr>
          <w:trHeight w:val="309" w:hRule="exact"/>
        </w:trPr>
        <w:tc>
          <w:tcPr>
            <w:tcW w:w="1493"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达基金研究发展部</w:t>
            </w:r>
          </w:p>
        </w:tc>
        <w:tc>
          <w:tcPr>
            <w:tcW w:w="208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w w:val="101"/>
                <w:sz w:val="18"/>
                <w:szCs w:val="18"/>
              </w:rPr>
              <w:t>况</w:t>
            </w:r>
            <w:r>
              <w:rPr>
                <w:rFonts w:ascii="宋体" w:hAnsi="宋体" w:cs="宋体" w:eastAsia="宋体" w:hint="default"/>
                <w:sz w:val="18"/>
                <w:szCs w:val="18"/>
              </w:rPr>
            </w:r>
          </w:p>
        </w:tc>
      </w:tr>
      <w:tr>
        <w:trPr>
          <w:trHeight w:val="356" w:hRule="exact"/>
        </w:trPr>
        <w:tc>
          <w:tcPr>
            <w:tcW w:w="1493"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行业研究员栾庆帅</w:t>
            </w:r>
          </w:p>
        </w:tc>
        <w:tc>
          <w:tcPr>
            <w:tcW w:w="2088" w:type="dxa"/>
            <w:tcBorders>
              <w:top w:val="nil" w:sz="6" w:space="0" w:color="auto"/>
              <w:left w:val="single" w:sz="4" w:space="0" w:color="000000"/>
              <w:bottom w:val="single" w:sz="4" w:space="0" w:color="000000"/>
              <w:right w:val="single" w:sz="4" w:space="0" w:color="000000"/>
            </w:tcBorders>
          </w:tcPr>
          <w:p>
            <w:pPr/>
          </w:p>
        </w:tc>
      </w:tr>
    </w:tbl>
    <w:p>
      <w:pPr>
        <w:spacing w:after="0"/>
        <w:sectPr>
          <w:pgSz w:w="11900" w:h="16840"/>
          <w:pgMar w:header="742" w:footer="984"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8"/>
          <w:szCs w:val="28"/>
        </w:rPr>
      </w:pPr>
    </w:p>
    <w:p>
      <w:pPr>
        <w:pStyle w:val="Heading1"/>
        <w:spacing w:line="458" w:lineRule="exact"/>
        <w:ind w:right="144"/>
        <w:jc w:val="center"/>
        <w:rPr>
          <w:b w:val="0"/>
          <w:bCs w:val="0"/>
        </w:rPr>
      </w:pPr>
      <w:bookmarkStart w:name="_TOC_250005" w:id="5"/>
      <w:r>
        <w:rPr/>
        <w:t>第五节 </w:t>
      </w:r>
      <w:r>
        <w:rPr>
          <w:spacing w:val="8"/>
        </w:rPr>
        <w:t> </w:t>
      </w:r>
      <w:r>
        <w:rPr/>
        <w:t>重要事项</w:t>
      </w:r>
      <w:bookmarkEnd w:id="5"/>
      <w:r>
        <w:rPr>
          <w:b w:val="0"/>
          <w:bCs w:val="0"/>
        </w:rPr>
      </w:r>
    </w:p>
    <w:p>
      <w:pPr>
        <w:spacing w:line="240" w:lineRule="auto" w:before="3"/>
        <w:rPr>
          <w:rFonts w:ascii="Microsoft JhengHei" w:hAnsi="Microsoft JhengHei" w:cs="Microsoft JhengHei" w:eastAsia="Microsoft JhengHei" w:hint="default"/>
          <w:b/>
          <w:bCs/>
          <w:sz w:val="25"/>
          <w:szCs w:val="25"/>
        </w:rPr>
      </w:pPr>
    </w:p>
    <w:p>
      <w:pPr>
        <w:pStyle w:val="Heading3"/>
        <w:spacing w:line="367" w:lineRule="exact"/>
        <w:ind w:right="0"/>
        <w:jc w:val="left"/>
        <w:rPr>
          <w:b w:val="0"/>
          <w:bCs w:val="0"/>
        </w:rPr>
      </w:pPr>
      <w:r>
        <w:rPr/>
        <w:t>一、重大诉讼仲裁事项</w:t>
      </w:r>
      <w:r>
        <w:rPr>
          <w:b w:val="0"/>
          <w:bCs w:val="0"/>
        </w:rPr>
      </w:r>
    </w:p>
    <w:p>
      <w:pPr>
        <w:spacing w:line="240" w:lineRule="auto" w:before="2"/>
        <w:rPr>
          <w:rFonts w:ascii="Microsoft JhengHei" w:hAnsi="Microsoft JhengHei" w:cs="Microsoft JhengHei" w:eastAsia="Microsoft JhengHei" w:hint="default"/>
          <w:b/>
          <w:bCs/>
          <w:sz w:val="22"/>
          <w:szCs w:val="22"/>
        </w:rPr>
      </w:pPr>
    </w:p>
    <w:p>
      <w:pPr>
        <w:pStyle w:val="BodyText"/>
        <w:spacing w:line="405" w:lineRule="auto"/>
        <w:ind w:left="575" w:right="5100"/>
        <w:jc w:val="left"/>
      </w:pPr>
      <w:r>
        <w:rPr/>
        <w:t>□ 适用 √ 不适用</w:t>
      </w:r>
      <w:r>
        <w:rPr>
          <w:spacing w:val="-102"/>
        </w:rPr>
        <w:t> </w:t>
      </w:r>
      <w:r>
        <w:rPr>
          <w:spacing w:val="-102"/>
        </w:rPr>
      </w:r>
      <w:r>
        <w:rPr>
          <w:spacing w:val="-1"/>
        </w:rPr>
        <w:t>本年度公司无重大诉讼、仲裁事项。</w:t>
      </w:r>
    </w:p>
    <w:p>
      <w:pPr>
        <w:pStyle w:val="Heading3"/>
        <w:spacing w:line="240" w:lineRule="auto" w:before="165"/>
        <w:ind w:right="0"/>
        <w:jc w:val="left"/>
        <w:rPr>
          <w:b w:val="0"/>
          <w:bCs w:val="0"/>
        </w:rPr>
      </w:pPr>
      <w:r>
        <w:rPr/>
        <w:t>二、上市公司发生控股股东及其关联方非经营性占用资金情况</w:t>
      </w:r>
      <w:r>
        <w:rPr>
          <w:b w:val="0"/>
          <w:bCs w:val="0"/>
        </w:rPr>
      </w:r>
    </w:p>
    <w:p>
      <w:pPr>
        <w:spacing w:line="240" w:lineRule="auto" w:before="15"/>
        <w:rPr>
          <w:rFonts w:ascii="Microsoft JhengHei" w:hAnsi="Microsoft JhengHei" w:cs="Microsoft JhengHei" w:eastAsia="Microsoft JhengHei" w:hint="default"/>
          <w:b/>
          <w:bCs/>
          <w:sz w:val="21"/>
          <w:szCs w:val="21"/>
        </w:rPr>
      </w:pPr>
    </w:p>
    <w:p>
      <w:pPr>
        <w:pStyle w:val="BodyText"/>
        <w:spacing w:line="405" w:lineRule="auto"/>
        <w:ind w:left="575" w:right="1568"/>
        <w:jc w:val="left"/>
      </w:pPr>
      <w:r>
        <w:rPr/>
        <w:t>□ 适用 √ 不适用</w:t>
      </w:r>
      <w:r>
        <w:rPr>
          <w:spacing w:val="-102"/>
        </w:rPr>
        <w:t> </w:t>
      </w:r>
      <w:r>
        <w:rPr>
          <w:spacing w:val="-102"/>
        </w:rPr>
      </w:r>
      <w:r>
        <w:rPr>
          <w:spacing w:val="-2"/>
        </w:rPr>
        <w:t>公司报告期不存在上市公司发生控股股东及其关联方非经营性占用资金情况。</w:t>
      </w:r>
    </w:p>
    <w:p>
      <w:pPr>
        <w:pStyle w:val="Heading3"/>
        <w:spacing w:line="240" w:lineRule="auto" w:before="165"/>
        <w:ind w:right="0"/>
        <w:jc w:val="left"/>
        <w:rPr>
          <w:b w:val="0"/>
          <w:bCs w:val="0"/>
        </w:rPr>
      </w:pPr>
      <w:r>
        <w:rPr/>
        <w:t>三、破产重整相关事项</w:t>
      </w:r>
      <w:r>
        <w:rPr>
          <w:b w:val="0"/>
          <w:bCs w:val="0"/>
        </w:rPr>
      </w:r>
    </w:p>
    <w:p>
      <w:pPr>
        <w:spacing w:line="240" w:lineRule="auto" w:before="15"/>
        <w:rPr>
          <w:rFonts w:ascii="Microsoft JhengHei" w:hAnsi="Microsoft JhengHei" w:cs="Microsoft JhengHei" w:eastAsia="Microsoft JhengHei" w:hint="default"/>
          <w:b/>
          <w:bCs/>
          <w:sz w:val="21"/>
          <w:szCs w:val="21"/>
        </w:rPr>
      </w:pPr>
    </w:p>
    <w:p>
      <w:pPr>
        <w:pStyle w:val="BodyText"/>
        <w:spacing w:line="410" w:lineRule="auto"/>
        <w:ind w:left="575" w:right="5100"/>
        <w:jc w:val="left"/>
      </w:pPr>
      <w:r>
        <w:rPr/>
        <w:t>□ 适用 √ 不适用</w:t>
      </w:r>
      <w:r>
        <w:rPr>
          <w:spacing w:val="-102"/>
        </w:rPr>
        <w:t> </w:t>
      </w:r>
      <w:r>
        <w:rPr>
          <w:spacing w:val="-102"/>
        </w:rPr>
      </w:r>
      <w:r>
        <w:rPr>
          <w:spacing w:val="-1"/>
        </w:rPr>
        <w:t>公司报告期未发生破产重整相关事项。</w:t>
      </w:r>
    </w:p>
    <w:p>
      <w:pPr>
        <w:pStyle w:val="Heading3"/>
        <w:spacing w:line="240" w:lineRule="auto" w:before="156"/>
        <w:ind w:right="0"/>
        <w:jc w:val="left"/>
        <w:rPr>
          <w:b w:val="0"/>
          <w:bCs w:val="0"/>
        </w:rPr>
      </w:pPr>
      <w:r>
        <w:rPr/>
        <w:t>四、资产交易事项</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410" w:lineRule="auto"/>
        <w:ind w:left="575" w:right="7046"/>
        <w:jc w:val="left"/>
      </w:pPr>
      <w:r>
        <w:rPr/>
        <w:t>□ 适用 √ 不适用</w:t>
      </w:r>
      <w:r>
        <w:rPr>
          <w:spacing w:val="-102"/>
        </w:rPr>
        <w:t> </w:t>
      </w:r>
      <w:r>
        <w:rPr>
          <w:spacing w:val="-102"/>
        </w:rPr>
      </w:r>
      <w:r>
        <w:rPr>
          <w:spacing w:val="-1"/>
        </w:rPr>
        <w:t>公司报告期未收购资产。</w:t>
      </w:r>
    </w:p>
    <w:p>
      <w:pPr>
        <w:spacing w:line="240" w:lineRule="auto" w:before="12"/>
        <w:rPr>
          <w:rFonts w:ascii="宋体" w:hAnsi="宋体" w:cs="宋体" w:eastAsia="宋体" w:hint="default"/>
          <w:sz w:val="14"/>
          <w:szCs w:val="14"/>
        </w:rPr>
      </w:pPr>
    </w:p>
    <w:p>
      <w:pPr>
        <w:pStyle w:val="Heading4"/>
        <w:spacing w:line="240" w:lineRule="auto"/>
        <w:ind w:right="0"/>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10" w:lineRule="auto"/>
        <w:ind w:left="575" w:right="7046"/>
        <w:jc w:val="left"/>
      </w:pPr>
      <w:r>
        <w:rPr/>
        <w:t>□ 适用 √ 不适用</w:t>
      </w:r>
      <w:r>
        <w:rPr>
          <w:spacing w:val="-102"/>
        </w:rPr>
        <w:t> </w:t>
      </w:r>
      <w:r>
        <w:rPr>
          <w:spacing w:val="-102"/>
        </w:rPr>
      </w:r>
      <w:r>
        <w:rPr>
          <w:spacing w:val="-1"/>
        </w:rPr>
        <w:t>公司报告期未出售资产。</w:t>
      </w:r>
    </w:p>
    <w:p>
      <w:pPr>
        <w:spacing w:line="240" w:lineRule="auto" w:before="12"/>
        <w:rPr>
          <w:rFonts w:ascii="宋体" w:hAnsi="宋体" w:cs="宋体" w:eastAsia="宋体" w:hint="default"/>
          <w:sz w:val="14"/>
          <w:szCs w:val="14"/>
        </w:rPr>
      </w:pPr>
    </w:p>
    <w:p>
      <w:pPr>
        <w:pStyle w:val="Heading4"/>
        <w:spacing w:line="240" w:lineRule="auto"/>
        <w:ind w:right="0"/>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405" w:lineRule="auto"/>
        <w:ind w:left="575" w:right="5100"/>
        <w:jc w:val="left"/>
      </w:pPr>
      <w:r>
        <w:rPr/>
        <w:t>□ 适用 √ 不适用</w:t>
      </w:r>
      <w:r>
        <w:rPr>
          <w:spacing w:val="-102"/>
        </w:rPr>
        <w:t> </w:t>
      </w:r>
      <w:r>
        <w:rPr>
          <w:spacing w:val="-102"/>
        </w:rPr>
      </w:r>
      <w:r>
        <w:rPr>
          <w:spacing w:val="-1"/>
        </w:rPr>
        <w:t>公司报告期未发生企业合并情况。</w:t>
      </w:r>
    </w:p>
    <w:p>
      <w:pPr>
        <w:spacing w:after="0" w:line="405" w:lineRule="auto"/>
        <w:jc w:val="left"/>
        <w:sectPr>
          <w:pgSz w:w="11900" w:h="16840"/>
          <w:pgMar w:header="742" w:footer="984" w:top="1060" w:bottom="1180" w:left="980" w:right="980"/>
        </w:sectPr>
      </w:pPr>
    </w:p>
    <w:p>
      <w:pPr>
        <w:spacing w:line="240" w:lineRule="auto" w:before="4"/>
        <w:rPr>
          <w:rFonts w:ascii="宋体" w:hAnsi="宋体" w:cs="宋体" w:eastAsia="宋体" w:hint="default"/>
          <w:sz w:val="25"/>
          <w:szCs w:val="25"/>
        </w:rPr>
      </w:pPr>
    </w:p>
    <w:p>
      <w:pPr>
        <w:pStyle w:val="Heading4"/>
        <w:spacing w:line="308" w:lineRule="exact" w:before="35"/>
        <w:ind w:right="111"/>
        <w:jc w:val="left"/>
        <w:rPr>
          <w:b w:val="0"/>
          <w:bCs w:val="0"/>
        </w:rPr>
      </w:pPr>
      <w:r>
        <w:rPr>
          <w:rFonts w:ascii="Times New Roman" w:hAnsi="Times New Roman" w:cs="Times New Roman" w:eastAsia="Times New Roman" w:hint="default"/>
        </w:rPr>
        <w:t>4</w:t>
      </w:r>
      <w:r>
        <w:rPr/>
        <w:t>、自资产重组报告书或收购出售资产公告刊登后，该事项的进展情况及对报告期经营成果与财务状况的</w:t>
      </w:r>
      <w:r>
        <w:rPr>
          <w:spacing w:val="25"/>
        </w:rPr>
        <w:t> </w:t>
      </w:r>
      <w:r>
        <w:rPr>
          <w:spacing w:val="25"/>
        </w:rPr>
      </w:r>
      <w:r>
        <w:rPr/>
        <w:t>影响</w:t>
      </w:r>
      <w:r>
        <w:rPr>
          <w:b w:val="0"/>
          <w:bCs w:val="0"/>
        </w:rPr>
      </w:r>
    </w:p>
    <w:p>
      <w:pPr>
        <w:spacing w:line="240" w:lineRule="auto" w:before="6"/>
        <w:rPr>
          <w:rFonts w:ascii="Microsoft JhengHei" w:hAnsi="Microsoft JhengHei" w:cs="Microsoft JhengHei" w:eastAsia="Microsoft JhengHei" w:hint="default"/>
          <w:b/>
          <w:bCs/>
          <w:sz w:val="22"/>
          <w:szCs w:val="22"/>
        </w:rPr>
      </w:pPr>
    </w:p>
    <w:p>
      <w:pPr>
        <w:pStyle w:val="BodyText"/>
        <w:spacing w:line="240" w:lineRule="auto"/>
        <w:ind w:left="575" w:right="111"/>
        <w:jc w:val="left"/>
      </w:pPr>
      <w:r>
        <w:rPr/>
        <w:t>□ 适用 √</w:t>
      </w:r>
      <w:r>
        <w:rPr>
          <w:spacing w:val="3"/>
        </w:rPr>
        <w:t> </w:t>
      </w:r>
      <w:r>
        <w:rPr/>
        <w:t>不适用</w:t>
      </w:r>
    </w:p>
    <w:p>
      <w:pPr>
        <w:spacing w:line="240" w:lineRule="auto" w:before="9"/>
        <w:rPr>
          <w:rFonts w:ascii="宋体" w:hAnsi="宋体" w:cs="宋体" w:eastAsia="宋体" w:hint="default"/>
          <w:sz w:val="23"/>
          <w:szCs w:val="23"/>
        </w:rPr>
      </w:pPr>
    </w:p>
    <w:p>
      <w:pPr>
        <w:pStyle w:val="Heading3"/>
        <w:spacing w:line="240" w:lineRule="auto"/>
        <w:ind w:right="111"/>
        <w:jc w:val="left"/>
        <w:rPr>
          <w:b w:val="0"/>
          <w:bCs w:val="0"/>
        </w:rPr>
      </w:pPr>
      <w:r>
        <w:rPr/>
        <w:t>五、公司股权激励的实施情况及其影响</w:t>
      </w:r>
      <w:r>
        <w:rPr>
          <w:b w:val="0"/>
          <w:bCs w:val="0"/>
        </w:rPr>
      </w:r>
    </w:p>
    <w:p>
      <w:pPr>
        <w:spacing w:line="240" w:lineRule="auto" w:before="15"/>
        <w:rPr>
          <w:rFonts w:ascii="Microsoft JhengHei" w:hAnsi="Microsoft JhengHei" w:cs="Microsoft JhengHei" w:eastAsia="Microsoft JhengHei" w:hint="default"/>
          <w:b/>
          <w:bCs/>
          <w:sz w:val="21"/>
          <w:szCs w:val="21"/>
        </w:rPr>
      </w:pPr>
    </w:p>
    <w:p>
      <w:pPr>
        <w:pStyle w:val="BodyText"/>
        <w:spacing w:line="240" w:lineRule="auto"/>
        <w:ind w:left="575" w:right="111"/>
        <w:jc w:val="left"/>
      </w:pPr>
      <w:r>
        <w:rPr/>
        <w:t>√ 适用 □</w:t>
      </w:r>
      <w:r>
        <w:rPr>
          <w:spacing w:val="3"/>
        </w:rPr>
        <w:t> </w:t>
      </w:r>
      <w:r>
        <w:rPr/>
        <w:t>不适用</w:t>
      </w:r>
    </w:p>
    <w:p>
      <w:pPr>
        <w:pStyle w:val="Heading4"/>
        <w:spacing w:line="240" w:lineRule="auto" w:before="124"/>
        <w:ind w:left="575" w:right="111"/>
        <w:jc w:val="left"/>
        <w:rPr>
          <w:b w:val="0"/>
          <w:bCs w:val="0"/>
        </w:rPr>
      </w:pPr>
      <w:r>
        <w:rPr/>
        <w:t>（一）公司股权激励的实施情况</w:t>
      </w:r>
      <w:r>
        <w:rPr>
          <w:b w:val="0"/>
          <w:bCs w:val="0"/>
        </w:rPr>
      </w:r>
    </w:p>
    <w:p>
      <w:pPr>
        <w:pStyle w:val="BodyText"/>
        <w:spacing w:line="398" w:lineRule="auto" w:before="171"/>
        <w:ind w:right="222" w:firstLine="422"/>
        <w:jc w:val="both"/>
      </w:pPr>
      <w:r>
        <w:rPr>
          <w:rFonts w:ascii="Arial" w:hAnsi="Arial" w:cs="Arial" w:eastAsia="Arial" w:hint="default"/>
          <w:spacing w:val="-13"/>
        </w:rPr>
        <w:t>1</w:t>
      </w:r>
      <w:r>
        <w:rPr>
          <w:spacing w:val="-13"/>
        </w:rPr>
        <w:t>、公司于</w:t>
      </w:r>
      <w:r>
        <w:rPr>
          <w:spacing w:val="-40"/>
        </w:rPr>
        <w:t> </w:t>
      </w:r>
      <w:r>
        <w:rPr>
          <w:rFonts w:ascii="Arial" w:hAnsi="Arial" w:cs="Arial" w:eastAsia="Arial" w:hint="default"/>
          <w:spacing w:val="-3"/>
        </w:rPr>
        <w:t>2013</w:t>
      </w:r>
      <w:r>
        <w:rPr>
          <w:rFonts w:ascii="Arial" w:hAnsi="Arial" w:cs="Arial" w:eastAsia="Arial" w:hint="default"/>
          <w:spacing w:val="4"/>
        </w:rPr>
        <w:t> </w:t>
      </w:r>
      <w:r>
        <w:rPr/>
        <w:t>年</w:t>
      </w:r>
      <w:r>
        <w:rPr>
          <w:spacing w:val="-40"/>
        </w:rPr>
        <w:t> </w:t>
      </w:r>
      <w:r>
        <w:rPr>
          <w:rFonts w:ascii="Arial" w:hAnsi="Arial" w:cs="Arial" w:eastAsia="Arial" w:hint="default"/>
        </w:rPr>
        <w:t>9</w:t>
      </w:r>
      <w:r>
        <w:rPr>
          <w:rFonts w:ascii="Arial" w:hAnsi="Arial" w:cs="Arial" w:eastAsia="Arial" w:hint="default"/>
          <w:spacing w:val="5"/>
        </w:rPr>
        <w:t> </w:t>
      </w:r>
      <w:r>
        <w:rPr/>
        <w:t>月</w:t>
      </w:r>
      <w:r>
        <w:rPr>
          <w:spacing w:val="-40"/>
        </w:rPr>
        <w:t> </w:t>
      </w:r>
      <w:r>
        <w:rPr>
          <w:rFonts w:ascii="Arial" w:hAnsi="Arial" w:cs="Arial" w:eastAsia="Arial" w:hint="default"/>
        </w:rPr>
        <w:t>17</w:t>
      </w:r>
      <w:r>
        <w:rPr>
          <w:rFonts w:ascii="Arial" w:hAnsi="Arial" w:cs="Arial" w:eastAsia="Arial" w:hint="default"/>
          <w:spacing w:val="5"/>
        </w:rPr>
        <w:t> </w:t>
      </w:r>
      <w:r>
        <w:rPr>
          <w:spacing w:val="-7"/>
        </w:rPr>
        <w:t>日分别召开了第二届董事会第二次（临时）会议和第二届监事会第一次（临</w:t>
      </w:r>
      <w:r>
        <w:rPr>
          <w:w w:val="100"/>
        </w:rPr>
        <w:t> </w:t>
      </w:r>
      <w:r>
        <w:rPr>
          <w:spacing w:val="-2"/>
          <w:w w:val="100"/>
        </w:rPr>
        <w:t>时）会议，审议通过了《公司股票期权与限制性股票激励计划（草案）》及其摘要，公司独立董事对此发</w:t>
      </w:r>
      <w:r>
        <w:rPr>
          <w:spacing w:val="-98"/>
          <w:w w:val="100"/>
        </w:rPr>
        <w:t> </w:t>
      </w:r>
      <w:r>
        <w:rPr>
          <w:spacing w:val="-98"/>
          <w:w w:val="100"/>
        </w:rPr>
      </w:r>
      <w:r>
        <w:rPr/>
        <w:t>表了独立意见。其后公司向中国证监会上报了申请备案材料。</w:t>
      </w:r>
    </w:p>
    <w:p>
      <w:pPr>
        <w:pStyle w:val="BodyText"/>
        <w:spacing w:line="388" w:lineRule="auto" w:before="52"/>
        <w:ind w:right="111" w:firstLine="422"/>
        <w:jc w:val="left"/>
      </w:pPr>
      <w:r>
        <w:rPr>
          <w:rFonts w:ascii="Arial" w:hAnsi="Arial" w:cs="Arial" w:eastAsia="Arial" w:hint="default"/>
          <w:spacing w:val="-7"/>
          <w:w w:val="100"/>
        </w:rPr>
        <w:t>2</w:t>
      </w:r>
      <w:r>
        <w:rPr>
          <w:spacing w:val="-7"/>
          <w:w w:val="100"/>
        </w:rPr>
        <w:t>、根据中国证监会的反馈意见，公司对《公司股票期权与限制性股票激励计划（草案）》进行了修订，</w:t>
      </w:r>
      <w:r>
        <w:rPr>
          <w:w w:val="100"/>
        </w:rPr>
        <w:t> </w:t>
      </w:r>
      <w:r>
        <w:rPr/>
        <w:t>并于</w:t>
      </w:r>
      <w:r>
        <w:rPr>
          <w:spacing w:val="-51"/>
        </w:rPr>
        <w:t> </w:t>
      </w:r>
      <w:r>
        <w:rPr>
          <w:rFonts w:ascii="Arial" w:hAnsi="Arial" w:cs="Arial" w:eastAsia="Arial" w:hint="default"/>
          <w:spacing w:val="-3"/>
        </w:rPr>
        <w:t>2013</w:t>
      </w:r>
      <w:r>
        <w:rPr>
          <w:rFonts w:ascii="Arial" w:hAnsi="Arial" w:cs="Arial" w:eastAsia="Arial" w:hint="default"/>
          <w:spacing w:val="-7"/>
        </w:rPr>
        <w:t> </w:t>
      </w:r>
      <w:r>
        <w:rPr/>
        <w:t>年</w:t>
      </w:r>
      <w:r>
        <w:rPr>
          <w:spacing w:val="-51"/>
        </w:rPr>
        <w:t> </w:t>
      </w:r>
      <w:r>
        <w:rPr>
          <w:rFonts w:ascii="Arial" w:hAnsi="Arial" w:cs="Arial" w:eastAsia="Arial" w:hint="default"/>
          <w:spacing w:val="-9"/>
        </w:rPr>
        <w:t>11</w:t>
      </w:r>
      <w:r>
        <w:rPr>
          <w:rFonts w:ascii="Arial" w:hAnsi="Arial" w:cs="Arial" w:eastAsia="Arial" w:hint="default"/>
          <w:spacing w:val="-6"/>
        </w:rPr>
        <w:t> </w:t>
      </w:r>
      <w:r>
        <w:rPr/>
        <w:t>月</w:t>
      </w:r>
      <w:r>
        <w:rPr>
          <w:spacing w:val="-51"/>
        </w:rPr>
        <w:t> </w:t>
      </w:r>
      <w:r>
        <w:rPr>
          <w:rFonts w:ascii="Arial" w:hAnsi="Arial" w:cs="Arial" w:eastAsia="Arial" w:hint="default"/>
        </w:rPr>
        <w:t>18</w:t>
      </w:r>
      <w:r>
        <w:rPr>
          <w:rFonts w:ascii="Arial" w:hAnsi="Arial" w:cs="Arial" w:eastAsia="Arial" w:hint="default"/>
          <w:spacing w:val="-6"/>
        </w:rPr>
        <w:t> </w:t>
      </w:r>
      <w:r>
        <w:rPr/>
        <w:t>日召开第二届董事会第十六次会议和第二届监事会第十四次会议，审议通过了《公</w:t>
      </w:r>
      <w:r>
        <w:rPr>
          <w:spacing w:val="-99"/>
        </w:rPr>
        <w:t> </w:t>
      </w:r>
      <w:r>
        <w:rPr>
          <w:spacing w:val="-99"/>
        </w:rPr>
      </w:r>
      <w:r>
        <w:rPr>
          <w:spacing w:val="-4"/>
          <w:w w:val="100"/>
        </w:rPr>
        <w:t>司股票期权与限制性股票激励计划（草案修订稿）》及其摘要，公司独立董事对激励计划发表了独立意见。</w:t>
      </w:r>
    </w:p>
    <w:p>
      <w:pPr>
        <w:pStyle w:val="BodyText"/>
        <w:spacing w:line="400" w:lineRule="auto" w:before="65"/>
        <w:ind w:right="222" w:firstLine="422"/>
        <w:jc w:val="both"/>
      </w:pPr>
      <w:r>
        <w:rPr>
          <w:rFonts w:ascii="Arial" w:hAnsi="Arial" w:cs="Arial" w:eastAsia="Arial" w:hint="default"/>
        </w:rPr>
        <w:t>3</w:t>
      </w:r>
      <w:r>
        <w:rPr/>
        <w:t>、激励计划经中国证监会备案无异议后，公司于</w:t>
      </w:r>
      <w:r>
        <w:rPr>
          <w:spacing w:val="-47"/>
        </w:rPr>
        <w:t> </w:t>
      </w:r>
      <w:r>
        <w:rPr>
          <w:rFonts w:ascii="Arial" w:hAnsi="Arial" w:cs="Arial" w:eastAsia="Arial" w:hint="default"/>
          <w:spacing w:val="-3"/>
        </w:rPr>
        <w:t>2013 </w:t>
      </w:r>
      <w:r>
        <w:rPr/>
        <w:t>年</w:t>
      </w:r>
      <w:r>
        <w:rPr>
          <w:spacing w:val="-47"/>
        </w:rPr>
        <w:t> </w:t>
      </w:r>
      <w:r>
        <w:rPr>
          <w:rFonts w:ascii="Arial" w:hAnsi="Arial" w:cs="Arial" w:eastAsia="Arial" w:hint="default"/>
        </w:rPr>
        <w:t>12</w:t>
      </w:r>
      <w:r>
        <w:rPr>
          <w:rFonts w:ascii="Arial" w:hAnsi="Arial" w:cs="Arial" w:eastAsia="Arial" w:hint="default"/>
          <w:spacing w:val="-3"/>
        </w:rPr>
        <w:t> </w:t>
      </w:r>
      <w:r>
        <w:rPr/>
        <w:t>月</w:t>
      </w:r>
      <w:r>
        <w:rPr>
          <w:spacing w:val="-41"/>
        </w:rPr>
        <w:t> </w:t>
      </w:r>
      <w:r>
        <w:rPr>
          <w:rFonts w:ascii="Arial" w:hAnsi="Arial" w:cs="Arial" w:eastAsia="Arial" w:hint="default"/>
        </w:rPr>
        <w:t>6</w:t>
      </w:r>
      <w:r>
        <w:rPr>
          <w:rFonts w:ascii="Arial" w:hAnsi="Arial" w:cs="Arial" w:eastAsia="Arial" w:hint="default"/>
          <w:spacing w:val="-2"/>
        </w:rPr>
        <w:t> </w:t>
      </w:r>
      <w:r>
        <w:rPr/>
        <w:t>日召开</w:t>
      </w:r>
      <w:r>
        <w:rPr>
          <w:spacing w:val="-47"/>
        </w:rPr>
        <w:t> </w:t>
      </w:r>
      <w:r>
        <w:rPr>
          <w:rFonts w:ascii="Arial" w:hAnsi="Arial" w:cs="Arial" w:eastAsia="Arial" w:hint="default"/>
        </w:rPr>
        <w:t>2013</w:t>
      </w:r>
      <w:r>
        <w:rPr>
          <w:rFonts w:ascii="Arial" w:hAnsi="Arial" w:cs="Arial" w:eastAsia="Arial" w:hint="default"/>
          <w:spacing w:val="-3"/>
        </w:rPr>
        <w:t> </w:t>
      </w:r>
      <w:r>
        <w:rPr/>
        <w:t>年第二次临时股东大</w:t>
      </w:r>
      <w:r>
        <w:rPr>
          <w:w w:val="100"/>
        </w:rPr>
        <w:t> </w:t>
      </w:r>
      <w:r>
        <w:rPr>
          <w:spacing w:val="-2"/>
        </w:rPr>
        <w:t>会审议通过了激励计划以及《关于提请股东大会授权董事会办理公司股票期权与限制性股票激励计划相关</w:t>
      </w:r>
      <w:r>
        <w:rPr>
          <w:spacing w:val="-34"/>
        </w:rPr>
        <w:t> </w:t>
      </w:r>
      <w:r>
        <w:rPr>
          <w:spacing w:val="-34"/>
        </w:rPr>
      </w:r>
      <w:r>
        <w:rPr>
          <w:spacing w:val="-2"/>
          <w:w w:val="100"/>
        </w:rPr>
        <w:t>事宜的议案》。董事会被授权确定股票期权和限制性股票授予日及在公司及激励对象符合条件时向激励对</w:t>
      </w:r>
      <w:r>
        <w:rPr>
          <w:spacing w:val="-99"/>
          <w:w w:val="100"/>
        </w:rPr>
        <w:t> </w:t>
      </w:r>
      <w:r>
        <w:rPr>
          <w:spacing w:val="-99"/>
          <w:w w:val="100"/>
        </w:rPr>
      </w:r>
      <w:r>
        <w:rPr/>
        <w:t>象授予股票期权与限制性股票并办理授予股票期权与限制性股票所必须的全部事宜。</w:t>
      </w:r>
    </w:p>
    <w:p>
      <w:pPr>
        <w:pStyle w:val="BodyText"/>
        <w:spacing w:line="393" w:lineRule="auto" w:before="55"/>
        <w:ind w:right="198" w:firstLine="422"/>
        <w:jc w:val="both"/>
      </w:pPr>
      <w:r>
        <w:rPr>
          <w:rFonts w:ascii="Arial" w:hAnsi="Arial" w:cs="Arial" w:eastAsia="Arial" w:hint="default"/>
        </w:rPr>
        <w:t>4</w:t>
      </w:r>
      <w:r>
        <w:rPr/>
        <w:t>、公司于</w:t>
      </w:r>
      <w:r>
        <w:rPr>
          <w:spacing w:val="3"/>
        </w:rPr>
        <w:t> </w:t>
      </w:r>
      <w:r>
        <w:rPr>
          <w:rFonts w:ascii="Arial" w:hAnsi="Arial" w:cs="Arial" w:eastAsia="Arial" w:hint="default"/>
          <w:spacing w:val="-3"/>
        </w:rPr>
        <w:t>2013</w:t>
      </w:r>
      <w:r>
        <w:rPr>
          <w:rFonts w:ascii="Arial" w:hAnsi="Arial" w:cs="Arial" w:eastAsia="Arial" w:hint="default"/>
          <w:spacing w:val="47"/>
        </w:rPr>
        <w:t> </w:t>
      </w:r>
      <w:r>
        <w:rPr/>
        <w:t>年</w:t>
      </w:r>
      <w:r>
        <w:rPr>
          <w:spacing w:val="-52"/>
        </w:rPr>
        <w:t> </w:t>
      </w:r>
      <w:r>
        <w:rPr>
          <w:rFonts w:ascii="Arial" w:hAnsi="Arial" w:cs="Arial" w:eastAsia="Arial" w:hint="default"/>
        </w:rPr>
        <w:t>12</w:t>
      </w:r>
      <w:r>
        <w:rPr>
          <w:rFonts w:ascii="Arial" w:hAnsi="Arial" w:cs="Arial" w:eastAsia="Arial" w:hint="default"/>
          <w:spacing w:val="-7"/>
        </w:rPr>
        <w:t> </w:t>
      </w:r>
      <w:r>
        <w:rPr/>
        <w:t>月</w:t>
      </w:r>
      <w:r>
        <w:rPr>
          <w:spacing w:val="-52"/>
        </w:rPr>
        <w:t> </w:t>
      </w:r>
      <w:r>
        <w:rPr>
          <w:rFonts w:ascii="Arial" w:hAnsi="Arial" w:cs="Arial" w:eastAsia="Arial" w:hint="default"/>
        </w:rPr>
        <w:t>24</w:t>
      </w:r>
      <w:r>
        <w:rPr>
          <w:rFonts w:ascii="Arial" w:hAnsi="Arial" w:cs="Arial" w:eastAsia="Arial" w:hint="default"/>
          <w:spacing w:val="-7"/>
        </w:rPr>
        <w:t> </w:t>
      </w:r>
      <w:r>
        <w:rPr/>
        <w:t>日分别召开第二届董事会第十七次会议和第二届监事会第十五次会议，</w:t>
      </w:r>
      <w:r>
        <w:rPr>
          <w:w w:val="100"/>
        </w:rPr>
        <w:t> </w:t>
      </w:r>
      <w:r>
        <w:rPr>
          <w:spacing w:val="-3"/>
        </w:rPr>
        <w:t>审议通过了《关于对</w:t>
      </w:r>
      <w:r>
        <w:rPr>
          <w:rFonts w:ascii="Arial" w:hAnsi="Arial" w:cs="Arial" w:eastAsia="Arial" w:hint="default"/>
          <w:spacing w:val="-3"/>
        </w:rPr>
        <w:t>&lt;</w:t>
      </w:r>
      <w:r>
        <w:rPr>
          <w:spacing w:val="-3"/>
        </w:rPr>
        <w:t>股票期权与限制性股票激励计划</w:t>
      </w:r>
      <w:r>
        <w:rPr>
          <w:rFonts w:ascii="Arial" w:hAnsi="Arial" w:cs="Arial" w:eastAsia="Arial" w:hint="default"/>
          <w:spacing w:val="-3"/>
        </w:rPr>
        <w:t>&gt;</w:t>
      </w:r>
      <w:r>
        <w:rPr>
          <w:spacing w:val="-3"/>
        </w:rPr>
        <w:t>进行调整的议案》以及《关于向激励对象授予股票</w:t>
      </w:r>
      <w:r>
        <w:rPr>
          <w:spacing w:val="-29"/>
        </w:rPr>
        <w:t> </w:t>
      </w:r>
      <w:r>
        <w:rPr>
          <w:spacing w:val="-29"/>
        </w:rPr>
      </w:r>
      <w:r>
        <w:rPr>
          <w:spacing w:val="-2"/>
          <w:w w:val="100"/>
        </w:rPr>
        <w:t>期权与限制性股票的议案》，公司部分激励对象由于个人原因，减少认购或自愿放弃认购股票期权或限制</w:t>
      </w:r>
      <w:r>
        <w:rPr>
          <w:spacing w:val="-99"/>
          <w:w w:val="100"/>
        </w:rPr>
        <w:t> </w:t>
      </w:r>
      <w:r>
        <w:rPr>
          <w:spacing w:val="-99"/>
          <w:w w:val="100"/>
        </w:rPr>
      </w:r>
      <w:r>
        <w:rPr>
          <w:spacing w:val="-4"/>
        </w:rPr>
        <w:t>性股票，公司首次授予股票期权的激励对象从</w:t>
      </w:r>
      <w:r>
        <w:rPr>
          <w:spacing w:val="-43"/>
        </w:rPr>
        <w:t> </w:t>
      </w:r>
      <w:r>
        <w:rPr>
          <w:rFonts w:ascii="Arial" w:hAnsi="Arial" w:cs="Arial" w:eastAsia="Arial" w:hint="default"/>
        </w:rPr>
        <w:t>85 </w:t>
      </w:r>
      <w:r>
        <w:rPr/>
        <w:t>人调整为</w:t>
      </w:r>
      <w:r>
        <w:rPr>
          <w:spacing w:val="-44"/>
        </w:rPr>
        <w:t> </w:t>
      </w:r>
      <w:r>
        <w:rPr>
          <w:rFonts w:ascii="Arial" w:hAnsi="Arial" w:cs="Arial" w:eastAsia="Arial" w:hint="default"/>
        </w:rPr>
        <w:t>75 </w:t>
      </w:r>
      <w:r>
        <w:rPr>
          <w:spacing w:val="-5"/>
        </w:rPr>
        <w:t>人，首次授予股票期权数由</w:t>
      </w:r>
      <w:r>
        <w:rPr>
          <w:spacing w:val="-44"/>
        </w:rPr>
        <w:t> </w:t>
      </w:r>
      <w:r>
        <w:rPr>
          <w:rFonts w:ascii="Arial" w:hAnsi="Arial" w:cs="Arial" w:eastAsia="Arial" w:hint="default"/>
          <w:spacing w:val="-7"/>
        </w:rPr>
        <w:t>211</w:t>
      </w:r>
      <w:r>
        <w:rPr>
          <w:rFonts w:ascii="Arial" w:hAnsi="Arial" w:cs="Arial" w:eastAsia="Arial" w:hint="default"/>
        </w:rPr>
        <w:t> </w:t>
      </w:r>
      <w:r>
        <w:rPr/>
        <w:t>万份调整为</w:t>
      </w:r>
    </w:p>
    <w:p>
      <w:pPr>
        <w:pStyle w:val="BodyText"/>
        <w:spacing w:line="240" w:lineRule="auto" w:before="30"/>
        <w:ind w:right="111"/>
        <w:jc w:val="left"/>
      </w:pPr>
      <w:r>
        <w:rPr>
          <w:rFonts w:ascii="Arial" w:hAnsi="Arial" w:cs="Arial" w:eastAsia="Arial" w:hint="default"/>
        </w:rPr>
        <w:t>192</w:t>
      </w:r>
      <w:r>
        <w:rPr>
          <w:rFonts w:ascii="Arial" w:hAnsi="Arial" w:cs="Arial" w:eastAsia="Arial" w:hint="default"/>
          <w:spacing w:val="-2"/>
        </w:rPr>
        <w:t> </w:t>
      </w:r>
      <w:r>
        <w:rPr>
          <w:spacing w:val="-4"/>
        </w:rPr>
        <w:t>万份；首次授予限制性股票的激励对象从</w:t>
      </w:r>
      <w:r>
        <w:rPr>
          <w:spacing w:val="-47"/>
        </w:rPr>
        <w:t> </w:t>
      </w:r>
      <w:r>
        <w:rPr>
          <w:rFonts w:ascii="Arial" w:hAnsi="Arial" w:cs="Arial" w:eastAsia="Arial" w:hint="default"/>
        </w:rPr>
        <w:t>85</w:t>
      </w:r>
      <w:r>
        <w:rPr>
          <w:rFonts w:ascii="Arial" w:hAnsi="Arial" w:cs="Arial" w:eastAsia="Arial" w:hint="default"/>
          <w:spacing w:val="-2"/>
        </w:rPr>
        <w:t> </w:t>
      </w:r>
      <w:r>
        <w:rPr/>
        <w:t>人调整为</w:t>
      </w:r>
      <w:r>
        <w:rPr>
          <w:spacing w:val="-47"/>
        </w:rPr>
        <w:t> </w:t>
      </w:r>
      <w:r>
        <w:rPr>
          <w:rFonts w:ascii="Arial" w:hAnsi="Arial" w:cs="Arial" w:eastAsia="Arial" w:hint="default"/>
        </w:rPr>
        <w:t>64</w:t>
      </w:r>
      <w:r>
        <w:rPr>
          <w:rFonts w:ascii="Arial" w:hAnsi="Arial" w:cs="Arial" w:eastAsia="Arial" w:hint="default"/>
          <w:spacing w:val="-2"/>
        </w:rPr>
        <w:t> </w:t>
      </w:r>
      <w:r>
        <w:rPr>
          <w:spacing w:val="-5"/>
        </w:rPr>
        <w:t>人，首次授予限制性股票数从</w:t>
      </w:r>
      <w:r>
        <w:rPr>
          <w:spacing w:val="-47"/>
        </w:rPr>
        <w:t> </w:t>
      </w:r>
      <w:r>
        <w:rPr>
          <w:rFonts w:ascii="Arial" w:hAnsi="Arial" w:cs="Arial" w:eastAsia="Arial" w:hint="default"/>
        </w:rPr>
        <w:t>416</w:t>
      </w:r>
      <w:r>
        <w:rPr>
          <w:rFonts w:ascii="Arial" w:hAnsi="Arial" w:cs="Arial" w:eastAsia="Arial" w:hint="default"/>
          <w:spacing w:val="-2"/>
        </w:rPr>
        <w:t> </w:t>
      </w:r>
      <w:r>
        <w:rPr/>
        <w:t>万股调整</w:t>
      </w:r>
    </w:p>
    <w:p>
      <w:pPr>
        <w:pStyle w:val="BodyText"/>
        <w:spacing w:line="240" w:lineRule="auto" w:before="176"/>
        <w:ind w:right="111"/>
        <w:jc w:val="left"/>
      </w:pPr>
      <w:r>
        <w:rPr/>
        <w:t>为</w:t>
      </w:r>
      <w:r>
        <w:rPr>
          <w:spacing w:val="-48"/>
        </w:rPr>
        <w:t> </w:t>
      </w:r>
      <w:r>
        <w:rPr>
          <w:rFonts w:ascii="Arial" w:hAnsi="Arial" w:cs="Arial" w:eastAsia="Arial" w:hint="default"/>
          <w:spacing w:val="-3"/>
        </w:rPr>
        <w:t>306.6</w:t>
      </w:r>
      <w:r>
        <w:rPr>
          <w:rFonts w:ascii="Arial" w:hAnsi="Arial" w:cs="Arial" w:eastAsia="Arial" w:hint="default"/>
          <w:spacing w:val="-4"/>
        </w:rPr>
        <w:t> </w:t>
      </w:r>
      <w:r>
        <w:rPr/>
        <w:t>万股。</w:t>
      </w:r>
    </w:p>
    <w:p>
      <w:pPr>
        <w:pStyle w:val="BodyText"/>
        <w:spacing w:line="398" w:lineRule="auto" w:before="180"/>
        <w:ind w:right="222" w:firstLine="422"/>
        <w:jc w:val="both"/>
      </w:pPr>
      <w:r>
        <w:rPr>
          <w:rFonts w:ascii="Arial" w:hAnsi="Arial" w:cs="Arial" w:eastAsia="Arial" w:hint="default"/>
          <w:spacing w:val="-2"/>
          <w:w w:val="100"/>
        </w:rPr>
        <w:t>5</w:t>
      </w:r>
      <w:r>
        <w:rPr>
          <w:spacing w:val="-2"/>
          <w:w w:val="100"/>
        </w:rPr>
        <w:t>、公司已于</w:t>
      </w:r>
      <w:r>
        <w:rPr>
          <w:spacing w:val="-53"/>
          <w:w w:val="100"/>
        </w:rPr>
        <w:t> </w:t>
      </w:r>
      <w:r>
        <w:rPr>
          <w:rFonts w:ascii="Arial" w:hAnsi="Arial" w:cs="Arial" w:eastAsia="Arial" w:hint="default"/>
          <w:spacing w:val="-3"/>
          <w:w w:val="100"/>
        </w:rPr>
        <w:t>2013</w:t>
      </w:r>
      <w:r>
        <w:rPr>
          <w:rFonts w:ascii="Arial" w:hAnsi="Arial" w:cs="Arial" w:eastAsia="Arial" w:hint="default"/>
          <w:spacing w:val="-9"/>
          <w:w w:val="100"/>
        </w:rPr>
        <w:t> </w:t>
      </w:r>
      <w:r>
        <w:rPr>
          <w:w w:val="100"/>
        </w:rPr>
        <w:t>年</w:t>
      </w:r>
      <w:r>
        <w:rPr>
          <w:spacing w:val="-53"/>
          <w:w w:val="100"/>
        </w:rPr>
        <w:t> </w:t>
      </w:r>
      <w:r>
        <w:rPr>
          <w:rFonts w:ascii="Arial" w:hAnsi="Arial" w:cs="Arial" w:eastAsia="Arial" w:hint="default"/>
          <w:spacing w:val="-2"/>
          <w:w w:val="100"/>
        </w:rPr>
        <w:t>12</w:t>
      </w:r>
      <w:r>
        <w:rPr>
          <w:rFonts w:ascii="Arial" w:hAnsi="Arial" w:cs="Arial" w:eastAsia="Arial" w:hint="default"/>
          <w:spacing w:val="-8"/>
          <w:w w:val="100"/>
        </w:rPr>
        <w:t> </w:t>
      </w:r>
      <w:r>
        <w:rPr>
          <w:w w:val="100"/>
        </w:rPr>
        <w:t>月</w:t>
      </w:r>
      <w:r>
        <w:rPr>
          <w:spacing w:val="-53"/>
          <w:w w:val="100"/>
        </w:rPr>
        <w:t> </w:t>
      </w:r>
      <w:r>
        <w:rPr>
          <w:rFonts w:ascii="Arial" w:hAnsi="Arial" w:cs="Arial" w:eastAsia="Arial" w:hint="default"/>
          <w:spacing w:val="-2"/>
          <w:w w:val="100"/>
        </w:rPr>
        <w:t>27</w:t>
      </w:r>
      <w:r>
        <w:rPr>
          <w:rFonts w:ascii="Arial" w:hAnsi="Arial" w:cs="Arial" w:eastAsia="Arial" w:hint="default"/>
          <w:spacing w:val="-8"/>
          <w:w w:val="100"/>
        </w:rPr>
        <w:t> </w:t>
      </w:r>
      <w:r>
        <w:rPr>
          <w:spacing w:val="-5"/>
          <w:w w:val="100"/>
        </w:rPr>
        <w:t>日完成了《公司股票期权与限制性股票激励计划（草案修订稿）》所涉</w:t>
      </w:r>
      <w:r>
        <w:rPr>
          <w:w w:val="100"/>
        </w:rPr>
        <w:t> </w:t>
      </w:r>
      <w:r>
        <w:rPr>
          <w:spacing w:val="-2"/>
        </w:rPr>
        <w:t>股票期权与限制性股票的授予登记工作。并在中国证监会指定创业板信息披露媒体公告了《关于股票期权</w:t>
      </w:r>
      <w:r>
        <w:rPr>
          <w:spacing w:val="-35"/>
        </w:rPr>
        <w:t> </w:t>
      </w:r>
      <w:r>
        <w:rPr>
          <w:spacing w:val="-35"/>
        </w:rPr>
      </w:r>
      <w:r>
        <w:rPr>
          <w:spacing w:val="-8"/>
          <w:w w:val="100"/>
        </w:rPr>
        <w:t>与限制性股票授予登记完成的公告》。</w:t>
      </w:r>
    </w:p>
    <w:p>
      <w:pPr>
        <w:pStyle w:val="BodyText"/>
        <w:spacing w:line="403" w:lineRule="auto" w:before="52"/>
        <w:ind w:right="217" w:firstLine="422"/>
        <w:jc w:val="both"/>
        <w:rPr>
          <w:rFonts w:ascii="Arial" w:hAnsi="Arial" w:cs="Arial" w:eastAsia="Arial" w:hint="default"/>
        </w:rPr>
      </w:pPr>
      <w:r>
        <w:rPr>
          <w:rFonts w:ascii="Arial" w:hAnsi="Arial" w:cs="Arial" w:eastAsia="Arial" w:hint="default"/>
        </w:rPr>
        <w:t>6</w:t>
      </w:r>
      <w:r>
        <w:rPr/>
        <w:t>、</w:t>
      </w:r>
      <w:r>
        <w:rPr>
          <w:rFonts w:ascii="Arial" w:hAnsi="Arial" w:cs="Arial" w:eastAsia="Arial" w:hint="default"/>
        </w:rPr>
        <w:t>2014 </w:t>
      </w:r>
      <w:r>
        <w:rPr/>
        <w:t>年</w:t>
      </w:r>
      <w:r>
        <w:rPr>
          <w:spacing w:val="-44"/>
        </w:rPr>
        <w:t> </w:t>
      </w:r>
      <w:r>
        <w:rPr>
          <w:rFonts w:ascii="Arial" w:hAnsi="Arial" w:cs="Arial" w:eastAsia="Arial" w:hint="default"/>
        </w:rPr>
        <w:t>12 </w:t>
      </w:r>
      <w:r>
        <w:rPr/>
        <w:t>月</w:t>
      </w:r>
      <w:r>
        <w:rPr>
          <w:spacing w:val="-44"/>
        </w:rPr>
        <w:t> </w:t>
      </w:r>
      <w:r>
        <w:rPr>
          <w:rFonts w:ascii="Arial" w:hAnsi="Arial" w:cs="Arial" w:eastAsia="Arial" w:hint="default"/>
        </w:rPr>
        <w:t>8 </w:t>
      </w:r>
      <w:r>
        <w:rPr/>
        <w:t>日公司分别召开了第三届董事会第三次会议和第三届监事会第三次会议，审议通</w:t>
      </w:r>
      <w:r>
        <w:rPr>
          <w:w w:val="100"/>
        </w:rPr>
        <w:t> </w:t>
      </w:r>
      <w:r>
        <w:rPr>
          <w:spacing w:val="-7"/>
          <w:w w:val="100"/>
        </w:rPr>
        <w:t>过了《关于注销部分已不符合激励条件的激励对象已获授但尚未行权的股票期权的议案》、《关于股权激励</w:t>
      </w:r>
      <w:r>
        <w:rPr>
          <w:spacing w:val="-64"/>
          <w:w w:val="100"/>
        </w:rPr>
        <w:t> </w:t>
      </w:r>
      <w:r>
        <w:rPr>
          <w:spacing w:val="-64"/>
          <w:w w:val="100"/>
        </w:rPr>
      </w:r>
      <w:r>
        <w:rPr>
          <w:spacing w:val="-7"/>
          <w:w w:val="100"/>
        </w:rPr>
        <w:t>计划涉及的首次授予股票期权数量与行权价格及预留股票期权与限制性股票数量进行调整的议案》、《关于</w:t>
      </w:r>
      <w:r>
        <w:rPr>
          <w:spacing w:val="-64"/>
          <w:w w:val="100"/>
        </w:rPr>
        <w:t> </w:t>
      </w:r>
      <w:r>
        <w:rPr>
          <w:spacing w:val="-64"/>
          <w:w w:val="100"/>
        </w:rPr>
      </w:r>
      <w:r>
        <w:rPr>
          <w:spacing w:val="-4"/>
          <w:w w:val="100"/>
        </w:rPr>
        <w:t>向激励对象授予预留股票期权和限制性股票的议案》、《关于股票期权与限制性股票激励计划第一个行权</w:t>
      </w:r>
      <w:r>
        <w:rPr>
          <w:rFonts w:ascii="Arial" w:hAnsi="Arial" w:cs="Arial" w:eastAsia="Arial" w:hint="default"/>
          <w:spacing w:val="-4"/>
          <w:w w:val="100"/>
        </w:rPr>
        <w:t>/</w:t>
      </w:r>
    </w:p>
    <w:p>
      <w:pPr>
        <w:spacing w:after="0" w:line="403" w:lineRule="auto"/>
        <w:jc w:val="both"/>
        <w:rPr>
          <w:rFonts w:ascii="Arial" w:hAnsi="Arial" w:cs="Arial" w:eastAsia="Arial" w:hint="default"/>
        </w:rPr>
        <w:sectPr>
          <w:pgSz w:w="11900" w:h="16840"/>
          <w:pgMar w:header="742" w:footer="984" w:top="1060" w:bottom="1180" w:left="980" w:right="900"/>
        </w:sectPr>
      </w:pPr>
    </w:p>
    <w:p>
      <w:pPr>
        <w:spacing w:line="240" w:lineRule="auto" w:before="0"/>
        <w:rPr>
          <w:rFonts w:ascii="Arial" w:hAnsi="Arial" w:cs="Arial" w:eastAsia="Arial" w:hint="default"/>
          <w:sz w:val="20"/>
          <w:szCs w:val="20"/>
        </w:rPr>
      </w:pPr>
    </w:p>
    <w:p>
      <w:pPr>
        <w:spacing w:line="240" w:lineRule="auto" w:before="7"/>
        <w:rPr>
          <w:rFonts w:ascii="Arial" w:hAnsi="Arial" w:cs="Arial" w:eastAsia="Arial" w:hint="default"/>
          <w:sz w:val="18"/>
          <w:szCs w:val="18"/>
        </w:rPr>
      </w:pPr>
    </w:p>
    <w:p>
      <w:pPr>
        <w:pStyle w:val="BodyText"/>
        <w:spacing w:line="240" w:lineRule="auto"/>
        <w:ind w:right="111"/>
        <w:jc w:val="left"/>
      </w:pPr>
      <w:r>
        <w:rPr>
          <w:w w:val="100"/>
        </w:rPr>
        <w:t>解锁期可</w:t>
      </w:r>
      <w:r>
        <w:rPr>
          <w:spacing w:val="-5"/>
          <w:w w:val="100"/>
        </w:rPr>
        <w:t>行</w:t>
      </w:r>
      <w:r>
        <w:rPr>
          <w:w w:val="100"/>
        </w:rPr>
        <w:t>权</w:t>
      </w:r>
      <w:r>
        <w:rPr>
          <w:rFonts w:ascii="Arial" w:hAnsi="Arial" w:cs="Arial" w:eastAsia="Arial" w:hint="default"/>
          <w:spacing w:val="-2"/>
          <w:w w:val="100"/>
        </w:rPr>
        <w:t>/</w:t>
      </w:r>
      <w:r>
        <w:rPr>
          <w:w w:val="100"/>
        </w:rPr>
        <w:t>解锁的</w:t>
      </w:r>
      <w:r>
        <w:rPr>
          <w:spacing w:val="-5"/>
          <w:w w:val="100"/>
        </w:rPr>
        <w:t>议</w:t>
      </w:r>
      <w:r>
        <w:rPr>
          <w:w w:val="100"/>
        </w:rPr>
        <w:t>案</w:t>
      </w:r>
      <w:r>
        <w:rPr>
          <w:spacing w:val="-106"/>
          <w:w w:val="100"/>
        </w:rPr>
        <w:t>》</w:t>
      </w:r>
      <w:r>
        <w:rPr>
          <w:w w:val="100"/>
        </w:rPr>
        <w:t>。</w:t>
      </w:r>
    </w:p>
    <w:p>
      <w:pPr>
        <w:pStyle w:val="BodyText"/>
        <w:spacing w:line="240" w:lineRule="auto" w:before="176"/>
        <w:ind w:left="575" w:right="111"/>
        <w:jc w:val="left"/>
      </w:pPr>
      <w:r>
        <w:rPr/>
        <w:t>鉴于公司原激励对象邢志奇已于</w:t>
      </w:r>
      <w:r>
        <w:rPr>
          <w:spacing w:val="-43"/>
        </w:rPr>
        <w:t> </w:t>
      </w:r>
      <w:r>
        <w:rPr>
          <w:rFonts w:ascii="Arial" w:hAnsi="Arial" w:cs="Arial" w:eastAsia="Arial" w:hint="default"/>
          <w:spacing w:val="-3"/>
        </w:rPr>
        <w:t>2014</w:t>
      </w:r>
      <w:r>
        <w:rPr>
          <w:rFonts w:ascii="Arial" w:hAnsi="Arial" w:cs="Arial" w:eastAsia="Arial" w:hint="default"/>
          <w:spacing w:val="1"/>
        </w:rPr>
        <w:t> </w:t>
      </w:r>
      <w:r>
        <w:rPr/>
        <w:t>年退休；纪建成、王廷东</w:t>
      </w:r>
      <w:r>
        <w:rPr>
          <w:spacing w:val="-43"/>
        </w:rPr>
        <w:t> </w:t>
      </w:r>
      <w:r>
        <w:rPr>
          <w:rFonts w:ascii="Arial" w:hAnsi="Arial" w:cs="Arial" w:eastAsia="Arial" w:hint="default"/>
        </w:rPr>
        <w:t>2</w:t>
      </w:r>
      <w:r>
        <w:rPr>
          <w:rFonts w:ascii="Arial" w:hAnsi="Arial" w:cs="Arial" w:eastAsia="Arial" w:hint="default"/>
          <w:spacing w:val="2"/>
        </w:rPr>
        <w:t> </w:t>
      </w:r>
      <w:r>
        <w:rPr/>
        <w:t>人因个人原因辞职已不符合激励条</w:t>
      </w:r>
    </w:p>
    <w:p>
      <w:pPr>
        <w:pStyle w:val="BodyText"/>
        <w:spacing w:line="386" w:lineRule="auto" w:before="180"/>
        <w:ind w:right="111"/>
        <w:jc w:val="left"/>
      </w:pPr>
      <w:r>
        <w:rPr>
          <w:spacing w:val="-5"/>
        </w:rPr>
        <w:t>件；聂红斌人因个人原因放弃认购其获授的全部股票期权，公司董事会本次决定注销股票期权合计 </w:t>
      </w:r>
      <w:r>
        <w:rPr>
          <w:rFonts w:ascii="Arial" w:hAnsi="Arial" w:cs="Arial" w:eastAsia="Arial" w:hint="default"/>
        </w:rPr>
        <w:t>7 </w:t>
      </w:r>
      <w:r>
        <w:rPr/>
        <w:t>万份，</w:t>
      </w:r>
      <w:r>
        <w:rPr>
          <w:spacing w:val="-84"/>
        </w:rPr>
        <w:t> </w:t>
      </w:r>
      <w:r>
        <w:rPr>
          <w:spacing w:val="-4"/>
        </w:rPr>
        <w:t>全部为首期已授期权，期权简称：安诺</w:t>
      </w:r>
      <w:r>
        <w:rPr>
          <w:spacing w:val="-34"/>
        </w:rPr>
        <w:t> </w:t>
      </w:r>
      <w:r>
        <w:rPr>
          <w:rFonts w:ascii="Arial" w:hAnsi="Arial" w:cs="Arial" w:eastAsia="Arial" w:hint="default"/>
          <w:spacing w:val="-5"/>
        </w:rPr>
        <w:t>JLC1</w:t>
      </w:r>
      <w:r>
        <w:rPr>
          <w:spacing w:val="-5"/>
        </w:rPr>
        <w:t>，期权代码：</w:t>
      </w:r>
      <w:r>
        <w:rPr>
          <w:rFonts w:ascii="Arial" w:hAnsi="Arial" w:cs="Arial" w:eastAsia="Arial" w:hint="default"/>
          <w:spacing w:val="-5"/>
        </w:rPr>
        <w:t>036117</w:t>
      </w:r>
      <w:r>
        <w:rPr>
          <w:spacing w:val="-5"/>
        </w:rPr>
        <w:t>。调整后的首期股票期权合计</w:t>
      </w:r>
      <w:r>
        <w:rPr>
          <w:spacing w:val="-33"/>
        </w:rPr>
        <w:t> </w:t>
      </w:r>
      <w:r>
        <w:rPr>
          <w:rFonts w:ascii="Arial" w:hAnsi="Arial" w:cs="Arial" w:eastAsia="Arial" w:hint="default"/>
        </w:rPr>
        <w:t>185</w:t>
      </w:r>
      <w:r>
        <w:rPr>
          <w:rFonts w:ascii="Arial" w:hAnsi="Arial" w:cs="Arial" w:eastAsia="Arial" w:hint="default"/>
          <w:spacing w:val="10"/>
        </w:rPr>
        <w:t> </w:t>
      </w:r>
      <w:r>
        <w:rPr/>
        <w:t>万份。</w:t>
      </w:r>
    </w:p>
    <w:p>
      <w:pPr>
        <w:pStyle w:val="BodyText"/>
        <w:spacing w:line="240" w:lineRule="auto" w:before="37"/>
        <w:ind w:left="575" w:right="111"/>
        <w:jc w:val="left"/>
      </w:pPr>
      <w:r>
        <w:rPr/>
        <w:t>同时因公司实施了 </w:t>
      </w:r>
      <w:r>
        <w:rPr>
          <w:rFonts w:ascii="Arial" w:hAnsi="Arial" w:cs="Arial" w:eastAsia="Arial" w:hint="default"/>
          <w:spacing w:val="-3"/>
        </w:rPr>
        <w:t>2013</w:t>
      </w:r>
      <w:r>
        <w:rPr>
          <w:rFonts w:ascii="Arial" w:hAnsi="Arial" w:cs="Arial" w:eastAsia="Arial" w:hint="default"/>
          <w:spacing w:val="-10"/>
        </w:rPr>
        <w:t> </w:t>
      </w:r>
      <w:r>
        <w:rPr/>
        <w:t>年度利润分配方案，对涉及的首次授予股票期权数量和行权价格以及预留股</w:t>
      </w:r>
    </w:p>
    <w:p>
      <w:pPr>
        <w:pStyle w:val="BodyText"/>
        <w:spacing w:line="240" w:lineRule="auto" w:before="176"/>
        <w:ind w:right="111"/>
        <w:jc w:val="left"/>
      </w:pPr>
      <w:r>
        <w:rPr>
          <w:spacing w:val="-2"/>
        </w:rPr>
        <w:t>票期权数量和限制性股票数量进行调整，调整后首次授予的股票期权数量调整为</w:t>
      </w:r>
      <w:r>
        <w:rPr/>
        <w:t> </w:t>
      </w:r>
      <w:r>
        <w:rPr>
          <w:rFonts w:ascii="Arial" w:hAnsi="Arial" w:cs="Arial" w:eastAsia="Arial" w:hint="default"/>
          <w:spacing w:val="-2"/>
        </w:rPr>
        <w:t>370 </w:t>
      </w:r>
      <w:r>
        <w:rPr>
          <w:spacing w:val="-5"/>
        </w:rPr>
        <w:t>万份，行权价格调整</w:t>
      </w:r>
    </w:p>
    <w:p>
      <w:pPr>
        <w:pStyle w:val="BodyText"/>
        <w:spacing w:line="240" w:lineRule="auto" w:before="180"/>
        <w:ind w:right="111"/>
        <w:jc w:val="left"/>
      </w:pPr>
      <w:r>
        <w:rPr/>
        <w:t>为</w:t>
      </w:r>
      <w:r>
        <w:rPr>
          <w:spacing w:val="-51"/>
        </w:rPr>
        <w:t> </w:t>
      </w:r>
      <w:r>
        <w:rPr>
          <w:rFonts w:ascii="Arial" w:hAnsi="Arial" w:cs="Arial" w:eastAsia="Arial" w:hint="default"/>
          <w:spacing w:val="-3"/>
        </w:rPr>
        <w:t>5.915</w:t>
      </w:r>
      <w:r>
        <w:rPr>
          <w:rFonts w:ascii="Arial" w:hAnsi="Arial" w:cs="Arial" w:eastAsia="Arial" w:hint="default"/>
          <w:spacing w:val="-7"/>
        </w:rPr>
        <w:t> </w:t>
      </w:r>
      <w:r>
        <w:rPr/>
        <w:t>元</w:t>
      </w:r>
      <w:r>
        <w:rPr>
          <w:rFonts w:ascii="Arial" w:hAnsi="Arial" w:cs="Arial" w:eastAsia="Arial" w:hint="default"/>
        </w:rPr>
        <w:t>/</w:t>
      </w:r>
      <w:r>
        <w:rPr/>
        <w:t>股。预留部分的股票期权份额调整为</w:t>
      </w:r>
      <w:r>
        <w:rPr>
          <w:spacing w:val="-50"/>
        </w:rPr>
        <w:t> </w:t>
      </w:r>
      <w:r>
        <w:rPr>
          <w:rFonts w:ascii="Arial" w:hAnsi="Arial" w:cs="Arial" w:eastAsia="Arial" w:hint="default"/>
        </w:rPr>
        <w:t>46</w:t>
      </w:r>
      <w:r>
        <w:rPr>
          <w:rFonts w:ascii="Arial" w:hAnsi="Arial" w:cs="Arial" w:eastAsia="Arial" w:hint="default"/>
          <w:spacing w:val="-11"/>
        </w:rPr>
        <w:t> </w:t>
      </w:r>
      <w:r>
        <w:rPr/>
        <w:t>万份，预留部分的限制性股票份额调整为</w:t>
      </w:r>
      <w:r>
        <w:rPr>
          <w:spacing w:val="-51"/>
        </w:rPr>
        <w:t> </w:t>
      </w:r>
      <w:r>
        <w:rPr>
          <w:rFonts w:ascii="Arial" w:hAnsi="Arial" w:cs="Arial" w:eastAsia="Arial" w:hint="default"/>
        </w:rPr>
        <w:t>92</w:t>
      </w:r>
      <w:r>
        <w:rPr>
          <w:rFonts w:ascii="Arial" w:hAnsi="Arial" w:cs="Arial" w:eastAsia="Arial" w:hint="default"/>
          <w:spacing w:val="-6"/>
        </w:rPr>
        <w:t> </w:t>
      </w:r>
      <w:r>
        <w:rPr/>
        <w:t>万股。</w:t>
      </w:r>
    </w:p>
    <w:p>
      <w:pPr>
        <w:pStyle w:val="BodyText"/>
        <w:spacing w:line="240" w:lineRule="auto" w:before="176"/>
        <w:ind w:left="575" w:right="111"/>
        <w:jc w:val="left"/>
      </w:pPr>
      <w:r>
        <w:rPr/>
        <w:t>公司计划将预留股票期权与限制性股票授出，授权日为</w:t>
      </w:r>
      <w:r>
        <w:rPr>
          <w:spacing w:val="-55"/>
        </w:rPr>
        <w:t> </w:t>
      </w:r>
      <w:r>
        <w:rPr>
          <w:rFonts w:ascii="Arial" w:hAnsi="Arial" w:cs="Arial" w:eastAsia="Arial" w:hint="default"/>
          <w:spacing w:val="-3"/>
        </w:rPr>
        <w:t>2014</w:t>
      </w:r>
      <w:r>
        <w:rPr>
          <w:rFonts w:ascii="Arial" w:hAnsi="Arial" w:cs="Arial" w:eastAsia="Arial" w:hint="default"/>
          <w:spacing w:val="-11"/>
        </w:rPr>
        <w:t> </w:t>
      </w:r>
      <w:r>
        <w:rPr/>
        <w:t>年</w:t>
      </w:r>
      <w:r>
        <w:rPr>
          <w:spacing w:val="-55"/>
        </w:rPr>
        <w:t> </w:t>
      </w:r>
      <w:r>
        <w:rPr>
          <w:rFonts w:ascii="Arial" w:hAnsi="Arial" w:cs="Arial" w:eastAsia="Arial" w:hint="default"/>
        </w:rPr>
        <w:t>12</w:t>
      </w:r>
      <w:r>
        <w:rPr>
          <w:rFonts w:ascii="Arial" w:hAnsi="Arial" w:cs="Arial" w:eastAsia="Arial" w:hint="default"/>
          <w:spacing w:val="-10"/>
        </w:rPr>
        <w:t> </w:t>
      </w:r>
      <w:r>
        <w:rPr/>
        <w:t>月</w:t>
      </w:r>
      <w:r>
        <w:rPr>
          <w:spacing w:val="-55"/>
        </w:rPr>
        <w:t> </w:t>
      </w:r>
      <w:r>
        <w:rPr>
          <w:rFonts w:ascii="Arial" w:hAnsi="Arial" w:cs="Arial" w:eastAsia="Arial" w:hint="default"/>
        </w:rPr>
        <w:t>8</w:t>
      </w:r>
      <w:r>
        <w:rPr>
          <w:rFonts w:ascii="Arial" w:hAnsi="Arial" w:cs="Arial" w:eastAsia="Arial" w:hint="default"/>
          <w:spacing w:val="-10"/>
        </w:rPr>
        <w:t> </w:t>
      </w:r>
      <w:r>
        <w:rPr/>
        <w:t>日，其中授予</w:t>
      </w:r>
      <w:r>
        <w:rPr>
          <w:spacing w:val="-55"/>
        </w:rPr>
        <w:t> </w:t>
      </w:r>
      <w:r>
        <w:rPr>
          <w:rFonts w:ascii="Arial" w:hAnsi="Arial" w:cs="Arial" w:eastAsia="Arial" w:hint="default"/>
        </w:rPr>
        <w:t>36</w:t>
      </w:r>
      <w:r>
        <w:rPr>
          <w:rFonts w:ascii="Arial" w:hAnsi="Arial" w:cs="Arial" w:eastAsia="Arial" w:hint="default"/>
          <w:spacing w:val="-10"/>
        </w:rPr>
        <w:t> </w:t>
      </w:r>
      <w:r>
        <w:rPr/>
        <w:t>名激励对象</w:t>
      </w:r>
    </w:p>
    <w:p>
      <w:pPr>
        <w:pStyle w:val="BodyText"/>
        <w:spacing w:line="240" w:lineRule="auto" w:before="180"/>
        <w:ind w:right="111"/>
        <w:jc w:val="left"/>
        <w:rPr>
          <w:rFonts w:ascii="Arial" w:hAnsi="Arial" w:cs="Arial" w:eastAsia="Arial" w:hint="default"/>
        </w:rPr>
      </w:pPr>
      <w:r>
        <w:rPr>
          <w:rFonts w:ascii="Arial" w:hAnsi="Arial" w:cs="Arial" w:eastAsia="Arial" w:hint="default"/>
        </w:rPr>
        <w:t>46 </w:t>
      </w:r>
      <w:r>
        <w:rPr/>
        <w:t>万份股票期权，行权价格为 </w:t>
      </w:r>
      <w:r>
        <w:rPr>
          <w:rFonts w:ascii="Arial" w:hAnsi="Arial" w:cs="Arial" w:eastAsia="Arial" w:hint="default"/>
          <w:spacing w:val="-3"/>
        </w:rPr>
        <w:t>10.25 </w:t>
      </w:r>
      <w:r>
        <w:rPr/>
        <w:t>元</w:t>
      </w:r>
      <w:r>
        <w:rPr>
          <w:rFonts w:ascii="Arial" w:hAnsi="Arial" w:cs="Arial" w:eastAsia="Arial" w:hint="default"/>
        </w:rPr>
        <w:t>/</w:t>
      </w:r>
      <w:r>
        <w:rPr/>
        <w:t>份，授予 </w:t>
      </w:r>
      <w:r>
        <w:rPr>
          <w:rFonts w:ascii="Arial" w:hAnsi="Arial" w:cs="Arial" w:eastAsia="Arial" w:hint="default"/>
        </w:rPr>
        <w:t>36 </w:t>
      </w:r>
      <w:r>
        <w:rPr/>
        <w:t>名激励对象 </w:t>
      </w:r>
      <w:r>
        <w:rPr>
          <w:rFonts w:ascii="Arial" w:hAnsi="Arial" w:cs="Arial" w:eastAsia="Arial" w:hint="default"/>
        </w:rPr>
        <w:t>92 </w:t>
      </w:r>
      <w:r>
        <w:rPr/>
        <w:t>万股限制性股票，授予价格为</w:t>
      </w:r>
      <w:r>
        <w:rPr>
          <w:spacing w:val="-56"/>
        </w:rPr>
        <w:t> </w:t>
      </w:r>
      <w:r>
        <w:rPr>
          <w:rFonts w:ascii="Arial" w:hAnsi="Arial" w:cs="Arial" w:eastAsia="Arial" w:hint="default"/>
        </w:rPr>
        <w:t>5.07</w:t>
      </w:r>
    </w:p>
    <w:p>
      <w:pPr>
        <w:pStyle w:val="BodyText"/>
        <w:spacing w:line="240" w:lineRule="auto" w:before="176"/>
        <w:ind w:right="111"/>
        <w:jc w:val="left"/>
      </w:pPr>
      <w:r>
        <w:rPr/>
        <w:t>元</w:t>
      </w:r>
      <w:r>
        <w:rPr>
          <w:rFonts w:ascii="Arial" w:hAnsi="Arial" w:cs="Arial" w:eastAsia="Arial" w:hint="default"/>
        </w:rPr>
        <w:t>/</w:t>
      </w:r>
      <w:r>
        <w:rPr/>
        <w:t>股。</w:t>
      </w:r>
    </w:p>
    <w:p>
      <w:pPr>
        <w:pStyle w:val="BodyText"/>
        <w:spacing w:line="388" w:lineRule="auto" w:before="180"/>
        <w:ind w:right="224" w:firstLine="422"/>
        <w:jc w:val="both"/>
      </w:pPr>
      <w:r>
        <w:rPr/>
        <w:t>同意对满足第一个行权</w:t>
      </w:r>
      <w:r>
        <w:rPr>
          <w:rFonts w:ascii="Arial" w:hAnsi="Arial" w:cs="Arial" w:eastAsia="Arial" w:hint="default"/>
        </w:rPr>
        <w:t>/</w:t>
      </w:r>
      <w:r>
        <w:rPr/>
        <w:t>解锁期行权</w:t>
      </w:r>
      <w:r>
        <w:rPr>
          <w:rFonts w:ascii="Arial" w:hAnsi="Arial" w:cs="Arial" w:eastAsia="Arial" w:hint="default"/>
        </w:rPr>
        <w:t>/</w:t>
      </w:r>
      <w:r>
        <w:rPr/>
        <w:t>解锁条件的激励对象按照《股票期权与限制性股票激励计划》的</w:t>
      </w:r>
      <w:r>
        <w:rPr>
          <w:w w:val="100"/>
        </w:rPr>
        <w:t> </w:t>
      </w:r>
      <w:r>
        <w:rPr/>
        <w:t>相关规定办理第一个行权</w:t>
      </w:r>
      <w:r>
        <w:rPr>
          <w:rFonts w:ascii="Arial" w:hAnsi="Arial" w:cs="Arial" w:eastAsia="Arial" w:hint="default"/>
        </w:rPr>
        <w:t>/</w:t>
      </w:r>
      <w:r>
        <w:rPr/>
        <w:t>解锁期行权</w:t>
      </w:r>
      <w:r>
        <w:rPr>
          <w:rFonts w:ascii="Arial" w:hAnsi="Arial" w:cs="Arial" w:eastAsia="Arial" w:hint="default"/>
        </w:rPr>
        <w:t>/</w:t>
      </w:r>
      <w:r>
        <w:rPr/>
        <w:t>解锁的相关事宜；</w:t>
      </w:r>
      <w:r>
        <w:rPr>
          <w:rFonts w:ascii="Arial" w:hAnsi="Arial" w:cs="Arial" w:eastAsia="Arial" w:hint="default"/>
        </w:rPr>
        <w:t>71 </w:t>
      </w:r>
      <w:r>
        <w:rPr/>
        <w:t>名激励对象本次可行权的股票期权数量为</w:t>
      </w:r>
      <w:r>
        <w:rPr>
          <w:spacing w:val="-16"/>
        </w:rPr>
        <w:t> </w:t>
      </w:r>
      <w:r>
        <w:rPr>
          <w:rFonts w:ascii="Arial" w:hAnsi="Arial" w:cs="Arial" w:eastAsia="Arial" w:hint="default"/>
          <w:spacing w:val="-12"/>
        </w:rPr>
        <w:t>111</w:t>
      </w:r>
      <w:r>
        <w:rPr>
          <w:rFonts w:ascii="Arial" w:hAnsi="Arial" w:cs="Arial" w:eastAsia="Arial" w:hint="default"/>
          <w:w w:val="100"/>
        </w:rPr>
        <w:t> </w:t>
      </w:r>
      <w:r>
        <w:rPr/>
        <w:t>万份，</w:t>
      </w:r>
      <w:r>
        <w:rPr>
          <w:rFonts w:ascii="Arial" w:hAnsi="Arial" w:cs="Arial" w:eastAsia="Arial" w:hint="default"/>
        </w:rPr>
        <w:t>64</w:t>
      </w:r>
      <w:r>
        <w:rPr>
          <w:rFonts w:ascii="Arial" w:hAnsi="Arial" w:cs="Arial" w:eastAsia="Arial" w:hint="default"/>
          <w:spacing w:val="-4"/>
        </w:rPr>
        <w:t> </w:t>
      </w:r>
      <w:r>
        <w:rPr/>
        <w:t>名激励对象在第一个解锁期可解锁的限制性股票数量</w:t>
      </w:r>
      <w:r>
        <w:rPr>
          <w:spacing w:val="-48"/>
        </w:rPr>
        <w:t> </w:t>
      </w:r>
      <w:r>
        <w:rPr>
          <w:rFonts w:ascii="Arial" w:hAnsi="Arial" w:cs="Arial" w:eastAsia="Arial" w:hint="default"/>
          <w:spacing w:val="-3"/>
        </w:rPr>
        <w:t>183.96</w:t>
      </w:r>
      <w:r>
        <w:rPr>
          <w:rFonts w:ascii="Arial" w:hAnsi="Arial" w:cs="Arial" w:eastAsia="Arial" w:hint="default"/>
          <w:spacing w:val="-5"/>
        </w:rPr>
        <w:t> </w:t>
      </w:r>
      <w:r>
        <w:rPr/>
        <w:t>万股。</w:t>
      </w:r>
    </w:p>
    <w:p>
      <w:pPr>
        <w:pStyle w:val="BodyText"/>
        <w:spacing w:line="398" w:lineRule="auto" w:before="30"/>
        <w:ind w:right="202" w:firstLine="422"/>
        <w:jc w:val="both"/>
      </w:pPr>
      <w:r>
        <w:rPr>
          <w:rFonts w:ascii="Arial" w:hAnsi="Arial" w:cs="Arial" w:eastAsia="Arial" w:hint="default"/>
          <w:spacing w:val="-9"/>
        </w:rPr>
        <w:t>7</w:t>
      </w:r>
      <w:r>
        <w:rPr>
          <w:spacing w:val="-9"/>
        </w:rPr>
        <w:t>、</w:t>
      </w:r>
      <w:r>
        <w:rPr>
          <w:rFonts w:ascii="Arial" w:hAnsi="Arial" w:cs="Arial" w:eastAsia="Arial" w:hint="default"/>
          <w:spacing w:val="-9"/>
        </w:rPr>
        <w:t>2014</w:t>
      </w:r>
      <w:r>
        <w:rPr>
          <w:rFonts w:ascii="Arial" w:hAnsi="Arial" w:cs="Arial" w:eastAsia="Arial" w:hint="default"/>
          <w:spacing w:val="5"/>
        </w:rPr>
        <w:t> </w:t>
      </w:r>
      <w:r>
        <w:rPr/>
        <w:t>年</w:t>
      </w:r>
      <w:r>
        <w:rPr>
          <w:spacing w:val="-39"/>
        </w:rPr>
        <w:t> </w:t>
      </w:r>
      <w:r>
        <w:rPr>
          <w:rFonts w:ascii="Arial" w:hAnsi="Arial" w:cs="Arial" w:eastAsia="Arial" w:hint="default"/>
        </w:rPr>
        <w:t>12</w:t>
      </w:r>
      <w:r>
        <w:rPr>
          <w:rFonts w:ascii="Arial" w:hAnsi="Arial" w:cs="Arial" w:eastAsia="Arial" w:hint="default"/>
          <w:spacing w:val="6"/>
        </w:rPr>
        <w:t> </w:t>
      </w:r>
      <w:r>
        <w:rPr/>
        <w:t>月</w:t>
      </w:r>
      <w:r>
        <w:rPr>
          <w:spacing w:val="-39"/>
        </w:rPr>
        <w:t> </w:t>
      </w:r>
      <w:r>
        <w:rPr>
          <w:rFonts w:ascii="Arial" w:hAnsi="Arial" w:cs="Arial" w:eastAsia="Arial" w:hint="default"/>
        </w:rPr>
        <w:t>15</w:t>
      </w:r>
      <w:r>
        <w:rPr>
          <w:rFonts w:ascii="Arial" w:hAnsi="Arial" w:cs="Arial" w:eastAsia="Arial" w:hint="default"/>
          <w:spacing w:val="6"/>
        </w:rPr>
        <w:t> </w:t>
      </w:r>
      <w:r>
        <w:rPr>
          <w:spacing w:val="-3"/>
        </w:rPr>
        <w:t>日经中国证券登记结算有限责任公司深圳分公司审核确认，公司第三届董事会第</w:t>
      </w:r>
      <w:r>
        <w:rPr>
          <w:w w:val="100"/>
        </w:rPr>
        <w:t> </w:t>
      </w:r>
      <w:r>
        <w:rPr>
          <w:spacing w:val="-2"/>
        </w:rPr>
        <w:t>三次会议审议通过的《关于注销部分已不符合激励条件的激励对象已获授但尚未行权的股票期权的议案》</w:t>
      </w:r>
      <w:r>
        <w:rPr>
          <w:spacing w:val="-15"/>
        </w:rPr>
        <w:t> </w:t>
      </w:r>
      <w:r>
        <w:rPr>
          <w:spacing w:val="-15"/>
        </w:rPr>
      </w:r>
      <w:r>
        <w:rPr/>
        <w:t>中所涉及的 </w:t>
      </w:r>
      <w:r>
        <w:rPr>
          <w:rFonts w:ascii="Arial" w:hAnsi="Arial" w:cs="Arial" w:eastAsia="Arial" w:hint="default"/>
          <w:spacing w:val="-3"/>
        </w:rPr>
        <w:t>70,000</w:t>
      </w:r>
      <w:r>
        <w:rPr>
          <w:rFonts w:ascii="Arial" w:hAnsi="Arial" w:cs="Arial" w:eastAsia="Arial" w:hint="default"/>
          <w:spacing w:val="9"/>
        </w:rPr>
        <w:t> </w:t>
      </w:r>
      <w:r>
        <w:rPr/>
        <w:t>份股票期权注销办理完毕。</w:t>
      </w:r>
    </w:p>
    <w:p>
      <w:pPr>
        <w:pStyle w:val="BodyText"/>
        <w:spacing w:line="400" w:lineRule="auto" w:before="25"/>
        <w:ind w:right="221" w:firstLine="422"/>
        <w:jc w:val="both"/>
      </w:pPr>
      <w:r>
        <w:rPr>
          <w:rFonts w:ascii="Arial" w:hAnsi="Arial" w:cs="Arial" w:eastAsia="Arial" w:hint="default"/>
          <w:spacing w:val="-9"/>
        </w:rPr>
        <w:t>8</w:t>
      </w:r>
      <w:r>
        <w:rPr>
          <w:spacing w:val="-9"/>
        </w:rPr>
        <w:t>、</w:t>
      </w:r>
      <w:r>
        <w:rPr>
          <w:rFonts w:ascii="Arial" w:hAnsi="Arial" w:cs="Arial" w:eastAsia="Arial" w:hint="default"/>
          <w:spacing w:val="-9"/>
        </w:rPr>
        <w:t>2014</w:t>
      </w:r>
      <w:r>
        <w:rPr>
          <w:rFonts w:ascii="Arial" w:hAnsi="Arial" w:cs="Arial" w:eastAsia="Arial" w:hint="default"/>
          <w:spacing w:val="6"/>
        </w:rPr>
        <w:t> </w:t>
      </w:r>
      <w:r>
        <w:rPr/>
        <w:t>年</w:t>
      </w:r>
      <w:r>
        <w:rPr>
          <w:spacing w:val="-38"/>
        </w:rPr>
        <w:t> </w:t>
      </w:r>
      <w:r>
        <w:rPr>
          <w:rFonts w:ascii="Arial" w:hAnsi="Arial" w:cs="Arial" w:eastAsia="Arial" w:hint="default"/>
        </w:rPr>
        <w:t>12</w:t>
      </w:r>
      <w:r>
        <w:rPr>
          <w:rFonts w:ascii="Arial" w:hAnsi="Arial" w:cs="Arial" w:eastAsia="Arial" w:hint="default"/>
          <w:spacing w:val="7"/>
        </w:rPr>
        <w:t> </w:t>
      </w:r>
      <w:r>
        <w:rPr/>
        <w:t>月</w:t>
      </w:r>
      <w:r>
        <w:rPr>
          <w:spacing w:val="-38"/>
        </w:rPr>
        <w:t> </w:t>
      </w:r>
      <w:r>
        <w:rPr>
          <w:rFonts w:ascii="Arial" w:hAnsi="Arial" w:cs="Arial" w:eastAsia="Arial" w:hint="default"/>
        </w:rPr>
        <w:t>18</w:t>
      </w:r>
      <w:r>
        <w:rPr>
          <w:rFonts w:ascii="Arial" w:hAnsi="Arial" w:cs="Arial" w:eastAsia="Arial" w:hint="default"/>
          <w:spacing w:val="7"/>
        </w:rPr>
        <w:t> </w:t>
      </w:r>
      <w:r>
        <w:rPr>
          <w:spacing w:val="-3"/>
        </w:rPr>
        <w:t>日经中国证券登记结算有限责任公司深圳分公司审核确认，公司第三届董事会第</w:t>
      </w:r>
      <w:r>
        <w:rPr>
          <w:w w:val="100"/>
        </w:rPr>
        <w:t> </w:t>
      </w:r>
      <w:r>
        <w:rPr>
          <w:spacing w:val="-2"/>
        </w:rPr>
        <w:t>三次会议审议通过的《关于股权激励计划涉及的首次授予股票期权数量与行权价格及预留股票期权与限制</w:t>
      </w:r>
      <w:r>
        <w:rPr>
          <w:spacing w:val="-34"/>
        </w:rPr>
        <w:t> </w:t>
      </w:r>
      <w:r>
        <w:rPr>
          <w:spacing w:val="-34"/>
        </w:rPr>
      </w:r>
      <w:r>
        <w:rPr>
          <w:spacing w:val="-2"/>
        </w:rPr>
        <w:t>性股票数量进行调整的议案》中所涉及的首次授予股票期权数量和行权价格以及预留股票期权数量和限制</w:t>
      </w:r>
      <w:r>
        <w:rPr>
          <w:spacing w:val="-34"/>
        </w:rPr>
        <w:t> </w:t>
      </w:r>
      <w:r>
        <w:rPr>
          <w:spacing w:val="-34"/>
        </w:rPr>
      </w:r>
      <w:r>
        <w:rPr/>
        <w:t>性股票数量进行调整，调整后首次授予的股票期权数量调整为 </w:t>
      </w:r>
      <w:r>
        <w:rPr>
          <w:rFonts w:ascii="Arial" w:hAnsi="Arial" w:cs="Arial" w:eastAsia="Arial" w:hint="default"/>
        </w:rPr>
        <w:t>370 </w:t>
      </w:r>
      <w:r>
        <w:rPr/>
        <w:t>万份，行权价格调整为 </w:t>
      </w:r>
      <w:r>
        <w:rPr>
          <w:rFonts w:ascii="Arial" w:hAnsi="Arial" w:cs="Arial" w:eastAsia="Arial" w:hint="default"/>
          <w:spacing w:val="-3"/>
        </w:rPr>
        <w:t>5.915</w:t>
      </w:r>
      <w:r>
        <w:rPr>
          <w:rFonts w:ascii="Arial" w:hAnsi="Arial" w:cs="Arial" w:eastAsia="Arial" w:hint="default"/>
          <w:spacing w:val="-20"/>
        </w:rPr>
        <w:t> </w:t>
      </w:r>
      <w:r>
        <w:rPr/>
        <w:t>元</w:t>
      </w:r>
      <w:r>
        <w:rPr>
          <w:rFonts w:ascii="Arial" w:hAnsi="Arial" w:cs="Arial" w:eastAsia="Arial" w:hint="default"/>
        </w:rPr>
        <w:t>/</w:t>
      </w:r>
      <w:r>
        <w:rPr/>
        <w:t>股。</w:t>
      </w:r>
    </w:p>
    <w:p>
      <w:pPr>
        <w:pStyle w:val="BodyText"/>
        <w:spacing w:line="240" w:lineRule="auto" w:before="23"/>
        <w:ind w:right="111"/>
        <w:jc w:val="left"/>
      </w:pPr>
      <w:r>
        <w:rPr/>
        <w:t>预留部分的股票期权份额调整为</w:t>
      </w:r>
      <w:r>
        <w:rPr>
          <w:spacing w:val="-53"/>
        </w:rPr>
        <w:t> </w:t>
      </w:r>
      <w:r>
        <w:rPr>
          <w:rFonts w:ascii="Arial" w:hAnsi="Arial" w:cs="Arial" w:eastAsia="Arial" w:hint="default"/>
        </w:rPr>
        <w:t>46</w:t>
      </w:r>
      <w:r>
        <w:rPr>
          <w:rFonts w:ascii="Arial" w:hAnsi="Arial" w:cs="Arial" w:eastAsia="Arial" w:hint="default"/>
          <w:spacing w:val="-8"/>
        </w:rPr>
        <w:t> </w:t>
      </w:r>
      <w:r>
        <w:rPr/>
        <w:t>万份，预留部分的限制性股票份额调整为</w:t>
      </w:r>
      <w:r>
        <w:rPr>
          <w:spacing w:val="-53"/>
        </w:rPr>
        <w:t> </w:t>
      </w:r>
      <w:r>
        <w:rPr>
          <w:rFonts w:ascii="Arial" w:hAnsi="Arial" w:cs="Arial" w:eastAsia="Arial" w:hint="default"/>
        </w:rPr>
        <w:t>92</w:t>
      </w:r>
      <w:r>
        <w:rPr>
          <w:rFonts w:ascii="Arial" w:hAnsi="Arial" w:cs="Arial" w:eastAsia="Arial" w:hint="default"/>
          <w:spacing w:val="-8"/>
        </w:rPr>
        <w:t> </w:t>
      </w:r>
      <w:r>
        <w:rPr/>
        <w:t>万股。</w:t>
      </w:r>
    </w:p>
    <w:p>
      <w:pPr>
        <w:pStyle w:val="BodyText"/>
        <w:spacing w:line="398" w:lineRule="auto" w:before="176"/>
        <w:ind w:right="222" w:firstLine="422"/>
        <w:jc w:val="both"/>
      </w:pPr>
      <w:r>
        <w:rPr>
          <w:rFonts w:ascii="Arial" w:hAnsi="Arial" w:cs="Arial" w:eastAsia="Arial" w:hint="default"/>
          <w:spacing w:val="-6"/>
        </w:rPr>
        <w:t>9</w:t>
      </w:r>
      <w:r>
        <w:rPr>
          <w:spacing w:val="-6"/>
        </w:rPr>
        <w:t>、</w:t>
      </w:r>
      <w:r>
        <w:rPr>
          <w:rFonts w:ascii="Arial" w:hAnsi="Arial" w:cs="Arial" w:eastAsia="Arial" w:hint="default"/>
          <w:spacing w:val="-6"/>
        </w:rPr>
        <w:t>2014</w:t>
      </w:r>
      <w:r>
        <w:rPr>
          <w:rFonts w:ascii="Arial" w:hAnsi="Arial" w:cs="Arial" w:eastAsia="Arial" w:hint="default"/>
          <w:spacing w:val="3"/>
        </w:rPr>
        <w:t> </w:t>
      </w:r>
      <w:r>
        <w:rPr/>
        <w:t>年</w:t>
      </w:r>
      <w:r>
        <w:rPr>
          <w:spacing w:val="-41"/>
        </w:rPr>
        <w:t> </w:t>
      </w:r>
      <w:r>
        <w:rPr>
          <w:rFonts w:ascii="Arial" w:hAnsi="Arial" w:cs="Arial" w:eastAsia="Arial" w:hint="default"/>
        </w:rPr>
        <w:t>12</w:t>
      </w:r>
      <w:r>
        <w:rPr>
          <w:rFonts w:ascii="Arial" w:hAnsi="Arial" w:cs="Arial" w:eastAsia="Arial" w:hint="default"/>
          <w:spacing w:val="4"/>
        </w:rPr>
        <w:t> </w:t>
      </w:r>
      <w:r>
        <w:rPr/>
        <w:t>月</w:t>
      </w:r>
      <w:r>
        <w:rPr>
          <w:spacing w:val="-41"/>
        </w:rPr>
        <w:t> </w:t>
      </w:r>
      <w:r>
        <w:rPr>
          <w:rFonts w:ascii="Arial" w:hAnsi="Arial" w:cs="Arial" w:eastAsia="Arial" w:hint="default"/>
        </w:rPr>
        <w:t>23</w:t>
      </w:r>
      <w:r>
        <w:rPr>
          <w:rFonts w:ascii="Arial" w:hAnsi="Arial" w:cs="Arial" w:eastAsia="Arial" w:hint="default"/>
          <w:spacing w:val="4"/>
        </w:rPr>
        <w:t> </w:t>
      </w:r>
      <w:r>
        <w:rPr>
          <w:spacing w:val="-3"/>
        </w:rPr>
        <w:t>日经深圳证券交易所、中国证券登记结算有限责任公司深圳分公司审核确认，公</w:t>
      </w:r>
      <w:r>
        <w:rPr>
          <w:w w:val="100"/>
        </w:rPr>
        <w:t> </w:t>
      </w:r>
      <w:r>
        <w:rPr>
          <w:spacing w:val="-2"/>
          <w:w w:val="100"/>
        </w:rPr>
        <w:t>司已完成《公司股票期权与限制性股票激励计划（修订案）》所涉预留限制性股票的授予与股票期权的授</w:t>
      </w:r>
      <w:r>
        <w:rPr>
          <w:spacing w:val="-98"/>
          <w:w w:val="100"/>
        </w:rPr>
        <w:t> </w:t>
      </w:r>
      <w:r>
        <w:rPr>
          <w:spacing w:val="-98"/>
          <w:w w:val="100"/>
        </w:rPr>
      </w:r>
      <w:r>
        <w:rPr>
          <w:spacing w:val="-7"/>
          <w:w w:val="100"/>
        </w:rPr>
        <w:t>予登记工作，本次激励计划的授予日为</w:t>
      </w:r>
      <w:r>
        <w:rPr>
          <w:spacing w:val="-52"/>
          <w:w w:val="100"/>
        </w:rPr>
        <w:t> </w:t>
      </w:r>
      <w:r>
        <w:rPr>
          <w:rFonts w:ascii="Arial" w:hAnsi="Arial" w:cs="Arial" w:eastAsia="Arial" w:hint="default"/>
          <w:spacing w:val="-3"/>
          <w:w w:val="100"/>
        </w:rPr>
        <w:t>2014</w:t>
      </w:r>
      <w:r>
        <w:rPr>
          <w:rFonts w:ascii="Arial" w:hAnsi="Arial" w:cs="Arial" w:eastAsia="Arial" w:hint="default"/>
          <w:spacing w:val="-8"/>
          <w:w w:val="100"/>
        </w:rPr>
        <w:t> </w:t>
      </w:r>
      <w:r>
        <w:rPr>
          <w:w w:val="100"/>
        </w:rPr>
        <w:t>年</w:t>
      </w:r>
      <w:r>
        <w:rPr>
          <w:spacing w:val="-52"/>
          <w:w w:val="100"/>
        </w:rPr>
        <w:t> </w:t>
      </w:r>
      <w:r>
        <w:rPr>
          <w:rFonts w:ascii="Arial" w:hAnsi="Arial" w:cs="Arial" w:eastAsia="Arial" w:hint="default"/>
          <w:spacing w:val="-2"/>
          <w:w w:val="100"/>
        </w:rPr>
        <w:t>12</w:t>
      </w:r>
      <w:r>
        <w:rPr>
          <w:rFonts w:ascii="Arial" w:hAnsi="Arial" w:cs="Arial" w:eastAsia="Arial" w:hint="default"/>
          <w:spacing w:val="-7"/>
          <w:w w:val="100"/>
        </w:rPr>
        <w:t> </w:t>
      </w:r>
      <w:r>
        <w:rPr>
          <w:w w:val="100"/>
        </w:rPr>
        <w:t>月</w:t>
      </w:r>
      <w:r>
        <w:rPr>
          <w:spacing w:val="-47"/>
          <w:w w:val="100"/>
        </w:rPr>
        <w:t> </w:t>
      </w:r>
      <w:r>
        <w:rPr>
          <w:rFonts w:ascii="Arial" w:hAnsi="Arial" w:cs="Arial" w:eastAsia="Arial" w:hint="default"/>
          <w:w w:val="100"/>
        </w:rPr>
        <w:t>8</w:t>
      </w:r>
      <w:r>
        <w:rPr>
          <w:rFonts w:ascii="Arial" w:hAnsi="Arial" w:cs="Arial" w:eastAsia="Arial" w:hint="default"/>
          <w:spacing w:val="-7"/>
          <w:w w:val="100"/>
        </w:rPr>
        <w:t> </w:t>
      </w:r>
      <w:r>
        <w:rPr>
          <w:spacing w:val="-7"/>
          <w:w w:val="100"/>
        </w:rPr>
        <w:t>日，授予限制性股票的上市日期为</w:t>
      </w:r>
      <w:r>
        <w:rPr>
          <w:spacing w:val="2"/>
          <w:w w:val="100"/>
        </w:rPr>
        <w:t> </w:t>
      </w:r>
      <w:r>
        <w:rPr>
          <w:rFonts w:ascii="Arial" w:hAnsi="Arial" w:cs="Arial" w:eastAsia="Arial" w:hint="default"/>
          <w:spacing w:val="-3"/>
          <w:w w:val="100"/>
        </w:rPr>
        <w:t>2014</w:t>
      </w:r>
      <w:r>
        <w:rPr>
          <w:rFonts w:ascii="Arial" w:hAnsi="Arial" w:cs="Arial" w:eastAsia="Arial" w:hint="default"/>
          <w:spacing w:val="47"/>
          <w:w w:val="100"/>
        </w:rPr>
        <w:t> </w:t>
      </w:r>
      <w:r>
        <w:rPr>
          <w:w w:val="100"/>
        </w:rPr>
        <w:t>年</w:t>
      </w:r>
      <w:r>
        <w:rPr>
          <w:spacing w:val="2"/>
          <w:w w:val="100"/>
        </w:rPr>
        <w:t> </w:t>
      </w:r>
      <w:r>
        <w:rPr>
          <w:rFonts w:ascii="Arial" w:hAnsi="Arial" w:cs="Arial" w:eastAsia="Arial" w:hint="default"/>
          <w:spacing w:val="-2"/>
          <w:w w:val="100"/>
        </w:rPr>
        <w:t>12</w:t>
      </w:r>
      <w:r>
        <w:rPr>
          <w:rFonts w:ascii="Arial" w:hAnsi="Arial" w:cs="Arial" w:eastAsia="Arial" w:hint="default"/>
          <w:spacing w:val="47"/>
          <w:w w:val="100"/>
        </w:rPr>
        <w:t> </w:t>
      </w:r>
      <w:r>
        <w:rPr>
          <w:w w:val="100"/>
        </w:rPr>
        <w:t>月</w:t>
      </w:r>
    </w:p>
    <w:p>
      <w:pPr>
        <w:pStyle w:val="BodyText"/>
        <w:spacing w:line="240" w:lineRule="auto" w:before="25"/>
        <w:ind w:right="111"/>
        <w:jc w:val="left"/>
      </w:pPr>
      <w:r>
        <w:rPr>
          <w:rFonts w:ascii="Arial" w:hAnsi="Arial" w:cs="Arial" w:eastAsia="Arial" w:hint="default"/>
        </w:rPr>
        <w:t>30</w:t>
      </w:r>
      <w:r>
        <w:rPr>
          <w:rFonts w:ascii="Arial" w:hAnsi="Arial" w:cs="Arial" w:eastAsia="Arial" w:hint="default"/>
          <w:spacing w:val="44"/>
        </w:rPr>
        <w:t> </w:t>
      </w:r>
      <w:r>
        <w:rPr/>
        <w:t>日。</w:t>
      </w:r>
    </w:p>
    <w:p>
      <w:pPr>
        <w:pStyle w:val="BodyText"/>
        <w:spacing w:line="240" w:lineRule="auto" w:before="176"/>
        <w:ind w:left="575" w:right="111"/>
        <w:jc w:val="left"/>
      </w:pPr>
      <w:r>
        <w:rPr>
          <w:rFonts w:ascii="Arial" w:hAnsi="Arial" w:cs="Arial" w:eastAsia="Arial" w:hint="default"/>
        </w:rPr>
        <w:t>10</w:t>
      </w:r>
      <w:r>
        <w:rPr/>
        <w:t>、经深圳证券交易所、中国证券登记结算有限责任公司深圳分公司审核确认，公司于</w:t>
      </w:r>
      <w:r>
        <w:rPr>
          <w:spacing w:val="-52"/>
        </w:rPr>
        <w:t> </w:t>
      </w:r>
      <w:r>
        <w:rPr>
          <w:rFonts w:ascii="Arial" w:hAnsi="Arial" w:cs="Arial" w:eastAsia="Arial" w:hint="default"/>
          <w:spacing w:val="-3"/>
        </w:rPr>
        <w:t>2015</w:t>
      </w:r>
      <w:r>
        <w:rPr>
          <w:rFonts w:ascii="Arial" w:hAnsi="Arial" w:cs="Arial" w:eastAsia="Arial" w:hint="default"/>
          <w:spacing w:val="-8"/>
        </w:rPr>
        <w:t> </w:t>
      </w:r>
      <w:r>
        <w:rPr/>
        <w:t>年</w:t>
      </w:r>
      <w:r>
        <w:rPr>
          <w:spacing w:val="-52"/>
        </w:rPr>
        <w:t> </w:t>
      </w:r>
      <w:r>
        <w:rPr>
          <w:rFonts w:ascii="Arial" w:hAnsi="Arial" w:cs="Arial" w:eastAsia="Arial" w:hint="default"/>
        </w:rPr>
        <w:t>1</w:t>
      </w:r>
      <w:r>
        <w:rPr>
          <w:rFonts w:ascii="Arial" w:hAnsi="Arial" w:cs="Arial" w:eastAsia="Arial" w:hint="default"/>
          <w:spacing w:val="-7"/>
        </w:rPr>
        <w:t> </w:t>
      </w:r>
      <w:r>
        <w:rPr/>
        <w:t>月</w:t>
      </w:r>
    </w:p>
    <w:p>
      <w:pPr>
        <w:pStyle w:val="BodyText"/>
        <w:spacing w:line="386" w:lineRule="auto" w:before="180"/>
        <w:ind w:right="111"/>
        <w:jc w:val="left"/>
      </w:pPr>
      <w:r>
        <w:rPr>
          <w:rFonts w:ascii="Arial" w:hAnsi="Arial" w:cs="Arial" w:eastAsia="Arial" w:hint="default"/>
          <w:spacing w:val="-2"/>
          <w:w w:val="100"/>
        </w:rPr>
        <w:t>12</w:t>
      </w:r>
      <w:r>
        <w:rPr>
          <w:rFonts w:ascii="Arial" w:hAnsi="Arial" w:cs="Arial" w:eastAsia="Arial" w:hint="default"/>
          <w:spacing w:val="-7"/>
          <w:w w:val="100"/>
        </w:rPr>
        <w:t> </w:t>
      </w:r>
      <w:r>
        <w:rPr>
          <w:spacing w:val="-6"/>
          <w:w w:val="100"/>
        </w:rPr>
        <w:t>日发布第一期限制性股票上市流通提示性公告（公告编号：</w:t>
      </w:r>
      <w:r>
        <w:rPr>
          <w:rFonts w:ascii="Arial" w:hAnsi="Arial" w:cs="Arial" w:eastAsia="Arial" w:hint="default"/>
          <w:spacing w:val="-6"/>
          <w:w w:val="100"/>
        </w:rPr>
        <w:t>2015-002</w:t>
      </w:r>
      <w:r>
        <w:rPr>
          <w:spacing w:val="-6"/>
          <w:w w:val="100"/>
        </w:rPr>
        <w:t>），</w:t>
      </w:r>
      <w:r>
        <w:rPr>
          <w:rFonts w:ascii="Arial" w:hAnsi="Arial" w:cs="Arial" w:eastAsia="Arial" w:hint="default"/>
          <w:spacing w:val="-6"/>
          <w:w w:val="100"/>
        </w:rPr>
        <w:t>2015</w:t>
      </w:r>
      <w:r>
        <w:rPr>
          <w:rFonts w:ascii="Arial" w:hAnsi="Arial" w:cs="Arial" w:eastAsia="Arial" w:hint="default"/>
          <w:spacing w:val="-7"/>
          <w:w w:val="100"/>
        </w:rPr>
        <w:t> </w:t>
      </w:r>
      <w:r>
        <w:rPr>
          <w:w w:val="100"/>
        </w:rPr>
        <w:t>年</w:t>
      </w:r>
      <w:r>
        <w:rPr>
          <w:spacing w:val="-52"/>
          <w:w w:val="100"/>
        </w:rPr>
        <w:t> </w:t>
      </w:r>
      <w:r>
        <w:rPr>
          <w:rFonts w:ascii="Arial" w:hAnsi="Arial" w:cs="Arial" w:eastAsia="Arial" w:hint="default"/>
          <w:w w:val="100"/>
        </w:rPr>
        <w:t>1</w:t>
      </w:r>
      <w:r>
        <w:rPr>
          <w:rFonts w:ascii="Arial" w:hAnsi="Arial" w:cs="Arial" w:eastAsia="Arial" w:hint="default"/>
          <w:spacing w:val="-7"/>
          <w:w w:val="100"/>
        </w:rPr>
        <w:t> </w:t>
      </w:r>
      <w:r>
        <w:rPr>
          <w:w w:val="100"/>
        </w:rPr>
        <w:t>月</w:t>
      </w:r>
      <w:r>
        <w:rPr>
          <w:spacing w:val="-52"/>
          <w:w w:val="100"/>
        </w:rPr>
        <w:t> </w:t>
      </w:r>
      <w:r>
        <w:rPr>
          <w:rFonts w:ascii="Arial" w:hAnsi="Arial" w:cs="Arial" w:eastAsia="Arial" w:hint="default"/>
          <w:spacing w:val="-2"/>
          <w:w w:val="100"/>
        </w:rPr>
        <w:t>15</w:t>
      </w:r>
      <w:r>
        <w:rPr>
          <w:rFonts w:ascii="Arial" w:hAnsi="Arial" w:cs="Arial" w:eastAsia="Arial" w:hint="default"/>
          <w:spacing w:val="-7"/>
          <w:w w:val="100"/>
        </w:rPr>
        <w:t> </w:t>
      </w:r>
      <w:r>
        <w:rPr>
          <w:w w:val="100"/>
        </w:rPr>
        <w:t>日公司首期股 </w:t>
      </w:r>
      <w:r>
        <w:rPr/>
        <w:t>票期权与限制性股票激励计划第一期限制性股票上市流通。</w:t>
      </w:r>
    </w:p>
    <w:p>
      <w:pPr>
        <w:pStyle w:val="BodyText"/>
        <w:spacing w:line="240" w:lineRule="auto" w:before="67"/>
        <w:ind w:left="575" w:right="111"/>
        <w:jc w:val="left"/>
      </w:pPr>
      <w:r>
        <w:rPr>
          <w:rFonts w:ascii="Arial" w:hAnsi="Arial" w:cs="Arial" w:eastAsia="Arial" w:hint="default"/>
        </w:rPr>
        <w:t>12</w:t>
      </w:r>
      <w:r>
        <w:rPr/>
        <w:t>、经深圳证券交易所、中国证券登记结算有限责任公司深圳分公司审核确认，公司于</w:t>
      </w:r>
      <w:r>
        <w:rPr>
          <w:spacing w:val="-52"/>
        </w:rPr>
        <w:t> </w:t>
      </w:r>
      <w:r>
        <w:rPr>
          <w:rFonts w:ascii="Arial" w:hAnsi="Arial" w:cs="Arial" w:eastAsia="Arial" w:hint="default"/>
          <w:spacing w:val="-3"/>
        </w:rPr>
        <w:t>2015</w:t>
      </w:r>
      <w:r>
        <w:rPr>
          <w:rFonts w:ascii="Arial" w:hAnsi="Arial" w:cs="Arial" w:eastAsia="Arial" w:hint="default"/>
          <w:spacing w:val="-8"/>
        </w:rPr>
        <w:t> </w:t>
      </w:r>
      <w:r>
        <w:rPr/>
        <w:t>年</w:t>
      </w:r>
      <w:r>
        <w:rPr>
          <w:spacing w:val="-52"/>
        </w:rPr>
        <w:t> </w:t>
      </w:r>
      <w:r>
        <w:rPr>
          <w:rFonts w:ascii="Arial" w:hAnsi="Arial" w:cs="Arial" w:eastAsia="Arial" w:hint="default"/>
        </w:rPr>
        <w:t>1</w:t>
      </w:r>
      <w:r>
        <w:rPr>
          <w:rFonts w:ascii="Arial" w:hAnsi="Arial" w:cs="Arial" w:eastAsia="Arial" w:hint="default"/>
          <w:spacing w:val="-7"/>
        </w:rPr>
        <w:t> </w:t>
      </w:r>
      <w:r>
        <w:rPr/>
        <w:t>月</w:t>
      </w:r>
    </w:p>
    <w:p>
      <w:pPr>
        <w:pStyle w:val="BodyText"/>
        <w:spacing w:line="240" w:lineRule="auto" w:before="176"/>
        <w:ind w:right="111"/>
        <w:jc w:val="left"/>
        <w:rPr>
          <w:rFonts w:ascii="Arial" w:hAnsi="Arial" w:cs="Arial" w:eastAsia="Arial" w:hint="default"/>
        </w:rPr>
      </w:pPr>
      <w:r>
        <w:rPr>
          <w:rFonts w:ascii="Arial" w:hAnsi="Arial" w:cs="Arial" w:eastAsia="Arial" w:hint="default"/>
          <w:spacing w:val="-3"/>
          <w:w w:val="100"/>
        </w:rPr>
        <w:t>2</w:t>
      </w:r>
      <w:r>
        <w:rPr>
          <w:rFonts w:ascii="Arial" w:hAnsi="Arial" w:cs="Arial" w:eastAsia="Arial" w:hint="default"/>
          <w:w w:val="100"/>
        </w:rPr>
        <w:t>0</w:t>
      </w:r>
      <w:r>
        <w:rPr>
          <w:rFonts w:ascii="Arial" w:hAnsi="Arial" w:cs="Arial" w:eastAsia="Arial" w:hint="default"/>
          <w:spacing w:val="-8"/>
        </w:rPr>
        <w:t> </w:t>
      </w:r>
      <w:r>
        <w:rPr>
          <w:w w:val="100"/>
        </w:rPr>
        <w:t>日发布《公司股权</w:t>
      </w:r>
      <w:r>
        <w:rPr>
          <w:spacing w:val="-5"/>
          <w:w w:val="100"/>
        </w:rPr>
        <w:t>激</w:t>
      </w:r>
      <w:r>
        <w:rPr>
          <w:w w:val="100"/>
        </w:rPr>
        <w:t>励计划</w:t>
      </w:r>
      <w:r>
        <w:rPr>
          <w:spacing w:val="-5"/>
          <w:w w:val="100"/>
        </w:rPr>
        <w:t>股</w:t>
      </w:r>
      <w:r>
        <w:rPr>
          <w:w w:val="100"/>
        </w:rPr>
        <w:t>票期权</w:t>
      </w:r>
      <w:r>
        <w:rPr>
          <w:spacing w:val="-5"/>
          <w:w w:val="100"/>
        </w:rPr>
        <w:t>第</w:t>
      </w:r>
      <w:r>
        <w:rPr>
          <w:w w:val="100"/>
        </w:rPr>
        <w:t>一个行</w:t>
      </w:r>
      <w:r>
        <w:rPr>
          <w:spacing w:val="-5"/>
          <w:w w:val="100"/>
        </w:rPr>
        <w:t>权期</w:t>
      </w:r>
      <w:r>
        <w:rPr>
          <w:w w:val="100"/>
        </w:rPr>
        <w:t>行权情况</w:t>
      </w:r>
      <w:r>
        <w:rPr>
          <w:spacing w:val="-5"/>
          <w:w w:val="100"/>
        </w:rPr>
        <w:t>公</w:t>
      </w:r>
      <w:r>
        <w:rPr>
          <w:w w:val="100"/>
        </w:rPr>
        <w:t>告</w:t>
      </w:r>
      <w:r>
        <w:rPr>
          <w:spacing w:val="-106"/>
          <w:w w:val="100"/>
        </w:rPr>
        <w:t>》</w:t>
      </w:r>
      <w:r>
        <w:rPr>
          <w:spacing w:val="-1"/>
          <w:w w:val="100"/>
        </w:rPr>
        <w:t>（</w:t>
      </w:r>
      <w:r>
        <w:rPr>
          <w:w w:val="100"/>
        </w:rPr>
        <w:t>公</w:t>
      </w:r>
      <w:r>
        <w:rPr>
          <w:spacing w:val="-5"/>
          <w:w w:val="100"/>
        </w:rPr>
        <w:t>告</w:t>
      </w:r>
      <w:r>
        <w:rPr>
          <w:w w:val="100"/>
        </w:rPr>
        <w:t>编号：</w:t>
      </w:r>
      <w:r>
        <w:rPr>
          <w:rFonts w:ascii="Arial" w:hAnsi="Arial" w:cs="Arial" w:eastAsia="Arial" w:hint="default"/>
          <w:spacing w:val="-3"/>
          <w:w w:val="100"/>
        </w:rPr>
        <w:t>2015</w:t>
      </w:r>
      <w:r>
        <w:rPr>
          <w:rFonts w:ascii="Arial" w:hAnsi="Arial" w:cs="Arial" w:eastAsia="Arial" w:hint="default"/>
          <w:spacing w:val="1"/>
          <w:w w:val="100"/>
        </w:rPr>
        <w:t>-</w:t>
      </w:r>
      <w:r>
        <w:rPr>
          <w:rFonts w:ascii="Arial" w:hAnsi="Arial" w:cs="Arial" w:eastAsia="Arial" w:hint="default"/>
          <w:spacing w:val="-3"/>
          <w:w w:val="100"/>
        </w:rPr>
        <w:t>005</w:t>
      </w:r>
      <w:r>
        <w:rPr>
          <w:spacing w:val="-106"/>
          <w:w w:val="100"/>
        </w:rPr>
        <w:t>）</w:t>
      </w:r>
      <w:r>
        <w:rPr>
          <w:spacing w:val="-1"/>
          <w:w w:val="100"/>
        </w:rPr>
        <w:t>，</w:t>
      </w:r>
      <w:r>
        <w:rPr>
          <w:rFonts w:ascii="Arial" w:hAnsi="Arial" w:cs="Arial" w:eastAsia="Arial" w:hint="default"/>
          <w:spacing w:val="-3"/>
          <w:w w:val="100"/>
        </w:rPr>
        <w:t>20</w:t>
      </w:r>
      <w:r>
        <w:rPr>
          <w:rFonts w:ascii="Arial" w:hAnsi="Arial" w:cs="Arial" w:eastAsia="Arial" w:hint="default"/>
          <w:spacing w:val="2"/>
          <w:w w:val="100"/>
        </w:rPr>
        <w:t>1</w:t>
      </w:r>
      <w:r>
        <w:rPr>
          <w:rFonts w:ascii="Arial" w:hAnsi="Arial" w:cs="Arial" w:eastAsia="Arial" w:hint="default"/>
          <w:w w:val="100"/>
        </w:rPr>
        <w:t>5</w:t>
      </w:r>
      <w:r>
        <w:rPr>
          <w:rFonts w:ascii="Arial" w:hAnsi="Arial" w:cs="Arial" w:eastAsia="Arial" w:hint="default"/>
          <w:spacing w:val="-8"/>
        </w:rPr>
        <w:t> </w:t>
      </w:r>
      <w:r>
        <w:rPr>
          <w:w w:val="100"/>
        </w:rPr>
        <w:t>年</w:t>
      </w:r>
      <w:r>
        <w:rPr>
          <w:spacing w:val="-53"/>
        </w:rPr>
        <w:t> </w:t>
      </w:r>
      <w:r>
        <w:rPr>
          <w:rFonts w:ascii="Arial" w:hAnsi="Arial" w:cs="Arial" w:eastAsia="Arial" w:hint="default"/>
          <w:w w:val="100"/>
        </w:rPr>
        <w:t>1</w:t>
      </w:r>
    </w:p>
    <w:p>
      <w:pPr>
        <w:spacing w:after="0" w:line="240" w:lineRule="auto"/>
        <w:jc w:val="left"/>
        <w:rPr>
          <w:rFonts w:ascii="Arial" w:hAnsi="Arial" w:cs="Arial" w:eastAsia="Arial" w:hint="default"/>
        </w:rPr>
        <w:sectPr>
          <w:footerReference w:type="default" r:id="rId16"/>
          <w:pgSz w:w="11900" w:h="16840"/>
          <w:pgMar w:footer="984" w:header="742" w:top="1060" w:bottom="1180" w:left="980" w:right="900"/>
          <w:pgNumType w:start="37"/>
        </w:sectPr>
      </w:pPr>
    </w:p>
    <w:p>
      <w:pPr>
        <w:spacing w:line="240" w:lineRule="auto" w:before="0"/>
        <w:rPr>
          <w:rFonts w:ascii="Arial" w:hAnsi="Arial" w:cs="Arial" w:eastAsia="Arial" w:hint="default"/>
          <w:sz w:val="20"/>
          <w:szCs w:val="20"/>
        </w:rPr>
      </w:pPr>
    </w:p>
    <w:p>
      <w:pPr>
        <w:spacing w:line="240" w:lineRule="auto" w:before="7"/>
        <w:rPr>
          <w:rFonts w:ascii="Arial" w:hAnsi="Arial" w:cs="Arial" w:eastAsia="Arial" w:hint="default"/>
          <w:sz w:val="18"/>
          <w:szCs w:val="18"/>
        </w:rPr>
      </w:pPr>
    </w:p>
    <w:p>
      <w:pPr>
        <w:pStyle w:val="BodyText"/>
        <w:spacing w:line="386" w:lineRule="auto"/>
        <w:ind w:left="575" w:right="2582" w:hanging="423"/>
        <w:jc w:val="left"/>
      </w:pPr>
      <w:r>
        <w:rPr/>
        <w:t>月</w:t>
      </w:r>
      <w:r>
        <w:rPr>
          <w:spacing w:val="-53"/>
        </w:rPr>
        <w:t> </w:t>
      </w:r>
      <w:r>
        <w:rPr>
          <w:rFonts w:ascii="Arial" w:hAnsi="Arial" w:cs="Arial" w:eastAsia="Arial" w:hint="default"/>
        </w:rPr>
        <w:t>21</w:t>
      </w:r>
      <w:r>
        <w:rPr>
          <w:rFonts w:ascii="Arial" w:hAnsi="Arial" w:cs="Arial" w:eastAsia="Arial" w:hint="default"/>
          <w:spacing w:val="-8"/>
        </w:rPr>
        <w:t> </w:t>
      </w:r>
      <w:r>
        <w:rPr/>
        <w:t>日公司首期股票期权与限制性股票激励计划第一期可行权股份上市流通。</w:t>
      </w:r>
      <w:r>
        <w:rPr>
          <w:w w:val="100"/>
        </w:rPr>
        <w:t> </w:t>
      </w:r>
      <w:r>
        <w:rPr/>
        <w:t>本报告期内股权激励事项临时报告披露网站查询：</w:t>
      </w:r>
    </w:p>
    <w:tbl>
      <w:tblPr>
        <w:tblW w:w="0" w:type="auto"/>
        <w:jc w:val="left"/>
        <w:tblInd w:w="133" w:type="dxa"/>
        <w:tblLayout w:type="fixed"/>
        <w:tblCellMar>
          <w:top w:w="0" w:type="dxa"/>
          <w:left w:w="0" w:type="dxa"/>
          <w:bottom w:w="0" w:type="dxa"/>
          <w:right w:w="0" w:type="dxa"/>
        </w:tblCellMar>
        <w:tblLook w:val="01E0"/>
      </w:tblPr>
      <w:tblGrid>
        <w:gridCol w:w="634"/>
        <w:gridCol w:w="6019"/>
        <w:gridCol w:w="1243"/>
        <w:gridCol w:w="1762"/>
      </w:tblGrid>
      <w:tr>
        <w:trPr>
          <w:trHeight w:val="423" w:hRule="exact"/>
        </w:trPr>
        <w:tc>
          <w:tcPr>
            <w:tcW w:w="634"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6"/>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序号</w:t>
            </w:r>
            <w:r>
              <w:rPr>
                <w:rFonts w:ascii="Microsoft JhengHei" w:hAnsi="Microsoft JhengHei" w:cs="Microsoft JhengHei" w:eastAsia="Microsoft JhengHei" w:hint="default"/>
                <w:sz w:val="18"/>
                <w:szCs w:val="18"/>
              </w:rPr>
            </w:r>
          </w:p>
        </w:tc>
        <w:tc>
          <w:tcPr>
            <w:tcW w:w="6019"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6"/>
              <w:ind w:left="4"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公告事项</w:t>
            </w:r>
            <w:r>
              <w:rPr>
                <w:rFonts w:ascii="Microsoft JhengHei" w:hAnsi="Microsoft JhengHei" w:cs="Microsoft JhengHei" w:eastAsia="Microsoft JhengHei" w:hint="default"/>
                <w:sz w:val="18"/>
                <w:szCs w:val="18"/>
              </w:rPr>
            </w:r>
          </w:p>
        </w:tc>
        <w:tc>
          <w:tcPr>
            <w:tcW w:w="1243"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6"/>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公告日期</w:t>
            </w:r>
            <w:r>
              <w:rPr>
                <w:rFonts w:ascii="Microsoft JhengHei" w:hAnsi="Microsoft JhengHei" w:cs="Microsoft JhengHei" w:eastAsia="Microsoft JhengHei" w:hint="default"/>
                <w:sz w:val="18"/>
                <w:szCs w:val="18"/>
              </w:rPr>
            </w:r>
          </w:p>
        </w:tc>
        <w:tc>
          <w:tcPr>
            <w:tcW w:w="1762"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6"/>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公告网址</w:t>
            </w:r>
            <w:r>
              <w:rPr>
                <w:rFonts w:ascii="Microsoft JhengHei" w:hAnsi="Microsoft JhengHei" w:cs="Microsoft JhengHei" w:eastAsia="Microsoft JhengHei" w:hint="default"/>
                <w:sz w:val="18"/>
                <w:szCs w:val="18"/>
              </w:rPr>
            </w:r>
          </w:p>
        </w:tc>
      </w:tr>
      <w:tr>
        <w:trPr>
          <w:trHeight w:val="350" w:hRule="exact"/>
        </w:trPr>
        <w:tc>
          <w:tcPr>
            <w:tcW w:w="634"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6019"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首期股票期权与限制性股票激励计划第一个行权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解锁期可行权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解锁的公告</w:t>
            </w:r>
          </w:p>
        </w:tc>
        <w:tc>
          <w:tcPr>
            <w:tcW w:w="1243"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2014-12-9</w:t>
            </w:r>
          </w:p>
        </w:tc>
        <w:tc>
          <w:tcPr>
            <w:tcW w:w="1762" w:type="dxa"/>
            <w:tcBorders>
              <w:top w:val="single" w:sz="9"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350" w:hRule="exact"/>
        </w:trPr>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6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首期股票期权与限制性股票激励计划第一个行权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解锁期激励对象名单</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2014-12-9</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658" w:hRule="exact"/>
        </w:trPr>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60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5"/>
              <w:jc w:val="left"/>
              <w:rPr>
                <w:rFonts w:ascii="宋体" w:hAnsi="宋体" w:cs="宋体" w:eastAsia="宋体" w:hint="default"/>
                <w:sz w:val="18"/>
                <w:szCs w:val="18"/>
              </w:rPr>
            </w:pPr>
            <w:r>
              <w:rPr>
                <w:rFonts w:ascii="宋体" w:hAnsi="宋体" w:cs="宋体" w:eastAsia="宋体" w:hint="default"/>
                <w:spacing w:val="-1"/>
                <w:sz w:val="18"/>
                <w:szCs w:val="18"/>
              </w:rPr>
              <w:t>上海久诚律师事务所关于公司股权激励计划实施、调整及预留股票期权与限</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3"/>
                <w:sz w:val="18"/>
                <w:szCs w:val="18"/>
              </w:rPr>
              <w:t>制性股票授予相关事项的法律意见书</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2014-12-9</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658" w:hRule="exact"/>
        </w:trPr>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60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5"/>
              <w:jc w:val="left"/>
              <w:rPr>
                <w:rFonts w:ascii="宋体" w:hAnsi="宋体" w:cs="宋体" w:eastAsia="宋体" w:hint="default"/>
                <w:sz w:val="18"/>
                <w:szCs w:val="18"/>
              </w:rPr>
            </w:pPr>
            <w:r>
              <w:rPr>
                <w:rFonts w:ascii="宋体" w:hAnsi="宋体" w:cs="宋体" w:eastAsia="宋体" w:hint="default"/>
                <w:spacing w:val="-1"/>
                <w:sz w:val="18"/>
                <w:szCs w:val="18"/>
              </w:rPr>
              <w:t>关于注销部分已不符合激励条件的激励对象已获授但尚未行权的股票期权的</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z w:val="18"/>
                <w:szCs w:val="18"/>
              </w:rPr>
              <w:t>公告</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2014-12-9</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346" w:hRule="exact"/>
        </w:trPr>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6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关于向激励对象授予预留股票期权和限制性股票的公告</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2014-12-9</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662" w:hRule="exact"/>
        </w:trPr>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60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4"/>
              <w:jc w:val="left"/>
              <w:rPr>
                <w:rFonts w:ascii="宋体" w:hAnsi="宋体" w:cs="宋体" w:eastAsia="宋体" w:hint="default"/>
                <w:sz w:val="18"/>
                <w:szCs w:val="18"/>
              </w:rPr>
            </w:pPr>
            <w:r>
              <w:rPr>
                <w:rFonts w:ascii="宋体" w:hAnsi="宋体" w:cs="宋体" w:eastAsia="宋体" w:hint="default"/>
                <w:spacing w:val="-1"/>
                <w:sz w:val="18"/>
                <w:szCs w:val="18"/>
              </w:rPr>
              <w:t>关于股权激励计划涉及的首次授予股票期权数量与行权价格及预留股票期权</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3"/>
                <w:sz w:val="18"/>
                <w:szCs w:val="18"/>
              </w:rPr>
              <w:t>与限制性股票数量进行调整的公告</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2014-12-9</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346" w:hRule="exact"/>
        </w:trPr>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6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股权激励计划预留股票期权及限制性股票激励对象名单</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2014-12-9</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346" w:hRule="exact"/>
        </w:trPr>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6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独立董事对相关事项的独立意见</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2014-12-9</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350" w:hRule="exact"/>
        </w:trPr>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6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第三届监事会第三次会议决议公告</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2014-12-9</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346" w:hRule="exact"/>
        </w:trPr>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10</w:t>
            </w:r>
          </w:p>
        </w:tc>
        <w:tc>
          <w:tcPr>
            <w:tcW w:w="6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第三届董事会第三次会议决议公告</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center"/>
              <w:rPr>
                <w:rFonts w:ascii="Times New Roman" w:hAnsi="Times New Roman" w:cs="Times New Roman" w:eastAsia="Times New Roman" w:hint="default"/>
                <w:sz w:val="18"/>
                <w:szCs w:val="18"/>
              </w:rPr>
            </w:pPr>
            <w:r>
              <w:rPr>
                <w:rFonts w:ascii="Times New Roman"/>
                <w:sz w:val="18"/>
              </w:rPr>
              <w:t>2014-12-9</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346" w:hRule="exact"/>
        </w:trPr>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11</w:t>
            </w:r>
          </w:p>
        </w:tc>
        <w:tc>
          <w:tcPr>
            <w:tcW w:w="6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关于部分已授予股票期权注销完成的公告</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2014-12-15</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350" w:hRule="exact"/>
        </w:trPr>
        <w:tc>
          <w:tcPr>
            <w:tcW w:w="6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12</w:t>
            </w:r>
          </w:p>
        </w:tc>
        <w:tc>
          <w:tcPr>
            <w:tcW w:w="6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关于预留股票期权与限制性股票授予登记完成的公告</w:t>
            </w:r>
          </w:p>
        </w:tc>
        <w:tc>
          <w:tcPr>
            <w:tcW w:w="12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2014-12-24</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pStyle w:val="Heading4"/>
        <w:spacing w:line="240" w:lineRule="auto"/>
        <w:ind w:left="575" w:right="111"/>
        <w:jc w:val="left"/>
        <w:rPr>
          <w:b w:val="0"/>
          <w:bCs w:val="0"/>
        </w:rPr>
      </w:pPr>
      <w:r>
        <w:rPr/>
        <w:t>（二）公司股权激励的影响</w:t>
      </w:r>
      <w:r>
        <w:rPr>
          <w:b w:val="0"/>
          <w:bCs w:val="0"/>
        </w:rPr>
      </w:r>
    </w:p>
    <w:p>
      <w:pPr>
        <w:pStyle w:val="BodyText"/>
        <w:spacing w:line="408" w:lineRule="auto" w:before="167"/>
        <w:ind w:right="111" w:firstLine="422"/>
        <w:jc w:val="left"/>
      </w:pPr>
      <w:r>
        <w:rPr/>
        <w:t>公司股权激励计划的实施，进一步完善了公司的法人治理结构，促进公司建立、健全激励约束机制，</w:t>
      </w:r>
      <w:r>
        <w:rPr>
          <w:w w:val="100"/>
        </w:rPr>
        <w:t> </w:t>
      </w:r>
      <w:r>
        <w:rPr>
          <w:spacing w:val="-4"/>
        </w:rPr>
        <w:t>充分调动公司高层管理人员及员工的积极性，有效地将股东利益、公司利益和经营者个人利益结合在一起，</w:t>
      </w:r>
      <w:r>
        <w:rPr>
          <w:spacing w:val="-44"/>
        </w:rPr>
        <w:t> </w:t>
      </w:r>
      <w:r>
        <w:rPr>
          <w:spacing w:val="-44"/>
        </w:rPr>
      </w:r>
      <w:r>
        <w:rPr/>
        <w:t>使各方共同关注公司的长远发展。</w:t>
      </w:r>
    </w:p>
    <w:p>
      <w:pPr>
        <w:pStyle w:val="Heading3"/>
        <w:spacing w:line="240" w:lineRule="auto" w:before="162"/>
        <w:ind w:right="111"/>
        <w:jc w:val="left"/>
        <w:rPr>
          <w:b w:val="0"/>
          <w:bCs w:val="0"/>
        </w:rPr>
      </w:pPr>
      <w:r>
        <w:rPr/>
        <w:t>六、重大关联交易</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111"/>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386" w:lineRule="auto"/>
        <w:ind w:left="575" w:right="4453"/>
        <w:jc w:val="left"/>
      </w:pPr>
      <w:r>
        <w:rPr>
          <w:rFonts w:ascii="Arial" w:hAnsi="Arial" w:cs="Arial" w:eastAsia="Arial" w:hint="default"/>
        </w:rPr>
        <w:t>□</w:t>
      </w:r>
      <w:r>
        <w:rPr>
          <w:rFonts w:ascii="Arial" w:hAnsi="Arial" w:cs="Arial" w:eastAsia="Arial" w:hint="default"/>
          <w:spacing w:val="48"/>
        </w:rPr>
        <w:t> </w:t>
      </w:r>
      <w:r>
        <w:rPr/>
        <w:t>适用 </w:t>
      </w:r>
      <w:r>
        <w:rPr>
          <w:rFonts w:ascii="Arial" w:hAnsi="Arial" w:cs="Arial" w:eastAsia="Arial" w:hint="default"/>
        </w:rPr>
        <w:t>√</w:t>
      </w:r>
      <w:r>
        <w:rPr>
          <w:rFonts w:ascii="Arial" w:hAnsi="Arial" w:cs="Arial" w:eastAsia="Arial" w:hint="default"/>
          <w:spacing w:val="41"/>
        </w:rPr>
        <w:t> </w:t>
      </w:r>
      <w:r>
        <w:rPr/>
        <w:t>不适用</w:t>
      </w:r>
      <w:r>
        <w:rPr>
          <w:spacing w:val="-99"/>
        </w:rPr>
        <w:t> </w:t>
      </w:r>
      <w:r>
        <w:rPr>
          <w:spacing w:val="-1"/>
        </w:rPr>
        <w:t>公司报告期未发生与日常经营相关的关联交易。</w:t>
      </w:r>
    </w:p>
    <w:p>
      <w:pPr>
        <w:spacing w:line="240" w:lineRule="auto" w:before="12"/>
        <w:rPr>
          <w:rFonts w:ascii="宋体" w:hAnsi="宋体" w:cs="宋体" w:eastAsia="宋体" w:hint="default"/>
          <w:sz w:val="16"/>
          <w:szCs w:val="16"/>
        </w:rPr>
      </w:pPr>
    </w:p>
    <w:p>
      <w:pPr>
        <w:pStyle w:val="Heading4"/>
        <w:spacing w:line="240" w:lineRule="auto"/>
        <w:ind w:right="111"/>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386" w:lineRule="auto"/>
        <w:ind w:left="575" w:right="4453"/>
        <w:jc w:val="left"/>
      </w:pPr>
      <w:r>
        <w:rPr>
          <w:rFonts w:ascii="Arial" w:hAnsi="Arial" w:cs="Arial" w:eastAsia="Arial" w:hint="default"/>
        </w:rPr>
        <w:t>□</w:t>
      </w:r>
      <w:r>
        <w:rPr>
          <w:rFonts w:ascii="Arial" w:hAnsi="Arial" w:cs="Arial" w:eastAsia="Arial" w:hint="default"/>
          <w:spacing w:val="48"/>
        </w:rPr>
        <w:t> </w:t>
      </w:r>
      <w:r>
        <w:rPr/>
        <w:t>适用 </w:t>
      </w:r>
      <w:r>
        <w:rPr>
          <w:rFonts w:ascii="Arial" w:hAnsi="Arial" w:cs="Arial" w:eastAsia="Arial" w:hint="default"/>
        </w:rPr>
        <w:t>√</w:t>
      </w:r>
      <w:r>
        <w:rPr>
          <w:rFonts w:ascii="Arial" w:hAnsi="Arial" w:cs="Arial" w:eastAsia="Arial" w:hint="default"/>
          <w:spacing w:val="41"/>
        </w:rPr>
        <w:t> </w:t>
      </w:r>
      <w:r>
        <w:rPr/>
        <w:t>不适用</w:t>
      </w:r>
      <w:r>
        <w:rPr>
          <w:spacing w:val="-99"/>
        </w:rPr>
        <w:t> </w:t>
      </w:r>
      <w:r>
        <w:rPr>
          <w:spacing w:val="-1"/>
        </w:rPr>
        <w:t>公司报告期未发生资产收购、出售的关联交易。</w:t>
      </w:r>
    </w:p>
    <w:p>
      <w:pPr>
        <w:spacing w:line="240" w:lineRule="auto" w:before="12"/>
        <w:rPr>
          <w:rFonts w:ascii="宋体" w:hAnsi="宋体" w:cs="宋体" w:eastAsia="宋体" w:hint="default"/>
          <w:sz w:val="16"/>
          <w:szCs w:val="16"/>
        </w:rPr>
      </w:pPr>
    </w:p>
    <w:p>
      <w:pPr>
        <w:pStyle w:val="Heading4"/>
        <w:spacing w:line="240" w:lineRule="auto"/>
        <w:ind w:right="111"/>
        <w:jc w:val="left"/>
        <w:rPr>
          <w:b w:val="0"/>
          <w:bCs w:val="0"/>
        </w:rPr>
      </w:pPr>
      <w:r>
        <w:rPr>
          <w:rFonts w:ascii="Times New Roman" w:hAnsi="Times New Roman" w:cs="Times New Roman" w:eastAsia="Times New Roman" w:hint="default"/>
        </w:rPr>
        <w:t>3</w:t>
      </w:r>
      <w:r>
        <w:rPr/>
        <w:t>、共同对外投资的重大关联交易</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240" w:lineRule="auto"/>
        <w:ind w:left="575" w:right="111"/>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after="0" w:line="240" w:lineRule="auto"/>
        <w:jc w:val="left"/>
        <w:sectPr>
          <w:pgSz w:w="11900" w:h="16840"/>
          <w:pgMar w:header="742" w:footer="984" w:top="1060" w:bottom="1180" w:left="980" w:right="9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575" w:right="0"/>
        <w:jc w:val="left"/>
      </w:pPr>
      <w:r>
        <w:rPr/>
        <w:t>公司报告期未发生共同对外投资的重大关联交易。</w:t>
      </w:r>
    </w:p>
    <w:p>
      <w:pPr>
        <w:spacing w:line="240" w:lineRule="auto" w:before="5"/>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386" w:lineRule="auto"/>
        <w:ind w:left="575" w:right="5100"/>
        <w:jc w:val="left"/>
      </w:pPr>
      <w:r>
        <w:rPr>
          <w:rFonts w:ascii="Arial" w:hAnsi="Arial" w:cs="Arial" w:eastAsia="Arial" w:hint="default"/>
        </w:rPr>
        <w:t>□</w:t>
      </w:r>
      <w:r>
        <w:rPr>
          <w:rFonts w:ascii="Arial" w:hAnsi="Arial" w:cs="Arial" w:eastAsia="Arial" w:hint="default"/>
          <w:spacing w:val="48"/>
        </w:rPr>
        <w:t> </w:t>
      </w:r>
      <w:r>
        <w:rPr/>
        <w:t>适用 </w:t>
      </w:r>
      <w:r>
        <w:rPr>
          <w:rFonts w:ascii="Arial" w:hAnsi="Arial" w:cs="Arial" w:eastAsia="Arial" w:hint="default"/>
        </w:rPr>
        <w:t>√</w:t>
      </w:r>
      <w:r>
        <w:rPr>
          <w:rFonts w:ascii="Arial" w:hAnsi="Arial" w:cs="Arial" w:eastAsia="Arial" w:hint="default"/>
          <w:spacing w:val="41"/>
        </w:rPr>
        <w:t> </w:t>
      </w:r>
      <w:r>
        <w:rPr/>
        <w:t>不适用</w:t>
      </w:r>
      <w:r>
        <w:rPr>
          <w:spacing w:val="-99"/>
        </w:rPr>
        <w:t> </w:t>
      </w:r>
      <w:r>
        <w:rPr>
          <w:spacing w:val="-1"/>
        </w:rPr>
        <w:t>公司报告期不存在关联债权债务往来。</w:t>
      </w:r>
    </w:p>
    <w:p>
      <w:pPr>
        <w:spacing w:line="240" w:lineRule="auto" w:before="12"/>
        <w:rPr>
          <w:rFonts w:ascii="宋体" w:hAnsi="宋体" w:cs="宋体" w:eastAsia="宋体" w:hint="default"/>
          <w:sz w:val="16"/>
          <w:szCs w:val="16"/>
        </w:rPr>
      </w:pPr>
    </w:p>
    <w:p>
      <w:pPr>
        <w:pStyle w:val="Heading4"/>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388" w:lineRule="auto"/>
        <w:ind w:left="575" w:right="5100"/>
        <w:jc w:val="left"/>
      </w:pPr>
      <w:r>
        <w:rPr>
          <w:rFonts w:ascii="Arial" w:hAnsi="Arial" w:cs="Arial" w:eastAsia="Arial" w:hint="default"/>
        </w:rPr>
        <w:t>□</w:t>
      </w:r>
      <w:r>
        <w:rPr>
          <w:rFonts w:ascii="Arial" w:hAnsi="Arial" w:cs="Arial" w:eastAsia="Arial" w:hint="default"/>
          <w:spacing w:val="48"/>
        </w:rPr>
        <w:t> </w:t>
      </w:r>
      <w:r>
        <w:rPr/>
        <w:t>适用 </w:t>
      </w:r>
      <w:r>
        <w:rPr>
          <w:rFonts w:ascii="Arial" w:hAnsi="Arial" w:cs="Arial" w:eastAsia="Arial" w:hint="default"/>
        </w:rPr>
        <w:t>√</w:t>
      </w:r>
      <w:r>
        <w:rPr>
          <w:rFonts w:ascii="Arial" w:hAnsi="Arial" w:cs="Arial" w:eastAsia="Arial" w:hint="default"/>
          <w:spacing w:val="41"/>
        </w:rPr>
        <w:t> </w:t>
      </w:r>
      <w:r>
        <w:rPr/>
        <w:t>不适用</w:t>
      </w:r>
      <w:r>
        <w:rPr>
          <w:spacing w:val="-100"/>
        </w:rPr>
        <w:t> </w:t>
      </w:r>
      <w:r>
        <w:rPr>
          <w:spacing w:val="-1"/>
        </w:rPr>
        <w:t>公司报告期无其他重大关联交易。</w:t>
      </w:r>
    </w:p>
    <w:p>
      <w:pPr>
        <w:pStyle w:val="Heading3"/>
        <w:spacing w:line="240" w:lineRule="auto" w:before="174"/>
        <w:ind w:right="0"/>
        <w:jc w:val="left"/>
        <w:rPr>
          <w:b w:val="0"/>
          <w:bCs w:val="0"/>
        </w:rPr>
      </w:pPr>
      <w:r>
        <w:rPr/>
        <w:t>七、重大合同及其履行情况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386" w:lineRule="auto"/>
        <w:ind w:left="575" w:right="5100"/>
        <w:jc w:val="left"/>
      </w:pPr>
      <w:r>
        <w:rPr>
          <w:rFonts w:ascii="Arial" w:hAnsi="Arial" w:cs="Arial" w:eastAsia="Arial" w:hint="default"/>
        </w:rPr>
        <w:t>□</w:t>
      </w:r>
      <w:r>
        <w:rPr>
          <w:rFonts w:ascii="Arial" w:hAnsi="Arial" w:cs="Arial" w:eastAsia="Arial" w:hint="default"/>
          <w:spacing w:val="48"/>
        </w:rPr>
        <w:t> </w:t>
      </w:r>
      <w:r>
        <w:rPr/>
        <w:t>适用 </w:t>
      </w:r>
      <w:r>
        <w:rPr>
          <w:rFonts w:ascii="Arial" w:hAnsi="Arial" w:cs="Arial" w:eastAsia="Arial" w:hint="default"/>
        </w:rPr>
        <w:t>√</w:t>
      </w:r>
      <w:r>
        <w:rPr>
          <w:rFonts w:ascii="Arial" w:hAnsi="Arial" w:cs="Arial" w:eastAsia="Arial" w:hint="default"/>
          <w:spacing w:val="41"/>
        </w:rPr>
        <w:t> </w:t>
      </w:r>
      <w:r>
        <w:rPr/>
        <w:t>不适用</w:t>
      </w:r>
      <w:r>
        <w:rPr>
          <w:spacing w:val="-100"/>
        </w:rPr>
        <w:t> </w:t>
      </w:r>
      <w:r>
        <w:rPr>
          <w:spacing w:val="-1"/>
        </w:rPr>
        <w:t>公司报告期不存在托管情况。</w:t>
      </w:r>
    </w:p>
    <w:p>
      <w:pPr>
        <w:spacing w:line="240" w:lineRule="auto" w:before="12"/>
        <w:rPr>
          <w:rFonts w:ascii="宋体" w:hAnsi="宋体" w:cs="宋体" w:eastAsia="宋体" w:hint="default"/>
          <w:sz w:val="16"/>
          <w:szCs w:val="1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388" w:lineRule="auto"/>
        <w:ind w:left="575" w:right="5100"/>
        <w:jc w:val="left"/>
      </w:pPr>
      <w:r>
        <w:rPr>
          <w:rFonts w:ascii="Arial" w:hAnsi="Arial" w:cs="Arial" w:eastAsia="Arial" w:hint="default"/>
        </w:rPr>
        <w:t>□</w:t>
      </w:r>
      <w:r>
        <w:rPr>
          <w:rFonts w:ascii="Arial" w:hAnsi="Arial" w:cs="Arial" w:eastAsia="Arial" w:hint="default"/>
          <w:spacing w:val="48"/>
        </w:rPr>
        <w:t> </w:t>
      </w:r>
      <w:r>
        <w:rPr/>
        <w:t>适用 </w:t>
      </w:r>
      <w:r>
        <w:rPr>
          <w:rFonts w:ascii="Arial" w:hAnsi="Arial" w:cs="Arial" w:eastAsia="Arial" w:hint="default"/>
        </w:rPr>
        <w:t>√</w:t>
      </w:r>
      <w:r>
        <w:rPr>
          <w:rFonts w:ascii="Arial" w:hAnsi="Arial" w:cs="Arial" w:eastAsia="Arial" w:hint="default"/>
          <w:spacing w:val="41"/>
        </w:rPr>
        <w:t> </w:t>
      </w:r>
      <w:r>
        <w:rPr/>
        <w:t>不适用</w:t>
      </w:r>
      <w:r>
        <w:rPr>
          <w:spacing w:val="-100"/>
        </w:rPr>
        <w:t> </w:t>
      </w:r>
      <w:r>
        <w:rPr>
          <w:spacing w:val="-1"/>
        </w:rPr>
        <w:t>公司报告期不存在承包情况。</w:t>
      </w:r>
    </w:p>
    <w:p>
      <w:pPr>
        <w:spacing w:line="240" w:lineRule="auto" w:before="5"/>
        <w:rPr>
          <w:rFonts w:ascii="宋体" w:hAnsi="宋体" w:cs="宋体" w:eastAsia="宋体" w:hint="default"/>
          <w:sz w:val="16"/>
          <w:szCs w:val="1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388" w:lineRule="auto"/>
        <w:ind w:left="575" w:right="5100"/>
        <w:jc w:val="left"/>
      </w:pPr>
      <w:r>
        <w:rPr>
          <w:rFonts w:ascii="Arial" w:hAnsi="Arial" w:cs="Arial" w:eastAsia="Arial" w:hint="default"/>
        </w:rPr>
        <w:t>□</w:t>
      </w:r>
      <w:r>
        <w:rPr>
          <w:rFonts w:ascii="Arial" w:hAnsi="Arial" w:cs="Arial" w:eastAsia="Arial" w:hint="default"/>
          <w:spacing w:val="48"/>
        </w:rPr>
        <w:t> </w:t>
      </w:r>
      <w:r>
        <w:rPr/>
        <w:t>适用 </w:t>
      </w:r>
      <w:r>
        <w:rPr>
          <w:rFonts w:ascii="Arial" w:hAnsi="Arial" w:cs="Arial" w:eastAsia="Arial" w:hint="default"/>
        </w:rPr>
        <w:t>√</w:t>
      </w:r>
      <w:r>
        <w:rPr>
          <w:rFonts w:ascii="Arial" w:hAnsi="Arial" w:cs="Arial" w:eastAsia="Arial" w:hint="default"/>
          <w:spacing w:val="41"/>
        </w:rPr>
        <w:t> </w:t>
      </w:r>
      <w:r>
        <w:rPr/>
        <w:t>不适用</w:t>
      </w:r>
      <w:r>
        <w:rPr>
          <w:spacing w:val="-100"/>
        </w:rPr>
        <w:t> </w:t>
      </w:r>
      <w:r>
        <w:rPr>
          <w:spacing w:val="-1"/>
        </w:rPr>
        <w:t>公司报告期不存在租赁情况。</w:t>
      </w:r>
    </w:p>
    <w:p>
      <w:pPr>
        <w:spacing w:line="240" w:lineRule="auto" w:before="5"/>
        <w:rPr>
          <w:rFonts w:ascii="宋体" w:hAnsi="宋体" w:cs="宋体" w:eastAsia="宋体" w:hint="default"/>
          <w:sz w:val="16"/>
          <w:szCs w:val="16"/>
        </w:rPr>
      </w:pPr>
    </w:p>
    <w:p>
      <w:pPr>
        <w:pStyle w:val="Heading4"/>
        <w:spacing w:line="240" w:lineRule="auto"/>
        <w:ind w:right="0"/>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240" w:lineRule="auto"/>
        <w:ind w:left="575"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9"/>
        </w:rPr>
        <w:t> </w:t>
      </w:r>
      <w:r>
        <w:rPr/>
        <w:t>不适用</w:t>
      </w:r>
    </w:p>
    <w:p>
      <w:pPr>
        <w:spacing w:line="240" w:lineRule="auto" w:before="12"/>
        <w:rPr>
          <w:rFonts w:ascii="宋体" w:hAnsi="宋体" w:cs="宋体" w:eastAsia="宋体" w:hint="default"/>
          <w:sz w:val="8"/>
          <w:szCs w:val="8"/>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32"/>
        <w:gridCol w:w="955"/>
        <w:gridCol w:w="946"/>
        <w:gridCol w:w="1229"/>
        <w:gridCol w:w="1195"/>
        <w:gridCol w:w="1109"/>
        <w:gridCol w:w="1032"/>
        <w:gridCol w:w="811"/>
        <w:gridCol w:w="662"/>
      </w:tblGrid>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76" w:right="0"/>
              <w:jc w:val="left"/>
              <w:rPr>
                <w:rFonts w:ascii="宋体" w:hAnsi="宋体" w:cs="宋体" w:eastAsia="宋体" w:hint="default"/>
                <w:sz w:val="18"/>
                <w:szCs w:val="18"/>
              </w:rPr>
            </w:pPr>
            <w:r>
              <w:rPr>
                <w:rFonts w:ascii="宋体" w:hAnsi="宋体" w:cs="宋体" w:eastAsia="宋体" w:hint="default"/>
                <w:spacing w:val="-3"/>
                <w:sz w:val="18"/>
                <w:szCs w:val="18"/>
              </w:rPr>
              <w:t>公司对外担保情况（不包括对子公司的担保）</w:t>
            </w:r>
          </w:p>
        </w:tc>
      </w:tr>
      <w:tr>
        <w:trPr>
          <w:trHeight w:val="712"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75"/>
              <w:ind w:left="110" w:right="108"/>
              <w:jc w:val="left"/>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5"/>
              <w:ind w:left="62"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19"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197" w:lineRule="exact"/>
              <w:ind w:left="47" w:right="0"/>
              <w:jc w:val="left"/>
              <w:rPr>
                <w:rFonts w:ascii="宋体" w:hAnsi="宋体" w:cs="宋体" w:eastAsia="宋体" w:hint="default"/>
                <w:sz w:val="18"/>
                <w:szCs w:val="18"/>
              </w:rPr>
            </w:pPr>
            <w:r>
              <w:rPr>
                <w:rFonts w:ascii="宋体" w:hAnsi="宋体" w:cs="宋体" w:eastAsia="宋体" w:hint="default"/>
                <w:sz w:val="18"/>
                <w:szCs w:val="18"/>
              </w:rPr>
              <w:t>实际担保金额</w:t>
            </w:r>
          </w:p>
          <w:p>
            <w:pPr>
              <w:pStyle w:val="TableParagraph"/>
              <w:spacing w:line="197" w:lineRule="exact"/>
              <w:ind w:left="-13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5"/>
              <w:ind w:left="220" w:right="31" w:hanging="178"/>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75"/>
              <w:ind w:left="57" w:right="50"/>
              <w:jc w:val="left"/>
              <w:rPr>
                <w:rFonts w:ascii="宋体" w:hAnsi="宋体" w:cs="宋体" w:eastAsia="宋体" w:hint="default"/>
                <w:sz w:val="18"/>
                <w:szCs w:val="18"/>
              </w:rPr>
            </w:pPr>
            <w:r>
              <w:rPr>
                <w:rFonts w:ascii="宋体" w:hAnsi="宋体" w:cs="宋体" w:eastAsia="宋体" w:hint="default"/>
                <w:sz w:val="18"/>
                <w:szCs w:val="18"/>
              </w:rPr>
              <w:t>是否为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关联方</w:t>
            </w:r>
          </w:p>
        </w:tc>
      </w:tr>
    </w:tbl>
    <w:p>
      <w:pPr>
        <w:spacing w:after="0" w:line="312" w:lineRule="auto"/>
        <w:jc w:val="left"/>
        <w:rPr>
          <w:rFonts w:ascii="宋体" w:hAnsi="宋体" w:cs="宋体" w:eastAsia="宋体" w:hint="default"/>
          <w:sz w:val="18"/>
          <w:szCs w:val="18"/>
        </w:rPr>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2"/>
        <w:gridCol w:w="948"/>
        <w:gridCol w:w="953"/>
        <w:gridCol w:w="1229"/>
        <w:gridCol w:w="1195"/>
        <w:gridCol w:w="1106"/>
        <w:gridCol w:w="1033"/>
        <w:gridCol w:w="814"/>
        <w:gridCol w:w="662"/>
      </w:tblGrid>
      <w:tr>
        <w:trPr>
          <w:trHeight w:val="360"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1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43" w:right="0"/>
              <w:jc w:val="left"/>
              <w:rPr>
                <w:rFonts w:ascii="宋体" w:hAnsi="宋体" w:cs="宋体" w:eastAsia="宋体" w:hint="default"/>
                <w:sz w:val="18"/>
                <w:szCs w:val="18"/>
              </w:rPr>
            </w:pPr>
            <w:r>
              <w:rPr>
                <w:rFonts w:ascii="宋体" w:hAnsi="宋体" w:cs="宋体" w:eastAsia="宋体" w:hint="default"/>
                <w:sz w:val="18"/>
                <w:szCs w:val="18"/>
              </w:rPr>
              <w:t>担保</w:t>
            </w: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pacing w:val="-3"/>
                <w:sz w:val="18"/>
                <w:szCs w:val="18"/>
              </w:rPr>
              <w:t>公司对子公司的担保情况</w:t>
            </w:r>
          </w:p>
        </w:tc>
      </w:tr>
      <w:tr>
        <w:trPr>
          <w:trHeight w:val="1027"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6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01" w:firstLine="4"/>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w w:val="101"/>
                <w:sz w:val="18"/>
                <w:szCs w:val="18"/>
              </w:rPr>
              <w:t> </w:t>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19"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195" w:lineRule="exact" w:before="130"/>
              <w:ind w:left="47" w:right="0"/>
              <w:jc w:val="left"/>
              <w:rPr>
                <w:rFonts w:ascii="宋体" w:hAnsi="宋体" w:cs="宋体" w:eastAsia="宋体" w:hint="default"/>
                <w:sz w:val="18"/>
                <w:szCs w:val="18"/>
              </w:rPr>
            </w:pPr>
            <w:r>
              <w:rPr>
                <w:rFonts w:ascii="宋体" w:hAnsi="宋体" w:cs="宋体" w:eastAsia="宋体" w:hint="default"/>
                <w:sz w:val="18"/>
                <w:szCs w:val="18"/>
              </w:rPr>
              <w:t>实际担保金额</w:t>
            </w:r>
          </w:p>
          <w:p>
            <w:pPr>
              <w:pStyle w:val="TableParagraph"/>
              <w:spacing w:line="195" w:lineRule="exact"/>
              <w:ind w:left="-13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8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8"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41" w:hanging="178"/>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7" w:right="50"/>
              <w:jc w:val="both"/>
              <w:rPr>
                <w:rFonts w:ascii="宋体" w:hAnsi="宋体" w:cs="宋体" w:eastAsia="宋体" w:hint="default"/>
                <w:sz w:val="18"/>
                <w:szCs w:val="18"/>
              </w:rPr>
            </w:pPr>
            <w:r>
              <w:rPr>
                <w:rFonts w:ascii="宋体" w:hAnsi="宋体" w:cs="宋体" w:eastAsia="宋体" w:hint="default"/>
                <w:sz w:val="18"/>
                <w:szCs w:val="18"/>
              </w:rPr>
              <w:t>是否为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关联方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担保</w:t>
            </w:r>
          </w:p>
        </w:tc>
      </w:tr>
      <w:tr>
        <w:trPr>
          <w:trHeight w:val="715"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1"/>
              <w:jc w:val="left"/>
              <w:rPr>
                <w:rFonts w:ascii="宋体" w:hAnsi="宋体" w:cs="宋体" w:eastAsia="宋体" w:hint="default"/>
                <w:sz w:val="18"/>
                <w:szCs w:val="18"/>
              </w:rPr>
            </w:pPr>
            <w:r>
              <w:rPr>
                <w:rFonts w:ascii="宋体" w:hAnsi="宋体" w:cs="宋体" w:eastAsia="宋体" w:hint="default"/>
                <w:spacing w:val="-2"/>
                <w:sz w:val="18"/>
                <w:szCs w:val="18"/>
              </w:rPr>
              <w:t>江苏安诺其化工有</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限公司</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3"/>
                <w:sz w:val="18"/>
                <w:szCs w:val="18"/>
              </w:rPr>
              <w:t>01</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9" w:right="172"/>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证</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p>
          <w:p>
            <w:pPr>
              <w:pStyle w:val="TableParagraph"/>
              <w:spacing w:line="240" w:lineRule="auto" w:before="105"/>
              <w:ind w:left="27" w:right="0"/>
              <w:jc w:val="left"/>
              <w:rPr>
                <w:rFonts w:ascii="Times New Roman" w:hAnsi="Times New Roman" w:cs="Times New Roman" w:eastAsia="Times New Roman" w:hint="default"/>
                <w:sz w:val="18"/>
                <w:szCs w:val="18"/>
              </w:rPr>
            </w:pPr>
            <w:r>
              <w:rPr>
                <w:rFonts w:ascii="Times New Roman"/>
                <w:sz w:val="18"/>
              </w:rPr>
              <w:t>2014-12-31</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1"/>
              <w:jc w:val="left"/>
              <w:rPr>
                <w:rFonts w:ascii="宋体" w:hAnsi="宋体" w:cs="宋体" w:eastAsia="宋体" w:hint="default"/>
                <w:sz w:val="18"/>
                <w:szCs w:val="18"/>
              </w:rPr>
            </w:pPr>
            <w:r>
              <w:rPr>
                <w:rFonts w:ascii="宋体" w:hAnsi="宋体" w:cs="宋体" w:eastAsia="宋体" w:hint="default"/>
                <w:spacing w:val="-2"/>
                <w:sz w:val="18"/>
                <w:szCs w:val="18"/>
              </w:rPr>
              <w:t>东营安诺其纺织材</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料有限公司</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3"/>
                <w:sz w:val="18"/>
                <w:szCs w:val="18"/>
              </w:rPr>
              <w:t>24</w:t>
            </w:r>
          </w:p>
          <w:p>
            <w:pPr>
              <w:pStyle w:val="TableParagraph"/>
              <w:spacing w:line="240" w:lineRule="auto" w:before="63"/>
              <w:ind w:left="19"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9" w:right="172"/>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证</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2014-3-24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05"/>
              <w:ind w:left="27" w:right="0"/>
              <w:jc w:val="left"/>
              <w:rPr>
                <w:rFonts w:ascii="Times New Roman" w:hAnsi="Times New Roman" w:cs="Times New Roman" w:eastAsia="Times New Roman" w:hint="default"/>
                <w:sz w:val="18"/>
                <w:szCs w:val="18"/>
              </w:rPr>
            </w:pPr>
            <w:r>
              <w:rPr>
                <w:rFonts w:ascii="Times New Roman"/>
                <w:sz w:val="18"/>
              </w:rPr>
              <w:t>2015-3-24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51"/>
              <w:jc w:val="left"/>
              <w:rPr>
                <w:rFonts w:ascii="宋体" w:hAnsi="宋体" w:cs="宋体" w:eastAsia="宋体" w:hint="default"/>
                <w:sz w:val="18"/>
                <w:szCs w:val="18"/>
              </w:rPr>
            </w:pPr>
            <w:r>
              <w:rPr>
                <w:rFonts w:ascii="宋体" w:hAnsi="宋体" w:cs="宋体" w:eastAsia="宋体" w:hint="default"/>
                <w:spacing w:val="-2"/>
                <w:sz w:val="18"/>
                <w:szCs w:val="18"/>
              </w:rPr>
              <w:t>江苏安诺其化工有</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限公司</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5,000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pacing w:val="-3"/>
                <w:sz w:val="18"/>
                <w:szCs w:val="18"/>
              </w:rPr>
              <w:t>17</w:t>
            </w:r>
          </w:p>
          <w:p>
            <w:pPr>
              <w:pStyle w:val="TableParagraph"/>
              <w:spacing w:line="240" w:lineRule="auto" w:before="67"/>
              <w:ind w:left="19"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9" w:right="172"/>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证</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2015-1-17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至</w:t>
            </w:r>
          </w:p>
          <w:p>
            <w:pPr>
              <w:pStyle w:val="TableParagraph"/>
              <w:spacing w:line="240" w:lineRule="auto" w:before="110"/>
              <w:ind w:left="27" w:right="0"/>
              <w:jc w:val="left"/>
              <w:rPr>
                <w:rFonts w:ascii="Times New Roman" w:hAnsi="Times New Roman" w:cs="Times New Roman" w:eastAsia="Times New Roman" w:hint="default"/>
                <w:sz w:val="18"/>
                <w:szCs w:val="18"/>
              </w:rPr>
            </w:pPr>
            <w:r>
              <w:rPr>
                <w:rFonts w:ascii="Times New Roman"/>
                <w:sz w:val="18"/>
              </w:rPr>
              <w:t>2015-4-1</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1"/>
              <w:jc w:val="left"/>
              <w:rPr>
                <w:rFonts w:ascii="宋体" w:hAnsi="宋体" w:cs="宋体" w:eastAsia="宋体" w:hint="default"/>
                <w:sz w:val="18"/>
                <w:szCs w:val="18"/>
              </w:rPr>
            </w:pPr>
            <w:r>
              <w:rPr>
                <w:rFonts w:ascii="宋体" w:hAnsi="宋体" w:cs="宋体" w:eastAsia="宋体" w:hint="default"/>
                <w:spacing w:val="-2"/>
                <w:sz w:val="18"/>
                <w:szCs w:val="18"/>
              </w:rPr>
              <w:t>东营安诺其纺织材</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料有限公司</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2,000</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9" w:right="172"/>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证</w:t>
            </w:r>
          </w:p>
        </w:tc>
        <w:tc>
          <w:tcPr>
            <w:tcW w:w="1033"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9"/>
              <w:jc w:val="left"/>
              <w:rPr>
                <w:rFonts w:ascii="宋体" w:hAnsi="宋体" w:cs="宋体" w:eastAsia="宋体" w:hint="default"/>
                <w:sz w:val="18"/>
                <w:szCs w:val="18"/>
              </w:rPr>
            </w:pPr>
            <w:r>
              <w:rPr>
                <w:rFonts w:ascii="宋体" w:hAnsi="宋体" w:cs="宋体" w:eastAsia="宋体" w:hint="default"/>
                <w:spacing w:val="-3"/>
                <w:sz w:val="18"/>
                <w:szCs w:val="18"/>
              </w:rPr>
              <w:t>报告期内审批对子公司担保额度</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82"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w:t>
            </w:r>
          </w:p>
        </w:tc>
        <w:tc>
          <w:tcPr>
            <w:tcW w:w="23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 w:right="100"/>
              <w:jc w:val="left"/>
              <w:rPr>
                <w:rFonts w:ascii="宋体" w:hAnsi="宋体" w:cs="宋体" w:eastAsia="宋体" w:hint="default"/>
                <w:sz w:val="18"/>
                <w:szCs w:val="18"/>
              </w:rPr>
            </w:pPr>
            <w:r>
              <w:rPr>
                <w:rFonts w:ascii="宋体" w:hAnsi="宋体" w:cs="宋体" w:eastAsia="宋体" w:hint="default"/>
                <w:spacing w:val="-3"/>
                <w:sz w:val="18"/>
                <w:szCs w:val="18"/>
              </w:rPr>
              <w:t>报告期内对子公司担保实际</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509" w:type="dxa"/>
            <w:gridSpan w:val="3"/>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w:t>
            </w:r>
          </w:p>
        </w:tc>
      </w:tr>
      <w:tr>
        <w:trPr>
          <w:trHeight w:val="715" w:hRule="exact"/>
        </w:trPr>
        <w:tc>
          <w:tcPr>
            <w:tcW w:w="25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9"/>
              <w:jc w:val="left"/>
              <w:rPr>
                <w:rFonts w:ascii="宋体" w:hAnsi="宋体" w:cs="宋体" w:eastAsia="宋体" w:hint="default"/>
                <w:sz w:val="18"/>
                <w:szCs w:val="18"/>
              </w:rPr>
            </w:pPr>
            <w:r>
              <w:rPr>
                <w:rFonts w:ascii="宋体" w:hAnsi="宋体" w:cs="宋体" w:eastAsia="宋体" w:hint="default"/>
                <w:spacing w:val="-3"/>
                <w:sz w:val="18"/>
                <w:szCs w:val="18"/>
              </w:rPr>
              <w:t>报告期末已审批的对子公司担保</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82"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w:t>
            </w:r>
          </w:p>
        </w:tc>
        <w:tc>
          <w:tcPr>
            <w:tcW w:w="23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 w:right="100"/>
              <w:jc w:val="left"/>
              <w:rPr>
                <w:rFonts w:ascii="宋体" w:hAnsi="宋体" w:cs="宋体" w:eastAsia="宋体" w:hint="default"/>
                <w:sz w:val="18"/>
                <w:szCs w:val="18"/>
              </w:rPr>
            </w:pPr>
            <w:r>
              <w:rPr>
                <w:rFonts w:ascii="宋体" w:hAnsi="宋体" w:cs="宋体" w:eastAsia="宋体" w:hint="default"/>
                <w:spacing w:val="-3"/>
                <w:sz w:val="18"/>
                <w:szCs w:val="18"/>
              </w:rPr>
              <w:t>报告期末对子公司实际担保</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509" w:type="dxa"/>
            <w:gridSpan w:val="3"/>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w:t>
            </w:r>
          </w:p>
        </w:tc>
      </w:tr>
      <w:tr>
        <w:trPr>
          <w:trHeight w:val="394"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公司担保总额（即前两大项的合计）</w:t>
            </w:r>
          </w:p>
        </w:tc>
      </w:tr>
      <w:tr>
        <w:trPr>
          <w:trHeight w:val="720" w:hRule="exact"/>
        </w:trPr>
        <w:tc>
          <w:tcPr>
            <w:tcW w:w="25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82"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w:t>
            </w:r>
          </w:p>
        </w:tc>
        <w:tc>
          <w:tcPr>
            <w:tcW w:w="23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3" w:right="100"/>
              <w:jc w:val="left"/>
              <w:rPr>
                <w:rFonts w:ascii="宋体" w:hAnsi="宋体" w:cs="宋体" w:eastAsia="宋体" w:hint="default"/>
                <w:sz w:val="18"/>
                <w:szCs w:val="18"/>
              </w:rPr>
            </w:pPr>
            <w:r>
              <w:rPr>
                <w:rFonts w:ascii="宋体" w:hAnsi="宋体" w:cs="宋体" w:eastAsia="宋体" w:hint="default"/>
                <w:spacing w:val="-3"/>
                <w:sz w:val="18"/>
                <w:szCs w:val="18"/>
              </w:rPr>
              <w:t>报告期内担保实际发生额合</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509" w:type="dxa"/>
            <w:gridSpan w:val="3"/>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w:t>
            </w:r>
          </w:p>
        </w:tc>
      </w:tr>
      <w:tr>
        <w:trPr>
          <w:trHeight w:val="715" w:hRule="exact"/>
        </w:trPr>
        <w:tc>
          <w:tcPr>
            <w:tcW w:w="25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报告期末已审批的担保额度合计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82"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w:t>
            </w:r>
          </w:p>
        </w:tc>
        <w:tc>
          <w:tcPr>
            <w:tcW w:w="23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报告期末实际担保余额合计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509" w:type="dxa"/>
            <w:gridSpan w:val="3"/>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6,000</w:t>
            </w:r>
          </w:p>
        </w:tc>
      </w:tr>
      <w:tr>
        <w:trPr>
          <w:trHeight w:val="403" w:hRule="exact"/>
        </w:trPr>
        <w:tc>
          <w:tcPr>
            <w:tcW w:w="476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 </w:t>
            </w:r>
            <w:r>
              <w:rPr>
                <w:rFonts w:ascii="Times New Roman" w:hAnsi="Times New Roman" w:cs="Times New Roman" w:eastAsia="Times New Roman" w:hint="default"/>
                <w:spacing w:val="-3"/>
                <w:sz w:val="18"/>
                <w:szCs w:val="18"/>
              </w:rPr>
              <w:t>A4+B4</w:t>
            </w:r>
            <w:r>
              <w:rPr>
                <w:rFonts w:ascii="宋体" w:hAnsi="宋体" w:cs="宋体" w:eastAsia="宋体" w:hint="default"/>
                <w:spacing w:val="-3"/>
                <w:sz w:val="18"/>
                <w:szCs w:val="18"/>
              </w:rPr>
              <w:t>）占公司净资产的比例</w:t>
            </w:r>
          </w:p>
        </w:tc>
        <w:tc>
          <w:tcPr>
            <w:tcW w:w="4810"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6.82%</w:t>
            </w:r>
          </w:p>
        </w:tc>
      </w:tr>
      <w:tr>
        <w:trPr>
          <w:trHeight w:val="394"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8" w:hRule="exact"/>
        </w:trPr>
        <w:tc>
          <w:tcPr>
            <w:tcW w:w="476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为股东、实际控制人及其关联方提供担保的金额（</w:t>
            </w:r>
            <w:r>
              <w:rPr>
                <w:rFonts w:ascii="Times New Roman" w:hAnsi="Times New Roman" w:cs="Times New Roman" w:eastAsia="Times New Roman" w:hint="default"/>
                <w:spacing w:val="-3"/>
                <w:sz w:val="18"/>
                <w:szCs w:val="18"/>
              </w:rPr>
              <w:t>C</w:t>
            </w:r>
            <w:r>
              <w:rPr>
                <w:rFonts w:ascii="宋体" w:hAnsi="宋体" w:cs="宋体" w:eastAsia="宋体" w:hint="default"/>
                <w:spacing w:val="-3"/>
                <w:sz w:val="18"/>
                <w:szCs w:val="18"/>
              </w:rPr>
              <w:t>）</w:t>
            </w:r>
          </w:p>
        </w:tc>
        <w:tc>
          <w:tcPr>
            <w:tcW w:w="4810"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5" w:hRule="exact"/>
        </w:trPr>
        <w:tc>
          <w:tcPr>
            <w:tcW w:w="476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16"/>
                <w:sz w:val="18"/>
                <w:szCs w:val="18"/>
              </w:rPr>
              <w:t> </w:t>
            </w:r>
            <w:r>
              <w:rPr>
                <w:rFonts w:ascii="Times New Roman" w:hAnsi="Times New Roman" w:cs="Times New Roman" w:eastAsia="Times New Roman" w:hint="default"/>
                <w:spacing w:val="-3"/>
                <w:sz w:val="18"/>
                <w:szCs w:val="18"/>
              </w:rPr>
              <w:t>70%</w:t>
            </w:r>
            <w:r>
              <w:rPr>
                <w:rFonts w:ascii="宋体" w:hAnsi="宋体" w:cs="宋体" w:eastAsia="宋体" w:hint="default"/>
                <w:spacing w:val="-3"/>
                <w:sz w:val="18"/>
                <w:szCs w:val="18"/>
              </w:rPr>
              <w:t>的被担保对象提供的债务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810"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476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12"/>
                <w:sz w:val="18"/>
                <w:szCs w:val="18"/>
              </w:rPr>
              <w:t> </w:t>
            </w:r>
            <w:r>
              <w:rPr>
                <w:rFonts w:ascii="Times New Roman" w:hAnsi="Times New Roman" w:cs="Times New Roman" w:eastAsia="Times New Roman" w:hint="default"/>
                <w:spacing w:val="-3"/>
                <w:sz w:val="18"/>
                <w:szCs w:val="18"/>
              </w:rPr>
              <w:t>50%</w:t>
            </w:r>
            <w:r>
              <w:rPr>
                <w:rFonts w:ascii="宋体" w:hAnsi="宋体" w:cs="宋体" w:eastAsia="宋体" w:hint="default"/>
                <w:spacing w:val="-3"/>
                <w:sz w:val="18"/>
                <w:szCs w:val="18"/>
              </w:rPr>
              <w:t>部分的金额（</w:t>
            </w:r>
            <w:r>
              <w:rPr>
                <w:rFonts w:ascii="Times New Roman" w:hAnsi="Times New Roman" w:cs="Times New Roman" w:eastAsia="Times New Roman" w:hint="default"/>
                <w:spacing w:val="-3"/>
                <w:sz w:val="18"/>
                <w:szCs w:val="18"/>
              </w:rPr>
              <w:t>E</w:t>
            </w:r>
            <w:r>
              <w:rPr>
                <w:rFonts w:ascii="宋体" w:hAnsi="宋体" w:cs="宋体" w:eastAsia="宋体" w:hint="default"/>
                <w:spacing w:val="-3"/>
                <w:sz w:val="18"/>
                <w:szCs w:val="18"/>
              </w:rPr>
              <w:t>）</w:t>
            </w:r>
          </w:p>
        </w:tc>
        <w:tc>
          <w:tcPr>
            <w:tcW w:w="4810"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476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未到期担保可能承担连带清偿责任说明（如有）</w:t>
            </w:r>
          </w:p>
        </w:tc>
        <w:tc>
          <w:tcPr>
            <w:tcW w:w="4810"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476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违反规定程序对外提供担保的说明（如有）</w:t>
            </w:r>
          </w:p>
        </w:tc>
        <w:tc>
          <w:tcPr>
            <w:tcW w:w="4810"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Heading4"/>
        <w:spacing w:line="240" w:lineRule="auto"/>
        <w:ind w:left="575" w:right="0"/>
        <w:jc w:val="left"/>
        <w:rPr>
          <w:b w:val="0"/>
          <w:bCs w:val="0"/>
        </w:rPr>
      </w:pPr>
      <w:r>
        <w:rPr/>
        <w:t>采用复合方式担保的具体情况说明</w:t>
      </w:r>
      <w:r>
        <w:rPr>
          <w:b w:val="0"/>
          <w:bCs w:val="0"/>
        </w:rPr>
      </w:r>
    </w:p>
    <w:p>
      <w:pPr>
        <w:pStyle w:val="BodyText"/>
        <w:spacing w:line="240" w:lineRule="auto" w:before="167"/>
        <w:ind w:left="575" w:right="0"/>
        <w:jc w:val="left"/>
      </w:pPr>
      <w:r>
        <w:rPr/>
        <w:t>不适用。</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）违规对外担保情况</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10" w:lineRule="auto"/>
        <w:ind w:left="575" w:right="5100"/>
        <w:jc w:val="left"/>
      </w:pPr>
      <w:r>
        <w:rPr/>
        <w:t>□ 适用 √ 不适用</w:t>
      </w:r>
      <w:r>
        <w:rPr>
          <w:spacing w:val="-102"/>
        </w:rPr>
        <w:t> </w:t>
      </w:r>
      <w:r>
        <w:rPr>
          <w:spacing w:val="-102"/>
        </w:rPr>
      </w:r>
      <w:r>
        <w:rPr>
          <w:spacing w:val="-1"/>
        </w:rPr>
        <w:t>公司报告期无违规对外担保情况。</w:t>
      </w:r>
    </w:p>
    <w:p>
      <w:pPr>
        <w:spacing w:after="0" w:line="410" w:lineRule="auto"/>
        <w:jc w:val="left"/>
        <w:sectPr>
          <w:pgSz w:w="11900" w:h="16840"/>
          <w:pgMar w:header="742" w:footer="984" w:top="1060" w:bottom="1180" w:left="980" w:right="980"/>
        </w:sectPr>
      </w:pPr>
    </w:p>
    <w:p>
      <w:pPr>
        <w:spacing w:line="240" w:lineRule="auto" w:before="4"/>
        <w:rPr>
          <w:rFonts w:ascii="宋体" w:hAnsi="宋体" w:cs="宋体" w:eastAsia="宋体" w:hint="default"/>
          <w:sz w:val="25"/>
          <w:szCs w:val="25"/>
        </w:rPr>
      </w:pPr>
    </w:p>
    <w:p>
      <w:pPr>
        <w:pStyle w:val="Heading4"/>
        <w:spacing w:line="335" w:lineRule="exact"/>
        <w:ind w:right="0"/>
        <w:jc w:val="left"/>
        <w:rPr>
          <w:b w:val="0"/>
          <w:bCs w:val="0"/>
        </w:rPr>
      </w:pPr>
      <w:r>
        <w:rPr>
          <w:rFonts w:ascii="Times New Roman" w:hAnsi="Times New Roman" w:cs="Times New Roman" w:eastAsia="Times New Roman" w:hint="default"/>
        </w:rPr>
        <w:t>3</w:t>
      </w:r>
      <w:r>
        <w:rPr/>
        <w:t>、委托理财、衍生品投资和委托贷款情况</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405" w:lineRule="auto"/>
        <w:ind w:left="575" w:right="5100"/>
        <w:jc w:val="left"/>
      </w:pPr>
      <w:r>
        <w:rPr/>
        <w:t>□ 适用 √ 不适用</w:t>
      </w:r>
      <w:r>
        <w:rPr>
          <w:spacing w:val="-102"/>
        </w:rPr>
        <w:t> </w:t>
      </w:r>
      <w:r>
        <w:rPr>
          <w:spacing w:val="-102"/>
        </w:rPr>
      </w:r>
      <w:r>
        <w:rPr>
          <w:spacing w:val="-1"/>
        </w:rPr>
        <w:t>公司报告期不存在委托理财。</w:t>
      </w:r>
    </w:p>
    <w:p>
      <w:pPr>
        <w:spacing w:line="240" w:lineRule="auto" w:before="8"/>
        <w:rPr>
          <w:rFonts w:ascii="宋体" w:hAnsi="宋体" w:cs="宋体" w:eastAsia="宋体" w:hint="default"/>
          <w:sz w:val="15"/>
          <w:szCs w:val="1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05" w:lineRule="auto"/>
        <w:ind w:left="575" w:right="5100"/>
        <w:jc w:val="left"/>
      </w:pPr>
      <w:r>
        <w:rPr/>
        <w:t>□ 适用 √ 不适用</w:t>
      </w:r>
      <w:r>
        <w:rPr>
          <w:spacing w:val="-102"/>
        </w:rPr>
        <w:t> </w:t>
      </w:r>
      <w:r>
        <w:rPr>
          <w:spacing w:val="-102"/>
        </w:rPr>
      </w:r>
      <w:r>
        <w:rPr>
          <w:spacing w:val="-2"/>
        </w:rPr>
        <w:t>公司报告期不存在衍生品投资。</w:t>
      </w:r>
    </w:p>
    <w:p>
      <w:pPr>
        <w:spacing w:line="240" w:lineRule="auto" w:before="8"/>
        <w:rPr>
          <w:rFonts w:ascii="宋体" w:hAnsi="宋体" w:cs="宋体" w:eastAsia="宋体" w:hint="default"/>
          <w:sz w:val="15"/>
          <w:szCs w:val="1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10" w:lineRule="auto"/>
        <w:ind w:left="575" w:right="5100"/>
        <w:jc w:val="left"/>
      </w:pPr>
      <w:r>
        <w:rPr/>
        <w:t>□ 适用 √ 不适用</w:t>
      </w:r>
      <w:r>
        <w:rPr>
          <w:spacing w:val="-102"/>
        </w:rPr>
        <w:t> </w:t>
      </w:r>
      <w:r>
        <w:rPr>
          <w:spacing w:val="-102"/>
        </w:rPr>
      </w:r>
      <w:r>
        <w:rPr>
          <w:spacing w:val="-1"/>
        </w:rPr>
        <w:t>公司报告期不存在委托贷款。</w:t>
      </w:r>
    </w:p>
    <w:p>
      <w:pPr>
        <w:spacing w:line="240" w:lineRule="auto" w:before="12"/>
        <w:rPr>
          <w:rFonts w:ascii="宋体" w:hAnsi="宋体" w:cs="宋体" w:eastAsia="宋体" w:hint="default"/>
          <w:sz w:val="14"/>
          <w:szCs w:val="14"/>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10" w:lineRule="auto"/>
        <w:ind w:left="575" w:right="5100"/>
        <w:jc w:val="left"/>
      </w:pPr>
      <w:r>
        <w:rPr/>
        <w:t>□ 适用 √ 不适用</w:t>
      </w:r>
      <w:r>
        <w:rPr>
          <w:spacing w:val="-102"/>
        </w:rPr>
        <w:t> </w:t>
      </w:r>
      <w:r>
        <w:rPr>
          <w:spacing w:val="-102"/>
        </w:rPr>
      </w:r>
      <w:r>
        <w:rPr>
          <w:spacing w:val="-1"/>
        </w:rPr>
        <w:t>公司报告期不存在其他重大合同。</w:t>
      </w:r>
    </w:p>
    <w:p>
      <w:pPr>
        <w:pStyle w:val="Heading3"/>
        <w:spacing w:line="240" w:lineRule="auto" w:before="156"/>
        <w:ind w:right="0"/>
        <w:jc w:val="left"/>
        <w:rPr>
          <w:b w:val="0"/>
          <w:bCs w:val="0"/>
        </w:rPr>
      </w:pPr>
      <w:r>
        <w:rPr/>
        <w:t>八、承诺事项履行情况</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、公司或持股</w:t>
      </w:r>
      <w:r>
        <w:rPr>
          <w:spacing w:val="35"/>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240" w:lineRule="auto"/>
        <w:ind w:left="575" w:right="0"/>
        <w:jc w:val="left"/>
      </w:pPr>
      <w:r>
        <w:rPr/>
        <w:t>√ 适用 □</w:t>
      </w:r>
      <w:r>
        <w:rPr>
          <w:spacing w:val="3"/>
        </w:rPr>
        <w:t> </w:t>
      </w:r>
      <w:r>
        <w:rPr/>
        <w:t>不适用</w:t>
      </w:r>
    </w:p>
    <w:p>
      <w:pPr>
        <w:spacing w:line="240" w:lineRule="auto" w:before="11"/>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3192"/>
        <w:gridCol w:w="1277"/>
        <w:gridCol w:w="1277"/>
        <w:gridCol w:w="1277"/>
        <w:gridCol w:w="1277"/>
        <w:gridCol w:w="1267"/>
      </w:tblGrid>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5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6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68"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68"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357" w:hRule="exact"/>
        </w:trPr>
        <w:tc>
          <w:tcPr>
            <w:tcW w:w="3192" w:type="dxa"/>
            <w:vMerge w:val="restart"/>
            <w:tcBorders>
              <w:top w:val="single" w:sz="4" w:space="0" w:color="000000"/>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公司承诺持股</w:t>
            </w: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67" w:type="dxa"/>
            <w:tcBorders>
              <w:top w:val="single" w:sz="4" w:space="0" w:color="000000"/>
              <w:left w:val="single" w:sz="4" w:space="0" w:color="000000"/>
              <w:bottom w:val="nil" w:sz="6" w:space="0" w:color="auto"/>
              <w:right w:val="single" w:sz="4" w:space="0" w:color="000000"/>
            </w:tcBorders>
          </w:tcPr>
          <w:p>
            <w:pPr/>
          </w:p>
        </w:tc>
      </w:tr>
      <w:tr>
        <w:trPr>
          <w:trHeight w:val="1246" w:hRule="exact"/>
        </w:trPr>
        <w:tc>
          <w:tcPr>
            <w:tcW w:w="3192"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8"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7" w:type="dxa"/>
            <w:vMerge w:val="restart"/>
            <w:tcBorders>
              <w:top w:val="nil" w:sz="6" w:space="0" w:color="auto"/>
              <w:left w:val="single" w:sz="4" w:space="0" w:color="000000"/>
              <w:right w:val="single" w:sz="10" w:space="0" w:color="FFFFFF"/>
            </w:tcBorders>
          </w:tcPr>
          <w:p>
            <w:pPr>
              <w:pStyle w:val="TableParagraph"/>
              <w:spacing w:line="314" w:lineRule="auto" w:before="9"/>
              <w:ind w:left="23"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以上的主要</w:t>
            </w:r>
            <w:r>
              <w:rPr>
                <w:rFonts w:ascii="宋体" w:hAnsi="宋体" w:cs="宋体" w:eastAsia="宋体" w:hint="default"/>
                <w:w w:val="101"/>
                <w:sz w:val="18"/>
                <w:szCs w:val="18"/>
              </w:rPr>
              <w:t> </w:t>
            </w:r>
            <w:r>
              <w:rPr>
                <w:rFonts w:ascii="宋体" w:hAnsi="宋体" w:cs="宋体" w:eastAsia="宋体" w:hint="default"/>
                <w:sz w:val="18"/>
                <w:szCs w:val="18"/>
              </w:rPr>
              <w:t>股东或实际控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制人及其配偶、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直系近亲属未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参与本激励计</w:t>
            </w:r>
          </w:p>
        </w:tc>
        <w:tc>
          <w:tcPr>
            <w:tcW w:w="1277" w:type="dxa"/>
            <w:vMerge w:val="restart"/>
            <w:tcBorders>
              <w:top w:val="nil" w:sz="6" w:space="0" w:color="auto"/>
              <w:left w:val="single" w:sz="10"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06</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277" w:type="dxa"/>
            <w:vMerge w:val="restart"/>
            <w:tcBorders>
              <w:top w:val="nil" w:sz="6" w:space="0" w:color="auto"/>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p>
          <w:p>
            <w:pPr>
              <w:pStyle w:val="TableParagraph"/>
              <w:spacing w:line="319" w:lineRule="auto" w:before="58"/>
              <w:ind w:left="23" w:right="156"/>
              <w:jc w:val="both"/>
              <w:rPr>
                <w:rFonts w:ascii="宋体" w:hAnsi="宋体" w:cs="宋体" w:eastAsia="宋体" w:hint="default"/>
                <w:sz w:val="18"/>
                <w:szCs w:val="18"/>
              </w:rPr>
            </w:pPr>
            <w:r>
              <w:rPr>
                <w:rFonts w:ascii="宋体" w:hAnsi="宋体" w:cs="宋体" w:eastAsia="宋体" w:hint="default"/>
                <w:spacing w:val="-2"/>
                <w:sz w:val="18"/>
                <w:szCs w:val="18"/>
              </w:rPr>
              <w:t>日至本次股权</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激励计划有效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期结束</w:t>
            </w:r>
          </w:p>
        </w:tc>
        <w:tc>
          <w:tcPr>
            <w:tcW w:w="1267" w:type="dxa"/>
            <w:vMerge w:val="restart"/>
            <w:tcBorders>
              <w:top w:val="nil" w:sz="6" w:space="0" w:color="auto"/>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3" w:right="-34"/>
              <w:jc w:val="left"/>
              <w:rPr>
                <w:rFonts w:ascii="宋体" w:hAnsi="宋体" w:cs="宋体" w:eastAsia="宋体" w:hint="default"/>
                <w:sz w:val="18"/>
                <w:szCs w:val="18"/>
              </w:rPr>
            </w:pPr>
            <w:r>
              <w:rPr>
                <w:rFonts w:ascii="宋体" w:hAnsi="宋体" w:cs="宋体" w:eastAsia="宋体" w:hint="default"/>
                <w:spacing w:val="-9"/>
                <w:sz w:val="18"/>
                <w:szCs w:val="18"/>
              </w:rPr>
              <w:t>报告期内，公司</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遵守了上述承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诺，未发现违反</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上述承诺情况。</w:t>
            </w:r>
          </w:p>
        </w:tc>
      </w:tr>
      <w:tr>
        <w:trPr>
          <w:trHeight w:val="389" w:hRule="exact"/>
        </w:trPr>
        <w:tc>
          <w:tcPr>
            <w:tcW w:w="31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277" w:type="dxa"/>
            <w:vMerge/>
            <w:tcBorders>
              <w:left w:val="single" w:sz="8" w:space="0" w:color="D2D2D2"/>
              <w:bottom w:val="nil" w:sz="6" w:space="0" w:color="auto"/>
              <w:right w:val="single" w:sz="4" w:space="0" w:color="000000"/>
            </w:tcBorders>
          </w:tcPr>
          <w:p>
            <w:pPr/>
          </w:p>
        </w:tc>
        <w:tc>
          <w:tcPr>
            <w:tcW w:w="1277" w:type="dxa"/>
            <w:vMerge/>
            <w:tcBorders>
              <w:left w:val="single" w:sz="4" w:space="0" w:color="000000"/>
              <w:bottom w:val="nil" w:sz="6" w:space="0" w:color="auto"/>
              <w:right w:val="single" w:sz="10" w:space="0" w:color="FFFFFF"/>
            </w:tcBorders>
          </w:tcPr>
          <w:p>
            <w:pPr/>
          </w:p>
        </w:tc>
        <w:tc>
          <w:tcPr>
            <w:tcW w:w="1277" w:type="dxa"/>
            <w:vMerge/>
            <w:tcBorders>
              <w:left w:val="single" w:sz="10" w:space="0" w:color="FFFFFF"/>
              <w:bottom w:val="nil" w:sz="6" w:space="0" w:color="auto"/>
              <w:right w:val="single" w:sz="4" w:space="0" w:color="000000"/>
            </w:tcBorders>
          </w:tcPr>
          <w:p>
            <w:pPr/>
          </w:p>
        </w:tc>
        <w:tc>
          <w:tcPr>
            <w:tcW w:w="1277" w:type="dxa"/>
            <w:vMerge/>
            <w:tcBorders>
              <w:left w:val="single" w:sz="4" w:space="0" w:color="000000"/>
              <w:bottom w:val="nil" w:sz="6" w:space="0" w:color="auto"/>
              <w:right w:val="single" w:sz="4" w:space="0" w:color="000000"/>
            </w:tcBorders>
          </w:tcPr>
          <w:p>
            <w:pPr/>
          </w:p>
        </w:tc>
        <w:tc>
          <w:tcPr>
            <w:tcW w:w="1267" w:type="dxa"/>
            <w:vMerge/>
            <w:tcBorders>
              <w:left w:val="single" w:sz="4" w:space="0" w:color="000000"/>
              <w:bottom w:val="nil" w:sz="6" w:space="0" w:color="auto"/>
              <w:right w:val="single" w:sz="4" w:space="0" w:color="000000"/>
            </w:tcBorders>
          </w:tcPr>
          <w:p>
            <w:pPr/>
          </w:p>
        </w:tc>
      </w:tr>
      <w:tr>
        <w:trPr>
          <w:trHeight w:val="278" w:hRule="exact"/>
        </w:trPr>
        <w:tc>
          <w:tcPr>
            <w:tcW w:w="3192" w:type="dxa"/>
            <w:vMerge w:val="restart"/>
            <w:tcBorders>
              <w:top w:val="nil" w:sz="6" w:space="0" w:color="auto"/>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178" w:lineRule="exact"/>
              <w:ind w:left="23" w:right="0"/>
              <w:jc w:val="left"/>
              <w:rPr>
                <w:rFonts w:ascii="宋体" w:hAnsi="宋体" w:cs="宋体" w:eastAsia="宋体" w:hint="default"/>
                <w:sz w:val="18"/>
                <w:szCs w:val="18"/>
              </w:rPr>
            </w:pPr>
            <w:r>
              <w:rPr>
                <w:rFonts w:ascii="宋体" w:hAnsi="宋体" w:cs="宋体" w:eastAsia="宋体" w:hint="default"/>
                <w:sz w:val="18"/>
                <w:szCs w:val="18"/>
              </w:rPr>
              <w:t>划。</w:t>
            </w: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67" w:type="dxa"/>
            <w:tcBorders>
              <w:top w:val="nil" w:sz="6" w:space="0" w:color="auto"/>
              <w:left w:val="single" w:sz="4" w:space="0" w:color="000000"/>
              <w:bottom w:val="single" w:sz="4" w:space="0" w:color="000000"/>
              <w:right w:val="single" w:sz="4" w:space="0" w:color="000000"/>
            </w:tcBorders>
          </w:tcPr>
          <w:p>
            <w:pPr/>
          </w:p>
        </w:tc>
      </w:tr>
      <w:tr>
        <w:trPr>
          <w:trHeight w:val="369" w:hRule="exact"/>
        </w:trPr>
        <w:tc>
          <w:tcPr>
            <w:tcW w:w="3192" w:type="dxa"/>
            <w:vMerge/>
            <w:tcBorders>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公司承诺不为</w:t>
            </w: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p>
        </w:tc>
        <w:tc>
          <w:tcPr>
            <w:tcW w:w="12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9"/>
                <w:sz w:val="18"/>
                <w:szCs w:val="18"/>
              </w:rPr>
              <w:t>报告期内，公司</w:t>
            </w:r>
          </w:p>
        </w:tc>
      </w:tr>
      <w:tr>
        <w:trPr>
          <w:trHeight w:val="626" w:hRule="exact"/>
        </w:trPr>
        <w:tc>
          <w:tcPr>
            <w:tcW w:w="3192"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16" w:lineRule="auto" w:before="21"/>
              <w:ind w:left="23" w:right="156"/>
              <w:jc w:val="left"/>
              <w:rPr>
                <w:rFonts w:ascii="宋体" w:hAnsi="宋体" w:cs="宋体" w:eastAsia="宋体" w:hint="default"/>
                <w:sz w:val="18"/>
                <w:szCs w:val="18"/>
              </w:rPr>
            </w:pPr>
            <w:r>
              <w:rPr>
                <w:rFonts w:ascii="宋体" w:hAnsi="宋体" w:cs="宋体" w:eastAsia="宋体" w:hint="default"/>
                <w:spacing w:val="-2"/>
                <w:sz w:val="18"/>
                <w:szCs w:val="18"/>
              </w:rPr>
              <w:t>激励对象依本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激励计划获取</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06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3" w:right="156"/>
              <w:jc w:val="left"/>
              <w:rPr>
                <w:rFonts w:ascii="宋体" w:hAnsi="宋体" w:cs="宋体" w:eastAsia="宋体" w:hint="default"/>
                <w:sz w:val="18"/>
                <w:szCs w:val="18"/>
              </w:rPr>
            </w:pPr>
            <w:r>
              <w:rPr>
                <w:rFonts w:ascii="宋体" w:hAnsi="宋体" w:cs="宋体" w:eastAsia="宋体" w:hint="default"/>
                <w:spacing w:val="-2"/>
                <w:sz w:val="18"/>
                <w:szCs w:val="18"/>
              </w:rPr>
              <w:t>日至本次股权</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激励计划有效</w:t>
            </w:r>
          </w:p>
        </w:tc>
        <w:tc>
          <w:tcPr>
            <w:tcW w:w="1267"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3" w:right="12"/>
              <w:jc w:val="left"/>
              <w:rPr>
                <w:rFonts w:ascii="宋体" w:hAnsi="宋体" w:cs="宋体" w:eastAsia="宋体" w:hint="default"/>
                <w:sz w:val="18"/>
                <w:szCs w:val="18"/>
              </w:rPr>
            </w:pPr>
            <w:r>
              <w:rPr>
                <w:rFonts w:ascii="宋体" w:hAnsi="宋体" w:cs="宋体" w:eastAsia="宋体" w:hint="default"/>
                <w:sz w:val="18"/>
                <w:szCs w:val="18"/>
              </w:rPr>
              <w:t>遵守了上述承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诺，未发现违反</w:t>
            </w:r>
          </w:p>
        </w:tc>
      </w:tr>
      <w:tr>
        <w:trPr>
          <w:trHeight w:val="344" w:hRule="exact"/>
        </w:trPr>
        <w:tc>
          <w:tcPr>
            <w:tcW w:w="3192"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8"/>
              <w:ind w:left="23" w:right="0"/>
              <w:jc w:val="left"/>
              <w:rPr>
                <w:rFonts w:ascii="宋体" w:hAnsi="宋体" w:cs="宋体" w:eastAsia="宋体" w:hint="default"/>
                <w:sz w:val="18"/>
                <w:szCs w:val="18"/>
              </w:rPr>
            </w:pPr>
            <w:r>
              <w:rPr>
                <w:rFonts w:ascii="宋体" w:hAnsi="宋体" w:cs="宋体" w:eastAsia="宋体" w:hint="default"/>
                <w:sz w:val="18"/>
                <w:szCs w:val="18"/>
              </w:rPr>
              <w:t>有关股票期权</w:t>
            </w: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期结束</w:t>
            </w:r>
          </w:p>
        </w:tc>
        <w:tc>
          <w:tcPr>
            <w:tcW w:w="12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left="23" w:right="-34"/>
              <w:jc w:val="center"/>
              <w:rPr>
                <w:rFonts w:ascii="宋体" w:hAnsi="宋体" w:cs="宋体" w:eastAsia="宋体" w:hint="default"/>
                <w:sz w:val="18"/>
                <w:szCs w:val="18"/>
              </w:rPr>
            </w:pPr>
            <w:r>
              <w:rPr>
                <w:rFonts w:ascii="宋体" w:hAnsi="宋体" w:cs="宋体" w:eastAsia="宋体" w:hint="default"/>
                <w:spacing w:val="-2"/>
                <w:sz w:val="18"/>
                <w:szCs w:val="18"/>
              </w:rPr>
              <w:t>上述承诺情况。</w:t>
            </w:r>
          </w:p>
        </w:tc>
      </w:tr>
    </w:tbl>
    <w:p>
      <w:pPr>
        <w:spacing w:after="0" w:line="240" w:lineRule="auto"/>
        <w:jc w:val="center"/>
        <w:rPr>
          <w:rFonts w:ascii="宋体" w:hAnsi="宋体" w:cs="宋体" w:eastAsia="宋体" w:hint="default"/>
          <w:sz w:val="18"/>
          <w:szCs w:val="18"/>
        </w:rPr>
        <w:sectPr>
          <w:pgSz w:w="11900" w:h="16840"/>
          <w:pgMar w:header="742" w:footer="984"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2"/>
        <w:gridCol w:w="1277"/>
        <w:gridCol w:w="1277"/>
        <w:gridCol w:w="1277"/>
        <w:gridCol w:w="1277"/>
        <w:gridCol w:w="1267"/>
      </w:tblGrid>
      <w:tr>
        <w:trPr>
          <w:trHeight w:val="316" w:hRule="exact"/>
        </w:trPr>
        <w:tc>
          <w:tcPr>
            <w:tcW w:w="3192"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或限制性股票</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67" w:type="dxa"/>
            <w:vMerge w:val="restart"/>
            <w:tcBorders>
              <w:top w:val="single" w:sz="4" w:space="0" w:color="000000"/>
              <w:left w:val="single" w:sz="4" w:space="0" w:color="000000"/>
              <w:right w:val="single" w:sz="4" w:space="0" w:color="000000"/>
            </w:tcBorders>
          </w:tcPr>
          <w:p>
            <w:pPr/>
          </w:p>
        </w:tc>
      </w:tr>
      <w:tr>
        <w:trPr>
          <w:trHeight w:val="312" w:hRule="exact"/>
        </w:trPr>
        <w:tc>
          <w:tcPr>
            <w:tcW w:w="319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提供贷款以及</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r>
      <w:tr>
        <w:trPr>
          <w:trHeight w:val="312" w:hRule="exact"/>
        </w:trPr>
        <w:tc>
          <w:tcPr>
            <w:tcW w:w="319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其他任何形式</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r>
      <w:tr>
        <w:trPr>
          <w:trHeight w:val="312" w:hRule="exact"/>
        </w:trPr>
        <w:tc>
          <w:tcPr>
            <w:tcW w:w="319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8"/>
                <w:sz w:val="18"/>
                <w:szCs w:val="18"/>
              </w:rPr>
              <w:t>的财务资助，包</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r>
      <w:tr>
        <w:trPr>
          <w:trHeight w:val="314" w:hRule="exact"/>
        </w:trPr>
        <w:tc>
          <w:tcPr>
            <w:tcW w:w="319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括为其贷款提</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r>
      <w:tr>
        <w:trPr>
          <w:trHeight w:val="354" w:hRule="exact"/>
        </w:trPr>
        <w:tc>
          <w:tcPr>
            <w:tcW w:w="3192"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供担保。</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7" w:type="dxa"/>
            <w:vMerge/>
            <w:tcBorders>
              <w:left w:val="single" w:sz="4" w:space="0" w:color="000000"/>
              <w:bottom w:val="single" w:sz="4" w:space="0" w:color="000000"/>
              <w:right w:val="single" w:sz="4" w:space="0" w:color="000000"/>
            </w:tcBorders>
          </w:tcPr>
          <w:p>
            <w:pPr/>
          </w:p>
        </w:tc>
      </w:tr>
      <w:tr>
        <w:trPr>
          <w:trHeight w:val="715"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94"/>
              <w:jc w:val="left"/>
              <w:rPr>
                <w:rFonts w:ascii="宋体" w:hAnsi="宋体" w:cs="宋体" w:eastAsia="宋体" w:hint="default"/>
                <w:sz w:val="18"/>
                <w:szCs w:val="18"/>
              </w:rPr>
            </w:pPr>
            <w:r>
              <w:rPr>
                <w:rFonts w:ascii="宋体" w:hAnsi="宋体" w:cs="宋体" w:eastAsia="宋体" w:hint="default"/>
                <w:spacing w:val="-3"/>
                <w:sz w:val="18"/>
                <w:szCs w:val="18"/>
              </w:rPr>
              <w:t>收购报告书或权益变动报告书中所作承</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资产重组时所作承诺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362" w:hRule="exact"/>
        </w:trPr>
        <w:tc>
          <w:tcPr>
            <w:tcW w:w="31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、实际控制人</w:t>
            </w: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67" w:type="dxa"/>
            <w:tcBorders>
              <w:top w:val="single" w:sz="4" w:space="0" w:color="000000"/>
              <w:left w:val="single" w:sz="4" w:space="0" w:color="000000"/>
              <w:bottom w:val="nil" w:sz="6" w:space="0" w:color="auto"/>
              <w:right w:val="single" w:sz="4" w:space="0" w:color="000000"/>
            </w:tcBorders>
          </w:tcPr>
          <w:p>
            <w:pPr/>
          </w:p>
        </w:tc>
      </w:tr>
      <w:tr>
        <w:trPr>
          <w:trHeight w:val="305" w:hRule="exact"/>
        </w:trPr>
        <w:tc>
          <w:tcPr>
            <w:tcW w:w="3192" w:type="dxa"/>
            <w:tcBorders>
              <w:top w:val="nil" w:sz="6" w:space="0" w:color="auto"/>
              <w:left w:val="single" w:sz="4" w:space="0" w:color="000000"/>
              <w:bottom w:val="nil" w:sz="6" w:space="0" w:color="auto"/>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pacing w:val="-8"/>
                <w:sz w:val="18"/>
                <w:szCs w:val="18"/>
              </w:rPr>
              <w:t>纪立军、张烈寅</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1250" w:hRule="exact"/>
        </w:trPr>
        <w:tc>
          <w:tcPr>
            <w:tcW w:w="3192" w:type="dxa"/>
            <w:tcBorders>
              <w:top w:val="nil" w:sz="6" w:space="0" w:color="auto"/>
              <w:left w:val="single" w:sz="4" w:space="0" w:color="000000"/>
              <w:bottom w:val="nil" w:sz="6" w:space="0" w:color="auto"/>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z w:val="18"/>
                <w:szCs w:val="18"/>
              </w:rPr>
              <w:t>实际控制人纪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立军、张烈寅夫</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妇</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156"/>
              <w:jc w:val="both"/>
              <w:rPr>
                <w:rFonts w:ascii="宋体" w:hAnsi="宋体" w:cs="宋体" w:eastAsia="宋体" w:hint="default"/>
                <w:sz w:val="18"/>
                <w:szCs w:val="18"/>
              </w:rPr>
            </w:pPr>
            <w:r>
              <w:rPr>
                <w:rFonts w:ascii="宋体" w:hAnsi="宋体" w:cs="宋体" w:eastAsia="宋体" w:hint="default"/>
                <w:spacing w:val="-2"/>
                <w:sz w:val="18"/>
                <w:szCs w:val="18"/>
              </w:rPr>
              <w:t>夫妇承诺目前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或将来不从事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任何与本公司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主营业务相同</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277" w:type="dxa"/>
            <w:tcBorders>
              <w:top w:val="nil" w:sz="6" w:space="0" w:color="auto"/>
              <w:left w:val="single" w:sz="4" w:space="0" w:color="000000"/>
              <w:bottom w:val="nil" w:sz="6" w:space="0" w:color="auto"/>
              <w:right w:val="single" w:sz="10"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23" w:right="-27"/>
              <w:jc w:val="left"/>
              <w:rPr>
                <w:rFonts w:ascii="宋体" w:hAnsi="宋体" w:cs="宋体" w:eastAsia="宋体" w:hint="default"/>
                <w:sz w:val="18"/>
                <w:szCs w:val="18"/>
              </w:rPr>
            </w:pPr>
            <w:r>
              <w:rPr>
                <w:rFonts w:ascii="宋体" w:hAnsi="宋体" w:cs="宋体" w:eastAsia="宋体" w:hint="default"/>
                <w:spacing w:val="-3"/>
                <w:sz w:val="18"/>
                <w:szCs w:val="18"/>
              </w:rPr>
              <w:t>自上市之日起，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长期有效</w:t>
            </w:r>
          </w:p>
        </w:tc>
        <w:tc>
          <w:tcPr>
            <w:tcW w:w="1267" w:type="dxa"/>
            <w:tcBorders>
              <w:top w:val="nil" w:sz="6" w:space="0" w:color="auto"/>
              <w:left w:val="single" w:sz="10" w:space="0" w:color="FFFFFF"/>
              <w:bottom w:val="nil" w:sz="6" w:space="0" w:color="auto"/>
              <w:right w:val="single" w:sz="4" w:space="0" w:color="000000"/>
            </w:tcBorders>
          </w:tcPr>
          <w:p>
            <w:pPr>
              <w:pStyle w:val="TableParagraph"/>
              <w:spacing w:line="316" w:lineRule="auto" w:before="16"/>
              <w:ind w:left="16" w:right="-34"/>
              <w:jc w:val="left"/>
              <w:rPr>
                <w:rFonts w:ascii="宋体" w:hAnsi="宋体" w:cs="宋体" w:eastAsia="宋体" w:hint="default"/>
                <w:sz w:val="18"/>
                <w:szCs w:val="18"/>
              </w:rPr>
            </w:pPr>
            <w:r>
              <w:rPr>
                <w:rFonts w:ascii="宋体" w:hAnsi="宋体" w:cs="宋体" w:eastAsia="宋体" w:hint="default"/>
                <w:spacing w:val="-9"/>
                <w:sz w:val="18"/>
                <w:szCs w:val="18"/>
              </w:rPr>
              <w:t>报告期内，实际</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控制人纪立军、</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张烈寅夫妇恪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守承诺。</w:t>
            </w:r>
          </w:p>
        </w:tc>
      </w:tr>
      <w:tr>
        <w:trPr>
          <w:trHeight w:val="312" w:hRule="exact"/>
        </w:trPr>
        <w:tc>
          <w:tcPr>
            <w:tcW w:w="3192" w:type="dxa"/>
            <w:tcBorders>
              <w:top w:val="nil" w:sz="6" w:space="0" w:color="auto"/>
              <w:left w:val="single" w:sz="4" w:space="0" w:color="000000"/>
              <w:bottom w:val="nil" w:sz="6" w:space="0" w:color="auto"/>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或相似的业务</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3192" w:type="dxa"/>
            <w:tcBorders>
              <w:top w:val="nil" w:sz="6" w:space="0" w:color="auto"/>
              <w:left w:val="single" w:sz="4" w:space="0" w:color="000000"/>
              <w:bottom w:val="nil" w:sz="6" w:space="0" w:color="auto"/>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或活动。</w:t>
            </w: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67"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3192" w:type="dxa"/>
            <w:tcBorders>
              <w:top w:val="nil" w:sz="6" w:space="0" w:color="auto"/>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、实际控制人</w:t>
            </w: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67" w:type="dxa"/>
            <w:tcBorders>
              <w:top w:val="single" w:sz="4" w:space="0" w:color="000000"/>
              <w:left w:val="single" w:sz="4" w:space="0" w:color="000000"/>
              <w:bottom w:val="nil" w:sz="6" w:space="0" w:color="auto"/>
              <w:right w:val="single" w:sz="4" w:space="0" w:color="000000"/>
            </w:tcBorders>
          </w:tcPr>
          <w:p>
            <w:pPr/>
          </w:p>
        </w:tc>
      </w:tr>
      <w:tr>
        <w:trPr>
          <w:trHeight w:val="305" w:hRule="exact"/>
        </w:trPr>
        <w:tc>
          <w:tcPr>
            <w:tcW w:w="3192" w:type="dxa"/>
            <w:tcBorders>
              <w:top w:val="nil" w:sz="6" w:space="0" w:color="auto"/>
              <w:left w:val="single" w:sz="4" w:space="0" w:color="000000"/>
              <w:bottom w:val="nil" w:sz="6" w:space="0" w:color="auto"/>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pacing w:val="-8"/>
                <w:sz w:val="18"/>
                <w:szCs w:val="18"/>
              </w:rPr>
              <w:t>纪立军、张烈寅</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3744" w:hRule="exact"/>
        </w:trPr>
        <w:tc>
          <w:tcPr>
            <w:tcW w:w="31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4" w:right="0"/>
              <w:jc w:val="left"/>
              <w:rPr>
                <w:rFonts w:ascii="宋体" w:hAnsi="宋体" w:cs="宋体" w:eastAsia="宋体" w:hint="default"/>
                <w:sz w:val="18"/>
                <w:szCs w:val="18"/>
              </w:rPr>
            </w:pPr>
            <w:r>
              <w:rPr>
                <w:rFonts w:ascii="宋体" w:hAnsi="宋体" w:cs="宋体" w:eastAsia="宋体" w:hint="default"/>
                <w:spacing w:val="-3"/>
                <w:sz w:val="18"/>
                <w:szCs w:val="18"/>
              </w:rPr>
              <w:t>首次公开发行或再融资时所作承诺</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z w:val="18"/>
                <w:szCs w:val="18"/>
              </w:rPr>
              <w:t>实际控制人纪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立军、张烈寅夫</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妇</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17"/>
              <w:jc w:val="left"/>
              <w:rPr>
                <w:rFonts w:ascii="宋体" w:hAnsi="宋体" w:cs="宋体" w:eastAsia="宋体" w:hint="default"/>
                <w:sz w:val="18"/>
                <w:szCs w:val="18"/>
              </w:rPr>
            </w:pPr>
            <w:r>
              <w:rPr>
                <w:rFonts w:ascii="宋体" w:hAnsi="宋体" w:cs="宋体" w:eastAsia="宋体" w:hint="default"/>
                <w:sz w:val="18"/>
                <w:szCs w:val="18"/>
              </w:rPr>
              <w:t>夫妇承诺对于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公司因上市之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前享受税收优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惠而可能被税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务机关追缴所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减免的税款，及</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因其而产生的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其他任何相关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款项，或者需要</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承担任何与上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述税款有关的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责任，均一律由</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277" w:type="dxa"/>
            <w:tcBorders>
              <w:top w:val="nil" w:sz="6" w:space="0" w:color="auto"/>
              <w:left w:val="single" w:sz="4" w:space="0" w:color="000000"/>
              <w:bottom w:val="nil" w:sz="6" w:space="0" w:color="auto"/>
              <w:right w:val="single" w:sz="10"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7"/>
              <w:ind w:left="23" w:right="-27"/>
              <w:jc w:val="left"/>
              <w:rPr>
                <w:rFonts w:ascii="宋体" w:hAnsi="宋体" w:cs="宋体" w:eastAsia="宋体" w:hint="default"/>
                <w:sz w:val="18"/>
                <w:szCs w:val="18"/>
              </w:rPr>
            </w:pPr>
            <w:r>
              <w:rPr>
                <w:rFonts w:ascii="宋体" w:hAnsi="宋体" w:cs="宋体" w:eastAsia="宋体" w:hint="default"/>
                <w:spacing w:val="-3"/>
                <w:sz w:val="18"/>
                <w:szCs w:val="18"/>
              </w:rPr>
              <w:t>自上市之日起，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长期有效</w:t>
            </w:r>
          </w:p>
        </w:tc>
        <w:tc>
          <w:tcPr>
            <w:tcW w:w="1267" w:type="dxa"/>
            <w:tcBorders>
              <w:top w:val="nil" w:sz="6" w:space="0" w:color="auto"/>
              <w:left w:val="single" w:sz="10" w:space="0" w:color="FFFFFF"/>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16" w:right="12"/>
              <w:jc w:val="left"/>
              <w:rPr>
                <w:rFonts w:ascii="宋体" w:hAnsi="宋体" w:cs="宋体" w:eastAsia="宋体" w:hint="default"/>
                <w:sz w:val="18"/>
                <w:szCs w:val="18"/>
              </w:rPr>
            </w:pPr>
            <w:r>
              <w:rPr>
                <w:rFonts w:ascii="宋体" w:hAnsi="宋体" w:cs="宋体" w:eastAsia="宋体" w:hint="default"/>
                <w:spacing w:val="-9"/>
                <w:sz w:val="18"/>
                <w:szCs w:val="18"/>
              </w:rPr>
              <w:t>经公司核查，报</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9"/>
                <w:sz w:val="18"/>
                <w:szCs w:val="18"/>
              </w:rPr>
              <w:t>告期内，公司未</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发生因上市之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前享受税收优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惠而可能被税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务机关追缴所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减免的税款的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情形，实际控制</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9"/>
                <w:sz w:val="18"/>
                <w:szCs w:val="18"/>
              </w:rPr>
              <w:t>人纪立军、张烈</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寅夫妇恪守承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诺。</w:t>
            </w:r>
          </w:p>
        </w:tc>
      </w:tr>
      <w:tr>
        <w:trPr>
          <w:trHeight w:val="314" w:hRule="exact"/>
        </w:trPr>
        <w:tc>
          <w:tcPr>
            <w:tcW w:w="3192" w:type="dxa"/>
            <w:tcBorders>
              <w:top w:val="nil" w:sz="6" w:space="0" w:color="auto"/>
              <w:left w:val="single" w:sz="4" w:space="0" w:color="000000"/>
              <w:bottom w:val="nil" w:sz="6" w:space="0" w:color="auto"/>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实际控制人承</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3192" w:type="dxa"/>
            <w:tcBorders>
              <w:top w:val="nil" w:sz="6" w:space="0" w:color="auto"/>
              <w:left w:val="single" w:sz="4" w:space="0" w:color="000000"/>
              <w:bottom w:val="nil" w:sz="6" w:space="0" w:color="auto"/>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担。</w:t>
            </w: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67" w:type="dxa"/>
            <w:tcBorders>
              <w:top w:val="nil" w:sz="6" w:space="0" w:color="auto"/>
              <w:left w:val="single" w:sz="4" w:space="0" w:color="000000"/>
              <w:bottom w:val="single" w:sz="4" w:space="0" w:color="000000"/>
              <w:right w:val="single" w:sz="4" w:space="0" w:color="000000"/>
            </w:tcBorders>
          </w:tcPr>
          <w:p>
            <w:pPr/>
          </w:p>
        </w:tc>
      </w:tr>
      <w:tr>
        <w:trPr>
          <w:trHeight w:val="364" w:hRule="exact"/>
        </w:trPr>
        <w:tc>
          <w:tcPr>
            <w:tcW w:w="3192" w:type="dxa"/>
            <w:tcBorders>
              <w:top w:val="nil" w:sz="6" w:space="0" w:color="auto"/>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、实际控制人</w:t>
            </w: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67" w:type="dxa"/>
            <w:tcBorders>
              <w:top w:val="single" w:sz="4" w:space="0" w:color="000000"/>
              <w:left w:val="single" w:sz="4" w:space="0" w:color="000000"/>
              <w:bottom w:val="nil" w:sz="6" w:space="0" w:color="auto"/>
              <w:right w:val="single" w:sz="4" w:space="0" w:color="000000"/>
            </w:tcBorders>
          </w:tcPr>
          <w:p>
            <w:pPr/>
          </w:p>
        </w:tc>
      </w:tr>
      <w:tr>
        <w:trPr>
          <w:trHeight w:val="2491" w:hRule="exact"/>
        </w:trPr>
        <w:tc>
          <w:tcPr>
            <w:tcW w:w="3192" w:type="dxa"/>
            <w:tcBorders>
              <w:top w:val="nil" w:sz="6" w:space="0" w:color="auto"/>
              <w:left w:val="single" w:sz="4" w:space="0" w:color="000000"/>
              <w:bottom w:val="nil" w:sz="6" w:space="0" w:color="auto"/>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3"/>
              <w:ind w:left="23" w:right="17"/>
              <w:jc w:val="left"/>
              <w:rPr>
                <w:rFonts w:ascii="宋体" w:hAnsi="宋体" w:cs="宋体" w:eastAsia="宋体" w:hint="default"/>
                <w:sz w:val="18"/>
                <w:szCs w:val="18"/>
              </w:rPr>
            </w:pPr>
            <w:r>
              <w:rPr>
                <w:rFonts w:ascii="宋体" w:hAnsi="宋体" w:cs="宋体" w:eastAsia="宋体" w:hint="default"/>
                <w:sz w:val="18"/>
                <w:szCs w:val="18"/>
              </w:rPr>
              <w:t>实际控制人纪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立军、张烈寅夫</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妇</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3" w:right="17"/>
              <w:jc w:val="left"/>
              <w:rPr>
                <w:rFonts w:ascii="宋体" w:hAnsi="宋体" w:cs="宋体" w:eastAsia="宋体" w:hint="default"/>
                <w:sz w:val="18"/>
                <w:szCs w:val="18"/>
              </w:rPr>
            </w:pPr>
            <w:r>
              <w:rPr>
                <w:rFonts w:ascii="宋体" w:hAnsi="宋体" w:cs="宋体" w:eastAsia="宋体" w:hint="default"/>
                <w:spacing w:val="-8"/>
                <w:sz w:val="18"/>
                <w:szCs w:val="18"/>
              </w:rPr>
              <w:t>纪立军、张烈寅</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夫妇承诺针对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东营安诺其在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申请办理建设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项目所需相关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许可证照的过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程中实际开始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募投项目施工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21</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277" w:type="dxa"/>
            <w:tcBorders>
              <w:top w:val="nil" w:sz="6" w:space="0" w:color="auto"/>
              <w:left w:val="single" w:sz="4" w:space="0" w:color="000000"/>
              <w:bottom w:val="nil" w:sz="6" w:space="0" w:color="auto"/>
              <w:right w:val="single" w:sz="10"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21" w:lineRule="auto"/>
              <w:ind w:left="23" w:right="-27"/>
              <w:jc w:val="left"/>
              <w:rPr>
                <w:rFonts w:ascii="宋体" w:hAnsi="宋体" w:cs="宋体" w:eastAsia="宋体" w:hint="default"/>
                <w:sz w:val="18"/>
                <w:szCs w:val="18"/>
              </w:rPr>
            </w:pPr>
            <w:r>
              <w:rPr>
                <w:rFonts w:ascii="宋体" w:hAnsi="宋体" w:cs="宋体" w:eastAsia="宋体" w:hint="default"/>
                <w:spacing w:val="-3"/>
                <w:sz w:val="18"/>
                <w:szCs w:val="18"/>
              </w:rPr>
              <w:t>自上市之日起，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长期有效</w:t>
            </w:r>
          </w:p>
        </w:tc>
        <w:tc>
          <w:tcPr>
            <w:tcW w:w="1267" w:type="dxa"/>
            <w:tcBorders>
              <w:top w:val="nil" w:sz="6" w:space="0" w:color="auto"/>
              <w:left w:val="single" w:sz="10" w:space="0" w:color="FFFFFF"/>
              <w:bottom w:val="nil" w:sz="6" w:space="0" w:color="auto"/>
              <w:right w:val="single" w:sz="4" w:space="0" w:color="000000"/>
            </w:tcBorders>
          </w:tcPr>
          <w:p>
            <w:pPr>
              <w:pStyle w:val="TableParagraph"/>
              <w:spacing w:line="319" w:lineRule="auto" w:before="140"/>
              <w:ind w:left="16" w:right="-34"/>
              <w:jc w:val="left"/>
              <w:rPr>
                <w:rFonts w:ascii="宋体" w:hAnsi="宋体" w:cs="宋体" w:eastAsia="宋体" w:hint="default"/>
                <w:sz w:val="18"/>
                <w:szCs w:val="18"/>
              </w:rPr>
            </w:pPr>
            <w:r>
              <w:rPr>
                <w:rFonts w:ascii="宋体" w:hAnsi="宋体" w:cs="宋体" w:eastAsia="宋体" w:hint="default"/>
                <w:sz w:val="18"/>
                <w:szCs w:val="18"/>
              </w:rPr>
              <w:t>东营安诺其不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存在因该事项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而遭受经济损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失的情况发生，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实际控制人纪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立军、张烈寅夫</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妇恪守承诺</w:t>
            </w:r>
          </w:p>
        </w:tc>
      </w:tr>
      <w:tr>
        <w:trPr>
          <w:trHeight w:val="318" w:hRule="exact"/>
        </w:trPr>
        <w:tc>
          <w:tcPr>
            <w:tcW w:w="31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8"/>
                <w:sz w:val="18"/>
                <w:szCs w:val="18"/>
              </w:rPr>
              <w:t>建设的情况，若</w:t>
            </w: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67" w:type="dxa"/>
            <w:tcBorders>
              <w:top w:val="nil" w:sz="6" w:space="0" w:color="auto"/>
              <w:left w:val="single" w:sz="4" w:space="0" w:color="000000"/>
              <w:bottom w:val="single" w:sz="4" w:space="0" w:color="000000"/>
              <w:right w:val="single" w:sz="4" w:space="0" w:color="000000"/>
            </w:tcBorders>
          </w:tcPr>
          <w:p>
            <w:pPr/>
          </w:p>
        </w:tc>
      </w:tr>
    </w:tbl>
    <w:p>
      <w:pPr>
        <w:spacing w:after="0"/>
        <w:sectPr>
          <w:pgSz w:w="11900" w:h="16840"/>
          <w:pgMar w:header="742" w:footer="984"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2"/>
        <w:gridCol w:w="1277"/>
        <w:gridCol w:w="1277"/>
        <w:gridCol w:w="1277"/>
        <w:gridCol w:w="1277"/>
        <w:gridCol w:w="1267"/>
      </w:tblGrid>
      <w:tr>
        <w:trPr>
          <w:trHeight w:val="316" w:hRule="exact"/>
        </w:trPr>
        <w:tc>
          <w:tcPr>
            <w:tcW w:w="3192" w:type="dxa"/>
            <w:vMerge w:val="restart"/>
            <w:tcBorders>
              <w:top w:val="single" w:sz="4" w:space="0" w:color="000000"/>
              <w:left w:val="single" w:sz="4" w:space="0" w:color="000000"/>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日后东营安诺</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67" w:type="dxa"/>
            <w:vMerge w:val="restart"/>
            <w:tcBorders>
              <w:top w:val="single" w:sz="4" w:space="0" w:color="000000"/>
              <w:left w:val="single" w:sz="4" w:space="0" w:color="000000"/>
              <w:right w:val="single" w:sz="4" w:space="0" w:color="000000"/>
            </w:tcBorders>
          </w:tcPr>
          <w:p>
            <w:pPr/>
          </w:p>
        </w:tc>
      </w:tr>
      <w:tr>
        <w:trPr>
          <w:trHeight w:val="312" w:hRule="exact"/>
        </w:trPr>
        <w:tc>
          <w:tcPr>
            <w:tcW w:w="319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其因为该事项</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r>
      <w:tr>
        <w:trPr>
          <w:trHeight w:val="312" w:hRule="exact"/>
        </w:trPr>
        <w:tc>
          <w:tcPr>
            <w:tcW w:w="319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遭受任何经济</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r>
      <w:tr>
        <w:trPr>
          <w:trHeight w:val="312" w:hRule="exact"/>
        </w:trPr>
        <w:tc>
          <w:tcPr>
            <w:tcW w:w="319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8"/>
                <w:sz w:val="18"/>
                <w:szCs w:val="18"/>
              </w:rPr>
              <w:t>损失，或者需要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r>
      <w:tr>
        <w:trPr>
          <w:trHeight w:val="312" w:hRule="exact"/>
        </w:trPr>
        <w:tc>
          <w:tcPr>
            <w:tcW w:w="319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承担任何与上</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r>
      <w:tr>
        <w:trPr>
          <w:trHeight w:val="312" w:hRule="exact"/>
        </w:trPr>
        <w:tc>
          <w:tcPr>
            <w:tcW w:w="319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述提前施工有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r>
      <w:tr>
        <w:trPr>
          <w:trHeight w:val="312" w:hRule="exact"/>
        </w:trPr>
        <w:tc>
          <w:tcPr>
            <w:tcW w:w="319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8"/>
                <w:sz w:val="18"/>
                <w:szCs w:val="18"/>
              </w:rPr>
              <w:t>关的责任，均一</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r>
      <w:tr>
        <w:trPr>
          <w:trHeight w:val="312" w:hRule="exact"/>
        </w:trPr>
        <w:tc>
          <w:tcPr>
            <w:tcW w:w="319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律由实际控制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r>
      <w:tr>
        <w:trPr>
          <w:trHeight w:val="312" w:hRule="exact"/>
        </w:trPr>
        <w:tc>
          <w:tcPr>
            <w:tcW w:w="319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人以现金方式</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r>
      <w:tr>
        <w:trPr>
          <w:trHeight w:val="314" w:hRule="exact"/>
        </w:trPr>
        <w:tc>
          <w:tcPr>
            <w:tcW w:w="3192"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对东营安诺其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67" w:type="dxa"/>
            <w:vMerge/>
            <w:tcBorders>
              <w:left w:val="single" w:sz="4" w:space="0" w:color="000000"/>
              <w:right w:val="single" w:sz="4" w:space="0" w:color="000000"/>
            </w:tcBorders>
          </w:tcPr>
          <w:p>
            <w:pPr/>
          </w:p>
        </w:tc>
      </w:tr>
      <w:tr>
        <w:trPr>
          <w:trHeight w:val="354" w:hRule="exact"/>
        </w:trPr>
        <w:tc>
          <w:tcPr>
            <w:tcW w:w="3192"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予以补偿。</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67" w:type="dxa"/>
            <w:vMerge/>
            <w:tcBorders>
              <w:left w:val="single" w:sz="4" w:space="0" w:color="000000"/>
              <w:bottom w:val="single" w:sz="4" w:space="0" w:color="000000"/>
              <w:right w:val="single" w:sz="4" w:space="0" w:color="000000"/>
            </w:tcBorders>
          </w:tcPr>
          <w:p>
            <w:pPr/>
          </w:p>
        </w:tc>
      </w:tr>
      <w:tr>
        <w:trPr>
          <w:trHeight w:val="364" w:hRule="exact"/>
        </w:trPr>
        <w:tc>
          <w:tcPr>
            <w:tcW w:w="31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6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192" w:type="dxa"/>
            <w:tcBorders>
              <w:top w:val="nil" w:sz="6" w:space="0" w:color="auto"/>
              <w:left w:val="single" w:sz="4" w:space="0" w:color="000000"/>
              <w:bottom w:val="nil" w:sz="6" w:space="0" w:color="auto"/>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日召开</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192" w:type="dxa"/>
            <w:tcBorders>
              <w:top w:val="nil" w:sz="6" w:space="0" w:color="auto"/>
              <w:left w:val="single" w:sz="4" w:space="0" w:color="000000"/>
              <w:bottom w:val="nil" w:sz="6" w:space="0" w:color="auto"/>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的第二届董事</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2" w:type="dxa"/>
            <w:tcBorders>
              <w:top w:val="nil" w:sz="6" w:space="0" w:color="auto"/>
              <w:left w:val="single" w:sz="4" w:space="0" w:color="000000"/>
              <w:bottom w:val="nil" w:sz="6" w:space="0" w:color="auto"/>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会第十三次会</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2" w:type="dxa"/>
            <w:tcBorders>
              <w:top w:val="nil" w:sz="6" w:space="0" w:color="auto"/>
              <w:left w:val="single" w:sz="4" w:space="0" w:color="000000"/>
              <w:bottom w:val="nil" w:sz="6" w:space="0" w:color="auto"/>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议审议通过了</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2" w:type="dxa"/>
            <w:tcBorders>
              <w:top w:val="nil" w:sz="6" w:space="0" w:color="auto"/>
              <w:left w:val="single" w:sz="4" w:space="0" w:color="000000"/>
              <w:bottom w:val="nil" w:sz="6" w:space="0" w:color="auto"/>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《关于使用剩</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2" w:type="dxa"/>
            <w:tcBorders>
              <w:top w:val="nil" w:sz="6" w:space="0" w:color="auto"/>
              <w:left w:val="single" w:sz="4" w:space="0" w:color="000000"/>
              <w:bottom w:val="nil" w:sz="6" w:space="0" w:color="auto"/>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余超募资金永</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2" w:type="dxa"/>
            <w:tcBorders>
              <w:top w:val="nil" w:sz="6" w:space="0" w:color="auto"/>
              <w:left w:val="single" w:sz="4" w:space="0" w:color="000000"/>
              <w:bottom w:val="nil" w:sz="6" w:space="0" w:color="auto"/>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久补充流动资</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2" w:type="dxa"/>
            <w:tcBorders>
              <w:top w:val="nil" w:sz="6" w:space="0" w:color="auto"/>
              <w:left w:val="single" w:sz="4" w:space="0" w:color="000000"/>
              <w:bottom w:val="nil" w:sz="6" w:space="0" w:color="auto"/>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pacing w:val="-5"/>
                <w:w w:val="101"/>
                <w:sz w:val="18"/>
                <w:szCs w:val="18"/>
              </w:rPr>
              <w:t>的</w:t>
            </w:r>
            <w:r>
              <w:rPr>
                <w:rFonts w:ascii="宋体" w:hAnsi="宋体" w:cs="宋体" w:eastAsia="宋体" w:hint="default"/>
                <w:w w:val="101"/>
                <w:sz w:val="18"/>
                <w:szCs w:val="18"/>
              </w:rPr>
              <w:t>议案</w:t>
            </w:r>
            <w:r>
              <w:rPr>
                <w:rFonts w:ascii="宋体" w:hAnsi="宋体" w:cs="宋体" w:eastAsia="宋体" w:hint="default"/>
                <w:spacing w:val="-96"/>
                <w:w w:val="101"/>
                <w:sz w:val="18"/>
                <w:szCs w:val="18"/>
              </w:rPr>
              <w:t>》</w:t>
            </w:r>
            <w:r>
              <w:rPr>
                <w:rFonts w:ascii="宋体" w:hAnsi="宋体" w:cs="宋体" w:eastAsia="宋体" w:hint="default"/>
                <w:w w:val="101"/>
                <w:sz w:val="18"/>
                <w:szCs w:val="18"/>
              </w:rPr>
              <w:t>，同</w:t>
            </w:r>
            <w:r>
              <w:rPr>
                <w:rFonts w:ascii="宋体" w:hAnsi="宋体" w:cs="宋体" w:eastAsia="宋体" w:hint="default"/>
                <w:sz w:val="18"/>
                <w:szCs w:val="18"/>
              </w:rPr>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2" w:type="dxa"/>
            <w:tcBorders>
              <w:top w:val="nil" w:sz="6" w:space="0" w:color="auto"/>
              <w:left w:val="single" w:sz="4" w:space="0" w:color="000000"/>
              <w:bottom w:val="nil" w:sz="6" w:space="0" w:color="auto"/>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意公司使用剩</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2" w:type="dxa"/>
            <w:tcBorders>
              <w:top w:val="nil" w:sz="6" w:space="0" w:color="auto"/>
              <w:left w:val="single" w:sz="4" w:space="0" w:color="000000"/>
              <w:bottom w:val="nil" w:sz="6" w:space="0" w:color="auto"/>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余超募资金共</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2" w:type="dxa"/>
            <w:tcBorders>
              <w:top w:val="nil" w:sz="6" w:space="0" w:color="auto"/>
              <w:left w:val="single" w:sz="4" w:space="0" w:color="000000"/>
              <w:bottom w:val="nil" w:sz="6" w:space="0" w:color="auto"/>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5,813.83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192" w:type="dxa"/>
            <w:tcBorders>
              <w:top w:val="nil" w:sz="6" w:space="0" w:color="auto"/>
              <w:left w:val="single" w:sz="4" w:space="0" w:color="000000"/>
              <w:bottom w:val="nil" w:sz="6" w:space="0" w:color="auto"/>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8"/>
                <w:sz w:val="18"/>
                <w:szCs w:val="18"/>
              </w:rPr>
              <w:t>元，其中剩余超</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2" w:type="dxa"/>
            <w:tcBorders>
              <w:top w:val="nil" w:sz="6" w:space="0" w:color="auto"/>
              <w:left w:val="single" w:sz="4" w:space="0" w:color="000000"/>
              <w:bottom w:val="nil" w:sz="6" w:space="0" w:color="auto"/>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募资金为</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1565" w:hRule="exact"/>
        </w:trPr>
        <w:tc>
          <w:tcPr>
            <w:tcW w:w="31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其他对公司中小股东所作承诺</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4,452.71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万元及</w:t>
            </w:r>
          </w:p>
          <w:p>
            <w:pPr>
              <w:pStyle w:val="TableParagraph"/>
              <w:spacing w:line="316" w:lineRule="auto" w:before="63"/>
              <w:ind w:left="23"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账户存续期间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产生的利息（截</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止至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日，超募</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30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日止</w:t>
            </w:r>
          </w:p>
        </w:tc>
        <w:tc>
          <w:tcPr>
            <w:tcW w:w="1267" w:type="dxa"/>
            <w:tcBorders>
              <w:top w:val="nil" w:sz="6" w:space="0" w:color="auto"/>
              <w:left w:val="single" w:sz="4" w:space="0" w:color="000000"/>
              <w:bottom w:val="nil" w:sz="6" w:space="0" w:color="auto"/>
              <w:right w:val="single" w:sz="4" w:space="0" w:color="000000"/>
            </w:tcBorders>
          </w:tcPr>
          <w:p>
            <w:pPr>
              <w:pStyle w:val="TableParagraph"/>
              <w:spacing w:line="319" w:lineRule="auto" w:before="145"/>
              <w:ind w:left="23" w:right="12"/>
              <w:jc w:val="left"/>
              <w:rPr>
                <w:rFonts w:ascii="宋体" w:hAnsi="宋体" w:cs="宋体" w:eastAsia="宋体" w:hint="default"/>
                <w:sz w:val="18"/>
                <w:szCs w:val="18"/>
              </w:rPr>
            </w:pPr>
            <w:r>
              <w:rPr>
                <w:rFonts w:ascii="宋体" w:hAnsi="宋体" w:cs="宋体" w:eastAsia="宋体" w:hint="default"/>
                <w:sz w:val="18"/>
                <w:szCs w:val="18"/>
              </w:rPr>
              <w:t>公司遵守了上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述承诺，未发现</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违反上述承诺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情况。</w:t>
            </w:r>
          </w:p>
        </w:tc>
      </w:tr>
      <w:tr>
        <w:trPr>
          <w:trHeight w:val="307" w:hRule="exact"/>
        </w:trPr>
        <w:tc>
          <w:tcPr>
            <w:tcW w:w="3192" w:type="dxa"/>
            <w:tcBorders>
              <w:top w:val="nil" w:sz="6" w:space="0" w:color="auto"/>
              <w:left w:val="single" w:sz="4" w:space="0" w:color="000000"/>
              <w:bottom w:val="nil" w:sz="6" w:space="0" w:color="auto"/>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资金账户里的</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2" w:type="dxa"/>
            <w:tcBorders>
              <w:top w:val="nil" w:sz="6" w:space="0" w:color="auto"/>
              <w:left w:val="single" w:sz="4" w:space="0" w:color="000000"/>
              <w:bottom w:val="nil" w:sz="6" w:space="0" w:color="auto"/>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利息总计为</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2" w:type="dxa"/>
            <w:tcBorders>
              <w:top w:val="nil" w:sz="6" w:space="0" w:color="auto"/>
              <w:left w:val="single" w:sz="4" w:space="0" w:color="000000"/>
              <w:bottom w:val="nil" w:sz="6" w:space="0" w:color="auto"/>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1,361.12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192" w:type="dxa"/>
            <w:tcBorders>
              <w:top w:val="nil" w:sz="6" w:space="0" w:color="auto"/>
              <w:left w:val="single" w:sz="4" w:space="0" w:color="000000"/>
              <w:bottom w:val="nil" w:sz="6" w:space="0" w:color="auto"/>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永久补充流动</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2" w:type="dxa"/>
            <w:tcBorders>
              <w:top w:val="nil" w:sz="6" w:space="0" w:color="auto"/>
              <w:left w:val="single" w:sz="4" w:space="0" w:color="000000"/>
              <w:bottom w:val="nil" w:sz="6" w:space="0" w:color="auto"/>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8"/>
                <w:sz w:val="18"/>
                <w:szCs w:val="18"/>
              </w:rPr>
              <w:t>资金。公司承诺</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2" w:type="dxa"/>
            <w:tcBorders>
              <w:top w:val="nil" w:sz="6" w:space="0" w:color="auto"/>
              <w:left w:val="single" w:sz="4" w:space="0" w:color="000000"/>
              <w:bottom w:val="nil" w:sz="6" w:space="0" w:color="auto"/>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最近十二个月</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2" w:type="dxa"/>
            <w:tcBorders>
              <w:top w:val="nil" w:sz="6" w:space="0" w:color="auto"/>
              <w:left w:val="single" w:sz="4" w:space="0" w:color="000000"/>
              <w:bottom w:val="nil" w:sz="6" w:space="0" w:color="auto"/>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内未进行证券</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2" w:type="dxa"/>
            <w:tcBorders>
              <w:top w:val="nil" w:sz="6" w:space="0" w:color="auto"/>
              <w:left w:val="single" w:sz="4" w:space="0" w:color="000000"/>
              <w:bottom w:val="nil" w:sz="6" w:space="0" w:color="auto"/>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投资等高风险</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2" w:type="dxa"/>
            <w:tcBorders>
              <w:top w:val="nil" w:sz="6" w:space="0" w:color="auto"/>
              <w:left w:val="single" w:sz="4" w:space="0" w:color="000000"/>
              <w:bottom w:val="nil" w:sz="6" w:space="0" w:color="auto"/>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8"/>
                <w:sz w:val="18"/>
                <w:szCs w:val="18"/>
              </w:rPr>
              <w:t>投资，并且自使</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2" w:type="dxa"/>
            <w:tcBorders>
              <w:top w:val="nil" w:sz="6" w:space="0" w:color="auto"/>
              <w:left w:val="single" w:sz="4" w:space="0" w:color="000000"/>
              <w:bottom w:val="nil" w:sz="6" w:space="0" w:color="auto"/>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用超募资金补</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2" w:type="dxa"/>
            <w:tcBorders>
              <w:top w:val="nil" w:sz="6" w:space="0" w:color="auto"/>
              <w:left w:val="single" w:sz="4" w:space="0" w:color="000000"/>
              <w:bottom w:val="nil" w:sz="6" w:space="0" w:color="auto"/>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充公司流动资</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2" w:type="dxa"/>
            <w:tcBorders>
              <w:top w:val="nil" w:sz="6" w:space="0" w:color="auto"/>
              <w:left w:val="single" w:sz="4" w:space="0" w:color="000000"/>
              <w:bottom w:val="nil" w:sz="6" w:space="0" w:color="auto"/>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金后十二个月</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2" w:type="dxa"/>
            <w:tcBorders>
              <w:top w:val="nil" w:sz="6" w:space="0" w:color="auto"/>
              <w:left w:val="single" w:sz="4" w:space="0" w:color="000000"/>
              <w:bottom w:val="nil" w:sz="6" w:space="0" w:color="auto"/>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内不进行证券</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67"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31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投资等高风险</w:t>
            </w: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67" w:type="dxa"/>
            <w:tcBorders>
              <w:top w:val="nil" w:sz="6" w:space="0" w:color="auto"/>
              <w:left w:val="single" w:sz="4" w:space="0" w:color="000000"/>
              <w:bottom w:val="single" w:sz="4" w:space="0" w:color="000000"/>
              <w:right w:val="single" w:sz="4" w:space="0" w:color="000000"/>
            </w:tcBorders>
          </w:tcPr>
          <w:p>
            <w:pPr/>
          </w:p>
        </w:tc>
      </w:tr>
    </w:tbl>
    <w:p>
      <w:pPr>
        <w:spacing w:after="0"/>
        <w:sectPr>
          <w:pgSz w:w="11900" w:h="16840"/>
          <w:pgMar w:header="742" w:footer="984"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2"/>
        <w:gridCol w:w="1277"/>
        <w:gridCol w:w="1277"/>
        <w:gridCol w:w="1277"/>
        <w:gridCol w:w="1277"/>
        <w:gridCol w:w="1267"/>
      </w:tblGrid>
      <w:tr>
        <w:trPr>
          <w:trHeight w:val="360"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未完成履行的具体原因及下一步计划</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37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4"/>
        <w:spacing w:line="312" w:lineRule="exact" w:before="32"/>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24"/>
        </w:rPr>
        <w:t> </w:t>
      </w:r>
      <w:r>
        <w:rPr>
          <w:spacing w:val="24"/>
        </w:rPr>
      </w:r>
      <w:r>
        <w:rPr/>
        <w:t>其原因做出说明</w:t>
      </w:r>
      <w:r>
        <w:rPr>
          <w:b w:val="0"/>
          <w:bCs w:val="0"/>
        </w:rPr>
      </w:r>
    </w:p>
    <w:p>
      <w:pPr>
        <w:spacing w:line="240" w:lineRule="auto" w:before="5"/>
        <w:rPr>
          <w:rFonts w:ascii="Microsoft JhengHei" w:hAnsi="Microsoft JhengHei" w:cs="Microsoft JhengHei" w:eastAsia="Microsoft JhengHei" w:hint="default"/>
          <w:b/>
          <w:bCs/>
          <w:sz w:val="22"/>
          <w:szCs w:val="22"/>
        </w:rPr>
      </w:pPr>
    </w:p>
    <w:p>
      <w:pPr>
        <w:pStyle w:val="BodyText"/>
        <w:spacing w:line="240" w:lineRule="auto"/>
        <w:ind w:left="575" w:right="0"/>
        <w:jc w:val="left"/>
      </w:pPr>
      <w:r>
        <w:rPr/>
        <w:t>□ 适用 √</w:t>
      </w:r>
      <w:r>
        <w:rPr>
          <w:spacing w:val="3"/>
        </w:rPr>
        <w:t> </w:t>
      </w:r>
      <w:r>
        <w:rPr/>
        <w:t>不适用</w:t>
      </w:r>
    </w:p>
    <w:p>
      <w:pPr>
        <w:spacing w:line="240" w:lineRule="auto" w:before="4"/>
        <w:rPr>
          <w:rFonts w:ascii="宋体" w:hAnsi="宋体" w:cs="宋体" w:eastAsia="宋体" w:hint="default"/>
          <w:sz w:val="23"/>
          <w:szCs w:val="23"/>
        </w:rPr>
      </w:pPr>
    </w:p>
    <w:p>
      <w:pPr>
        <w:pStyle w:val="Heading3"/>
        <w:spacing w:line="240" w:lineRule="auto"/>
        <w:ind w:right="0"/>
        <w:jc w:val="left"/>
        <w:rPr>
          <w:b w:val="0"/>
          <w:bCs w:val="0"/>
        </w:rPr>
      </w:pPr>
      <w:r>
        <w:rPr/>
        <w:t>九、聘任、解聘会计师事务所情况</w:t>
      </w:r>
      <w:r>
        <w:rPr>
          <w:b w:val="0"/>
          <w:bCs w:val="0"/>
        </w:rPr>
      </w:r>
    </w:p>
    <w:p>
      <w:pPr>
        <w:spacing w:line="240" w:lineRule="auto" w:before="17"/>
        <w:rPr>
          <w:rFonts w:ascii="Microsoft JhengHei" w:hAnsi="Microsoft JhengHei" w:cs="Microsoft JhengHei" w:eastAsia="Microsoft JhengHei" w:hint="default"/>
          <w:b/>
          <w:bCs/>
          <w:sz w:val="17"/>
          <w:szCs w:val="17"/>
        </w:rPr>
      </w:pPr>
    </w:p>
    <w:p>
      <w:pPr>
        <w:pStyle w:val="Heading4"/>
        <w:spacing w:line="240" w:lineRule="auto"/>
        <w:ind w:left="575" w:right="0"/>
        <w:jc w:val="left"/>
        <w:rPr>
          <w:b w:val="0"/>
          <w:bCs w:val="0"/>
        </w:rPr>
      </w:pPr>
      <w:r>
        <w:rPr/>
        <w:t>现聘任的会计事务所</w:t>
      </w:r>
      <w:r>
        <w:rPr>
          <w:b w:val="0"/>
          <w:bCs w:val="0"/>
        </w:rPr>
      </w:r>
    </w:p>
    <w:p>
      <w:pPr>
        <w:spacing w:line="240" w:lineRule="auto" w:before="1"/>
        <w:rPr>
          <w:rFonts w:ascii="Microsoft JhengHei" w:hAnsi="Microsoft JhengHei" w:cs="Microsoft JhengHei" w:eastAsia="Microsoft JhengHei" w:hint="default"/>
          <w:b/>
          <w:bCs/>
          <w:sz w:val="6"/>
          <w:szCs w:val="6"/>
        </w:rPr>
      </w:pPr>
    </w:p>
    <w:tbl>
      <w:tblPr>
        <w:tblW w:w="0" w:type="auto"/>
        <w:jc w:val="left"/>
        <w:tblInd w:w="148" w:type="dxa"/>
        <w:tblLayout w:type="fixed"/>
        <w:tblCellMar>
          <w:top w:w="0" w:type="dxa"/>
          <w:left w:w="0" w:type="dxa"/>
          <w:bottom w:w="0" w:type="dxa"/>
          <w:right w:w="0" w:type="dxa"/>
        </w:tblCellMar>
        <w:tblLook w:val="01E0"/>
      </w:tblPr>
      <w:tblGrid>
        <w:gridCol w:w="3888"/>
        <w:gridCol w:w="5678"/>
      </w:tblGrid>
      <w:tr>
        <w:trPr>
          <w:trHeight w:val="403" w:hRule="exact"/>
        </w:trPr>
        <w:tc>
          <w:tcPr>
            <w:tcW w:w="3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
              <w:jc w:val="center"/>
              <w:rPr>
                <w:rFonts w:ascii="Times New Roman" w:hAnsi="Times New Roman" w:cs="Times New Roman" w:eastAsia="Times New Roman" w:hint="default"/>
                <w:sz w:val="18"/>
                <w:szCs w:val="18"/>
              </w:rPr>
            </w:pPr>
            <w:r>
              <w:rPr>
                <w:rFonts w:ascii="宋体" w:hAnsi="宋体" w:cs="宋体" w:eastAsia="宋体" w:hint="default"/>
                <w:spacing w:val="-3"/>
                <w:sz w:val="18"/>
                <w:szCs w:val="18"/>
              </w:rPr>
              <w:t>众华会计师事务所（特殊普通合伙</w:t>
            </w:r>
            <w:r>
              <w:rPr>
                <w:rFonts w:ascii="Times New Roman" w:hAnsi="Times New Roman" w:cs="Times New Roman" w:eastAsia="Times New Roman" w:hint="default"/>
                <w:spacing w:val="-3"/>
                <w:sz w:val="18"/>
                <w:szCs w:val="18"/>
              </w:rPr>
              <w:t>)</w:t>
            </w:r>
          </w:p>
        </w:tc>
      </w:tr>
      <w:tr>
        <w:trPr>
          <w:trHeight w:val="398" w:hRule="exact"/>
        </w:trPr>
        <w:tc>
          <w:tcPr>
            <w:tcW w:w="3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境内会计师事务所报酬（万元）</w:t>
            </w:r>
          </w:p>
        </w:tc>
        <w:tc>
          <w:tcPr>
            <w:tcW w:w="5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z w:val="18"/>
              </w:rPr>
              <w:t>50</w:t>
            </w:r>
          </w:p>
        </w:tc>
      </w:tr>
      <w:tr>
        <w:trPr>
          <w:trHeight w:val="403" w:hRule="exact"/>
        </w:trPr>
        <w:tc>
          <w:tcPr>
            <w:tcW w:w="3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境内会计师事务所审计服务的连续年限</w:t>
            </w:r>
          </w:p>
        </w:tc>
        <w:tc>
          <w:tcPr>
            <w:tcW w:w="5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r>
      <w:tr>
        <w:trPr>
          <w:trHeight w:val="403" w:hRule="exact"/>
        </w:trPr>
        <w:tc>
          <w:tcPr>
            <w:tcW w:w="3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境内会计师事务所注册会计师姓名</w:t>
            </w:r>
          </w:p>
        </w:tc>
        <w:tc>
          <w:tcPr>
            <w:tcW w:w="5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pacing w:val="-3"/>
                <w:sz w:val="18"/>
                <w:szCs w:val="18"/>
              </w:rPr>
              <w:t>陆士敏、蒯薏苡</w:t>
            </w:r>
          </w:p>
        </w:tc>
      </w:tr>
    </w:tbl>
    <w:p>
      <w:pPr>
        <w:pStyle w:val="Heading4"/>
        <w:spacing w:line="240" w:lineRule="auto"/>
        <w:ind w:left="575" w:right="0"/>
        <w:jc w:val="left"/>
        <w:rPr>
          <w:b w:val="0"/>
          <w:bCs w:val="0"/>
        </w:rPr>
      </w:pPr>
      <w:r>
        <w:rPr/>
        <w:t>是否改聘会计师事务所</w:t>
      </w:r>
      <w:r>
        <w:rPr>
          <w:b w:val="0"/>
          <w:bCs w:val="0"/>
        </w:rPr>
      </w:r>
    </w:p>
    <w:p>
      <w:pPr>
        <w:pStyle w:val="BodyText"/>
        <w:spacing w:line="240" w:lineRule="auto" w:before="167"/>
        <w:ind w:left="575" w:right="0"/>
        <w:jc w:val="left"/>
      </w:pPr>
      <w:r>
        <w:rPr/>
        <w:t>□ 是 √</w:t>
      </w:r>
      <w:r>
        <w:rPr>
          <w:spacing w:val="4"/>
        </w:rPr>
        <w:t> </w:t>
      </w:r>
      <w:r>
        <w:rPr/>
        <w:t>否</w:t>
      </w:r>
    </w:p>
    <w:p>
      <w:pPr>
        <w:spacing w:line="240" w:lineRule="auto" w:before="0"/>
        <w:rPr>
          <w:rFonts w:ascii="宋体" w:hAnsi="宋体" w:cs="宋体" w:eastAsia="宋体" w:hint="default"/>
          <w:sz w:val="20"/>
          <w:szCs w:val="20"/>
        </w:rPr>
      </w:pPr>
    </w:p>
    <w:p>
      <w:pPr>
        <w:pStyle w:val="Heading3"/>
        <w:spacing w:line="180" w:lineRule="auto" w:before="137"/>
        <w:ind w:right="0"/>
        <w:jc w:val="left"/>
        <w:rPr>
          <w:b w:val="0"/>
          <w:bCs w:val="0"/>
        </w:rPr>
      </w:pPr>
      <w:r>
        <w:rPr/>
        <w:t>十、上市公司及其董事、监事、高级管理人员、公司股东、实际控制人和收购人处罚及整改</w:t>
      </w:r>
      <w:r>
        <w:rPr>
          <w:spacing w:val="-31"/>
        </w:rPr>
        <w:t> </w:t>
      </w:r>
      <w:r>
        <w:rPr>
          <w:spacing w:val="-31"/>
        </w:rPr>
      </w:r>
      <w:r>
        <w:rPr/>
        <w:t>情况</w:t>
      </w:r>
      <w:r>
        <w:rPr>
          <w:b w:val="0"/>
          <w:bCs w:val="0"/>
        </w:rPr>
      </w:r>
    </w:p>
    <w:p>
      <w:pPr>
        <w:spacing w:line="240" w:lineRule="auto" w:before="12"/>
        <w:rPr>
          <w:rFonts w:ascii="Microsoft JhengHei" w:hAnsi="Microsoft JhengHei" w:cs="Microsoft JhengHei" w:eastAsia="Microsoft JhengHei" w:hint="default"/>
          <w:b/>
          <w:bCs/>
          <w:sz w:val="22"/>
          <w:szCs w:val="22"/>
        </w:rPr>
      </w:pPr>
    </w:p>
    <w:p>
      <w:pPr>
        <w:pStyle w:val="BodyText"/>
        <w:spacing w:line="240" w:lineRule="auto"/>
        <w:ind w:left="575" w:right="0"/>
        <w:jc w:val="left"/>
      </w:pPr>
      <w:r>
        <w:rPr/>
        <w:t>□ 适用 √</w:t>
      </w:r>
      <w:r>
        <w:rPr>
          <w:spacing w:val="3"/>
        </w:rPr>
        <w:t> </w:t>
      </w:r>
      <w:r>
        <w:rPr/>
        <w:t>不适用</w:t>
      </w:r>
    </w:p>
    <w:p>
      <w:pPr>
        <w:pStyle w:val="Heading4"/>
        <w:spacing w:line="240" w:lineRule="auto" w:before="128"/>
        <w:ind w:left="575" w:right="0"/>
        <w:jc w:val="left"/>
        <w:rPr>
          <w:b w:val="0"/>
          <w:bCs w:val="0"/>
        </w:rPr>
      </w:pPr>
      <w:r>
        <w:rPr/>
        <w:t>上市公司及其子公司是否被列入环保部门公布的污染严重企业名单</w:t>
      </w:r>
      <w:r>
        <w:rPr>
          <w:b w:val="0"/>
          <w:bCs w:val="0"/>
        </w:rPr>
      </w:r>
    </w:p>
    <w:p>
      <w:pPr>
        <w:pStyle w:val="BodyText"/>
        <w:spacing w:line="240" w:lineRule="auto" w:before="167"/>
        <w:ind w:left="575" w:right="0"/>
        <w:jc w:val="left"/>
      </w:pPr>
      <w:r>
        <w:rPr/>
        <w:t>□ 是 √ 否 □</w:t>
      </w:r>
      <w:r>
        <w:rPr>
          <w:spacing w:val="-1"/>
        </w:rPr>
        <w:t> </w:t>
      </w:r>
      <w:r>
        <w:rPr/>
        <w:t>不适用</w:t>
      </w:r>
    </w:p>
    <w:p>
      <w:pPr>
        <w:pStyle w:val="Heading4"/>
        <w:spacing w:line="240" w:lineRule="auto" w:before="128"/>
        <w:ind w:left="575" w:right="0"/>
        <w:jc w:val="left"/>
        <w:rPr>
          <w:b w:val="0"/>
          <w:bCs w:val="0"/>
        </w:rPr>
      </w:pPr>
      <w:r>
        <w:rPr/>
        <w:t>上市公司及其子公司是否存在其他重大社会安全问题</w:t>
      </w:r>
      <w:r>
        <w:rPr>
          <w:b w:val="0"/>
          <w:bCs w:val="0"/>
        </w:rPr>
      </w:r>
    </w:p>
    <w:p>
      <w:pPr>
        <w:pStyle w:val="BodyText"/>
        <w:spacing w:line="240" w:lineRule="auto" w:before="167"/>
        <w:ind w:left="575" w:right="0"/>
        <w:jc w:val="left"/>
      </w:pPr>
      <w:r>
        <w:rPr/>
        <w:t>□ 是 √ 否 □</w:t>
      </w:r>
      <w:r>
        <w:rPr>
          <w:spacing w:val="-1"/>
        </w:rPr>
        <w:t> </w:t>
      </w:r>
      <w:r>
        <w:rPr/>
        <w:t>不适用</w:t>
      </w:r>
    </w:p>
    <w:p>
      <w:pPr>
        <w:pStyle w:val="Heading4"/>
        <w:spacing w:line="240" w:lineRule="auto" w:before="128"/>
        <w:ind w:left="575" w:right="0"/>
        <w:jc w:val="left"/>
        <w:rPr>
          <w:b w:val="0"/>
          <w:bCs w:val="0"/>
        </w:rPr>
      </w:pPr>
      <w:r>
        <w:rPr/>
        <w:t>报告期内是否被行政处罚</w:t>
      </w:r>
      <w:r>
        <w:rPr>
          <w:b w:val="0"/>
          <w:bCs w:val="0"/>
        </w:rPr>
      </w:r>
    </w:p>
    <w:p>
      <w:pPr>
        <w:pStyle w:val="BodyText"/>
        <w:spacing w:line="240" w:lineRule="auto" w:before="167"/>
        <w:ind w:left="575" w:right="0"/>
        <w:jc w:val="left"/>
      </w:pPr>
      <w:r>
        <w:rPr/>
        <w:t>□ 是 √ 否 □</w:t>
      </w:r>
      <w:r>
        <w:rPr>
          <w:spacing w:val="-1"/>
        </w:rPr>
        <w:t> </w:t>
      </w:r>
      <w:r>
        <w:rPr/>
        <w:t>不适用</w:t>
      </w:r>
    </w:p>
    <w:p>
      <w:pPr>
        <w:spacing w:line="240" w:lineRule="auto" w:before="9"/>
        <w:rPr>
          <w:rFonts w:ascii="宋体" w:hAnsi="宋体" w:cs="宋体" w:eastAsia="宋体" w:hint="default"/>
          <w:sz w:val="23"/>
          <w:szCs w:val="23"/>
        </w:rPr>
      </w:pPr>
    </w:p>
    <w:p>
      <w:pPr>
        <w:pStyle w:val="Heading3"/>
        <w:spacing w:line="240" w:lineRule="auto"/>
        <w:ind w:right="0"/>
        <w:jc w:val="left"/>
        <w:rPr>
          <w:b w:val="0"/>
          <w:bCs w:val="0"/>
        </w:rPr>
      </w:pPr>
      <w:r>
        <w:rPr/>
        <w:t>十一、公司股东及其一致行动人在报告期提出或实施股份增持计划的情况</w:t>
      </w:r>
      <w:r>
        <w:rPr>
          <w:b w:val="0"/>
          <w:bCs w:val="0"/>
        </w:rPr>
      </w:r>
    </w:p>
    <w:p>
      <w:pPr>
        <w:spacing w:line="240" w:lineRule="auto" w:before="15"/>
        <w:rPr>
          <w:rFonts w:ascii="Microsoft JhengHei" w:hAnsi="Microsoft JhengHei" w:cs="Microsoft JhengHei" w:eastAsia="Microsoft JhengHei" w:hint="default"/>
          <w:b/>
          <w:bCs/>
          <w:sz w:val="21"/>
          <w:szCs w:val="21"/>
        </w:rPr>
      </w:pPr>
    </w:p>
    <w:p>
      <w:pPr>
        <w:pStyle w:val="BodyText"/>
        <w:spacing w:line="410" w:lineRule="auto"/>
        <w:ind w:left="575" w:right="1568"/>
        <w:jc w:val="left"/>
      </w:pPr>
      <w:r>
        <w:rPr/>
        <w:t>□ 适用 √ 不适用</w:t>
      </w:r>
      <w:r>
        <w:rPr>
          <w:spacing w:val="-102"/>
        </w:rPr>
        <w:t> </w:t>
      </w:r>
      <w:r>
        <w:rPr>
          <w:spacing w:val="-102"/>
        </w:rPr>
      </w:r>
      <w:r>
        <w:rPr>
          <w:spacing w:val="-2"/>
        </w:rPr>
        <w:t>公司股东及其一致行动人在报告期内未提出或实施股份增持计划。</w:t>
      </w:r>
    </w:p>
    <w:p>
      <w:pPr>
        <w:spacing w:after="0" w:line="410" w:lineRule="auto"/>
        <w:jc w:val="left"/>
        <w:sectPr>
          <w:pgSz w:w="11900" w:h="16840"/>
          <w:pgMar w:header="742" w:footer="984" w:top="1060" w:bottom="1180" w:left="980" w:right="980"/>
        </w:sectPr>
      </w:pPr>
    </w:p>
    <w:p>
      <w:pPr>
        <w:spacing w:line="240" w:lineRule="auto" w:before="10"/>
        <w:rPr>
          <w:rFonts w:ascii="宋体" w:hAnsi="宋体" w:cs="宋体" w:eastAsia="宋体" w:hint="default"/>
          <w:sz w:val="23"/>
          <w:szCs w:val="23"/>
        </w:rPr>
      </w:pPr>
    </w:p>
    <w:p>
      <w:pPr>
        <w:pStyle w:val="Heading3"/>
        <w:spacing w:line="367" w:lineRule="exact"/>
        <w:ind w:right="0"/>
        <w:jc w:val="left"/>
        <w:rPr>
          <w:b w:val="0"/>
          <w:bCs w:val="0"/>
        </w:rPr>
      </w:pPr>
      <w:r>
        <w:rPr/>
        <w:t>十二、董事、监事、高级管理人员、持股</w:t>
      </w:r>
      <w:r>
        <w:rPr>
          <w:spacing w:val="24"/>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15"/>
        <w:rPr>
          <w:rFonts w:ascii="Microsoft JhengHei" w:hAnsi="Microsoft JhengHei" w:cs="Microsoft JhengHei" w:eastAsia="Microsoft JhengHei" w:hint="default"/>
          <w:b/>
          <w:bCs/>
          <w:sz w:val="21"/>
          <w:szCs w:val="21"/>
        </w:rPr>
      </w:pPr>
    </w:p>
    <w:p>
      <w:pPr>
        <w:pStyle w:val="BodyText"/>
        <w:spacing w:line="240" w:lineRule="auto"/>
        <w:ind w:left="575" w:right="0"/>
        <w:jc w:val="left"/>
      </w:pPr>
      <w:r>
        <w:rPr/>
        <w:t>□ 适用 √</w:t>
      </w:r>
      <w:r>
        <w:rPr>
          <w:spacing w:val="3"/>
        </w:rPr>
        <w:t> </w:t>
      </w:r>
      <w:r>
        <w:rPr/>
        <w:t>不适用</w:t>
      </w:r>
    </w:p>
    <w:p>
      <w:pPr>
        <w:spacing w:line="240" w:lineRule="auto" w:before="4"/>
        <w:rPr>
          <w:rFonts w:ascii="宋体" w:hAnsi="宋体" w:cs="宋体" w:eastAsia="宋体" w:hint="default"/>
          <w:sz w:val="23"/>
          <w:szCs w:val="23"/>
        </w:rPr>
      </w:pPr>
    </w:p>
    <w:p>
      <w:pPr>
        <w:pStyle w:val="Heading3"/>
        <w:spacing w:line="240" w:lineRule="auto"/>
        <w:ind w:right="0"/>
        <w:jc w:val="left"/>
        <w:rPr>
          <w:b w:val="0"/>
          <w:bCs w:val="0"/>
        </w:rPr>
      </w:pPr>
      <w:r>
        <w:rPr/>
        <w:t>十三、年度报告披露后面临暂停上市和终止上市情况</w:t>
      </w:r>
      <w:r>
        <w:rPr>
          <w:b w:val="0"/>
          <w:bCs w:val="0"/>
        </w:rPr>
      </w:r>
    </w:p>
    <w:p>
      <w:pPr>
        <w:spacing w:line="240" w:lineRule="auto" w:before="2"/>
        <w:rPr>
          <w:rFonts w:ascii="Microsoft JhengHei" w:hAnsi="Microsoft JhengHei" w:cs="Microsoft JhengHei" w:eastAsia="Microsoft JhengHei" w:hint="default"/>
          <w:b/>
          <w:bCs/>
          <w:sz w:val="22"/>
          <w:szCs w:val="22"/>
        </w:rPr>
      </w:pPr>
    </w:p>
    <w:p>
      <w:pPr>
        <w:pStyle w:val="BodyText"/>
        <w:spacing w:line="240" w:lineRule="auto"/>
        <w:ind w:left="575" w:right="0"/>
        <w:jc w:val="left"/>
      </w:pPr>
      <w:r>
        <w:rPr/>
        <w:t>□ 适用 √</w:t>
      </w:r>
      <w:r>
        <w:rPr>
          <w:spacing w:val="3"/>
        </w:rPr>
        <w:t> </w:t>
      </w:r>
      <w:r>
        <w:rPr/>
        <w:t>不适用</w:t>
      </w:r>
    </w:p>
    <w:p>
      <w:pPr>
        <w:spacing w:line="240" w:lineRule="auto" w:before="4"/>
        <w:rPr>
          <w:rFonts w:ascii="宋体" w:hAnsi="宋体" w:cs="宋体" w:eastAsia="宋体" w:hint="default"/>
          <w:sz w:val="23"/>
          <w:szCs w:val="23"/>
        </w:rPr>
      </w:pPr>
    </w:p>
    <w:p>
      <w:pPr>
        <w:pStyle w:val="Heading3"/>
        <w:spacing w:line="240" w:lineRule="auto"/>
        <w:ind w:right="0"/>
        <w:jc w:val="left"/>
        <w:rPr>
          <w:b w:val="0"/>
          <w:bCs w:val="0"/>
        </w:rPr>
      </w:pPr>
      <w:r>
        <w:rPr/>
        <w:t>十四、其他重大事项的说明</w:t>
      </w:r>
      <w:r>
        <w:rPr>
          <w:b w:val="0"/>
          <w:bCs w:val="0"/>
        </w:rPr>
      </w:r>
    </w:p>
    <w:p>
      <w:pPr>
        <w:spacing w:line="240" w:lineRule="auto" w:before="15"/>
        <w:rPr>
          <w:rFonts w:ascii="Microsoft JhengHei" w:hAnsi="Microsoft JhengHei" w:cs="Microsoft JhengHei" w:eastAsia="Microsoft JhengHei" w:hint="default"/>
          <w:b/>
          <w:bCs/>
          <w:sz w:val="21"/>
          <w:szCs w:val="21"/>
        </w:rPr>
      </w:pPr>
    </w:p>
    <w:p>
      <w:pPr>
        <w:pStyle w:val="BodyText"/>
        <w:spacing w:line="240" w:lineRule="auto"/>
        <w:ind w:left="575" w:right="0"/>
        <w:jc w:val="left"/>
      </w:pPr>
      <w:r>
        <w:rPr/>
        <w:t>√ 适用 □</w:t>
      </w:r>
      <w:r>
        <w:rPr>
          <w:spacing w:val="3"/>
        </w:rPr>
        <w:t> </w:t>
      </w:r>
      <w:r>
        <w:rPr/>
        <w:t>不适用</w:t>
      </w:r>
    </w:p>
    <w:p>
      <w:pPr>
        <w:spacing w:line="240" w:lineRule="auto" w:before="12"/>
        <w:rPr>
          <w:rFonts w:ascii="宋体" w:hAnsi="宋体" w:cs="宋体" w:eastAsia="宋体" w:hint="default"/>
          <w:sz w:val="14"/>
          <w:szCs w:val="14"/>
        </w:rPr>
      </w:pPr>
    </w:p>
    <w:p>
      <w:pPr>
        <w:pStyle w:val="BodyText"/>
        <w:spacing w:line="240" w:lineRule="auto"/>
        <w:ind w:left="575" w:right="0"/>
        <w:jc w:val="left"/>
      </w:pPr>
      <w:r>
        <w:rPr>
          <w:rFonts w:ascii="Arial" w:hAnsi="Arial" w:cs="Arial" w:eastAsia="Arial" w:hint="default"/>
        </w:rPr>
        <w:t>2013</w:t>
      </w:r>
      <w:r>
        <w:rPr>
          <w:rFonts w:ascii="Arial" w:hAnsi="Arial" w:cs="Arial" w:eastAsia="Arial" w:hint="default"/>
          <w:spacing w:val="3"/>
        </w:rPr>
        <w:t> </w:t>
      </w:r>
      <w:r>
        <w:rPr/>
        <w:t>年</w:t>
      </w:r>
      <w:r>
        <w:rPr>
          <w:spacing w:val="-41"/>
        </w:rPr>
        <w:t> </w:t>
      </w:r>
      <w:r>
        <w:rPr>
          <w:rFonts w:ascii="Arial" w:hAnsi="Arial" w:cs="Arial" w:eastAsia="Arial" w:hint="default"/>
          <w:spacing w:val="-9"/>
        </w:rPr>
        <w:t>11</w:t>
      </w:r>
      <w:r>
        <w:rPr>
          <w:rFonts w:ascii="Arial" w:hAnsi="Arial" w:cs="Arial" w:eastAsia="Arial" w:hint="default"/>
          <w:spacing w:val="3"/>
        </w:rPr>
        <w:t> </w:t>
      </w:r>
      <w:r>
        <w:rPr/>
        <w:t>月</w:t>
      </w:r>
      <w:r>
        <w:rPr>
          <w:spacing w:val="-36"/>
        </w:rPr>
        <w:t> </w:t>
      </w:r>
      <w:r>
        <w:rPr>
          <w:rFonts w:ascii="Arial" w:hAnsi="Arial" w:cs="Arial" w:eastAsia="Arial" w:hint="default"/>
        </w:rPr>
        <w:t>18</w:t>
      </w:r>
      <w:r>
        <w:rPr>
          <w:rFonts w:ascii="Arial" w:hAnsi="Arial" w:cs="Arial" w:eastAsia="Arial" w:hint="default"/>
          <w:spacing w:val="3"/>
        </w:rPr>
        <w:t> </w:t>
      </w:r>
      <w:r>
        <w:rPr/>
        <w:t>日公司召开了第二届董事会第十六次会议，会议审议通过了《关于授权董事会组织</w:t>
      </w:r>
    </w:p>
    <w:p>
      <w:pPr>
        <w:pStyle w:val="BodyText"/>
        <w:spacing w:line="240" w:lineRule="auto" w:before="176"/>
        <w:ind w:right="0"/>
        <w:jc w:val="left"/>
      </w:pPr>
      <w:r>
        <w:rPr>
          <w:w w:val="100"/>
        </w:rPr>
        <w:t>开展烟台</w:t>
      </w:r>
      <w:r>
        <w:rPr>
          <w:spacing w:val="-5"/>
          <w:w w:val="100"/>
        </w:rPr>
        <w:t>化</w:t>
      </w:r>
      <w:r>
        <w:rPr>
          <w:w w:val="100"/>
        </w:rPr>
        <w:t>工原料</w:t>
      </w:r>
      <w:r>
        <w:rPr>
          <w:spacing w:val="-5"/>
          <w:w w:val="100"/>
        </w:rPr>
        <w:t>项</w:t>
      </w:r>
      <w:r>
        <w:rPr>
          <w:w w:val="100"/>
        </w:rPr>
        <w:t>目前期</w:t>
      </w:r>
      <w:r>
        <w:rPr>
          <w:spacing w:val="-5"/>
          <w:w w:val="100"/>
        </w:rPr>
        <w:t>相</w:t>
      </w:r>
      <w:r>
        <w:rPr>
          <w:w w:val="100"/>
        </w:rPr>
        <w:t>关工作</w:t>
      </w:r>
      <w:r>
        <w:rPr>
          <w:spacing w:val="-5"/>
          <w:w w:val="100"/>
        </w:rPr>
        <w:t>的</w:t>
      </w:r>
      <w:r>
        <w:rPr>
          <w:w w:val="100"/>
        </w:rPr>
        <w:t>议案</w:t>
      </w:r>
      <w:r>
        <w:rPr>
          <w:spacing w:val="-106"/>
          <w:w w:val="100"/>
        </w:rPr>
        <w:t>》</w:t>
      </w:r>
      <w:r>
        <w:rPr>
          <w:spacing w:val="-5"/>
          <w:w w:val="100"/>
        </w:rPr>
        <w:t>，</w:t>
      </w:r>
      <w:r>
        <w:rPr>
          <w:w w:val="100"/>
        </w:rPr>
        <w:t>公</w:t>
      </w:r>
      <w:r>
        <w:rPr>
          <w:spacing w:val="-5"/>
          <w:w w:val="100"/>
        </w:rPr>
        <w:t>司</w:t>
      </w:r>
      <w:r>
        <w:rPr>
          <w:w w:val="100"/>
        </w:rPr>
        <w:t>拟投资</w:t>
      </w:r>
      <w:r>
        <w:rPr>
          <w:spacing w:val="-5"/>
        </w:rPr>
        <w:t> </w:t>
      </w:r>
      <w:r>
        <w:rPr>
          <w:rFonts w:ascii="Arial" w:hAnsi="Arial" w:cs="Arial" w:eastAsia="Arial" w:hint="default"/>
          <w:spacing w:val="-3"/>
          <w:w w:val="100"/>
        </w:rPr>
        <w:t>50</w:t>
      </w:r>
      <w:r>
        <w:rPr>
          <w:rFonts w:ascii="Arial" w:hAnsi="Arial" w:cs="Arial" w:eastAsia="Arial" w:hint="default"/>
          <w:spacing w:val="-2"/>
          <w:w w:val="100"/>
        </w:rPr>
        <w:t>,</w:t>
      </w:r>
      <w:r>
        <w:rPr>
          <w:rFonts w:ascii="Arial" w:hAnsi="Arial" w:cs="Arial" w:eastAsia="Arial" w:hint="default"/>
          <w:spacing w:val="-3"/>
          <w:w w:val="100"/>
        </w:rPr>
        <w:t>000</w:t>
      </w:r>
      <w:r>
        <w:rPr>
          <w:rFonts w:ascii="Arial" w:hAnsi="Arial" w:cs="Arial" w:eastAsia="Arial" w:hint="default"/>
          <w:spacing w:val="-2"/>
          <w:w w:val="100"/>
        </w:rPr>
        <w:t>.</w:t>
      </w:r>
      <w:r>
        <w:rPr>
          <w:rFonts w:ascii="Arial" w:hAnsi="Arial" w:cs="Arial" w:eastAsia="Arial" w:hint="default"/>
          <w:spacing w:val="-3"/>
          <w:w w:val="100"/>
        </w:rPr>
        <w:t>0</w:t>
      </w:r>
      <w:r>
        <w:rPr>
          <w:rFonts w:ascii="Arial" w:hAnsi="Arial" w:cs="Arial" w:eastAsia="Arial" w:hint="default"/>
          <w:w w:val="100"/>
        </w:rPr>
        <w:t>0</w:t>
      </w:r>
      <w:r>
        <w:rPr>
          <w:rFonts w:ascii="Arial" w:hAnsi="Arial" w:cs="Arial" w:eastAsia="Arial" w:hint="default"/>
        </w:rPr>
        <w:t> </w:t>
      </w:r>
      <w:r>
        <w:rPr>
          <w:rFonts w:ascii="Arial" w:hAnsi="Arial" w:cs="Arial" w:eastAsia="Arial" w:hint="default"/>
          <w:spacing w:val="-19"/>
        </w:rPr>
        <w:t> </w:t>
      </w:r>
      <w:r>
        <w:rPr>
          <w:w w:val="100"/>
        </w:rPr>
        <w:t>万元建设烟台化工原</w:t>
      </w:r>
      <w:r>
        <w:rPr>
          <w:spacing w:val="-5"/>
          <w:w w:val="100"/>
        </w:rPr>
        <w:t>料</w:t>
      </w:r>
      <w:r>
        <w:rPr>
          <w:w w:val="100"/>
        </w:rPr>
        <w:t>项目，</w:t>
      </w:r>
      <w:r>
        <w:rPr>
          <w:spacing w:val="-5"/>
          <w:w w:val="100"/>
        </w:rPr>
        <w:t>公</w:t>
      </w:r>
      <w:r>
        <w:rPr>
          <w:w w:val="100"/>
        </w:rPr>
        <w:t>司</w:t>
      </w:r>
    </w:p>
    <w:p>
      <w:pPr>
        <w:pStyle w:val="BodyText"/>
        <w:spacing w:line="240" w:lineRule="auto" w:before="180"/>
        <w:ind w:right="0"/>
        <w:jc w:val="left"/>
      </w:pPr>
      <w:r>
        <w:rPr>
          <w:w w:val="100"/>
        </w:rPr>
        <w:t>于</w:t>
      </w:r>
      <w:r>
        <w:rPr>
          <w:spacing w:val="-53"/>
        </w:rPr>
        <w:t> </w:t>
      </w:r>
      <w:r>
        <w:rPr>
          <w:rFonts w:ascii="Arial" w:hAnsi="Arial" w:cs="Arial" w:eastAsia="Arial" w:hint="default"/>
          <w:spacing w:val="-3"/>
          <w:w w:val="100"/>
        </w:rPr>
        <w:t>201</w:t>
      </w:r>
      <w:r>
        <w:rPr>
          <w:rFonts w:ascii="Arial" w:hAnsi="Arial" w:cs="Arial" w:eastAsia="Arial" w:hint="default"/>
          <w:w w:val="100"/>
        </w:rPr>
        <w:t>3</w:t>
      </w:r>
      <w:r>
        <w:rPr>
          <w:rFonts w:ascii="Arial" w:hAnsi="Arial" w:cs="Arial" w:eastAsia="Arial" w:hint="default"/>
          <w:spacing w:val="-9"/>
        </w:rPr>
        <w:t> </w:t>
      </w:r>
      <w:r>
        <w:rPr>
          <w:w w:val="100"/>
        </w:rPr>
        <w:t>年</w:t>
      </w:r>
      <w:r>
        <w:rPr>
          <w:spacing w:val="-53"/>
        </w:rPr>
        <w:t> </w:t>
      </w:r>
      <w:r>
        <w:rPr>
          <w:rFonts w:ascii="Arial" w:hAnsi="Arial" w:cs="Arial" w:eastAsia="Arial" w:hint="default"/>
          <w:spacing w:val="-17"/>
          <w:w w:val="100"/>
        </w:rPr>
        <w:t>1</w:t>
      </w:r>
      <w:r>
        <w:rPr>
          <w:rFonts w:ascii="Arial" w:hAnsi="Arial" w:cs="Arial" w:eastAsia="Arial" w:hint="default"/>
          <w:w w:val="100"/>
        </w:rPr>
        <w:t>1</w:t>
      </w:r>
      <w:r>
        <w:rPr>
          <w:rFonts w:ascii="Arial" w:hAnsi="Arial" w:cs="Arial" w:eastAsia="Arial" w:hint="default"/>
          <w:spacing w:val="-8"/>
        </w:rPr>
        <w:t> </w:t>
      </w:r>
      <w:r>
        <w:rPr>
          <w:w w:val="100"/>
        </w:rPr>
        <w:t>月</w:t>
      </w:r>
      <w:r>
        <w:rPr>
          <w:spacing w:val="-53"/>
        </w:rPr>
        <w:t> </w:t>
      </w:r>
      <w:r>
        <w:rPr>
          <w:rFonts w:ascii="Arial" w:hAnsi="Arial" w:cs="Arial" w:eastAsia="Arial" w:hint="default"/>
          <w:spacing w:val="-3"/>
          <w:w w:val="100"/>
        </w:rPr>
        <w:t>1</w:t>
      </w:r>
      <w:r>
        <w:rPr>
          <w:rFonts w:ascii="Arial" w:hAnsi="Arial" w:cs="Arial" w:eastAsia="Arial" w:hint="default"/>
          <w:w w:val="100"/>
        </w:rPr>
        <w:t>9</w:t>
      </w:r>
      <w:r>
        <w:rPr>
          <w:rFonts w:ascii="Arial" w:hAnsi="Arial" w:cs="Arial" w:eastAsia="Arial" w:hint="default"/>
          <w:spacing w:val="-8"/>
        </w:rPr>
        <w:t> </w:t>
      </w:r>
      <w:r>
        <w:rPr>
          <w:w w:val="100"/>
        </w:rPr>
        <w:t>日披露</w:t>
      </w:r>
      <w:r>
        <w:rPr>
          <w:spacing w:val="-48"/>
          <w:w w:val="100"/>
        </w:rPr>
        <w:t>了</w:t>
      </w:r>
      <w:r>
        <w:rPr>
          <w:w w:val="100"/>
        </w:rPr>
        <w:t>《公司</w:t>
      </w:r>
      <w:r>
        <w:rPr>
          <w:spacing w:val="-5"/>
          <w:w w:val="100"/>
        </w:rPr>
        <w:t>关</w:t>
      </w:r>
      <w:r>
        <w:rPr>
          <w:w w:val="100"/>
        </w:rPr>
        <w:t>于授权</w:t>
      </w:r>
      <w:r>
        <w:rPr>
          <w:spacing w:val="-5"/>
          <w:w w:val="100"/>
        </w:rPr>
        <w:t>董</w:t>
      </w:r>
      <w:r>
        <w:rPr>
          <w:w w:val="100"/>
        </w:rPr>
        <w:t>事</w:t>
      </w:r>
      <w:r>
        <w:rPr>
          <w:spacing w:val="-5"/>
          <w:w w:val="100"/>
        </w:rPr>
        <w:t>会</w:t>
      </w:r>
      <w:r>
        <w:rPr>
          <w:w w:val="100"/>
        </w:rPr>
        <w:t>组织开展</w:t>
      </w:r>
      <w:r>
        <w:rPr>
          <w:spacing w:val="-5"/>
          <w:w w:val="100"/>
        </w:rPr>
        <w:t>烟</w:t>
      </w:r>
      <w:r>
        <w:rPr>
          <w:w w:val="100"/>
        </w:rPr>
        <w:t>台化工</w:t>
      </w:r>
      <w:r>
        <w:rPr>
          <w:spacing w:val="-5"/>
          <w:w w:val="100"/>
        </w:rPr>
        <w:t>原</w:t>
      </w:r>
      <w:r>
        <w:rPr>
          <w:w w:val="100"/>
        </w:rPr>
        <w:t>料项目</w:t>
      </w:r>
      <w:r>
        <w:rPr>
          <w:spacing w:val="-5"/>
          <w:w w:val="100"/>
        </w:rPr>
        <w:t>前</w:t>
      </w:r>
      <w:r>
        <w:rPr>
          <w:w w:val="100"/>
        </w:rPr>
        <w:t>期相关</w:t>
      </w:r>
      <w:r>
        <w:rPr>
          <w:spacing w:val="-5"/>
          <w:w w:val="100"/>
        </w:rPr>
        <w:t>工</w:t>
      </w:r>
      <w:r>
        <w:rPr>
          <w:w w:val="100"/>
        </w:rPr>
        <w:t>作的公</w:t>
      </w:r>
      <w:r>
        <w:rPr>
          <w:spacing w:val="-5"/>
          <w:w w:val="100"/>
        </w:rPr>
        <w:t>告</w:t>
      </w:r>
      <w:r>
        <w:rPr>
          <w:spacing w:val="-154"/>
          <w:w w:val="100"/>
        </w:rPr>
        <w:t>》</w:t>
      </w:r>
      <w:r>
        <w:rPr>
          <w:spacing w:val="-5"/>
          <w:w w:val="100"/>
        </w:rPr>
        <w:t>（</w:t>
      </w:r>
      <w:r>
        <w:rPr>
          <w:w w:val="100"/>
        </w:rPr>
        <w:t>公</w:t>
      </w:r>
    </w:p>
    <w:p>
      <w:pPr>
        <w:pStyle w:val="BodyText"/>
        <w:spacing w:line="240" w:lineRule="auto" w:before="176"/>
        <w:ind w:right="0"/>
        <w:jc w:val="left"/>
      </w:pPr>
      <w:r>
        <w:rPr>
          <w:w w:val="100"/>
        </w:rPr>
        <w:t>告编号：</w:t>
      </w:r>
      <w:r>
        <w:rPr>
          <w:rFonts w:ascii="Arial" w:hAnsi="Arial" w:cs="Arial" w:eastAsia="Arial" w:hint="default"/>
          <w:spacing w:val="-3"/>
          <w:w w:val="100"/>
        </w:rPr>
        <w:t>2013</w:t>
      </w:r>
      <w:r>
        <w:rPr>
          <w:rFonts w:ascii="Arial" w:hAnsi="Arial" w:cs="Arial" w:eastAsia="Arial" w:hint="default"/>
          <w:spacing w:val="1"/>
          <w:w w:val="100"/>
        </w:rPr>
        <w:t>-</w:t>
      </w:r>
      <w:r>
        <w:rPr>
          <w:rFonts w:ascii="Arial" w:hAnsi="Arial" w:cs="Arial" w:eastAsia="Arial" w:hint="default"/>
          <w:spacing w:val="-3"/>
          <w:w w:val="100"/>
        </w:rPr>
        <w:t>057</w:t>
      </w:r>
      <w:r>
        <w:rPr>
          <w:spacing w:val="-106"/>
          <w:w w:val="100"/>
        </w:rPr>
        <w:t>）</w:t>
      </w:r>
      <w:r>
        <w:rPr>
          <w:spacing w:val="-1"/>
          <w:w w:val="100"/>
        </w:rPr>
        <w:t>，</w:t>
      </w:r>
      <w:r>
        <w:rPr>
          <w:w w:val="100"/>
        </w:rPr>
        <w:t>并将上述议案</w:t>
      </w:r>
      <w:r>
        <w:rPr>
          <w:spacing w:val="-5"/>
          <w:w w:val="100"/>
        </w:rPr>
        <w:t>提</w:t>
      </w:r>
      <w:r>
        <w:rPr>
          <w:w w:val="100"/>
        </w:rPr>
        <w:t>交公司</w:t>
      </w:r>
      <w:r>
        <w:rPr>
          <w:spacing w:val="-52"/>
        </w:rPr>
        <w:t> </w:t>
      </w:r>
      <w:r>
        <w:rPr>
          <w:rFonts w:ascii="Arial" w:hAnsi="Arial" w:cs="Arial" w:eastAsia="Arial" w:hint="default"/>
          <w:spacing w:val="-3"/>
          <w:w w:val="100"/>
        </w:rPr>
        <w:t>201</w:t>
      </w:r>
      <w:r>
        <w:rPr>
          <w:rFonts w:ascii="Arial" w:hAnsi="Arial" w:cs="Arial" w:eastAsia="Arial" w:hint="default"/>
          <w:w w:val="100"/>
        </w:rPr>
        <w:t>3</w:t>
      </w:r>
      <w:r>
        <w:rPr>
          <w:rFonts w:ascii="Arial" w:hAnsi="Arial" w:cs="Arial" w:eastAsia="Arial" w:hint="default"/>
          <w:spacing w:val="-9"/>
        </w:rPr>
        <w:t> </w:t>
      </w:r>
      <w:r>
        <w:rPr>
          <w:w w:val="100"/>
        </w:rPr>
        <w:t>年第二次</w:t>
      </w:r>
      <w:r>
        <w:rPr>
          <w:spacing w:val="-5"/>
          <w:w w:val="100"/>
        </w:rPr>
        <w:t>临</w:t>
      </w:r>
      <w:r>
        <w:rPr>
          <w:w w:val="100"/>
        </w:rPr>
        <w:t>时股东</w:t>
      </w:r>
      <w:r>
        <w:rPr>
          <w:spacing w:val="-5"/>
          <w:w w:val="100"/>
        </w:rPr>
        <w:t>大</w:t>
      </w:r>
      <w:r>
        <w:rPr>
          <w:w w:val="100"/>
        </w:rPr>
        <w:t>会审议</w:t>
      </w:r>
      <w:r>
        <w:rPr>
          <w:spacing w:val="-5"/>
          <w:w w:val="100"/>
        </w:rPr>
        <w:t>通</w:t>
      </w:r>
      <w:r>
        <w:rPr>
          <w:w w:val="100"/>
        </w:rPr>
        <w:t>过。</w:t>
      </w:r>
    </w:p>
    <w:p>
      <w:pPr>
        <w:pStyle w:val="BodyText"/>
        <w:spacing w:line="240" w:lineRule="auto" w:before="180"/>
        <w:ind w:left="575" w:right="0"/>
        <w:jc w:val="left"/>
      </w:pPr>
      <w:r>
        <w:rPr>
          <w:rFonts w:ascii="Arial" w:hAnsi="Arial" w:cs="Arial" w:eastAsia="Arial" w:hint="default"/>
          <w:spacing w:val="-3"/>
        </w:rPr>
        <w:t>2013</w:t>
      </w:r>
      <w:r>
        <w:rPr>
          <w:rFonts w:ascii="Arial" w:hAnsi="Arial" w:cs="Arial" w:eastAsia="Arial" w:hint="default"/>
          <w:spacing w:val="3"/>
        </w:rPr>
        <w:t> </w:t>
      </w:r>
      <w:r>
        <w:rPr/>
        <w:t>年</w:t>
      </w:r>
      <w:r>
        <w:rPr>
          <w:spacing w:val="-41"/>
        </w:rPr>
        <w:t> </w:t>
      </w:r>
      <w:r>
        <w:rPr>
          <w:rFonts w:ascii="Arial" w:hAnsi="Arial" w:cs="Arial" w:eastAsia="Arial" w:hint="default"/>
        </w:rPr>
        <w:t>12</w:t>
      </w:r>
      <w:r>
        <w:rPr>
          <w:rFonts w:ascii="Arial" w:hAnsi="Arial" w:cs="Arial" w:eastAsia="Arial" w:hint="default"/>
          <w:spacing w:val="3"/>
        </w:rPr>
        <w:t> </w:t>
      </w:r>
      <w:r>
        <w:rPr/>
        <w:t>月</w:t>
      </w:r>
      <w:r>
        <w:rPr>
          <w:spacing w:val="-41"/>
        </w:rPr>
        <w:t> </w:t>
      </w:r>
      <w:r>
        <w:rPr>
          <w:rFonts w:ascii="Arial" w:hAnsi="Arial" w:cs="Arial" w:eastAsia="Arial" w:hint="default"/>
        </w:rPr>
        <w:t>27</w:t>
      </w:r>
      <w:r>
        <w:rPr>
          <w:rFonts w:ascii="Arial" w:hAnsi="Arial" w:cs="Arial" w:eastAsia="Arial" w:hint="default"/>
          <w:spacing w:val="3"/>
        </w:rPr>
        <w:t> </w:t>
      </w:r>
      <w:r>
        <w:rPr/>
        <w:t>日完成了烟台安诺其精细化工有限公司已完成工商注册登记及《烟台安诺其精细化</w:t>
      </w:r>
    </w:p>
    <w:p>
      <w:pPr>
        <w:pStyle w:val="BodyText"/>
        <w:spacing w:line="240" w:lineRule="auto" w:before="176"/>
        <w:ind w:right="0"/>
        <w:jc w:val="left"/>
      </w:pPr>
      <w:r>
        <w:rPr/>
        <w:t>工有限公司章程》的工商备案等手续并取得营业执照；</w:t>
      </w:r>
      <w:r>
        <w:rPr>
          <w:rFonts w:ascii="Arial" w:hAnsi="Arial" w:cs="Arial" w:eastAsia="Arial" w:hint="default"/>
        </w:rPr>
        <w:t>2013 </w:t>
      </w:r>
      <w:r>
        <w:rPr/>
        <w:t>年</w:t>
      </w:r>
      <w:r>
        <w:rPr>
          <w:spacing w:val="-44"/>
        </w:rPr>
        <w:t> </w:t>
      </w:r>
      <w:r>
        <w:rPr>
          <w:rFonts w:ascii="Arial" w:hAnsi="Arial" w:cs="Arial" w:eastAsia="Arial" w:hint="default"/>
        </w:rPr>
        <w:t>12 </w:t>
      </w:r>
      <w:r>
        <w:rPr/>
        <w:t>月</w:t>
      </w:r>
      <w:r>
        <w:rPr>
          <w:spacing w:val="-44"/>
        </w:rPr>
        <w:t> </w:t>
      </w:r>
      <w:r>
        <w:rPr>
          <w:rFonts w:ascii="Arial" w:hAnsi="Arial" w:cs="Arial" w:eastAsia="Arial" w:hint="default"/>
        </w:rPr>
        <w:t>28 </w:t>
      </w:r>
      <w:r>
        <w:rPr/>
        <w:t>日与蓬莱北沟镇政府签署了投资</w:t>
      </w:r>
    </w:p>
    <w:p>
      <w:pPr>
        <w:pStyle w:val="BodyText"/>
        <w:spacing w:line="386" w:lineRule="auto" w:before="180"/>
        <w:ind w:right="139"/>
        <w:jc w:val="left"/>
      </w:pPr>
      <w:r>
        <w:rPr/>
        <w:t>协议书，具体内容可详见</w:t>
      </w:r>
      <w:r>
        <w:rPr>
          <w:spacing w:val="-53"/>
        </w:rPr>
        <w:t> </w:t>
      </w:r>
      <w:r>
        <w:rPr>
          <w:rFonts w:ascii="Arial" w:hAnsi="Arial" w:cs="Arial" w:eastAsia="Arial" w:hint="default"/>
          <w:spacing w:val="-3"/>
        </w:rPr>
        <w:t>2013</w:t>
      </w:r>
      <w:r>
        <w:rPr>
          <w:rFonts w:ascii="Arial" w:hAnsi="Arial" w:cs="Arial" w:eastAsia="Arial" w:hint="default"/>
          <w:spacing w:val="-9"/>
        </w:rPr>
        <w:t> </w:t>
      </w:r>
      <w:r>
        <w:rPr/>
        <w:t>年</w:t>
      </w:r>
      <w:r>
        <w:rPr>
          <w:spacing w:val="-53"/>
        </w:rPr>
        <w:t> </w:t>
      </w:r>
      <w:r>
        <w:rPr>
          <w:rFonts w:ascii="Arial" w:hAnsi="Arial" w:cs="Arial" w:eastAsia="Arial" w:hint="default"/>
        </w:rPr>
        <w:t>12</w:t>
      </w:r>
      <w:r>
        <w:rPr>
          <w:rFonts w:ascii="Arial" w:hAnsi="Arial" w:cs="Arial" w:eastAsia="Arial" w:hint="default"/>
          <w:spacing w:val="-8"/>
        </w:rPr>
        <w:t> </w:t>
      </w:r>
      <w:r>
        <w:rPr/>
        <w:t>月</w:t>
      </w:r>
      <w:r>
        <w:rPr>
          <w:spacing w:val="-53"/>
        </w:rPr>
        <w:t> </w:t>
      </w:r>
      <w:r>
        <w:rPr>
          <w:rFonts w:ascii="Arial" w:hAnsi="Arial" w:cs="Arial" w:eastAsia="Arial" w:hint="default"/>
        </w:rPr>
        <w:t>30</w:t>
      </w:r>
      <w:r>
        <w:rPr>
          <w:rFonts w:ascii="Arial" w:hAnsi="Arial" w:cs="Arial" w:eastAsia="Arial" w:hint="default"/>
          <w:spacing w:val="-8"/>
        </w:rPr>
        <w:t> </w:t>
      </w:r>
      <w:r>
        <w:rPr/>
        <w:t>日刊登在中国证监会指定创业板公司信息披露网站上的相关公</w:t>
      </w:r>
      <w:r>
        <w:rPr>
          <w:w w:val="100"/>
        </w:rPr>
        <w:t> </w:t>
      </w:r>
      <w:r>
        <w:rPr>
          <w:spacing w:val="-1"/>
        </w:rPr>
        <w:t>告内容，公告编号</w:t>
      </w:r>
      <w:r>
        <w:rPr>
          <w:spacing w:val="-28"/>
        </w:rPr>
        <w:t> </w:t>
      </w:r>
      <w:r>
        <w:rPr>
          <w:rFonts w:ascii="Arial" w:hAnsi="Arial" w:cs="Arial" w:eastAsia="Arial" w:hint="default"/>
          <w:spacing w:val="-2"/>
        </w:rPr>
        <w:t>2013-068</w:t>
      </w:r>
      <w:r>
        <w:rPr>
          <w:spacing w:val="-2"/>
        </w:rPr>
        <w:t>、</w:t>
      </w:r>
      <w:r>
        <w:rPr>
          <w:rFonts w:ascii="Arial" w:hAnsi="Arial" w:cs="Arial" w:eastAsia="Arial" w:hint="default"/>
          <w:spacing w:val="-2"/>
        </w:rPr>
        <w:t>2013-069</w:t>
      </w:r>
      <w:r>
        <w:rPr>
          <w:spacing w:val="-2"/>
        </w:rPr>
        <w:t>。</w:t>
      </w:r>
    </w:p>
    <w:p>
      <w:pPr>
        <w:pStyle w:val="BodyText"/>
        <w:spacing w:line="240" w:lineRule="auto" w:before="37"/>
        <w:ind w:left="575" w:right="0"/>
        <w:jc w:val="left"/>
      </w:pPr>
      <w:r>
        <w:rPr>
          <w:w w:val="100"/>
        </w:rPr>
        <w:t>本报告期内</w:t>
      </w:r>
      <w:r>
        <w:rPr>
          <w:spacing w:val="-111"/>
          <w:w w:val="100"/>
        </w:rPr>
        <w:t>，</w:t>
      </w:r>
      <w:r>
        <w:rPr>
          <w:spacing w:val="-1"/>
          <w:w w:val="100"/>
        </w:rPr>
        <w:t>《</w:t>
      </w:r>
      <w:r>
        <w:rPr>
          <w:w w:val="100"/>
        </w:rPr>
        <w:t>烟台年产</w:t>
      </w:r>
      <w:r>
        <w:rPr>
          <w:spacing w:val="-43"/>
        </w:rPr>
        <w:t> </w:t>
      </w:r>
      <w:r>
        <w:rPr>
          <w:rFonts w:ascii="Arial" w:hAnsi="Arial" w:cs="Arial" w:eastAsia="Arial" w:hint="default"/>
          <w:spacing w:val="-3"/>
          <w:w w:val="100"/>
        </w:rPr>
        <w:t>3000</w:t>
      </w:r>
      <w:r>
        <w:rPr>
          <w:rFonts w:ascii="Arial" w:hAnsi="Arial" w:cs="Arial" w:eastAsia="Arial" w:hint="default"/>
          <w:w w:val="100"/>
        </w:rPr>
        <w:t>0</w:t>
      </w:r>
      <w:r>
        <w:rPr>
          <w:rFonts w:ascii="Arial" w:hAnsi="Arial" w:cs="Arial" w:eastAsia="Arial" w:hint="default"/>
          <w:spacing w:val="1"/>
        </w:rPr>
        <w:t> </w:t>
      </w:r>
      <w:r>
        <w:rPr>
          <w:w w:val="100"/>
        </w:rPr>
        <w:t>吨精细化工中间体</w:t>
      </w:r>
      <w:r>
        <w:rPr>
          <w:spacing w:val="-5"/>
          <w:w w:val="100"/>
        </w:rPr>
        <w:t>建</w:t>
      </w:r>
      <w:r>
        <w:rPr>
          <w:w w:val="100"/>
        </w:rPr>
        <w:t>设项目》</w:t>
      </w:r>
      <w:r>
        <w:rPr>
          <w:spacing w:val="-5"/>
          <w:w w:val="100"/>
        </w:rPr>
        <w:t>已</w:t>
      </w:r>
      <w:r>
        <w:rPr>
          <w:w w:val="100"/>
        </w:rPr>
        <w:t>由蓬莱</w:t>
      </w:r>
      <w:r>
        <w:rPr>
          <w:spacing w:val="-5"/>
          <w:w w:val="100"/>
        </w:rPr>
        <w:t>市</w:t>
      </w:r>
      <w:r>
        <w:rPr>
          <w:w w:val="100"/>
        </w:rPr>
        <w:t>发改局</w:t>
      </w:r>
      <w:r>
        <w:rPr>
          <w:spacing w:val="-5"/>
          <w:w w:val="100"/>
        </w:rPr>
        <w:t>备</w:t>
      </w:r>
      <w:r>
        <w:rPr>
          <w:spacing w:val="-1"/>
          <w:w w:val="100"/>
        </w:rPr>
        <w:t>案</w:t>
      </w:r>
      <w:r>
        <w:rPr>
          <w:w w:val="100"/>
        </w:rPr>
        <w:t>，蓬</w:t>
      </w:r>
      <w:r>
        <w:rPr>
          <w:spacing w:val="-5"/>
          <w:w w:val="100"/>
        </w:rPr>
        <w:t>莱</w:t>
      </w:r>
      <w:r>
        <w:rPr>
          <w:w w:val="100"/>
        </w:rPr>
        <w:t>市国土局</w:t>
      </w:r>
    </w:p>
    <w:p>
      <w:pPr>
        <w:pStyle w:val="BodyText"/>
        <w:spacing w:line="240" w:lineRule="auto" w:before="176"/>
        <w:ind w:right="0"/>
        <w:jc w:val="left"/>
      </w:pPr>
      <w:r>
        <w:rPr>
          <w:spacing w:val="-3"/>
        </w:rPr>
        <w:t>出具了项目符合土地利用规划的意见，并于</w:t>
      </w:r>
      <w:r>
        <w:rPr>
          <w:spacing w:val="-41"/>
        </w:rPr>
        <w:t> </w:t>
      </w:r>
      <w:r>
        <w:rPr>
          <w:rFonts w:ascii="Arial" w:hAnsi="Arial" w:cs="Arial" w:eastAsia="Arial" w:hint="default"/>
          <w:spacing w:val="-3"/>
        </w:rPr>
        <w:t>2014</w:t>
      </w:r>
      <w:r>
        <w:rPr>
          <w:rFonts w:ascii="Arial" w:hAnsi="Arial" w:cs="Arial" w:eastAsia="Arial" w:hint="default"/>
          <w:spacing w:val="2"/>
        </w:rPr>
        <w:t> </w:t>
      </w:r>
      <w:r>
        <w:rPr/>
        <w:t>年</w:t>
      </w:r>
      <w:r>
        <w:rPr>
          <w:spacing w:val="-41"/>
        </w:rPr>
        <w:t> </w:t>
      </w:r>
      <w:r>
        <w:rPr>
          <w:rFonts w:ascii="Arial" w:hAnsi="Arial" w:cs="Arial" w:eastAsia="Arial" w:hint="default"/>
          <w:spacing w:val="-9"/>
        </w:rPr>
        <w:t>11</w:t>
      </w:r>
      <w:r>
        <w:rPr>
          <w:rFonts w:ascii="Arial" w:hAnsi="Arial" w:cs="Arial" w:eastAsia="Arial" w:hint="default"/>
          <w:spacing w:val="3"/>
        </w:rPr>
        <w:t> </w:t>
      </w:r>
      <w:r>
        <w:rPr/>
        <w:t>月</w:t>
      </w:r>
      <w:r>
        <w:rPr>
          <w:spacing w:val="-41"/>
        </w:rPr>
        <w:t> </w:t>
      </w:r>
      <w:r>
        <w:rPr>
          <w:rFonts w:ascii="Arial" w:hAnsi="Arial" w:cs="Arial" w:eastAsia="Arial" w:hint="default"/>
        </w:rPr>
        <w:t>24 </w:t>
      </w:r>
      <w:r>
        <w:rPr>
          <w:rFonts w:ascii="Arial" w:hAnsi="Arial" w:cs="Arial" w:eastAsia="Arial" w:hint="default"/>
          <w:spacing w:val="9"/>
        </w:rPr>
        <w:t> </w:t>
      </w:r>
      <w:r>
        <w:rPr>
          <w:spacing w:val="-3"/>
        </w:rPr>
        <w:t>日取得了《山东省环境保护厅关于烟台安诺</w:t>
      </w:r>
    </w:p>
    <w:p>
      <w:pPr>
        <w:pStyle w:val="BodyText"/>
        <w:spacing w:line="386" w:lineRule="auto" w:before="180"/>
        <w:ind w:right="0"/>
        <w:jc w:val="left"/>
      </w:pPr>
      <w:r>
        <w:rPr>
          <w:spacing w:val="1"/>
          <w:w w:val="100"/>
        </w:rPr>
        <w:t>其精细化工有限公司年产</w:t>
      </w:r>
      <w:r>
        <w:rPr>
          <w:w w:val="100"/>
        </w:rPr>
        <w:t> </w:t>
      </w:r>
      <w:r>
        <w:rPr>
          <w:rFonts w:ascii="Arial" w:hAnsi="Arial" w:cs="Arial" w:eastAsia="Arial" w:hint="default"/>
          <w:spacing w:val="-3"/>
          <w:w w:val="100"/>
        </w:rPr>
        <w:t>30000</w:t>
      </w:r>
      <w:r>
        <w:rPr>
          <w:rFonts w:ascii="Arial" w:hAnsi="Arial" w:cs="Arial" w:eastAsia="Arial" w:hint="default"/>
          <w:spacing w:val="12"/>
          <w:w w:val="100"/>
        </w:rPr>
        <w:t> </w:t>
      </w:r>
      <w:r>
        <w:rPr>
          <w:spacing w:val="-2"/>
          <w:w w:val="100"/>
        </w:rPr>
        <w:t>吨精细化工中间体建设项目环境影响报告书的批复》，批准该项目的建</w:t>
      </w:r>
      <w:r>
        <w:rPr>
          <w:w w:val="100"/>
        </w:rPr>
        <w:t> </w:t>
      </w:r>
      <w:r>
        <w:rPr/>
        <w:t>设。</w:t>
      </w:r>
    </w:p>
    <w:p>
      <w:pPr>
        <w:pStyle w:val="BodyText"/>
        <w:spacing w:line="240" w:lineRule="auto" w:before="67"/>
        <w:ind w:left="575" w:right="0"/>
        <w:jc w:val="left"/>
      </w:pPr>
      <w:r>
        <w:rPr>
          <w:rFonts w:ascii="Arial" w:hAnsi="Arial" w:cs="Arial" w:eastAsia="Arial" w:hint="default"/>
          <w:spacing w:val="-3"/>
        </w:rPr>
        <w:t>2015 </w:t>
      </w:r>
      <w:r>
        <w:rPr/>
        <w:t>年 </w:t>
      </w:r>
      <w:r>
        <w:rPr>
          <w:rFonts w:ascii="Arial" w:hAnsi="Arial" w:cs="Arial" w:eastAsia="Arial" w:hint="default"/>
        </w:rPr>
        <w:t>3 </w:t>
      </w:r>
      <w:r>
        <w:rPr/>
        <w:t>月 </w:t>
      </w:r>
      <w:r>
        <w:rPr>
          <w:rFonts w:ascii="Arial" w:hAnsi="Arial" w:cs="Arial" w:eastAsia="Arial" w:hint="default"/>
        </w:rPr>
        <w:t>12</w:t>
      </w:r>
      <w:r>
        <w:rPr>
          <w:rFonts w:ascii="Arial" w:hAnsi="Arial" w:cs="Arial" w:eastAsia="Arial" w:hint="default"/>
          <w:spacing w:val="-26"/>
        </w:rPr>
        <w:t> </w:t>
      </w:r>
      <w:r>
        <w:rPr/>
        <w:t>日，公司召开了第三届董事会第六次会议，审议通过了《公司关于投资建设</w:t>
      </w:r>
      <w:r>
        <w:rPr>
          <w:rFonts w:ascii="Arial" w:hAnsi="Arial" w:cs="Arial" w:eastAsia="Arial" w:hint="default"/>
        </w:rPr>
        <w:t>“</w:t>
      </w:r>
      <w:r>
        <w:rPr/>
        <w:t>烟台年</w:t>
      </w:r>
    </w:p>
    <w:p>
      <w:pPr>
        <w:pStyle w:val="BodyText"/>
        <w:spacing w:line="240" w:lineRule="auto" w:before="176"/>
        <w:ind w:right="0"/>
        <w:jc w:val="left"/>
      </w:pPr>
      <w:r>
        <w:rPr>
          <w:w w:val="100"/>
        </w:rPr>
        <w:t>产</w:t>
      </w:r>
      <w:r>
        <w:rPr>
          <w:spacing w:val="-53"/>
        </w:rPr>
        <w:t> </w:t>
      </w:r>
      <w:r>
        <w:rPr>
          <w:rFonts w:ascii="Arial" w:hAnsi="Arial" w:cs="Arial" w:eastAsia="Arial" w:hint="default"/>
          <w:spacing w:val="-3"/>
          <w:w w:val="100"/>
        </w:rPr>
        <w:t>3000</w:t>
      </w:r>
      <w:r>
        <w:rPr>
          <w:rFonts w:ascii="Arial" w:hAnsi="Arial" w:cs="Arial" w:eastAsia="Arial" w:hint="default"/>
          <w:w w:val="100"/>
        </w:rPr>
        <w:t>0</w:t>
      </w:r>
      <w:r>
        <w:rPr>
          <w:rFonts w:ascii="Arial" w:hAnsi="Arial" w:cs="Arial" w:eastAsia="Arial" w:hint="default"/>
          <w:spacing w:val="-9"/>
        </w:rPr>
        <w:t> </w:t>
      </w:r>
      <w:r>
        <w:rPr>
          <w:w w:val="100"/>
        </w:rPr>
        <w:t>吨精细化工中间体项</w:t>
      </w:r>
      <w:r>
        <w:rPr>
          <w:spacing w:val="-5"/>
          <w:w w:val="100"/>
        </w:rPr>
        <w:t>目</w:t>
      </w:r>
      <w:r>
        <w:rPr>
          <w:rFonts w:ascii="Arial" w:hAnsi="Arial" w:cs="Arial" w:eastAsia="Arial" w:hint="default"/>
          <w:spacing w:val="1"/>
          <w:w w:val="100"/>
        </w:rPr>
        <w:t>”</w:t>
      </w:r>
      <w:r>
        <w:rPr>
          <w:w w:val="100"/>
        </w:rPr>
        <w:t>的</w:t>
      </w:r>
      <w:r>
        <w:rPr>
          <w:spacing w:val="-5"/>
          <w:w w:val="100"/>
        </w:rPr>
        <w:t>议</w:t>
      </w:r>
      <w:r>
        <w:rPr>
          <w:spacing w:val="-1"/>
          <w:w w:val="100"/>
        </w:rPr>
        <w:t>案</w:t>
      </w:r>
      <w:r>
        <w:rPr>
          <w:spacing w:val="-106"/>
          <w:w w:val="100"/>
        </w:rPr>
        <w:t>》</w:t>
      </w:r>
      <w:r>
        <w:rPr>
          <w:spacing w:val="-1"/>
          <w:w w:val="100"/>
        </w:rPr>
        <w:t>，</w:t>
      </w:r>
      <w:r>
        <w:rPr>
          <w:w w:val="100"/>
        </w:rPr>
        <w:t>该</w:t>
      </w:r>
      <w:r>
        <w:rPr>
          <w:spacing w:val="-5"/>
          <w:w w:val="100"/>
        </w:rPr>
        <w:t>议</w:t>
      </w:r>
      <w:r>
        <w:rPr>
          <w:w w:val="100"/>
        </w:rPr>
        <w:t>案</w:t>
      </w:r>
      <w:r>
        <w:rPr>
          <w:spacing w:val="-5"/>
          <w:w w:val="100"/>
        </w:rPr>
        <w:t>尚</w:t>
      </w:r>
      <w:r>
        <w:rPr>
          <w:w w:val="100"/>
        </w:rPr>
        <w:t>需经公司</w:t>
      </w:r>
      <w:r>
        <w:rPr>
          <w:spacing w:val="-53"/>
        </w:rPr>
        <w:t> </w:t>
      </w:r>
      <w:r>
        <w:rPr>
          <w:rFonts w:ascii="Arial" w:hAnsi="Arial" w:cs="Arial" w:eastAsia="Arial" w:hint="default"/>
          <w:spacing w:val="-3"/>
          <w:w w:val="100"/>
        </w:rPr>
        <w:t>201</w:t>
      </w:r>
      <w:r>
        <w:rPr>
          <w:rFonts w:ascii="Arial" w:hAnsi="Arial" w:cs="Arial" w:eastAsia="Arial" w:hint="default"/>
          <w:w w:val="100"/>
        </w:rPr>
        <w:t>4</w:t>
      </w:r>
      <w:r>
        <w:rPr>
          <w:rFonts w:ascii="Arial" w:hAnsi="Arial" w:cs="Arial" w:eastAsia="Arial" w:hint="default"/>
          <w:spacing w:val="-9"/>
        </w:rPr>
        <w:t> </w:t>
      </w:r>
      <w:r>
        <w:rPr>
          <w:w w:val="100"/>
        </w:rPr>
        <w:t>年年度股东</w:t>
      </w:r>
      <w:r>
        <w:rPr>
          <w:spacing w:val="-5"/>
          <w:w w:val="100"/>
        </w:rPr>
        <w:t>大</w:t>
      </w:r>
      <w:r>
        <w:rPr>
          <w:w w:val="100"/>
        </w:rPr>
        <w:t>会审议。</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t>十五、控股子公司重要事项</w:t>
      </w:r>
      <w:r>
        <w:rPr>
          <w:b w:val="0"/>
          <w:bCs w:val="0"/>
        </w:rPr>
      </w:r>
    </w:p>
    <w:p>
      <w:pPr>
        <w:spacing w:line="240" w:lineRule="auto" w:before="15"/>
        <w:rPr>
          <w:rFonts w:ascii="Microsoft JhengHei" w:hAnsi="Microsoft JhengHei" w:cs="Microsoft JhengHei" w:eastAsia="Microsoft JhengHei" w:hint="default"/>
          <w:b/>
          <w:bCs/>
          <w:sz w:val="21"/>
          <w:szCs w:val="21"/>
        </w:rPr>
      </w:pPr>
    </w:p>
    <w:p>
      <w:pPr>
        <w:pStyle w:val="BodyText"/>
        <w:spacing w:line="240" w:lineRule="auto"/>
        <w:ind w:left="575"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after="0" w:line="240" w:lineRule="auto"/>
        <w:jc w:val="left"/>
        <w:sectPr>
          <w:pgSz w:w="11900" w:h="16840"/>
          <w:pgMar w:header="742" w:footer="984"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458" w:lineRule="exact"/>
        <w:ind w:left="2960" w:right="0"/>
        <w:jc w:val="left"/>
        <w:rPr>
          <w:b w:val="0"/>
          <w:bCs w:val="0"/>
        </w:rPr>
      </w:pPr>
      <w:bookmarkStart w:name="_TOC_250004" w:id="6"/>
      <w:r>
        <w:rPr/>
        <w:t>第六节 </w:t>
      </w:r>
      <w:r>
        <w:rPr>
          <w:spacing w:val="16"/>
        </w:rPr>
        <w:t> </w:t>
      </w:r>
      <w:r>
        <w:rPr/>
        <w:t>股份变动及股东情况</w:t>
      </w:r>
      <w:bookmarkEnd w:id="6"/>
      <w:r>
        <w:rPr>
          <w:b w:val="0"/>
          <w:bCs w:val="0"/>
        </w:rPr>
      </w:r>
    </w:p>
    <w:p>
      <w:pPr>
        <w:spacing w:line="240" w:lineRule="auto" w:before="3"/>
        <w:rPr>
          <w:rFonts w:ascii="Microsoft JhengHei" w:hAnsi="Microsoft JhengHei" w:cs="Microsoft JhengHei" w:eastAsia="Microsoft JhengHei" w:hint="default"/>
          <w:b/>
          <w:bCs/>
          <w:sz w:val="25"/>
          <w:szCs w:val="25"/>
        </w:rPr>
      </w:pPr>
    </w:p>
    <w:p>
      <w:pPr>
        <w:pStyle w:val="Heading3"/>
        <w:spacing w:line="367" w:lineRule="exact"/>
        <w:ind w:right="0"/>
        <w:jc w:val="left"/>
        <w:rPr>
          <w:b w:val="0"/>
          <w:bCs w:val="0"/>
        </w:rPr>
      </w:pPr>
      <w:r>
        <w:rPr/>
        <w:t>一、股份变动情况</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pacing w:val="-2"/>
          <w:sz w:val="18"/>
          <w:szCs w:val="18"/>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018"/>
        <w:gridCol w:w="845"/>
        <w:gridCol w:w="845"/>
        <w:gridCol w:w="845"/>
        <w:gridCol w:w="840"/>
        <w:gridCol w:w="845"/>
        <w:gridCol w:w="845"/>
        <w:gridCol w:w="840"/>
        <w:gridCol w:w="816"/>
        <w:gridCol w:w="816"/>
      </w:tblGrid>
      <w:tr>
        <w:trPr>
          <w:trHeight w:val="399" w:hRule="exact"/>
        </w:trPr>
        <w:tc>
          <w:tcPr>
            <w:tcW w:w="20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13" w:right="0"/>
              <w:jc w:val="left"/>
              <w:rPr>
                <w:rFonts w:ascii="宋体" w:hAnsi="宋体" w:cs="宋体" w:eastAsia="宋体" w:hint="default"/>
                <w:sz w:val="18"/>
                <w:szCs w:val="18"/>
              </w:rPr>
            </w:pPr>
            <w:r>
              <w:rPr>
                <w:rFonts w:ascii="宋体" w:hAnsi="宋体" w:cs="宋体" w:eastAsia="宋体" w:hint="default"/>
                <w:spacing w:val="-3"/>
                <w:sz w:val="18"/>
                <w:szCs w:val="18"/>
              </w:rPr>
              <w:t>本次变动增减（＋，－）</w:t>
            </w:r>
          </w:p>
        </w:tc>
        <w:tc>
          <w:tcPr>
            <w:tcW w:w="1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57" w:hRule="exact"/>
        </w:trPr>
        <w:tc>
          <w:tcPr>
            <w:tcW w:w="2018" w:type="dxa"/>
            <w:vMerge w:val="restart"/>
            <w:tcBorders>
              <w:top w:val="nil" w:sz="6" w:space="0" w:color="auto"/>
              <w:left w:val="single" w:sz="4" w:space="0" w:color="000000"/>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0"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326" w:right="50" w:hanging="269"/>
              <w:jc w:val="left"/>
              <w:rPr>
                <w:rFonts w:ascii="宋体" w:hAnsi="宋体" w:cs="宋体" w:eastAsia="宋体" w:hint="default"/>
                <w:sz w:val="18"/>
                <w:szCs w:val="18"/>
              </w:rPr>
            </w:pPr>
            <w:r>
              <w:rPr>
                <w:rFonts w:ascii="宋体" w:hAnsi="宋体" w:cs="宋体" w:eastAsia="宋体" w:hint="default"/>
                <w:sz w:val="18"/>
                <w:szCs w:val="18"/>
              </w:rPr>
              <w:t>公积金转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w:t>
            </w: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88" w:hRule="exact"/>
        </w:trPr>
        <w:tc>
          <w:tcPr>
            <w:tcW w:w="2018" w:type="dxa"/>
            <w:vMerge/>
            <w:tcBorders>
              <w:left w:val="single" w:sz="4" w:space="0" w:color="000000"/>
              <w:bottom w:val="nil" w:sz="6" w:space="0" w:color="auto"/>
              <w:right w:val="single" w:sz="4" w:space="0" w:color="000000"/>
            </w:tcBorders>
            <w:shd w:val="clear" w:color="auto" w:fill="D2D2D2"/>
          </w:tcPr>
          <w:p>
            <w:pP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3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3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5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3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5" w:type="dxa"/>
            <w:vMerge/>
            <w:tcBorders>
              <w:left w:val="single" w:sz="4" w:space="0" w:color="000000"/>
              <w:right w:val="single" w:sz="4" w:space="0" w:color="000000"/>
            </w:tcBorders>
            <w:shd w:val="clear" w:color="auto" w:fill="D2D2D2"/>
          </w:tcPr>
          <w:p>
            <w:pP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3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2018" w:type="dxa"/>
            <w:vMerge w:val="restart"/>
            <w:tcBorders>
              <w:top w:val="nil" w:sz="6" w:space="0" w:color="auto"/>
              <w:left w:val="single" w:sz="4" w:space="0" w:color="000000"/>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0"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0" w:type="dxa"/>
            <w:vMerge/>
            <w:tcBorders>
              <w:left w:val="single" w:sz="4" w:space="0" w:color="000000"/>
              <w:bottom w:val="nil" w:sz="6" w:space="0" w:color="auto"/>
              <w:right w:val="single" w:sz="4" w:space="0" w:color="000000"/>
            </w:tcBorders>
            <w:shd w:val="clear" w:color="auto" w:fill="D2D2D2"/>
          </w:tcPr>
          <w:p>
            <w:pPr/>
          </w:p>
        </w:tc>
        <w:tc>
          <w:tcPr>
            <w:tcW w:w="816" w:type="dxa"/>
            <w:vMerge/>
            <w:tcBorders>
              <w:left w:val="single" w:sz="4" w:space="0" w:color="000000"/>
              <w:bottom w:val="nil" w:sz="6" w:space="0" w:color="auto"/>
              <w:right w:val="single" w:sz="4" w:space="0" w:color="000000"/>
            </w:tcBorders>
            <w:shd w:val="clear" w:color="auto" w:fill="D2D2D2"/>
          </w:tcPr>
          <w:p>
            <w:pPr/>
          </w:p>
        </w:tc>
        <w:tc>
          <w:tcPr>
            <w:tcW w:w="816" w:type="dxa"/>
            <w:vMerge/>
            <w:tcBorders>
              <w:left w:val="single" w:sz="4" w:space="0" w:color="000000"/>
              <w:bottom w:val="nil" w:sz="6" w:space="0" w:color="auto"/>
              <w:right w:val="single" w:sz="4" w:space="0" w:color="000000"/>
            </w:tcBorders>
            <w:shd w:val="clear" w:color="auto" w:fill="D2D2D2"/>
          </w:tcPr>
          <w:p>
            <w:pPr/>
          </w:p>
        </w:tc>
      </w:tr>
      <w:tr>
        <w:trPr>
          <w:trHeight w:val="163" w:hRule="exact"/>
        </w:trPr>
        <w:tc>
          <w:tcPr>
            <w:tcW w:w="2018" w:type="dxa"/>
            <w:vMerge/>
            <w:tcBorders>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0"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0" w:type="dxa"/>
            <w:tcBorders>
              <w:top w:val="nil" w:sz="6" w:space="0" w:color="auto"/>
              <w:left w:val="single" w:sz="4" w:space="0" w:color="000000"/>
              <w:bottom w:val="single" w:sz="4" w:space="0" w:color="000000"/>
              <w:right w:val="single" w:sz="4" w:space="0" w:color="000000"/>
            </w:tcBorders>
            <w:shd w:val="clear" w:color="auto" w:fill="D2D2D2"/>
          </w:tcPr>
          <w:p>
            <w:pPr/>
          </w:p>
        </w:tc>
        <w:tc>
          <w:tcPr>
            <w:tcW w:w="8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58" w:hRule="exact"/>
        </w:trPr>
        <w:tc>
          <w:tcPr>
            <w:tcW w:w="20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8" w:space="0" w:color="D2D2D2"/>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73,198,48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44.75%</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920,000</w:t>
            </w:r>
          </w:p>
        </w:tc>
        <w:tc>
          <w:tcPr>
            <w:tcW w:w="840"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70,910,87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-3,028,215</w:t>
            </w:r>
          </w:p>
        </w:tc>
        <w:tc>
          <w:tcPr>
            <w:tcW w:w="840"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68,802,66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142,001,1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44</w:t>
            </w: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43.29%</w:t>
            </w:r>
          </w:p>
        </w:tc>
      </w:tr>
      <w:tr>
        <w:trPr>
          <w:trHeight w:val="394" w:hRule="exact"/>
        </w:trPr>
        <w:tc>
          <w:tcPr>
            <w:tcW w:w="20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一、有限售条件股份</w:t>
            </w:r>
          </w:p>
        </w:tc>
        <w:tc>
          <w:tcPr>
            <w:tcW w:w="845" w:type="dxa"/>
            <w:vMerge/>
            <w:tcBorders>
              <w:left w:val="single" w:sz="8"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163" w:hRule="exact"/>
        </w:trPr>
        <w:tc>
          <w:tcPr>
            <w:tcW w:w="2018"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8"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r>
      <w:tr>
        <w:trPr>
          <w:trHeight w:val="403" w:hRule="exact"/>
        </w:trPr>
        <w:tc>
          <w:tcPr>
            <w:tcW w:w="2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45" w:type="dxa"/>
            <w:tcBorders>
              <w:top w:val="single" w:sz="4" w:space="0" w:color="000000"/>
              <w:left w:val="single" w:sz="8" w:space="0" w:color="D2D2D2"/>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45" w:type="dxa"/>
            <w:tcBorders>
              <w:top w:val="single" w:sz="4" w:space="0" w:color="000000"/>
              <w:left w:val="single" w:sz="8" w:space="0" w:color="D2D2D2"/>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158" w:hRule="exact"/>
        </w:trPr>
        <w:tc>
          <w:tcPr>
            <w:tcW w:w="20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8" w:space="0" w:color="D2D2D2"/>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73,198,48</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44.75%</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920,000</w:t>
            </w:r>
          </w:p>
        </w:tc>
        <w:tc>
          <w:tcPr>
            <w:tcW w:w="840"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70,910,87</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-3,028,215</w:t>
            </w:r>
          </w:p>
        </w:tc>
        <w:tc>
          <w:tcPr>
            <w:tcW w:w="840"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68,802,66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142,001,1</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sz w:val="18"/>
              </w:rPr>
              <w:t>44</w:t>
            </w: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43.29%</w:t>
            </w:r>
          </w:p>
        </w:tc>
      </w:tr>
      <w:tr>
        <w:trPr>
          <w:trHeight w:val="394" w:hRule="exact"/>
        </w:trPr>
        <w:tc>
          <w:tcPr>
            <w:tcW w:w="20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5" w:type="dxa"/>
            <w:vMerge/>
            <w:tcBorders>
              <w:left w:val="single" w:sz="8"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163" w:hRule="exact"/>
        </w:trPr>
        <w:tc>
          <w:tcPr>
            <w:tcW w:w="2018"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8"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r>
      <w:tr>
        <w:trPr>
          <w:trHeight w:val="403" w:hRule="exact"/>
        </w:trPr>
        <w:tc>
          <w:tcPr>
            <w:tcW w:w="2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其中：境内法人持股</w:t>
            </w:r>
          </w:p>
        </w:tc>
        <w:tc>
          <w:tcPr>
            <w:tcW w:w="845" w:type="dxa"/>
            <w:tcBorders>
              <w:top w:val="single" w:sz="4" w:space="0" w:color="000000"/>
              <w:left w:val="single" w:sz="8" w:space="0" w:color="D2D2D2"/>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159" w:hRule="exact"/>
        </w:trPr>
        <w:tc>
          <w:tcPr>
            <w:tcW w:w="20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8" w:space="0" w:color="D2D2D2"/>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73,198,48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44.75%</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920,000</w:t>
            </w:r>
          </w:p>
        </w:tc>
        <w:tc>
          <w:tcPr>
            <w:tcW w:w="840"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70,910,87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-3,028,215</w:t>
            </w:r>
          </w:p>
        </w:tc>
        <w:tc>
          <w:tcPr>
            <w:tcW w:w="840"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68,802,66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142,001,1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44</w:t>
            </w: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43.29%</w:t>
            </w:r>
          </w:p>
        </w:tc>
      </w:tr>
      <w:tr>
        <w:trPr>
          <w:trHeight w:val="393" w:hRule="exact"/>
        </w:trPr>
        <w:tc>
          <w:tcPr>
            <w:tcW w:w="20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190"/>
              <w:jc w:val="right"/>
              <w:rPr>
                <w:rFonts w:ascii="宋体" w:hAnsi="宋体" w:cs="宋体" w:eastAsia="宋体" w:hint="default"/>
                <w:sz w:val="18"/>
                <w:szCs w:val="18"/>
              </w:rPr>
            </w:pPr>
            <w:r>
              <w:rPr>
                <w:rFonts w:ascii="宋体" w:hAnsi="宋体" w:cs="宋体" w:eastAsia="宋体" w:hint="default"/>
                <w:spacing w:val="-3"/>
                <w:sz w:val="18"/>
                <w:szCs w:val="18"/>
              </w:rPr>
              <w:t>境内自然人持股</w:t>
            </w:r>
          </w:p>
        </w:tc>
        <w:tc>
          <w:tcPr>
            <w:tcW w:w="845" w:type="dxa"/>
            <w:vMerge/>
            <w:tcBorders>
              <w:left w:val="single" w:sz="8"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164" w:hRule="exact"/>
        </w:trPr>
        <w:tc>
          <w:tcPr>
            <w:tcW w:w="2018"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8"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r>
      <w:tr>
        <w:trPr>
          <w:trHeight w:val="398" w:hRule="exact"/>
        </w:trPr>
        <w:tc>
          <w:tcPr>
            <w:tcW w:w="2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45" w:type="dxa"/>
            <w:tcBorders>
              <w:top w:val="single" w:sz="4" w:space="0" w:color="000000"/>
              <w:left w:val="single" w:sz="8" w:space="0" w:color="D2D2D2"/>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其中：境外法人持股</w:t>
            </w:r>
          </w:p>
        </w:tc>
        <w:tc>
          <w:tcPr>
            <w:tcW w:w="845" w:type="dxa"/>
            <w:tcBorders>
              <w:top w:val="single" w:sz="4" w:space="0" w:color="000000"/>
              <w:left w:val="single" w:sz="8" w:space="0" w:color="D2D2D2"/>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90"/>
              <w:jc w:val="right"/>
              <w:rPr>
                <w:rFonts w:ascii="宋体" w:hAnsi="宋体" w:cs="宋体" w:eastAsia="宋体" w:hint="default"/>
                <w:sz w:val="18"/>
                <w:szCs w:val="18"/>
              </w:rPr>
            </w:pPr>
            <w:r>
              <w:rPr>
                <w:rFonts w:ascii="宋体" w:hAnsi="宋体" w:cs="宋体" w:eastAsia="宋体" w:hint="default"/>
                <w:spacing w:val="-3"/>
                <w:sz w:val="18"/>
                <w:szCs w:val="18"/>
              </w:rPr>
              <w:t>境外自然人持股</w:t>
            </w:r>
          </w:p>
        </w:tc>
        <w:tc>
          <w:tcPr>
            <w:tcW w:w="845" w:type="dxa"/>
            <w:tcBorders>
              <w:top w:val="single" w:sz="4" w:space="0" w:color="000000"/>
              <w:left w:val="single" w:sz="8" w:space="0" w:color="D2D2D2"/>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159" w:hRule="exact"/>
        </w:trPr>
        <w:tc>
          <w:tcPr>
            <w:tcW w:w="20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8" w:space="0" w:color="D2D2D2"/>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90,367,51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55.25%</w:t>
            </w:r>
          </w:p>
        </w:tc>
        <w:tc>
          <w:tcPr>
            <w:tcW w:w="845" w:type="dxa"/>
            <w:vMerge w:val="restart"/>
            <w:tcBorders>
              <w:top w:val="single" w:sz="4" w:space="0" w:color="000000"/>
              <w:left w:val="single" w:sz="4" w:space="0" w:color="000000"/>
              <w:right w:val="single" w:sz="4" w:space="0" w:color="000000"/>
            </w:tcBorders>
          </w:tcPr>
          <w:p>
            <w:pPr/>
          </w:p>
        </w:tc>
        <w:tc>
          <w:tcPr>
            <w:tcW w:w="840"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92,655,12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3,028,215</w:t>
            </w:r>
          </w:p>
        </w:tc>
        <w:tc>
          <w:tcPr>
            <w:tcW w:w="840"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95,683,33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186,050,8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56</w:t>
            </w: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56.71%</w:t>
            </w:r>
          </w:p>
        </w:tc>
      </w:tr>
      <w:tr>
        <w:trPr>
          <w:trHeight w:val="393" w:hRule="exact"/>
        </w:trPr>
        <w:tc>
          <w:tcPr>
            <w:tcW w:w="20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二、无限售条件股份</w:t>
            </w:r>
          </w:p>
        </w:tc>
        <w:tc>
          <w:tcPr>
            <w:tcW w:w="845" w:type="dxa"/>
            <w:vMerge/>
            <w:tcBorders>
              <w:left w:val="single" w:sz="8"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164" w:hRule="exact"/>
        </w:trPr>
        <w:tc>
          <w:tcPr>
            <w:tcW w:w="2018"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8"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r>
      <w:tr>
        <w:trPr>
          <w:trHeight w:val="158" w:hRule="exact"/>
        </w:trPr>
        <w:tc>
          <w:tcPr>
            <w:tcW w:w="20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8" w:space="0" w:color="D2D2D2"/>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90,367,51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55.25%</w:t>
            </w:r>
          </w:p>
        </w:tc>
        <w:tc>
          <w:tcPr>
            <w:tcW w:w="845" w:type="dxa"/>
            <w:vMerge w:val="restart"/>
            <w:tcBorders>
              <w:top w:val="single" w:sz="4" w:space="0" w:color="000000"/>
              <w:left w:val="single" w:sz="4" w:space="0" w:color="000000"/>
              <w:right w:val="single" w:sz="4" w:space="0" w:color="000000"/>
            </w:tcBorders>
          </w:tcPr>
          <w:p>
            <w:pPr/>
          </w:p>
        </w:tc>
        <w:tc>
          <w:tcPr>
            <w:tcW w:w="840"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92,655,12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3,028,215</w:t>
            </w:r>
          </w:p>
        </w:tc>
        <w:tc>
          <w:tcPr>
            <w:tcW w:w="840"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95,683,33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186,050,8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56</w:t>
            </w: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56.71%</w:t>
            </w:r>
          </w:p>
        </w:tc>
      </w:tr>
      <w:tr>
        <w:trPr>
          <w:trHeight w:val="389" w:hRule="exact"/>
        </w:trPr>
        <w:tc>
          <w:tcPr>
            <w:tcW w:w="20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5" w:type="dxa"/>
            <w:vMerge/>
            <w:tcBorders>
              <w:left w:val="single" w:sz="8"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163" w:hRule="exact"/>
        </w:trPr>
        <w:tc>
          <w:tcPr>
            <w:tcW w:w="2018"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8"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r>
      <w:tr>
        <w:trPr>
          <w:trHeight w:val="403" w:hRule="exact"/>
        </w:trPr>
        <w:tc>
          <w:tcPr>
            <w:tcW w:w="2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45" w:type="dxa"/>
            <w:tcBorders>
              <w:top w:val="single" w:sz="4" w:space="0" w:color="000000"/>
              <w:left w:val="single" w:sz="8" w:space="0" w:color="D2D2D2"/>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45" w:type="dxa"/>
            <w:tcBorders>
              <w:top w:val="single" w:sz="4" w:space="0" w:color="000000"/>
              <w:left w:val="single" w:sz="8" w:space="0" w:color="D2D2D2"/>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45" w:type="dxa"/>
            <w:tcBorders>
              <w:top w:val="single" w:sz="4" w:space="0" w:color="000000"/>
              <w:left w:val="single" w:sz="8" w:space="0" w:color="D2D2D2"/>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r>
      <w:tr>
        <w:trPr>
          <w:trHeight w:val="158" w:hRule="exact"/>
        </w:trPr>
        <w:tc>
          <w:tcPr>
            <w:tcW w:w="20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8" w:space="0" w:color="D2D2D2"/>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163,566,0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100.00%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920,000</w:t>
            </w:r>
          </w:p>
        </w:tc>
        <w:tc>
          <w:tcPr>
            <w:tcW w:w="840"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163,566,0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40"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164,486,0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328,052,0</w:t>
            </w:r>
          </w:p>
          <w:p>
            <w:pPr>
              <w:pStyle w:val="TableParagraph"/>
              <w:spacing w:line="240" w:lineRule="auto" w:before="76"/>
              <w:ind w:left="292" w:right="0"/>
              <w:jc w:val="left"/>
              <w:rPr>
                <w:rFonts w:ascii="Times New Roman" w:hAnsi="Times New Roman" w:cs="Times New Roman" w:eastAsia="Times New Roman" w:hint="default"/>
                <w:sz w:val="12"/>
                <w:szCs w:val="12"/>
              </w:rPr>
            </w:pPr>
            <w:r>
              <w:rPr>
                <w:rFonts w:ascii="Times New Roman" w:hAnsi="Times New Roman" w:cs="Times New Roman" w:eastAsia="Times New Roman" w:hint="default"/>
                <w:position w:val="-7"/>
                <w:sz w:val="18"/>
                <w:szCs w:val="18"/>
              </w:rPr>
              <w:t>00 </w:t>
            </w:r>
            <w:r>
              <w:rPr>
                <w:rFonts w:ascii="宋体" w:hAnsi="宋体" w:cs="宋体" w:eastAsia="宋体" w:hint="default"/>
                <w:color w:val="FF0000"/>
                <w:position w:val="1"/>
                <w:sz w:val="9"/>
                <w:szCs w:val="9"/>
              </w:rPr>
              <w:t>备注</w:t>
            </w:r>
            <w:r>
              <w:rPr>
                <w:rFonts w:ascii="宋体" w:hAnsi="宋体" w:cs="宋体" w:eastAsia="宋体" w:hint="default"/>
                <w:color w:val="FF0000"/>
                <w:spacing w:val="-19"/>
                <w:position w:val="1"/>
                <w:sz w:val="9"/>
                <w:szCs w:val="9"/>
              </w:rPr>
              <w:t> </w:t>
            </w:r>
            <w:r>
              <w:rPr>
                <w:rFonts w:ascii="Times New Roman" w:hAnsi="Times New Roman" w:cs="Times New Roman" w:eastAsia="Times New Roman" w:hint="default"/>
                <w:color w:val="FF0000"/>
                <w:sz w:val="12"/>
                <w:szCs w:val="12"/>
              </w:rPr>
              <w:t>1</w:t>
            </w:r>
            <w:r>
              <w:rPr>
                <w:rFonts w:ascii="Times New Roman" w:hAnsi="Times New Roman" w:cs="Times New Roman" w:eastAsia="Times New Roman" w:hint="default"/>
                <w:sz w:val="12"/>
                <w:szCs w:val="12"/>
              </w:rPr>
            </w: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100.00%</w:t>
            </w:r>
          </w:p>
        </w:tc>
      </w:tr>
      <w:tr>
        <w:trPr>
          <w:trHeight w:val="389" w:hRule="exact"/>
        </w:trPr>
        <w:tc>
          <w:tcPr>
            <w:tcW w:w="20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5" w:type="dxa"/>
            <w:vMerge/>
            <w:tcBorders>
              <w:left w:val="single" w:sz="8"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r>
      <w:tr>
        <w:trPr>
          <w:trHeight w:val="163" w:hRule="exact"/>
        </w:trPr>
        <w:tc>
          <w:tcPr>
            <w:tcW w:w="2018"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8"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r>
    </w:tbl>
    <w:p>
      <w:pPr>
        <w:spacing w:line="302" w:lineRule="auto" w:before="53"/>
        <w:ind w:left="152" w:right="142" w:firstLine="0"/>
        <w:jc w:val="both"/>
        <w:rPr>
          <w:rFonts w:ascii="宋体" w:hAnsi="宋体" w:cs="宋体" w:eastAsia="宋体" w:hint="default"/>
          <w:sz w:val="18"/>
          <w:szCs w:val="18"/>
        </w:rPr>
      </w:pPr>
      <w:r>
        <w:rPr>
          <w:rFonts w:ascii="宋体" w:hAnsi="宋体" w:cs="宋体" w:eastAsia="宋体" w:hint="default"/>
          <w:sz w:val="18"/>
          <w:szCs w:val="18"/>
        </w:rPr>
        <w:t>备注</w:t>
      </w:r>
      <w:r>
        <w:rPr>
          <w:rFonts w:ascii="宋体" w:hAnsi="宋体" w:cs="宋体" w:eastAsia="宋体" w:hint="default"/>
          <w:spacing w:val="-41"/>
          <w:sz w:val="18"/>
          <w:szCs w:val="18"/>
        </w:rPr>
        <w:t> </w:t>
      </w:r>
      <w:r>
        <w:rPr>
          <w:rFonts w:ascii="Arial" w:hAnsi="Arial" w:cs="Arial" w:eastAsia="Arial" w:hint="default"/>
          <w:sz w:val="18"/>
          <w:szCs w:val="18"/>
        </w:rPr>
        <w:t>1</w:t>
      </w:r>
      <w:r>
        <w:rPr>
          <w:rFonts w:ascii="宋体" w:hAnsi="宋体" w:cs="宋体" w:eastAsia="宋体" w:hint="default"/>
          <w:sz w:val="18"/>
          <w:szCs w:val="18"/>
        </w:rPr>
        <w:t>：</w:t>
      </w:r>
      <w:r>
        <w:rPr>
          <w:rFonts w:ascii="宋体" w:hAnsi="宋体" w:cs="宋体" w:eastAsia="宋体" w:hint="default"/>
          <w:spacing w:val="-3"/>
          <w:sz w:val="18"/>
          <w:szCs w:val="18"/>
        </w:rPr>
        <w:t> </w:t>
      </w:r>
      <w:r>
        <w:rPr>
          <w:rFonts w:ascii="宋体" w:hAnsi="宋体" w:cs="宋体" w:eastAsia="宋体" w:hint="default"/>
          <w:sz w:val="18"/>
          <w:szCs w:val="18"/>
        </w:rPr>
        <w:t>关于公司截至</w:t>
      </w:r>
      <w:r>
        <w:rPr>
          <w:rFonts w:ascii="宋体" w:hAnsi="宋体" w:cs="宋体" w:eastAsia="宋体" w:hint="default"/>
          <w:spacing w:val="-41"/>
          <w:sz w:val="18"/>
          <w:szCs w:val="18"/>
        </w:rPr>
        <w:t> </w:t>
      </w:r>
      <w:r>
        <w:rPr>
          <w:rFonts w:ascii="Arial" w:hAnsi="Arial" w:cs="Arial" w:eastAsia="Arial" w:hint="default"/>
          <w:sz w:val="18"/>
          <w:szCs w:val="18"/>
        </w:rPr>
        <w:t>2014</w:t>
      </w:r>
      <w:r>
        <w:rPr>
          <w:rFonts w:ascii="Arial" w:hAnsi="Arial" w:cs="Arial" w:eastAsia="Arial"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Arial" w:hAnsi="Arial" w:cs="Arial" w:eastAsia="Arial" w:hint="default"/>
          <w:sz w:val="18"/>
          <w:szCs w:val="18"/>
        </w:rPr>
        <w:t>12</w:t>
      </w:r>
      <w:r>
        <w:rPr>
          <w:rFonts w:ascii="Arial" w:hAnsi="Arial" w:cs="Arial" w:eastAsia="Arial"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Arial" w:hAnsi="Arial" w:cs="Arial" w:eastAsia="Arial" w:hint="default"/>
          <w:sz w:val="18"/>
          <w:szCs w:val="18"/>
        </w:rPr>
        <w:t>31</w:t>
      </w:r>
      <w:r>
        <w:rPr>
          <w:rFonts w:ascii="Arial" w:hAnsi="Arial" w:cs="Arial" w:eastAsia="Arial" w:hint="default"/>
          <w:spacing w:val="-2"/>
          <w:sz w:val="18"/>
          <w:szCs w:val="18"/>
        </w:rPr>
        <w:t> </w:t>
      </w:r>
      <w:r>
        <w:rPr>
          <w:rFonts w:ascii="宋体" w:hAnsi="宋体" w:cs="宋体" w:eastAsia="宋体" w:hint="default"/>
          <w:spacing w:val="-3"/>
          <w:sz w:val="18"/>
          <w:szCs w:val="18"/>
        </w:rPr>
        <w:t>日股份总数的说明：公司于</w:t>
      </w:r>
      <w:r>
        <w:rPr>
          <w:rFonts w:ascii="宋体" w:hAnsi="宋体" w:cs="宋体" w:eastAsia="宋体" w:hint="default"/>
          <w:spacing w:val="-41"/>
          <w:sz w:val="18"/>
          <w:szCs w:val="18"/>
        </w:rPr>
        <w:t> </w:t>
      </w:r>
      <w:r>
        <w:rPr>
          <w:rFonts w:ascii="Arial" w:hAnsi="Arial" w:cs="Arial" w:eastAsia="Arial" w:hint="default"/>
          <w:sz w:val="18"/>
          <w:szCs w:val="18"/>
        </w:rPr>
        <w:t>2014</w:t>
      </w:r>
      <w:r>
        <w:rPr>
          <w:rFonts w:ascii="Arial" w:hAnsi="Arial" w:cs="Arial" w:eastAsia="Arial"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Arial" w:hAnsi="Arial" w:cs="Arial" w:eastAsia="Arial" w:hint="default"/>
          <w:sz w:val="18"/>
          <w:szCs w:val="18"/>
        </w:rPr>
        <w:t>12</w:t>
      </w:r>
      <w:r>
        <w:rPr>
          <w:rFonts w:ascii="Arial" w:hAnsi="Arial" w:cs="Arial" w:eastAsia="Arial"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Arial" w:hAnsi="Arial" w:cs="Arial" w:eastAsia="Arial" w:hint="default"/>
          <w:sz w:val="18"/>
          <w:szCs w:val="18"/>
        </w:rPr>
        <w:t>8</w:t>
      </w:r>
      <w:r>
        <w:rPr>
          <w:rFonts w:ascii="Arial" w:hAnsi="Arial" w:cs="Arial" w:eastAsia="Arial" w:hint="default"/>
          <w:spacing w:val="-2"/>
          <w:sz w:val="18"/>
          <w:szCs w:val="18"/>
        </w:rPr>
        <w:t> </w:t>
      </w:r>
      <w:r>
        <w:rPr>
          <w:rFonts w:ascii="宋体" w:hAnsi="宋体" w:cs="宋体" w:eastAsia="宋体" w:hint="default"/>
          <w:spacing w:val="-3"/>
          <w:sz w:val="18"/>
          <w:szCs w:val="18"/>
        </w:rPr>
        <w:t>日第三届董事会第三次会议审议通过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w w:val="101"/>
          <w:sz w:val="18"/>
          <w:szCs w:val="18"/>
        </w:rPr>
        <w:t>了《关于股票期权与限制性股票激励计划第一个行权</w:t>
      </w:r>
      <w:r>
        <w:rPr>
          <w:rFonts w:ascii="Arial" w:hAnsi="Arial" w:cs="Arial" w:eastAsia="Arial" w:hint="default"/>
          <w:spacing w:val="-5"/>
          <w:w w:val="101"/>
          <w:sz w:val="18"/>
          <w:szCs w:val="18"/>
        </w:rPr>
        <w:t>/</w:t>
      </w:r>
      <w:r>
        <w:rPr>
          <w:rFonts w:ascii="宋体" w:hAnsi="宋体" w:cs="宋体" w:eastAsia="宋体" w:hint="default"/>
          <w:spacing w:val="-5"/>
          <w:w w:val="101"/>
          <w:sz w:val="18"/>
          <w:szCs w:val="18"/>
        </w:rPr>
        <w:t>解锁期可行权</w:t>
      </w:r>
      <w:r>
        <w:rPr>
          <w:rFonts w:ascii="Arial" w:hAnsi="Arial" w:cs="Arial" w:eastAsia="Arial" w:hint="default"/>
          <w:spacing w:val="-5"/>
          <w:w w:val="101"/>
          <w:sz w:val="18"/>
          <w:szCs w:val="18"/>
        </w:rPr>
        <w:t>/</w:t>
      </w:r>
      <w:r>
        <w:rPr>
          <w:rFonts w:ascii="宋体" w:hAnsi="宋体" w:cs="宋体" w:eastAsia="宋体" w:hint="default"/>
          <w:spacing w:val="-5"/>
          <w:w w:val="101"/>
          <w:sz w:val="18"/>
          <w:szCs w:val="18"/>
        </w:rPr>
        <w:t>解锁的议案》，同意对满足第一个行权</w:t>
      </w:r>
      <w:r>
        <w:rPr>
          <w:rFonts w:ascii="Arial" w:hAnsi="Arial" w:cs="Arial" w:eastAsia="Arial" w:hint="default"/>
          <w:spacing w:val="-5"/>
          <w:w w:val="101"/>
          <w:sz w:val="18"/>
          <w:szCs w:val="18"/>
        </w:rPr>
        <w:t>/</w:t>
      </w:r>
      <w:r>
        <w:rPr>
          <w:rFonts w:ascii="宋体" w:hAnsi="宋体" w:cs="宋体" w:eastAsia="宋体" w:hint="default"/>
          <w:spacing w:val="-5"/>
          <w:w w:val="101"/>
          <w:sz w:val="18"/>
          <w:szCs w:val="18"/>
        </w:rPr>
        <w:t>解锁期行权</w:t>
      </w:r>
      <w:r>
        <w:rPr>
          <w:rFonts w:ascii="Arial" w:hAnsi="Arial" w:cs="Arial" w:eastAsia="Arial" w:hint="default"/>
          <w:spacing w:val="-5"/>
          <w:w w:val="101"/>
          <w:sz w:val="18"/>
          <w:szCs w:val="18"/>
        </w:rPr>
        <w:t>/</w:t>
      </w:r>
      <w:r>
        <w:rPr>
          <w:rFonts w:ascii="宋体" w:hAnsi="宋体" w:cs="宋体" w:eastAsia="宋体" w:hint="default"/>
          <w:spacing w:val="-5"/>
          <w:w w:val="101"/>
          <w:sz w:val="18"/>
          <w:szCs w:val="18"/>
        </w:rPr>
        <w:t>解锁</w:t>
      </w:r>
      <w:r>
        <w:rPr>
          <w:rFonts w:ascii="宋体" w:hAnsi="宋体" w:cs="宋体" w:eastAsia="宋体" w:hint="default"/>
          <w:spacing w:val="-40"/>
          <w:w w:val="101"/>
          <w:sz w:val="18"/>
          <w:szCs w:val="18"/>
        </w:rPr>
        <w:t> </w:t>
      </w:r>
      <w:r>
        <w:rPr>
          <w:rFonts w:ascii="宋体" w:hAnsi="宋体" w:cs="宋体" w:eastAsia="宋体" w:hint="default"/>
          <w:spacing w:val="-40"/>
          <w:w w:val="101"/>
          <w:sz w:val="18"/>
          <w:szCs w:val="18"/>
        </w:rPr>
      </w:r>
      <w:r>
        <w:rPr>
          <w:rFonts w:ascii="宋体" w:hAnsi="宋体" w:cs="宋体" w:eastAsia="宋体" w:hint="default"/>
          <w:spacing w:val="-4"/>
          <w:sz w:val="18"/>
          <w:szCs w:val="18"/>
        </w:rPr>
        <w:t>条件的激励对象按照《股票期权与限制性股票激励计划》的相关规定办理第一个行权</w:t>
      </w:r>
      <w:r>
        <w:rPr>
          <w:rFonts w:ascii="Arial" w:hAnsi="Arial" w:cs="Arial" w:eastAsia="Arial" w:hint="default"/>
          <w:spacing w:val="-4"/>
          <w:sz w:val="18"/>
          <w:szCs w:val="18"/>
        </w:rPr>
        <w:t>/</w:t>
      </w:r>
      <w:r>
        <w:rPr>
          <w:rFonts w:ascii="宋体" w:hAnsi="宋体" w:cs="宋体" w:eastAsia="宋体" w:hint="default"/>
          <w:spacing w:val="-4"/>
          <w:sz w:val="18"/>
          <w:szCs w:val="18"/>
        </w:rPr>
        <w:t>解锁期行权</w:t>
      </w:r>
      <w:r>
        <w:rPr>
          <w:rFonts w:ascii="Arial" w:hAnsi="Arial" w:cs="Arial" w:eastAsia="Arial" w:hint="default"/>
          <w:spacing w:val="-4"/>
          <w:sz w:val="18"/>
          <w:szCs w:val="18"/>
        </w:rPr>
        <w:t>/</w:t>
      </w:r>
      <w:r>
        <w:rPr>
          <w:rFonts w:ascii="宋体" w:hAnsi="宋体" w:cs="宋体" w:eastAsia="宋体" w:hint="default"/>
          <w:spacing w:val="-4"/>
          <w:sz w:val="18"/>
          <w:szCs w:val="18"/>
        </w:rPr>
        <w:t>解锁的相关事宜；</w:t>
      </w:r>
      <w:r>
        <w:rPr>
          <w:rFonts w:ascii="Arial" w:hAnsi="Arial" w:cs="Arial" w:eastAsia="Arial" w:hint="default"/>
          <w:spacing w:val="-4"/>
          <w:sz w:val="18"/>
          <w:szCs w:val="18"/>
        </w:rPr>
        <w:t>71 </w:t>
      </w:r>
      <w:r>
        <w:rPr>
          <w:rFonts w:ascii="宋体" w:hAnsi="宋体" w:cs="宋体" w:eastAsia="宋体" w:hint="default"/>
          <w:sz w:val="18"/>
          <w:szCs w:val="18"/>
        </w:rPr>
        <w:t>名激</w:t>
      </w:r>
      <w:r>
        <w:rPr>
          <w:rFonts w:ascii="宋体" w:hAnsi="宋体" w:cs="宋体" w:eastAsia="宋体" w:hint="default"/>
          <w:spacing w:val="-38"/>
          <w:sz w:val="18"/>
          <w:szCs w:val="18"/>
        </w:rPr>
        <w:t> </w:t>
      </w:r>
      <w:r>
        <w:rPr>
          <w:rFonts w:ascii="宋体" w:hAnsi="宋体" w:cs="宋体" w:eastAsia="宋体" w:hint="default"/>
          <w:spacing w:val="-3"/>
          <w:sz w:val="18"/>
          <w:szCs w:val="18"/>
        </w:rPr>
        <w:t>励对象本次可行权的股票期权数量为 </w:t>
      </w:r>
      <w:r>
        <w:rPr>
          <w:rFonts w:ascii="Arial" w:hAnsi="Arial" w:cs="Arial" w:eastAsia="Arial" w:hint="default"/>
          <w:spacing w:val="-10"/>
          <w:sz w:val="18"/>
          <w:szCs w:val="18"/>
        </w:rPr>
        <w:t>111  </w:t>
      </w:r>
      <w:r>
        <w:rPr>
          <w:rFonts w:ascii="宋体" w:hAnsi="宋体" w:cs="宋体" w:eastAsia="宋体" w:hint="default"/>
          <w:sz w:val="18"/>
          <w:szCs w:val="18"/>
        </w:rPr>
        <w:t>万份。</w:t>
      </w:r>
      <w:r>
        <w:rPr>
          <w:rFonts w:ascii="Arial" w:hAnsi="Arial" w:cs="Arial" w:eastAsia="Arial" w:hint="default"/>
          <w:sz w:val="18"/>
          <w:szCs w:val="18"/>
        </w:rPr>
        <w:t>2014 </w:t>
      </w:r>
      <w:r>
        <w:rPr>
          <w:rFonts w:ascii="宋体" w:hAnsi="宋体" w:cs="宋体" w:eastAsia="宋体" w:hint="default"/>
          <w:sz w:val="18"/>
          <w:szCs w:val="18"/>
        </w:rPr>
        <w:t>年 </w:t>
      </w:r>
      <w:r>
        <w:rPr>
          <w:rFonts w:ascii="Arial" w:hAnsi="Arial" w:cs="Arial" w:eastAsia="Arial" w:hint="default"/>
          <w:sz w:val="18"/>
          <w:szCs w:val="18"/>
        </w:rPr>
        <w:t>12 </w:t>
      </w:r>
      <w:r>
        <w:rPr>
          <w:rFonts w:ascii="宋体" w:hAnsi="宋体" w:cs="宋体" w:eastAsia="宋体" w:hint="default"/>
          <w:sz w:val="18"/>
          <w:szCs w:val="18"/>
        </w:rPr>
        <w:t>月 </w:t>
      </w:r>
      <w:r>
        <w:rPr>
          <w:rFonts w:ascii="Arial" w:hAnsi="Arial" w:cs="Arial" w:eastAsia="Arial" w:hint="default"/>
          <w:spacing w:val="-3"/>
          <w:sz w:val="18"/>
          <w:szCs w:val="18"/>
        </w:rPr>
        <w:t>18  </w:t>
      </w:r>
      <w:r>
        <w:rPr>
          <w:rFonts w:ascii="宋体" w:hAnsi="宋体" w:cs="宋体" w:eastAsia="宋体" w:hint="default"/>
          <w:spacing w:val="-3"/>
          <w:sz w:val="18"/>
          <w:szCs w:val="18"/>
        </w:rPr>
        <w:t>日，根据上述议案，</w:t>
      </w:r>
      <w:r>
        <w:rPr>
          <w:rFonts w:ascii="Arial" w:hAnsi="Arial" w:cs="Arial" w:eastAsia="Arial" w:hint="default"/>
          <w:spacing w:val="-3"/>
          <w:sz w:val="18"/>
          <w:szCs w:val="18"/>
        </w:rPr>
        <w:t>71</w:t>
      </w:r>
      <w:r>
        <w:rPr>
          <w:rFonts w:ascii="Arial" w:hAnsi="Arial" w:cs="Arial" w:eastAsia="Arial" w:hint="default"/>
          <w:spacing w:val="-23"/>
          <w:sz w:val="18"/>
          <w:szCs w:val="18"/>
        </w:rPr>
        <w:t> </w:t>
      </w:r>
      <w:r>
        <w:rPr>
          <w:rFonts w:ascii="宋体" w:hAnsi="宋体" w:cs="宋体" w:eastAsia="宋体" w:hint="default"/>
          <w:spacing w:val="-3"/>
          <w:sz w:val="18"/>
          <w:szCs w:val="18"/>
        </w:rPr>
        <w:t>名股权激励对象完成了首次股票</w:t>
      </w:r>
    </w:p>
    <w:p>
      <w:pPr>
        <w:spacing w:before="11"/>
        <w:ind w:left="152" w:right="0" w:firstLine="0"/>
        <w:jc w:val="both"/>
        <w:rPr>
          <w:rFonts w:ascii="宋体" w:hAnsi="宋体" w:cs="宋体" w:eastAsia="宋体" w:hint="default"/>
          <w:sz w:val="18"/>
          <w:szCs w:val="18"/>
        </w:rPr>
      </w:pPr>
      <w:r>
        <w:rPr>
          <w:rFonts w:ascii="宋体" w:hAnsi="宋体" w:cs="宋体" w:eastAsia="宋体" w:hint="default"/>
          <w:spacing w:val="-4"/>
          <w:sz w:val="18"/>
          <w:szCs w:val="18"/>
        </w:rPr>
        <w:t>期权的行权资金的缴纳，众华会计师事务（特殊普通合伙）所于</w:t>
      </w:r>
      <w:r>
        <w:rPr>
          <w:rFonts w:ascii="宋体" w:hAnsi="宋体" w:cs="宋体" w:eastAsia="宋体" w:hint="default"/>
          <w:spacing w:val="-31"/>
          <w:sz w:val="18"/>
          <w:szCs w:val="18"/>
        </w:rPr>
        <w:t> </w:t>
      </w:r>
      <w:r>
        <w:rPr>
          <w:rFonts w:ascii="Arial" w:hAnsi="Arial" w:cs="Arial" w:eastAsia="Arial" w:hint="default"/>
          <w:sz w:val="18"/>
          <w:szCs w:val="18"/>
        </w:rPr>
        <w:t>2014</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31"/>
          <w:sz w:val="18"/>
          <w:szCs w:val="18"/>
        </w:rPr>
        <w:t> </w:t>
      </w:r>
      <w:r>
        <w:rPr>
          <w:rFonts w:ascii="Arial" w:hAnsi="Arial" w:cs="Arial" w:eastAsia="Arial" w:hint="default"/>
          <w:sz w:val="18"/>
          <w:szCs w:val="18"/>
        </w:rPr>
        <w:t>18</w:t>
      </w:r>
      <w:r>
        <w:rPr>
          <w:rFonts w:ascii="Arial" w:hAnsi="Arial" w:cs="Arial" w:eastAsia="Arial" w:hint="default"/>
          <w:spacing w:val="7"/>
          <w:sz w:val="18"/>
          <w:szCs w:val="18"/>
        </w:rPr>
        <w:t> </w:t>
      </w:r>
      <w:r>
        <w:rPr>
          <w:rFonts w:ascii="宋体" w:hAnsi="宋体" w:cs="宋体" w:eastAsia="宋体" w:hint="default"/>
          <w:spacing w:val="-5"/>
          <w:sz w:val="18"/>
          <w:szCs w:val="18"/>
        </w:rPr>
        <w:t>日出具众会字（</w:t>
      </w:r>
      <w:r>
        <w:rPr>
          <w:rFonts w:ascii="Arial" w:hAnsi="Arial" w:cs="Arial" w:eastAsia="Arial" w:hint="default"/>
          <w:spacing w:val="-5"/>
          <w:sz w:val="18"/>
          <w:szCs w:val="18"/>
        </w:rPr>
        <w:t>2014</w:t>
      </w:r>
      <w:r>
        <w:rPr>
          <w:rFonts w:ascii="宋体" w:hAnsi="宋体" w:cs="宋体" w:eastAsia="宋体" w:hint="default"/>
          <w:spacing w:val="-5"/>
          <w:sz w:val="18"/>
          <w:szCs w:val="18"/>
        </w:rPr>
        <w:t>）第</w:t>
      </w:r>
      <w:r>
        <w:rPr>
          <w:rFonts w:ascii="宋体" w:hAnsi="宋体" w:cs="宋体" w:eastAsia="宋体" w:hint="default"/>
          <w:spacing w:val="-31"/>
          <w:sz w:val="18"/>
          <w:szCs w:val="18"/>
        </w:rPr>
        <w:t> </w:t>
      </w:r>
      <w:r>
        <w:rPr>
          <w:rFonts w:ascii="Arial" w:hAnsi="Arial" w:cs="Arial" w:eastAsia="Arial" w:hint="default"/>
          <w:sz w:val="18"/>
          <w:szCs w:val="18"/>
        </w:rPr>
        <w:t>5743</w:t>
      </w:r>
      <w:r>
        <w:rPr>
          <w:rFonts w:ascii="Arial" w:hAnsi="Arial" w:cs="Arial" w:eastAsia="Arial" w:hint="default"/>
          <w:spacing w:val="7"/>
          <w:sz w:val="18"/>
          <w:szCs w:val="18"/>
        </w:rPr>
        <w:t> </w:t>
      </w:r>
      <w:r>
        <w:rPr>
          <w:rFonts w:ascii="宋体" w:hAnsi="宋体" w:cs="宋体" w:eastAsia="宋体" w:hint="default"/>
          <w:spacing w:val="-3"/>
          <w:sz w:val="18"/>
          <w:szCs w:val="18"/>
        </w:rPr>
        <w:t>号验资报</w:t>
      </w:r>
    </w:p>
    <w:p>
      <w:pPr>
        <w:spacing w:before="63"/>
        <w:ind w:left="152" w:right="0" w:firstLine="0"/>
        <w:jc w:val="both"/>
        <w:rPr>
          <w:rFonts w:ascii="宋体" w:hAnsi="宋体" w:cs="宋体" w:eastAsia="宋体" w:hint="default"/>
          <w:sz w:val="18"/>
          <w:szCs w:val="18"/>
        </w:rPr>
      </w:pPr>
      <w:r>
        <w:rPr>
          <w:rFonts w:ascii="宋体" w:hAnsi="宋体" w:cs="宋体" w:eastAsia="宋体" w:hint="default"/>
          <w:spacing w:val="-4"/>
          <w:sz w:val="18"/>
          <w:szCs w:val="18"/>
        </w:rPr>
        <w:t>告，审验了公司截至</w:t>
      </w:r>
      <w:r>
        <w:rPr>
          <w:rFonts w:ascii="宋体" w:hAnsi="宋体" w:cs="宋体" w:eastAsia="宋体" w:hint="default"/>
          <w:spacing w:val="-43"/>
          <w:sz w:val="18"/>
          <w:szCs w:val="18"/>
        </w:rPr>
        <w:t> </w:t>
      </w:r>
      <w:r>
        <w:rPr>
          <w:rFonts w:ascii="Arial" w:hAnsi="Arial" w:cs="Arial" w:eastAsia="Arial" w:hint="default"/>
          <w:sz w:val="18"/>
          <w:szCs w:val="18"/>
        </w:rPr>
        <w:t>2014</w:t>
      </w:r>
      <w:r>
        <w:rPr>
          <w:rFonts w:ascii="Arial" w:hAnsi="Arial" w:cs="Arial" w:eastAsia="Arial"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Arial" w:hAnsi="Arial" w:cs="Arial" w:eastAsia="Arial" w:hint="default"/>
          <w:sz w:val="18"/>
          <w:szCs w:val="18"/>
        </w:rPr>
        <w:t>12</w:t>
      </w:r>
      <w:r>
        <w:rPr>
          <w:rFonts w:ascii="Arial" w:hAnsi="Arial" w:cs="Arial" w:eastAsia="Arial"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Arial" w:hAnsi="Arial" w:cs="Arial" w:eastAsia="Arial" w:hint="default"/>
          <w:sz w:val="18"/>
          <w:szCs w:val="18"/>
        </w:rPr>
        <w:t>18</w:t>
      </w:r>
      <w:r>
        <w:rPr>
          <w:rFonts w:ascii="Arial" w:hAnsi="Arial" w:cs="Arial" w:eastAsia="Arial" w:hint="default"/>
          <w:spacing w:val="3"/>
          <w:sz w:val="18"/>
          <w:szCs w:val="18"/>
        </w:rPr>
        <w:t> </w:t>
      </w:r>
      <w:r>
        <w:rPr>
          <w:rFonts w:ascii="宋体" w:hAnsi="宋体" w:cs="宋体" w:eastAsia="宋体" w:hint="default"/>
          <w:spacing w:val="-5"/>
          <w:sz w:val="18"/>
          <w:szCs w:val="18"/>
        </w:rPr>
        <w:t>日止新增注册资本及股本情况，认为：截至</w:t>
      </w:r>
      <w:r>
        <w:rPr>
          <w:rFonts w:ascii="宋体" w:hAnsi="宋体" w:cs="宋体" w:eastAsia="宋体" w:hint="default"/>
          <w:spacing w:val="-36"/>
          <w:sz w:val="18"/>
          <w:szCs w:val="18"/>
        </w:rPr>
        <w:t> </w:t>
      </w:r>
      <w:r>
        <w:rPr>
          <w:rFonts w:ascii="Arial" w:hAnsi="Arial" w:cs="Arial" w:eastAsia="Arial" w:hint="default"/>
          <w:sz w:val="18"/>
          <w:szCs w:val="18"/>
        </w:rPr>
        <w:t>2014</w:t>
      </w:r>
      <w:r>
        <w:rPr>
          <w:rFonts w:ascii="Arial" w:hAnsi="Arial" w:cs="Arial" w:eastAsia="Arial"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Arial" w:hAnsi="Arial" w:cs="Arial" w:eastAsia="Arial" w:hint="default"/>
          <w:sz w:val="18"/>
          <w:szCs w:val="18"/>
        </w:rPr>
        <w:t>12</w:t>
      </w:r>
      <w:r>
        <w:rPr>
          <w:rFonts w:ascii="Arial" w:hAnsi="Arial" w:cs="Arial" w:eastAsia="Arial"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Arial" w:hAnsi="Arial" w:cs="Arial" w:eastAsia="Arial" w:hint="default"/>
          <w:sz w:val="18"/>
          <w:szCs w:val="18"/>
        </w:rPr>
        <w:t>18</w:t>
      </w:r>
      <w:r>
        <w:rPr>
          <w:rFonts w:ascii="Arial" w:hAnsi="Arial" w:cs="Arial" w:eastAsia="Arial" w:hint="default"/>
          <w:spacing w:val="-4"/>
          <w:sz w:val="18"/>
          <w:szCs w:val="18"/>
        </w:rPr>
        <w:t> </w:t>
      </w:r>
      <w:r>
        <w:rPr>
          <w:rFonts w:ascii="宋体" w:hAnsi="宋体" w:cs="宋体" w:eastAsia="宋体" w:hint="default"/>
          <w:spacing w:val="-4"/>
          <w:sz w:val="18"/>
          <w:szCs w:val="18"/>
        </w:rPr>
        <w:t>日止，变更后的注册资</w:t>
      </w:r>
    </w:p>
    <w:p>
      <w:pPr>
        <w:spacing w:after="0"/>
        <w:jc w:val="both"/>
        <w:rPr>
          <w:rFonts w:ascii="宋体" w:hAnsi="宋体" w:cs="宋体" w:eastAsia="宋体" w:hint="default"/>
          <w:sz w:val="18"/>
          <w:szCs w:val="18"/>
        </w:rPr>
        <w:sectPr>
          <w:pgSz w:w="11900" w:h="16840"/>
          <w:pgMar w:header="742" w:footer="984" w:top="1060" w:bottom="1180" w:left="980" w:right="980"/>
        </w:sectPr>
      </w:pPr>
    </w:p>
    <w:p>
      <w:pPr>
        <w:spacing w:line="240" w:lineRule="auto" w:before="1"/>
        <w:rPr>
          <w:rFonts w:ascii="宋体" w:hAnsi="宋体" w:cs="宋体" w:eastAsia="宋体" w:hint="default"/>
          <w:sz w:val="26"/>
          <w:szCs w:val="26"/>
        </w:rPr>
      </w:pPr>
    </w:p>
    <w:p>
      <w:pPr>
        <w:spacing w:before="46"/>
        <w:ind w:left="152" w:right="0" w:firstLine="0"/>
        <w:jc w:val="left"/>
        <w:rPr>
          <w:rFonts w:ascii="宋体" w:hAnsi="宋体" w:cs="宋体" w:eastAsia="宋体" w:hint="default"/>
          <w:sz w:val="18"/>
          <w:szCs w:val="18"/>
        </w:rPr>
      </w:pPr>
      <w:r>
        <w:rPr>
          <w:rFonts w:ascii="宋体" w:hAnsi="宋体" w:cs="宋体" w:eastAsia="宋体" w:hint="default"/>
          <w:sz w:val="18"/>
          <w:szCs w:val="18"/>
        </w:rPr>
        <w:t>本人民币 </w:t>
      </w:r>
      <w:r>
        <w:rPr>
          <w:rFonts w:ascii="Arial" w:hAnsi="Arial" w:cs="Arial" w:eastAsia="Arial" w:hint="default"/>
          <w:sz w:val="18"/>
          <w:szCs w:val="18"/>
        </w:rPr>
        <w:t>329,162,000.00 </w:t>
      </w:r>
      <w:r>
        <w:rPr>
          <w:rFonts w:ascii="宋体" w:hAnsi="宋体" w:cs="宋体" w:eastAsia="宋体" w:hint="default"/>
          <w:spacing w:val="-4"/>
          <w:sz w:val="18"/>
          <w:szCs w:val="18"/>
        </w:rPr>
        <w:t>元、累计股本为人民币 </w:t>
      </w:r>
      <w:r>
        <w:rPr>
          <w:rFonts w:ascii="Arial" w:hAnsi="Arial" w:cs="Arial" w:eastAsia="Arial" w:hint="default"/>
          <w:sz w:val="18"/>
          <w:szCs w:val="18"/>
        </w:rPr>
        <w:t>329,162,000.00</w:t>
      </w:r>
      <w:r>
        <w:rPr>
          <w:rFonts w:ascii="Arial" w:hAnsi="Arial" w:cs="Arial" w:eastAsia="Arial" w:hint="default"/>
          <w:spacing w:val="-10"/>
          <w:sz w:val="18"/>
          <w:szCs w:val="18"/>
        </w:rPr>
        <w:t> </w:t>
      </w:r>
      <w:r>
        <w:rPr>
          <w:rFonts w:ascii="宋体" w:hAnsi="宋体" w:cs="宋体" w:eastAsia="宋体" w:hint="default"/>
          <w:spacing w:val="-5"/>
          <w:sz w:val="18"/>
          <w:szCs w:val="18"/>
        </w:rPr>
        <w:t>元。而经本公司董事会申请、深圳证券交易所确认、中国</w:t>
      </w:r>
    </w:p>
    <w:p>
      <w:pPr>
        <w:spacing w:before="6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证券登记结算有限责任公司深圳分公司核准登记，上述</w:t>
      </w:r>
      <w:r>
        <w:rPr>
          <w:rFonts w:ascii="宋体" w:hAnsi="宋体" w:cs="宋体" w:eastAsia="宋体" w:hint="default"/>
          <w:spacing w:val="-23"/>
          <w:sz w:val="18"/>
          <w:szCs w:val="18"/>
        </w:rPr>
        <w:t> </w:t>
      </w:r>
      <w:r>
        <w:rPr>
          <w:rFonts w:ascii="Arial" w:hAnsi="Arial" w:cs="Arial" w:eastAsia="Arial" w:hint="default"/>
          <w:spacing w:val="-10"/>
          <w:sz w:val="18"/>
          <w:szCs w:val="18"/>
        </w:rPr>
        <w:t>111</w:t>
      </w:r>
      <w:r>
        <w:rPr>
          <w:rFonts w:ascii="Arial" w:hAnsi="Arial" w:cs="Arial" w:eastAsia="Arial" w:hint="default"/>
          <w:spacing w:val="8"/>
          <w:sz w:val="18"/>
          <w:szCs w:val="18"/>
        </w:rPr>
        <w:t> </w:t>
      </w:r>
      <w:r>
        <w:rPr>
          <w:rFonts w:ascii="宋体" w:hAnsi="宋体" w:cs="宋体" w:eastAsia="宋体" w:hint="default"/>
          <w:spacing w:val="-3"/>
          <w:sz w:val="18"/>
          <w:szCs w:val="18"/>
        </w:rPr>
        <w:t>万份股票期权的股份登记日为</w:t>
      </w:r>
      <w:r>
        <w:rPr>
          <w:rFonts w:ascii="宋体" w:hAnsi="宋体" w:cs="宋体" w:eastAsia="宋体" w:hint="default"/>
          <w:spacing w:val="-23"/>
          <w:sz w:val="18"/>
          <w:szCs w:val="18"/>
        </w:rPr>
        <w:t> </w:t>
      </w:r>
      <w:r>
        <w:rPr>
          <w:rFonts w:ascii="Arial" w:hAnsi="Arial" w:cs="Arial" w:eastAsia="Arial" w:hint="default"/>
          <w:sz w:val="18"/>
          <w:szCs w:val="18"/>
        </w:rPr>
        <w:t>2015</w:t>
      </w:r>
      <w:r>
        <w:rPr>
          <w:rFonts w:ascii="Arial" w:hAnsi="Arial" w:cs="Arial" w:eastAsia="Arial"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23"/>
          <w:sz w:val="18"/>
          <w:szCs w:val="18"/>
        </w:rPr>
        <w:t> </w:t>
      </w:r>
      <w:r>
        <w:rPr>
          <w:rFonts w:ascii="Arial" w:hAnsi="Arial" w:cs="Arial" w:eastAsia="Arial" w:hint="default"/>
          <w:sz w:val="18"/>
          <w:szCs w:val="18"/>
        </w:rPr>
        <w:t>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23"/>
          <w:sz w:val="18"/>
          <w:szCs w:val="18"/>
        </w:rPr>
        <w:t> </w:t>
      </w: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pacing w:val="-3"/>
          <w:sz w:val="18"/>
          <w:szCs w:val="18"/>
        </w:rPr>
        <w:t>日，行权股份的</w:t>
      </w:r>
    </w:p>
    <w:p>
      <w:pPr>
        <w:spacing w:before="63"/>
        <w:ind w:left="152" w:right="0" w:firstLine="0"/>
        <w:jc w:val="left"/>
        <w:rPr>
          <w:rFonts w:ascii="宋体" w:hAnsi="宋体" w:cs="宋体" w:eastAsia="宋体" w:hint="default"/>
          <w:sz w:val="18"/>
          <w:szCs w:val="18"/>
        </w:rPr>
      </w:pPr>
      <w:r>
        <w:rPr>
          <w:rFonts w:ascii="宋体" w:hAnsi="宋体" w:cs="宋体" w:eastAsia="宋体" w:hint="default"/>
          <w:sz w:val="18"/>
          <w:szCs w:val="18"/>
        </w:rPr>
        <w:t>上市时间为</w:t>
      </w:r>
      <w:r>
        <w:rPr>
          <w:rFonts w:ascii="宋体" w:hAnsi="宋体" w:cs="宋体" w:eastAsia="宋体" w:hint="default"/>
          <w:spacing w:val="-35"/>
          <w:sz w:val="18"/>
          <w:szCs w:val="18"/>
        </w:rPr>
        <w:t> </w:t>
      </w:r>
      <w:r>
        <w:rPr>
          <w:rFonts w:ascii="Arial" w:hAnsi="Arial" w:cs="Arial" w:eastAsia="Arial" w:hint="default"/>
          <w:sz w:val="18"/>
          <w:szCs w:val="18"/>
        </w:rPr>
        <w:t>2015</w:t>
      </w:r>
      <w:r>
        <w:rPr>
          <w:rFonts w:ascii="Arial" w:hAnsi="Arial" w:cs="Arial" w:eastAsia="Arial"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Arial" w:hAnsi="Arial" w:cs="Arial" w:eastAsia="Arial" w:hint="default"/>
          <w:sz w:val="18"/>
          <w:szCs w:val="18"/>
        </w:rPr>
        <w:t>21</w:t>
      </w:r>
      <w:r>
        <w:rPr>
          <w:rFonts w:ascii="Arial" w:hAnsi="Arial" w:cs="Arial" w:eastAsia="Arial" w:hint="default"/>
          <w:spacing w:val="4"/>
          <w:sz w:val="18"/>
          <w:szCs w:val="18"/>
        </w:rPr>
        <w:t> </w:t>
      </w:r>
      <w:r>
        <w:rPr>
          <w:rFonts w:ascii="宋体" w:hAnsi="宋体" w:cs="宋体" w:eastAsia="宋体" w:hint="default"/>
          <w:spacing w:val="-5"/>
          <w:sz w:val="18"/>
          <w:szCs w:val="18"/>
        </w:rPr>
        <w:t>日。因此，众华会计师事务所对本公司出具体的</w:t>
      </w:r>
      <w:r>
        <w:rPr>
          <w:rFonts w:ascii="宋体" w:hAnsi="宋体" w:cs="宋体" w:eastAsia="宋体" w:hint="default"/>
          <w:spacing w:val="-35"/>
          <w:sz w:val="18"/>
          <w:szCs w:val="18"/>
        </w:rPr>
        <w:t> </w:t>
      </w:r>
      <w:r>
        <w:rPr>
          <w:rFonts w:ascii="Arial" w:hAnsi="Arial" w:cs="Arial" w:eastAsia="Arial" w:hint="default"/>
          <w:sz w:val="18"/>
          <w:szCs w:val="18"/>
        </w:rPr>
        <w:t>2014</w:t>
      </w:r>
      <w:r>
        <w:rPr>
          <w:rFonts w:ascii="Arial" w:hAnsi="Arial" w:cs="Arial" w:eastAsia="Arial" w:hint="default"/>
          <w:spacing w:val="4"/>
          <w:sz w:val="18"/>
          <w:szCs w:val="18"/>
        </w:rPr>
        <w:t> </w:t>
      </w:r>
      <w:r>
        <w:rPr>
          <w:rFonts w:ascii="宋体" w:hAnsi="宋体" w:cs="宋体" w:eastAsia="宋体" w:hint="default"/>
          <w:spacing w:val="-6"/>
          <w:sz w:val="18"/>
          <w:szCs w:val="18"/>
        </w:rPr>
        <w:t>年审计报告（众会字（</w:t>
      </w:r>
      <w:r>
        <w:rPr>
          <w:rFonts w:ascii="Times New Roman" w:hAnsi="Times New Roman" w:cs="Times New Roman" w:eastAsia="Times New Roman" w:hint="default"/>
          <w:spacing w:val="-6"/>
          <w:sz w:val="18"/>
          <w:szCs w:val="18"/>
        </w:rPr>
        <w:t>2015</w:t>
      </w:r>
      <w:r>
        <w:rPr>
          <w:rFonts w:ascii="宋体" w:hAnsi="宋体" w:cs="宋体" w:eastAsia="宋体" w:hint="default"/>
          <w:spacing w:val="-6"/>
          <w:sz w:val="18"/>
          <w:szCs w:val="18"/>
        </w:rPr>
        <w:t>）第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p>
      <w:pPr>
        <w:spacing w:before="63"/>
        <w:ind w:left="152" w:right="0" w:firstLine="0"/>
        <w:jc w:val="left"/>
        <w:rPr>
          <w:rFonts w:ascii="宋体" w:hAnsi="宋体" w:cs="宋体" w:eastAsia="宋体" w:hint="default"/>
          <w:sz w:val="18"/>
          <w:szCs w:val="18"/>
        </w:rPr>
      </w:pPr>
      <w:r>
        <w:rPr>
          <w:rFonts w:ascii="宋体" w:hAnsi="宋体" w:cs="宋体" w:eastAsia="宋体" w:hint="default"/>
          <w:w w:val="101"/>
          <w:sz w:val="18"/>
          <w:szCs w:val="18"/>
        </w:rPr>
        <w:t>中</w:t>
      </w:r>
      <w:r>
        <w:rPr>
          <w:rFonts w:ascii="宋体" w:hAnsi="宋体" w:cs="宋体" w:eastAsia="宋体" w:hint="default"/>
          <w:spacing w:val="-5"/>
          <w:w w:val="101"/>
          <w:sz w:val="18"/>
          <w:szCs w:val="18"/>
        </w:rPr>
        <w:t>确</w:t>
      </w:r>
      <w:r>
        <w:rPr>
          <w:rFonts w:ascii="宋体" w:hAnsi="宋体" w:cs="宋体" w:eastAsia="宋体" w:hint="default"/>
          <w:w w:val="101"/>
          <w:sz w:val="18"/>
          <w:szCs w:val="18"/>
        </w:rPr>
        <w:t>认</w:t>
      </w:r>
      <w:r>
        <w:rPr>
          <w:rFonts w:ascii="宋体" w:hAnsi="宋体" w:cs="宋体" w:eastAsia="宋体" w:hint="default"/>
          <w:spacing w:val="-5"/>
          <w:w w:val="101"/>
          <w:sz w:val="18"/>
          <w:szCs w:val="18"/>
        </w:rPr>
        <w:t>的</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总</w:t>
      </w:r>
      <w:r>
        <w:rPr>
          <w:rFonts w:ascii="宋体" w:hAnsi="宋体" w:cs="宋体" w:eastAsia="宋体" w:hint="default"/>
          <w:spacing w:val="-5"/>
          <w:w w:val="101"/>
          <w:sz w:val="18"/>
          <w:szCs w:val="18"/>
        </w:rPr>
        <w:t>股</w:t>
      </w:r>
      <w:r>
        <w:rPr>
          <w:rFonts w:ascii="宋体" w:hAnsi="宋体" w:cs="宋体" w:eastAsia="宋体" w:hint="default"/>
          <w:w w:val="101"/>
          <w:sz w:val="18"/>
          <w:szCs w:val="18"/>
        </w:rPr>
        <w:t>本为</w:t>
      </w:r>
      <w:r>
        <w:rPr>
          <w:rFonts w:ascii="宋体" w:hAnsi="宋体" w:cs="宋体" w:eastAsia="宋体" w:hint="default"/>
          <w:spacing w:val="-47"/>
          <w:sz w:val="18"/>
          <w:szCs w:val="18"/>
        </w:rPr>
        <w:t> </w:t>
      </w:r>
      <w:r>
        <w:rPr>
          <w:rFonts w:ascii="Arial" w:hAnsi="Arial" w:cs="Arial" w:eastAsia="Arial" w:hint="default"/>
          <w:spacing w:val="-1"/>
          <w:w w:val="101"/>
          <w:sz w:val="18"/>
          <w:szCs w:val="18"/>
        </w:rPr>
        <w:t>32</w:t>
      </w:r>
      <w:r>
        <w:rPr>
          <w:rFonts w:ascii="Arial" w:hAnsi="Arial" w:cs="Arial" w:eastAsia="Arial" w:hint="default"/>
          <w:spacing w:val="-6"/>
          <w:w w:val="101"/>
          <w:sz w:val="18"/>
          <w:szCs w:val="18"/>
        </w:rPr>
        <w:t>9</w:t>
      </w:r>
      <w:r>
        <w:rPr>
          <w:rFonts w:ascii="Arial" w:hAnsi="Arial" w:cs="Arial" w:eastAsia="Arial" w:hint="default"/>
          <w:spacing w:val="2"/>
          <w:w w:val="101"/>
          <w:sz w:val="18"/>
          <w:szCs w:val="18"/>
        </w:rPr>
        <w:t>,</w:t>
      </w:r>
      <w:r>
        <w:rPr>
          <w:rFonts w:ascii="Arial" w:hAnsi="Arial" w:cs="Arial" w:eastAsia="Arial" w:hint="default"/>
          <w:spacing w:val="-1"/>
          <w:w w:val="101"/>
          <w:sz w:val="18"/>
          <w:szCs w:val="18"/>
        </w:rPr>
        <w:t>16</w:t>
      </w:r>
      <w:r>
        <w:rPr>
          <w:rFonts w:ascii="Arial" w:hAnsi="Arial" w:cs="Arial" w:eastAsia="Arial" w:hint="default"/>
          <w:spacing w:val="-6"/>
          <w:w w:val="101"/>
          <w:sz w:val="18"/>
          <w:szCs w:val="18"/>
        </w:rPr>
        <w:t>2</w:t>
      </w:r>
      <w:r>
        <w:rPr>
          <w:rFonts w:ascii="Arial" w:hAnsi="Arial" w:cs="Arial" w:eastAsia="Arial" w:hint="default"/>
          <w:spacing w:val="2"/>
          <w:w w:val="101"/>
          <w:sz w:val="18"/>
          <w:szCs w:val="18"/>
        </w:rPr>
        <w:t>,</w:t>
      </w:r>
      <w:r>
        <w:rPr>
          <w:rFonts w:ascii="Arial" w:hAnsi="Arial" w:cs="Arial" w:eastAsia="Arial" w:hint="default"/>
          <w:spacing w:val="-1"/>
          <w:w w:val="101"/>
          <w:sz w:val="18"/>
          <w:szCs w:val="18"/>
        </w:rPr>
        <w:t>00</w:t>
      </w:r>
      <w:r>
        <w:rPr>
          <w:rFonts w:ascii="Arial" w:hAnsi="Arial" w:cs="Arial" w:eastAsia="Arial" w:hint="default"/>
          <w:w w:val="101"/>
          <w:sz w:val="18"/>
          <w:szCs w:val="18"/>
        </w:rPr>
        <w:t>0</w:t>
      </w:r>
      <w:r>
        <w:rPr>
          <w:rFonts w:ascii="Arial" w:hAnsi="Arial" w:cs="Arial" w:eastAsia="Arial" w:hint="default"/>
          <w:spacing w:val="-8"/>
          <w:sz w:val="18"/>
          <w:szCs w:val="18"/>
        </w:rPr>
        <w:t> </w:t>
      </w:r>
      <w:r>
        <w:rPr>
          <w:rFonts w:ascii="宋体" w:hAnsi="宋体" w:cs="宋体" w:eastAsia="宋体" w:hint="default"/>
          <w:spacing w:val="-5"/>
          <w:w w:val="101"/>
          <w:sz w:val="18"/>
          <w:szCs w:val="18"/>
        </w:rPr>
        <w:t>股</w:t>
      </w:r>
      <w:r>
        <w:rPr>
          <w:rFonts w:ascii="宋体" w:hAnsi="宋体" w:cs="宋体" w:eastAsia="宋体" w:hint="default"/>
          <w:spacing w:val="-87"/>
          <w:w w:val="101"/>
          <w:sz w:val="18"/>
          <w:szCs w:val="18"/>
        </w:rPr>
        <w:t>，</w:t>
      </w:r>
      <w:r>
        <w:rPr>
          <w:rFonts w:ascii="宋体" w:hAnsi="宋体" w:cs="宋体" w:eastAsia="宋体" w:hint="default"/>
          <w:w w:val="101"/>
          <w:sz w:val="18"/>
          <w:szCs w:val="18"/>
        </w:rPr>
        <w:t>与</w:t>
      </w:r>
      <w:r>
        <w:rPr>
          <w:rFonts w:ascii="宋体" w:hAnsi="宋体" w:cs="宋体" w:eastAsia="宋体" w:hint="default"/>
          <w:spacing w:val="-5"/>
          <w:w w:val="101"/>
          <w:sz w:val="18"/>
          <w:szCs w:val="18"/>
        </w:rPr>
        <w:t>中</w:t>
      </w:r>
      <w:r>
        <w:rPr>
          <w:rFonts w:ascii="宋体" w:hAnsi="宋体" w:cs="宋体" w:eastAsia="宋体" w:hint="default"/>
          <w:w w:val="101"/>
          <w:sz w:val="18"/>
          <w:szCs w:val="18"/>
        </w:rPr>
        <w:t>国</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登</w:t>
      </w:r>
      <w:r>
        <w:rPr>
          <w:rFonts w:ascii="宋体" w:hAnsi="宋体" w:cs="宋体" w:eastAsia="宋体" w:hint="default"/>
          <w:w w:val="101"/>
          <w:sz w:val="18"/>
          <w:szCs w:val="18"/>
        </w:rPr>
        <w:t>记</w:t>
      </w:r>
      <w:r>
        <w:rPr>
          <w:rFonts w:ascii="宋体" w:hAnsi="宋体" w:cs="宋体" w:eastAsia="宋体" w:hint="default"/>
          <w:spacing w:val="-5"/>
          <w:w w:val="101"/>
          <w:sz w:val="18"/>
          <w:szCs w:val="18"/>
        </w:rPr>
        <w:t>结算</w:t>
      </w:r>
      <w:r>
        <w:rPr>
          <w:rFonts w:ascii="宋体" w:hAnsi="宋体" w:cs="宋体" w:eastAsia="宋体" w:hint="default"/>
          <w:w w:val="101"/>
          <w:sz w:val="18"/>
          <w:szCs w:val="18"/>
        </w:rPr>
        <w:t>有</w:t>
      </w:r>
      <w:r>
        <w:rPr>
          <w:rFonts w:ascii="宋体" w:hAnsi="宋体" w:cs="宋体" w:eastAsia="宋体" w:hint="default"/>
          <w:spacing w:val="-5"/>
          <w:w w:val="101"/>
          <w:sz w:val="18"/>
          <w:szCs w:val="18"/>
        </w:rPr>
        <w:t>限</w:t>
      </w:r>
      <w:r>
        <w:rPr>
          <w:rFonts w:ascii="宋体" w:hAnsi="宋体" w:cs="宋体" w:eastAsia="宋体" w:hint="default"/>
          <w:w w:val="101"/>
          <w:sz w:val="18"/>
          <w:szCs w:val="18"/>
        </w:rPr>
        <w:t>责</w:t>
      </w:r>
      <w:r>
        <w:rPr>
          <w:rFonts w:ascii="宋体" w:hAnsi="宋体" w:cs="宋体" w:eastAsia="宋体" w:hint="default"/>
          <w:spacing w:val="-5"/>
          <w:w w:val="101"/>
          <w:sz w:val="18"/>
          <w:szCs w:val="18"/>
        </w:rPr>
        <w:t>任</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深</w:t>
      </w:r>
      <w:r>
        <w:rPr>
          <w:rFonts w:ascii="宋体" w:hAnsi="宋体" w:cs="宋体" w:eastAsia="宋体" w:hint="default"/>
          <w:spacing w:val="-5"/>
          <w:w w:val="101"/>
          <w:sz w:val="18"/>
          <w:szCs w:val="18"/>
        </w:rPr>
        <w:t>圳</w:t>
      </w:r>
      <w:r>
        <w:rPr>
          <w:rFonts w:ascii="宋体" w:hAnsi="宋体" w:cs="宋体" w:eastAsia="宋体" w:hint="default"/>
          <w:w w:val="101"/>
          <w:sz w:val="18"/>
          <w:szCs w:val="18"/>
        </w:rPr>
        <w:t>分</w:t>
      </w:r>
      <w:r>
        <w:rPr>
          <w:rFonts w:ascii="宋体" w:hAnsi="宋体" w:cs="宋体" w:eastAsia="宋体" w:hint="default"/>
          <w:spacing w:val="-5"/>
          <w:w w:val="101"/>
          <w:sz w:val="18"/>
          <w:szCs w:val="18"/>
        </w:rPr>
        <w:t>公</w:t>
      </w:r>
      <w:r>
        <w:rPr>
          <w:rFonts w:ascii="宋体" w:hAnsi="宋体" w:cs="宋体" w:eastAsia="宋体" w:hint="default"/>
          <w:w w:val="101"/>
          <w:sz w:val="18"/>
          <w:szCs w:val="18"/>
        </w:rPr>
        <w:t>司截至</w:t>
      </w:r>
      <w:r>
        <w:rPr>
          <w:rFonts w:ascii="宋体" w:hAnsi="宋体" w:cs="宋体" w:eastAsia="宋体" w:hint="default"/>
          <w:spacing w:val="-47"/>
          <w:sz w:val="18"/>
          <w:szCs w:val="18"/>
        </w:rPr>
        <w:t> </w:t>
      </w:r>
      <w:r>
        <w:rPr>
          <w:rFonts w:ascii="Arial" w:hAnsi="Arial" w:cs="Arial" w:eastAsia="Arial" w:hint="default"/>
          <w:spacing w:val="-1"/>
          <w:w w:val="101"/>
          <w:sz w:val="18"/>
          <w:szCs w:val="18"/>
        </w:rPr>
        <w:t>2</w:t>
      </w:r>
      <w:r>
        <w:rPr>
          <w:rFonts w:ascii="Arial" w:hAnsi="Arial" w:cs="Arial" w:eastAsia="Arial" w:hint="default"/>
          <w:spacing w:val="-6"/>
          <w:w w:val="101"/>
          <w:sz w:val="18"/>
          <w:szCs w:val="18"/>
        </w:rPr>
        <w:t>0</w:t>
      </w:r>
      <w:r>
        <w:rPr>
          <w:rFonts w:ascii="Arial" w:hAnsi="Arial" w:cs="Arial" w:eastAsia="Arial" w:hint="default"/>
          <w:spacing w:val="-1"/>
          <w:w w:val="101"/>
          <w:sz w:val="18"/>
          <w:szCs w:val="18"/>
        </w:rPr>
        <w:t>1</w:t>
      </w:r>
      <w:r>
        <w:rPr>
          <w:rFonts w:ascii="Arial" w:hAnsi="Arial" w:cs="Arial" w:eastAsia="Arial" w:hint="default"/>
          <w:w w:val="101"/>
          <w:sz w:val="18"/>
          <w:szCs w:val="18"/>
        </w:rPr>
        <w:t>4</w:t>
      </w:r>
      <w:r>
        <w:rPr>
          <w:rFonts w:ascii="Arial" w:hAnsi="Arial" w:cs="Arial" w:eastAsia="Arial" w:hint="default"/>
          <w:spacing w:val="-8"/>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Arial" w:hAnsi="Arial" w:cs="Arial" w:eastAsia="Arial" w:hint="default"/>
          <w:spacing w:val="-1"/>
          <w:w w:val="101"/>
          <w:sz w:val="18"/>
          <w:szCs w:val="18"/>
        </w:rPr>
        <w:t>1</w:t>
      </w:r>
      <w:r>
        <w:rPr>
          <w:rFonts w:ascii="Arial" w:hAnsi="Arial" w:cs="Arial" w:eastAsia="Arial" w:hint="default"/>
          <w:w w:val="101"/>
          <w:sz w:val="18"/>
          <w:szCs w:val="18"/>
        </w:rPr>
        <w:t>2</w:t>
      </w:r>
      <w:r>
        <w:rPr>
          <w:rFonts w:ascii="Arial" w:hAnsi="Arial" w:cs="Arial" w:eastAsia="Arial" w:hint="default"/>
          <w:spacing w:val="-8"/>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Arial" w:hAnsi="Arial" w:cs="Arial" w:eastAsia="Arial" w:hint="default"/>
          <w:spacing w:val="-1"/>
          <w:w w:val="101"/>
          <w:sz w:val="18"/>
          <w:szCs w:val="18"/>
        </w:rPr>
        <w:t>3</w:t>
      </w:r>
      <w:r>
        <w:rPr>
          <w:rFonts w:ascii="Arial" w:hAnsi="Arial" w:cs="Arial" w:eastAsia="Arial" w:hint="default"/>
          <w:w w:val="101"/>
          <w:sz w:val="18"/>
          <w:szCs w:val="18"/>
        </w:rPr>
        <w:t>1</w:t>
      </w:r>
      <w:r>
        <w:rPr>
          <w:rFonts w:ascii="Arial" w:hAnsi="Arial" w:cs="Arial" w:eastAsia="Arial" w:hint="default"/>
          <w:spacing w:val="-8"/>
          <w:sz w:val="18"/>
          <w:szCs w:val="18"/>
        </w:rPr>
        <w:t> </w:t>
      </w:r>
      <w:r>
        <w:rPr>
          <w:rFonts w:ascii="宋体" w:hAnsi="宋体" w:cs="宋体" w:eastAsia="宋体" w:hint="default"/>
          <w:spacing w:val="-5"/>
          <w:w w:val="101"/>
          <w:sz w:val="18"/>
          <w:szCs w:val="18"/>
        </w:rPr>
        <w:t>日</w:t>
      </w:r>
      <w:r>
        <w:rPr>
          <w:rFonts w:ascii="宋体" w:hAnsi="宋体" w:cs="宋体" w:eastAsia="宋体" w:hint="default"/>
          <w:w w:val="101"/>
          <w:sz w:val="18"/>
          <w:szCs w:val="18"/>
        </w:rPr>
        <w:t>登</w:t>
      </w:r>
      <w:r>
        <w:rPr>
          <w:rFonts w:ascii="宋体" w:hAnsi="宋体" w:cs="宋体" w:eastAsia="宋体" w:hint="default"/>
          <w:spacing w:val="-5"/>
          <w:w w:val="101"/>
          <w:sz w:val="18"/>
          <w:szCs w:val="18"/>
        </w:rPr>
        <w:t>记</w:t>
      </w:r>
      <w:r>
        <w:rPr>
          <w:rFonts w:ascii="宋体" w:hAnsi="宋体" w:cs="宋体" w:eastAsia="宋体" w:hint="default"/>
          <w:w w:val="101"/>
          <w:sz w:val="18"/>
          <w:szCs w:val="18"/>
        </w:rPr>
        <w:t>的</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z w:val="18"/>
          <w:szCs w:val="18"/>
        </w:rPr>
      </w:r>
    </w:p>
    <w:p>
      <w:pPr>
        <w:spacing w:before="68"/>
        <w:ind w:left="152" w:right="0" w:firstLine="0"/>
        <w:jc w:val="left"/>
        <w:rPr>
          <w:rFonts w:ascii="宋体" w:hAnsi="宋体" w:cs="宋体" w:eastAsia="宋体" w:hint="default"/>
          <w:sz w:val="18"/>
          <w:szCs w:val="18"/>
        </w:rPr>
      </w:pPr>
      <w:r>
        <w:rPr>
          <w:rFonts w:ascii="宋体" w:hAnsi="宋体" w:cs="宋体" w:eastAsia="宋体" w:hint="default"/>
          <w:sz w:val="18"/>
          <w:szCs w:val="18"/>
        </w:rPr>
        <w:t>股份总数</w:t>
      </w:r>
      <w:r>
        <w:rPr>
          <w:rFonts w:ascii="宋体" w:hAnsi="宋体" w:cs="宋体" w:eastAsia="宋体" w:hint="default"/>
          <w:spacing w:val="-40"/>
          <w:sz w:val="18"/>
          <w:szCs w:val="18"/>
        </w:rPr>
        <w:t> </w:t>
      </w:r>
      <w:r>
        <w:rPr>
          <w:rFonts w:ascii="Arial" w:hAnsi="Arial" w:cs="Arial" w:eastAsia="Arial" w:hint="default"/>
          <w:sz w:val="18"/>
          <w:szCs w:val="18"/>
        </w:rPr>
        <w:t>328,052,000</w:t>
      </w:r>
      <w:r>
        <w:rPr>
          <w:rFonts w:ascii="Arial" w:hAnsi="Arial" w:cs="Arial" w:eastAsia="Arial" w:hint="default"/>
          <w:spacing w:val="-1"/>
          <w:sz w:val="18"/>
          <w:szCs w:val="18"/>
        </w:rPr>
        <w:t> </w:t>
      </w:r>
      <w:r>
        <w:rPr>
          <w:rFonts w:ascii="宋体" w:hAnsi="宋体" w:cs="宋体" w:eastAsia="宋体" w:hint="default"/>
          <w:sz w:val="18"/>
          <w:szCs w:val="18"/>
        </w:rPr>
        <w:t>股存在</w:t>
      </w:r>
      <w:r>
        <w:rPr>
          <w:rFonts w:ascii="宋体" w:hAnsi="宋体" w:cs="宋体" w:eastAsia="宋体" w:hint="default"/>
          <w:spacing w:val="-40"/>
          <w:sz w:val="18"/>
          <w:szCs w:val="18"/>
        </w:rPr>
        <w:t> </w:t>
      </w:r>
      <w:r>
        <w:rPr>
          <w:rFonts w:ascii="Arial" w:hAnsi="Arial" w:cs="Arial" w:eastAsia="Arial" w:hint="default"/>
          <w:spacing w:val="-3"/>
          <w:sz w:val="18"/>
          <w:szCs w:val="18"/>
        </w:rPr>
        <w:t>1,110,000</w:t>
      </w:r>
      <w:r>
        <w:rPr>
          <w:rFonts w:ascii="Arial" w:hAnsi="Arial" w:cs="Arial" w:eastAsia="Arial" w:hint="default"/>
          <w:spacing w:val="-1"/>
          <w:sz w:val="18"/>
          <w:szCs w:val="18"/>
        </w:rPr>
        <w:t> </w:t>
      </w:r>
      <w:r>
        <w:rPr>
          <w:rFonts w:ascii="宋体" w:hAnsi="宋体" w:cs="宋体" w:eastAsia="宋体" w:hint="default"/>
          <w:spacing w:val="-3"/>
          <w:sz w:val="18"/>
          <w:szCs w:val="18"/>
        </w:rPr>
        <w:t>股差异。</w:t>
      </w:r>
    </w:p>
    <w:p>
      <w:pPr>
        <w:pStyle w:val="Heading4"/>
        <w:spacing w:line="240" w:lineRule="auto" w:before="86"/>
        <w:ind w:left="575" w:right="0"/>
        <w:jc w:val="left"/>
        <w:rPr>
          <w:b w:val="0"/>
          <w:bCs w:val="0"/>
        </w:rPr>
      </w:pPr>
      <w:r>
        <w:rPr/>
        <w:t>股份变动的原因</w:t>
      </w:r>
      <w:r>
        <w:rPr>
          <w:b w:val="0"/>
          <w:bCs w:val="0"/>
        </w:rPr>
      </w:r>
    </w:p>
    <w:p>
      <w:pPr>
        <w:pStyle w:val="BodyText"/>
        <w:spacing w:line="240" w:lineRule="auto" w:before="171"/>
        <w:ind w:left="575"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9"/>
        </w:rPr>
        <w:t> </w:t>
      </w:r>
      <w:r>
        <w:rPr/>
        <w:t>不适用</w:t>
      </w:r>
    </w:p>
    <w:p>
      <w:pPr>
        <w:pStyle w:val="BodyText"/>
        <w:spacing w:line="240" w:lineRule="auto" w:before="176"/>
        <w:ind w:left="575" w:right="0"/>
        <w:jc w:val="left"/>
      </w:pPr>
      <w:r>
        <w:rPr>
          <w:rFonts w:ascii="Arial" w:hAnsi="Arial" w:cs="Arial" w:eastAsia="Arial" w:hint="default"/>
          <w:spacing w:val="-3"/>
          <w:w w:val="100"/>
        </w:rPr>
        <w:t>201</w:t>
      </w:r>
      <w:r>
        <w:rPr>
          <w:rFonts w:ascii="Arial" w:hAnsi="Arial" w:cs="Arial" w:eastAsia="Arial" w:hint="default"/>
          <w:w w:val="100"/>
        </w:rPr>
        <w:t>4</w:t>
      </w:r>
      <w:r>
        <w:rPr>
          <w:rFonts w:ascii="Arial" w:hAnsi="Arial" w:cs="Arial" w:eastAsia="Arial" w:hint="default"/>
          <w:spacing w:val="-9"/>
        </w:rPr>
        <w:t> </w:t>
      </w:r>
      <w:r>
        <w:rPr>
          <w:w w:val="100"/>
        </w:rPr>
        <w:t>年</w:t>
      </w:r>
      <w:r>
        <w:rPr>
          <w:spacing w:val="-53"/>
        </w:rPr>
        <w:t> </w:t>
      </w:r>
      <w:r>
        <w:rPr>
          <w:rFonts w:ascii="Arial" w:hAnsi="Arial" w:cs="Arial" w:eastAsia="Arial" w:hint="default"/>
          <w:w w:val="100"/>
        </w:rPr>
        <w:t>4</w:t>
      </w:r>
      <w:r>
        <w:rPr>
          <w:rFonts w:ascii="Arial" w:hAnsi="Arial" w:cs="Arial" w:eastAsia="Arial" w:hint="default"/>
          <w:spacing w:val="-8"/>
        </w:rPr>
        <w:t> </w:t>
      </w:r>
      <w:r>
        <w:rPr>
          <w:w w:val="100"/>
        </w:rPr>
        <w:t>月</w:t>
      </w:r>
      <w:r>
        <w:rPr>
          <w:spacing w:val="-53"/>
        </w:rPr>
        <w:t> </w:t>
      </w:r>
      <w:r>
        <w:rPr>
          <w:rFonts w:ascii="Arial" w:hAnsi="Arial" w:cs="Arial" w:eastAsia="Arial" w:hint="default"/>
          <w:spacing w:val="-3"/>
          <w:w w:val="100"/>
        </w:rPr>
        <w:t>1</w:t>
      </w:r>
      <w:r>
        <w:rPr>
          <w:rFonts w:ascii="Arial" w:hAnsi="Arial" w:cs="Arial" w:eastAsia="Arial" w:hint="default"/>
          <w:w w:val="100"/>
        </w:rPr>
        <w:t>8</w:t>
      </w:r>
      <w:r>
        <w:rPr>
          <w:rFonts w:ascii="Arial" w:hAnsi="Arial" w:cs="Arial" w:eastAsia="Arial" w:hint="default"/>
          <w:spacing w:val="-8"/>
        </w:rPr>
        <w:t> </w:t>
      </w:r>
      <w:r>
        <w:rPr>
          <w:w w:val="100"/>
        </w:rPr>
        <w:t>日</w:t>
      </w:r>
      <w:r>
        <w:rPr>
          <w:spacing w:val="-15"/>
          <w:w w:val="100"/>
        </w:rPr>
        <w:t>，</w:t>
      </w:r>
      <w:r>
        <w:rPr>
          <w:w w:val="100"/>
        </w:rPr>
        <w:t>公司</w:t>
      </w:r>
      <w:r>
        <w:rPr>
          <w:spacing w:val="-53"/>
        </w:rPr>
        <w:t> </w:t>
      </w:r>
      <w:r>
        <w:rPr>
          <w:rFonts w:ascii="Arial" w:hAnsi="Arial" w:cs="Arial" w:eastAsia="Arial" w:hint="default"/>
          <w:spacing w:val="-3"/>
          <w:w w:val="100"/>
        </w:rPr>
        <w:t>20</w:t>
      </w:r>
      <w:r>
        <w:rPr>
          <w:rFonts w:ascii="Arial" w:hAnsi="Arial" w:cs="Arial" w:eastAsia="Arial" w:hint="default"/>
          <w:spacing w:val="2"/>
          <w:w w:val="100"/>
        </w:rPr>
        <w:t>1</w:t>
      </w:r>
      <w:r>
        <w:rPr>
          <w:rFonts w:ascii="Arial" w:hAnsi="Arial" w:cs="Arial" w:eastAsia="Arial" w:hint="default"/>
          <w:w w:val="100"/>
        </w:rPr>
        <w:t>3</w:t>
      </w:r>
      <w:r>
        <w:rPr>
          <w:rFonts w:ascii="Arial" w:hAnsi="Arial" w:cs="Arial" w:eastAsia="Arial" w:hint="default"/>
          <w:spacing w:val="-8"/>
        </w:rPr>
        <w:t> </w:t>
      </w:r>
      <w:r>
        <w:rPr>
          <w:w w:val="100"/>
        </w:rPr>
        <w:t>年年度股东大会</w:t>
      </w:r>
      <w:r>
        <w:rPr>
          <w:spacing w:val="-5"/>
          <w:w w:val="100"/>
        </w:rPr>
        <w:t>审议</w:t>
      </w:r>
      <w:r>
        <w:rPr>
          <w:w w:val="100"/>
        </w:rPr>
        <w:t>通过</w:t>
      </w:r>
      <w:r>
        <w:rPr>
          <w:spacing w:val="-15"/>
          <w:w w:val="100"/>
        </w:rPr>
        <w:t>了</w:t>
      </w:r>
      <w:r>
        <w:rPr>
          <w:w w:val="100"/>
        </w:rPr>
        <w:t>《公司</w:t>
      </w:r>
      <w:r>
        <w:rPr>
          <w:spacing w:val="-53"/>
        </w:rPr>
        <w:t> </w:t>
      </w:r>
      <w:r>
        <w:rPr>
          <w:rFonts w:ascii="Arial" w:hAnsi="Arial" w:cs="Arial" w:eastAsia="Arial" w:hint="default"/>
          <w:spacing w:val="-3"/>
          <w:w w:val="100"/>
        </w:rPr>
        <w:t>201</w:t>
      </w:r>
      <w:r>
        <w:rPr>
          <w:rFonts w:ascii="Arial" w:hAnsi="Arial" w:cs="Arial" w:eastAsia="Arial" w:hint="default"/>
          <w:w w:val="100"/>
        </w:rPr>
        <w:t>3</w:t>
      </w:r>
      <w:r>
        <w:rPr>
          <w:rFonts w:ascii="Arial" w:hAnsi="Arial" w:cs="Arial" w:eastAsia="Arial" w:hint="default"/>
          <w:spacing w:val="-9"/>
        </w:rPr>
        <w:t> </w:t>
      </w:r>
      <w:r>
        <w:rPr>
          <w:w w:val="100"/>
        </w:rPr>
        <w:t>年度利</w:t>
      </w:r>
      <w:r>
        <w:rPr>
          <w:spacing w:val="-5"/>
          <w:w w:val="100"/>
        </w:rPr>
        <w:t>润</w:t>
      </w:r>
      <w:r>
        <w:rPr>
          <w:w w:val="100"/>
        </w:rPr>
        <w:t>分配预案</w:t>
      </w:r>
      <w:r>
        <w:rPr>
          <w:spacing w:val="-111"/>
          <w:w w:val="100"/>
        </w:rPr>
        <w:t>》</w:t>
      </w:r>
      <w:r>
        <w:rPr>
          <w:spacing w:val="-15"/>
          <w:w w:val="100"/>
        </w:rPr>
        <w:t>，</w:t>
      </w:r>
      <w:r>
        <w:rPr>
          <w:w w:val="100"/>
        </w:rPr>
        <w:t>以公司</w:t>
      </w:r>
    </w:p>
    <w:p>
      <w:pPr>
        <w:pStyle w:val="BodyText"/>
        <w:spacing w:line="240" w:lineRule="auto" w:before="180"/>
        <w:ind w:right="0"/>
        <w:jc w:val="left"/>
      </w:pPr>
      <w:r>
        <w:rPr>
          <w:w w:val="100"/>
        </w:rPr>
        <w:t>总股本</w:t>
      </w:r>
      <w:r>
        <w:rPr/>
        <w:t> </w:t>
      </w:r>
      <w:r>
        <w:rPr>
          <w:rFonts w:ascii="Arial" w:hAnsi="Arial" w:cs="Arial" w:eastAsia="Arial" w:hint="default"/>
          <w:spacing w:val="-3"/>
          <w:w w:val="100"/>
        </w:rPr>
        <w:t>163</w:t>
      </w:r>
      <w:r>
        <w:rPr>
          <w:rFonts w:ascii="Arial" w:hAnsi="Arial" w:cs="Arial" w:eastAsia="Arial" w:hint="default"/>
          <w:spacing w:val="-2"/>
          <w:w w:val="100"/>
        </w:rPr>
        <w:t>,</w:t>
      </w:r>
      <w:r>
        <w:rPr>
          <w:rFonts w:ascii="Arial" w:hAnsi="Arial" w:cs="Arial" w:eastAsia="Arial" w:hint="default"/>
          <w:spacing w:val="2"/>
          <w:w w:val="100"/>
        </w:rPr>
        <w:t>5</w:t>
      </w:r>
      <w:r>
        <w:rPr>
          <w:rFonts w:ascii="Arial" w:hAnsi="Arial" w:cs="Arial" w:eastAsia="Arial" w:hint="default"/>
          <w:spacing w:val="-3"/>
          <w:w w:val="100"/>
        </w:rPr>
        <w:t>66</w:t>
      </w:r>
      <w:r>
        <w:rPr>
          <w:rFonts w:ascii="Arial" w:hAnsi="Arial" w:cs="Arial" w:eastAsia="Arial" w:hint="default"/>
          <w:spacing w:val="-2"/>
          <w:w w:val="100"/>
        </w:rPr>
        <w:t>,</w:t>
      </w:r>
      <w:r>
        <w:rPr>
          <w:rFonts w:ascii="Arial" w:hAnsi="Arial" w:cs="Arial" w:eastAsia="Arial" w:hint="default"/>
          <w:spacing w:val="2"/>
          <w:w w:val="100"/>
        </w:rPr>
        <w:t>0</w:t>
      </w:r>
      <w:r>
        <w:rPr>
          <w:rFonts w:ascii="Arial" w:hAnsi="Arial" w:cs="Arial" w:eastAsia="Arial" w:hint="default"/>
          <w:spacing w:val="-3"/>
          <w:w w:val="100"/>
        </w:rPr>
        <w:t>0</w:t>
      </w:r>
      <w:r>
        <w:rPr>
          <w:rFonts w:ascii="Arial" w:hAnsi="Arial" w:cs="Arial" w:eastAsia="Arial" w:hint="default"/>
          <w:w w:val="100"/>
        </w:rPr>
        <w:t>0</w:t>
      </w:r>
      <w:r>
        <w:rPr>
          <w:rFonts w:ascii="Arial" w:hAnsi="Arial" w:cs="Arial" w:eastAsia="Arial" w:hint="default"/>
        </w:rPr>
        <w:t> </w:t>
      </w:r>
      <w:r>
        <w:rPr>
          <w:rFonts w:ascii="Arial" w:hAnsi="Arial" w:cs="Arial" w:eastAsia="Arial" w:hint="default"/>
          <w:spacing w:val="-14"/>
        </w:rPr>
        <w:t> </w:t>
      </w:r>
      <w:r>
        <w:rPr>
          <w:w w:val="100"/>
        </w:rPr>
        <w:t>股为基数，向全体股东每</w:t>
      </w:r>
      <w:r>
        <w:rPr/>
        <w:t> </w:t>
      </w:r>
      <w:r>
        <w:rPr>
          <w:rFonts w:ascii="Arial" w:hAnsi="Arial" w:cs="Arial" w:eastAsia="Arial" w:hint="default"/>
          <w:spacing w:val="-3"/>
          <w:w w:val="100"/>
        </w:rPr>
        <w:t>1</w:t>
      </w:r>
      <w:r>
        <w:rPr>
          <w:rFonts w:ascii="Arial" w:hAnsi="Arial" w:cs="Arial" w:eastAsia="Arial" w:hint="default"/>
          <w:w w:val="100"/>
        </w:rPr>
        <w:t>0</w:t>
      </w:r>
      <w:r>
        <w:rPr>
          <w:rFonts w:ascii="Arial" w:hAnsi="Arial" w:cs="Arial" w:eastAsia="Arial" w:hint="default"/>
        </w:rPr>
        <w:t> </w:t>
      </w:r>
      <w:r>
        <w:rPr>
          <w:rFonts w:ascii="Arial" w:hAnsi="Arial" w:cs="Arial" w:eastAsia="Arial" w:hint="default"/>
          <w:spacing w:val="-9"/>
        </w:rPr>
        <w:t> </w:t>
      </w:r>
      <w:r>
        <w:rPr>
          <w:w w:val="100"/>
        </w:rPr>
        <w:t>股派发现金股利</w:t>
      </w:r>
      <w:r>
        <w:rPr/>
        <w:t> </w:t>
      </w:r>
      <w:r>
        <w:rPr>
          <w:rFonts w:ascii="Arial" w:hAnsi="Arial" w:cs="Arial" w:eastAsia="Arial" w:hint="default"/>
          <w:w w:val="100"/>
        </w:rPr>
        <w:t>1</w:t>
      </w:r>
      <w:r>
        <w:rPr>
          <w:rFonts w:ascii="Arial" w:hAnsi="Arial" w:cs="Arial" w:eastAsia="Arial" w:hint="default"/>
        </w:rPr>
        <w:t> </w:t>
      </w:r>
      <w:r>
        <w:rPr>
          <w:rFonts w:ascii="Arial" w:hAnsi="Arial" w:cs="Arial" w:eastAsia="Arial" w:hint="default"/>
          <w:spacing w:val="-14"/>
        </w:rPr>
        <w:t> </w:t>
      </w:r>
      <w:r>
        <w:rPr>
          <w:w w:val="100"/>
        </w:rPr>
        <w:t>元人民币（含税</w:t>
      </w:r>
      <w:r>
        <w:rPr>
          <w:spacing w:val="-106"/>
          <w:w w:val="100"/>
        </w:rPr>
        <w:t>）</w:t>
      </w:r>
      <w:r>
        <w:rPr>
          <w:spacing w:val="-1"/>
          <w:w w:val="100"/>
        </w:rPr>
        <w:t>，</w:t>
      </w:r>
      <w:r>
        <w:rPr>
          <w:w w:val="100"/>
        </w:rPr>
        <w:t>合计派发现金</w:t>
      </w:r>
    </w:p>
    <w:p>
      <w:pPr>
        <w:pStyle w:val="BodyText"/>
        <w:spacing w:line="240" w:lineRule="auto" w:before="176"/>
        <w:ind w:right="0"/>
        <w:jc w:val="left"/>
        <w:rPr>
          <w:rFonts w:ascii="Arial" w:hAnsi="Arial" w:cs="Arial" w:eastAsia="Arial" w:hint="default"/>
        </w:rPr>
      </w:pPr>
      <w:r>
        <w:rPr>
          <w:w w:val="100"/>
        </w:rPr>
        <w:t>额</w:t>
      </w:r>
      <w:r>
        <w:rPr/>
        <w:t> </w:t>
      </w:r>
      <w:r>
        <w:rPr>
          <w:rFonts w:ascii="Arial" w:hAnsi="Arial" w:cs="Arial" w:eastAsia="Arial" w:hint="default"/>
          <w:spacing w:val="-3"/>
          <w:w w:val="100"/>
        </w:rPr>
        <w:t>16</w:t>
      </w:r>
      <w:r>
        <w:rPr>
          <w:rFonts w:ascii="Arial" w:hAnsi="Arial" w:cs="Arial" w:eastAsia="Arial" w:hint="default"/>
          <w:spacing w:val="-2"/>
          <w:w w:val="100"/>
        </w:rPr>
        <w:t>,</w:t>
      </w:r>
      <w:r>
        <w:rPr>
          <w:rFonts w:ascii="Arial" w:hAnsi="Arial" w:cs="Arial" w:eastAsia="Arial" w:hint="default"/>
          <w:spacing w:val="-3"/>
          <w:w w:val="100"/>
        </w:rPr>
        <w:t>35</w:t>
      </w:r>
      <w:r>
        <w:rPr>
          <w:rFonts w:ascii="Arial" w:hAnsi="Arial" w:cs="Arial" w:eastAsia="Arial" w:hint="default"/>
          <w:spacing w:val="2"/>
          <w:w w:val="100"/>
        </w:rPr>
        <w:t>6</w:t>
      </w:r>
      <w:r>
        <w:rPr>
          <w:rFonts w:ascii="Arial" w:hAnsi="Arial" w:cs="Arial" w:eastAsia="Arial" w:hint="default"/>
          <w:spacing w:val="-2"/>
          <w:w w:val="100"/>
        </w:rPr>
        <w:t>,</w:t>
      </w:r>
      <w:r>
        <w:rPr>
          <w:rFonts w:ascii="Arial" w:hAnsi="Arial" w:cs="Arial" w:eastAsia="Arial" w:hint="default"/>
          <w:spacing w:val="-3"/>
          <w:w w:val="100"/>
        </w:rPr>
        <w:t>6</w:t>
      </w:r>
      <w:r>
        <w:rPr>
          <w:rFonts w:ascii="Arial" w:hAnsi="Arial" w:cs="Arial" w:eastAsia="Arial" w:hint="default"/>
          <w:spacing w:val="2"/>
          <w:w w:val="100"/>
        </w:rPr>
        <w:t>0</w:t>
      </w:r>
      <w:r>
        <w:rPr>
          <w:rFonts w:ascii="Arial" w:hAnsi="Arial" w:cs="Arial" w:eastAsia="Arial" w:hint="default"/>
          <w:w w:val="100"/>
        </w:rPr>
        <w:t>0</w:t>
      </w:r>
      <w:r>
        <w:rPr>
          <w:rFonts w:ascii="Arial" w:hAnsi="Arial" w:cs="Arial" w:eastAsia="Arial" w:hint="default"/>
        </w:rPr>
        <w:t> </w:t>
      </w:r>
      <w:r>
        <w:rPr>
          <w:rFonts w:ascii="Arial" w:hAnsi="Arial" w:cs="Arial" w:eastAsia="Arial" w:hint="default"/>
          <w:spacing w:val="-14"/>
        </w:rPr>
        <w:t> </w:t>
      </w:r>
      <w:r>
        <w:rPr>
          <w:w w:val="100"/>
        </w:rPr>
        <w:t>元</w:t>
      </w:r>
      <w:r>
        <w:rPr>
          <w:spacing w:val="-82"/>
          <w:w w:val="100"/>
        </w:rPr>
        <w:t>，</w:t>
      </w:r>
      <w:r>
        <w:rPr>
          <w:w w:val="100"/>
        </w:rPr>
        <w:t>其余未分</w:t>
      </w:r>
      <w:r>
        <w:rPr>
          <w:spacing w:val="-5"/>
          <w:w w:val="100"/>
        </w:rPr>
        <w:t>配</w:t>
      </w:r>
      <w:r>
        <w:rPr>
          <w:w w:val="100"/>
        </w:rPr>
        <w:t>利润结</w:t>
      </w:r>
      <w:r>
        <w:rPr>
          <w:spacing w:val="-5"/>
          <w:w w:val="100"/>
        </w:rPr>
        <w:t>转</w:t>
      </w:r>
      <w:r>
        <w:rPr>
          <w:w w:val="100"/>
        </w:rPr>
        <w:t>下年</w:t>
      </w:r>
      <w:r>
        <w:rPr>
          <w:spacing w:val="-87"/>
          <w:w w:val="100"/>
        </w:rPr>
        <w:t>；</w:t>
      </w:r>
      <w:r>
        <w:rPr>
          <w:w w:val="100"/>
        </w:rPr>
        <w:t>同时</w:t>
      </w:r>
      <w:r>
        <w:rPr>
          <w:spacing w:val="-5"/>
          <w:w w:val="100"/>
        </w:rPr>
        <w:t>进</w:t>
      </w:r>
      <w:r>
        <w:rPr>
          <w:w w:val="100"/>
        </w:rPr>
        <w:t>行资本公</w:t>
      </w:r>
      <w:r>
        <w:rPr>
          <w:spacing w:val="-5"/>
          <w:w w:val="100"/>
        </w:rPr>
        <w:t>积</w:t>
      </w:r>
      <w:r>
        <w:rPr>
          <w:w w:val="100"/>
        </w:rPr>
        <w:t>金转增</w:t>
      </w:r>
      <w:r>
        <w:rPr>
          <w:spacing w:val="-5"/>
          <w:w w:val="100"/>
        </w:rPr>
        <w:t>股</w:t>
      </w:r>
      <w:r>
        <w:rPr>
          <w:w w:val="100"/>
        </w:rPr>
        <w:t>本</w:t>
      </w:r>
      <w:r>
        <w:rPr>
          <w:spacing w:val="-82"/>
          <w:w w:val="100"/>
        </w:rPr>
        <w:t>，</w:t>
      </w:r>
      <w:r>
        <w:rPr>
          <w:w w:val="100"/>
        </w:rPr>
        <w:t>以</w:t>
      </w:r>
      <w:r>
        <w:rPr>
          <w:spacing w:val="-5"/>
          <w:w w:val="100"/>
        </w:rPr>
        <w:t>公</w:t>
      </w:r>
      <w:r>
        <w:rPr>
          <w:w w:val="100"/>
        </w:rPr>
        <w:t>司总股本</w:t>
      </w:r>
      <w:r>
        <w:rPr>
          <w:spacing w:val="-5"/>
        </w:rPr>
        <w:t> </w:t>
      </w:r>
      <w:r>
        <w:rPr>
          <w:rFonts w:ascii="Arial" w:hAnsi="Arial" w:cs="Arial" w:eastAsia="Arial" w:hint="default"/>
          <w:spacing w:val="-3"/>
          <w:w w:val="100"/>
        </w:rPr>
        <w:t>163</w:t>
      </w:r>
      <w:r>
        <w:rPr>
          <w:rFonts w:ascii="Arial" w:hAnsi="Arial" w:cs="Arial" w:eastAsia="Arial" w:hint="default"/>
          <w:spacing w:val="-2"/>
          <w:w w:val="100"/>
        </w:rPr>
        <w:t>,</w:t>
      </w:r>
      <w:r>
        <w:rPr>
          <w:rFonts w:ascii="Arial" w:hAnsi="Arial" w:cs="Arial" w:eastAsia="Arial" w:hint="default"/>
          <w:spacing w:val="-3"/>
          <w:w w:val="100"/>
        </w:rPr>
        <w:t>5</w:t>
      </w:r>
      <w:r>
        <w:rPr>
          <w:rFonts w:ascii="Arial" w:hAnsi="Arial" w:cs="Arial" w:eastAsia="Arial" w:hint="default"/>
          <w:spacing w:val="2"/>
          <w:w w:val="100"/>
        </w:rPr>
        <w:t>6</w:t>
      </w:r>
      <w:r>
        <w:rPr>
          <w:rFonts w:ascii="Arial" w:hAnsi="Arial" w:cs="Arial" w:eastAsia="Arial" w:hint="default"/>
          <w:spacing w:val="-3"/>
          <w:w w:val="100"/>
        </w:rPr>
        <w:t>6</w:t>
      </w:r>
      <w:r>
        <w:rPr>
          <w:rFonts w:ascii="Arial" w:hAnsi="Arial" w:cs="Arial" w:eastAsia="Arial" w:hint="default"/>
          <w:spacing w:val="-2"/>
          <w:w w:val="100"/>
        </w:rPr>
        <w:t>,</w:t>
      </w:r>
      <w:r>
        <w:rPr>
          <w:rFonts w:ascii="Arial" w:hAnsi="Arial" w:cs="Arial" w:eastAsia="Arial" w:hint="default"/>
          <w:spacing w:val="-3"/>
          <w:w w:val="100"/>
        </w:rPr>
        <w:t>0</w:t>
      </w:r>
      <w:r>
        <w:rPr>
          <w:rFonts w:ascii="Arial" w:hAnsi="Arial" w:cs="Arial" w:eastAsia="Arial" w:hint="default"/>
          <w:spacing w:val="2"/>
          <w:w w:val="100"/>
        </w:rPr>
        <w:t>0</w:t>
      </w:r>
      <w:r>
        <w:rPr>
          <w:rFonts w:ascii="Arial" w:hAnsi="Arial" w:cs="Arial" w:eastAsia="Arial" w:hint="default"/>
          <w:w w:val="100"/>
        </w:rPr>
        <w:t>0</w:t>
      </w:r>
    </w:p>
    <w:p>
      <w:pPr>
        <w:pStyle w:val="BodyText"/>
        <w:spacing w:line="240" w:lineRule="auto" w:before="180"/>
        <w:ind w:right="0"/>
        <w:jc w:val="left"/>
      </w:pPr>
      <w:r>
        <w:rPr>
          <w:spacing w:val="7"/>
        </w:rPr>
        <w:t>股为基数向全体股东每 </w:t>
      </w:r>
      <w:r>
        <w:rPr>
          <w:rFonts w:ascii="Arial" w:hAnsi="Arial" w:cs="Arial" w:eastAsia="Arial" w:hint="default"/>
        </w:rPr>
        <w:t>10  </w:t>
      </w:r>
      <w:r>
        <w:rPr>
          <w:spacing w:val="5"/>
        </w:rPr>
        <w:t>股转增 </w:t>
      </w:r>
      <w:r>
        <w:rPr>
          <w:rFonts w:ascii="Arial" w:hAnsi="Arial" w:cs="Arial" w:eastAsia="Arial" w:hint="default"/>
        </w:rPr>
        <w:t>10  </w:t>
      </w:r>
      <w:r>
        <w:rPr>
          <w:spacing w:val="7"/>
        </w:rPr>
        <w:t>股，共计转增 </w:t>
      </w:r>
      <w:r>
        <w:rPr>
          <w:rFonts w:ascii="Arial" w:hAnsi="Arial" w:cs="Arial" w:eastAsia="Arial" w:hint="default"/>
        </w:rPr>
        <w:t>163,566,000    </w:t>
      </w:r>
      <w:r>
        <w:rPr>
          <w:spacing w:val="8"/>
        </w:rPr>
        <w:t>股，转增后公司总股本由原来的</w:t>
      </w:r>
    </w:p>
    <w:p>
      <w:pPr>
        <w:pStyle w:val="BodyText"/>
        <w:spacing w:line="240" w:lineRule="auto" w:before="176"/>
        <w:ind w:right="0"/>
        <w:jc w:val="left"/>
      </w:pPr>
      <w:r>
        <w:rPr>
          <w:rFonts w:ascii="Arial" w:hAnsi="Arial" w:cs="Arial" w:eastAsia="Arial" w:hint="default"/>
        </w:rPr>
        <w:t>163,566,000  </w:t>
      </w:r>
      <w:r>
        <w:rPr/>
        <w:t>股增加至 </w:t>
      </w:r>
      <w:r>
        <w:rPr>
          <w:rFonts w:ascii="Arial" w:hAnsi="Arial" w:cs="Arial" w:eastAsia="Arial" w:hint="default"/>
        </w:rPr>
        <w:t>327,132,000</w:t>
      </w:r>
      <w:r>
        <w:rPr>
          <w:rFonts w:ascii="Arial" w:hAnsi="Arial" w:cs="Arial" w:eastAsia="Arial" w:hint="default"/>
          <w:spacing w:val="13"/>
        </w:rPr>
        <w:t> </w:t>
      </w:r>
      <w:r>
        <w:rPr/>
        <w:t>股。</w:t>
      </w:r>
    </w:p>
    <w:p>
      <w:pPr>
        <w:pStyle w:val="BodyText"/>
        <w:spacing w:line="386" w:lineRule="auto" w:before="180"/>
        <w:ind w:right="197" w:firstLine="422"/>
        <w:jc w:val="both"/>
      </w:pPr>
      <w:r>
        <w:rPr>
          <w:rFonts w:ascii="Arial" w:hAnsi="Arial" w:cs="Arial" w:eastAsia="Arial" w:hint="default"/>
          <w:spacing w:val="-3"/>
        </w:rPr>
        <w:t>2014</w:t>
      </w:r>
      <w:r>
        <w:rPr>
          <w:rFonts w:ascii="Arial" w:hAnsi="Arial" w:cs="Arial" w:eastAsia="Arial" w:hint="default"/>
          <w:spacing w:val="3"/>
        </w:rPr>
        <w:t> </w:t>
      </w:r>
      <w:r>
        <w:rPr/>
        <w:t>年</w:t>
      </w:r>
      <w:r>
        <w:rPr>
          <w:spacing w:val="-41"/>
        </w:rPr>
        <w:t> </w:t>
      </w:r>
      <w:r>
        <w:rPr>
          <w:rFonts w:ascii="Arial" w:hAnsi="Arial" w:cs="Arial" w:eastAsia="Arial" w:hint="default"/>
        </w:rPr>
        <w:t>12</w:t>
      </w:r>
      <w:r>
        <w:rPr>
          <w:rFonts w:ascii="Arial" w:hAnsi="Arial" w:cs="Arial" w:eastAsia="Arial" w:hint="default"/>
          <w:spacing w:val="3"/>
        </w:rPr>
        <w:t> </w:t>
      </w:r>
      <w:r>
        <w:rPr/>
        <w:t>月</w:t>
      </w:r>
      <w:r>
        <w:rPr>
          <w:spacing w:val="-41"/>
        </w:rPr>
        <w:t> </w:t>
      </w:r>
      <w:r>
        <w:rPr>
          <w:rFonts w:ascii="Arial" w:hAnsi="Arial" w:cs="Arial" w:eastAsia="Arial" w:hint="default"/>
        </w:rPr>
        <w:t>23</w:t>
      </w:r>
      <w:r>
        <w:rPr>
          <w:rFonts w:ascii="Arial" w:hAnsi="Arial" w:cs="Arial" w:eastAsia="Arial" w:hint="default"/>
          <w:spacing w:val="3"/>
        </w:rPr>
        <w:t> </w:t>
      </w:r>
      <w:r>
        <w:rPr/>
        <w:t>日经深圳证券交易所、中国证券登记结算有限责任公司深圳分公司审核确认，上海</w:t>
      </w:r>
      <w:r>
        <w:rPr>
          <w:w w:val="100"/>
        </w:rPr>
        <w:t> </w:t>
      </w:r>
      <w:r>
        <w:rPr>
          <w:spacing w:val="-9"/>
          <w:w w:val="100"/>
        </w:rPr>
        <w:t>安诺其集团股份有限公司（以下简称</w:t>
      </w:r>
      <w:r>
        <w:rPr>
          <w:rFonts w:ascii="Arial" w:hAnsi="Arial" w:cs="Arial" w:eastAsia="Arial" w:hint="default"/>
          <w:spacing w:val="-9"/>
          <w:w w:val="100"/>
        </w:rPr>
        <w:t>“</w:t>
      </w:r>
      <w:r>
        <w:rPr>
          <w:spacing w:val="-9"/>
          <w:w w:val="100"/>
        </w:rPr>
        <w:t>公司</w:t>
      </w:r>
      <w:r>
        <w:rPr>
          <w:rFonts w:ascii="Arial" w:hAnsi="Arial" w:cs="Arial" w:eastAsia="Arial" w:hint="default"/>
          <w:spacing w:val="-9"/>
          <w:w w:val="100"/>
        </w:rPr>
        <w:t>”</w:t>
      </w:r>
      <w:r>
        <w:rPr>
          <w:spacing w:val="-9"/>
          <w:w w:val="100"/>
        </w:rPr>
        <w:t>）已完成《公司股票期权与限制性股票激励计划（修订案）》（以</w:t>
      </w:r>
      <w:r>
        <w:rPr>
          <w:spacing w:val="-97"/>
          <w:w w:val="100"/>
        </w:rPr>
        <w:t> </w:t>
      </w:r>
      <w:r>
        <w:rPr>
          <w:spacing w:val="-97"/>
          <w:w w:val="100"/>
        </w:rPr>
      </w:r>
      <w:r>
        <w:rPr/>
        <w:t>下简称</w:t>
      </w:r>
      <w:r>
        <w:rPr>
          <w:rFonts w:ascii="Arial" w:hAnsi="Arial" w:cs="Arial" w:eastAsia="Arial" w:hint="default"/>
        </w:rPr>
        <w:t>“</w:t>
      </w:r>
      <w:r>
        <w:rPr/>
        <w:t>激励计划</w:t>
      </w:r>
      <w:r>
        <w:rPr>
          <w:rFonts w:ascii="Arial" w:hAnsi="Arial" w:cs="Arial" w:eastAsia="Arial" w:hint="default"/>
        </w:rPr>
        <w:t>”</w:t>
      </w:r>
      <w:r>
        <w:rPr/>
        <w:t>）所涉预留限制性股票的授予与股票期权的授予登记工作，公司本次授予限制性股票的</w:t>
      </w:r>
      <w:r>
        <w:rPr>
          <w:spacing w:val="-56"/>
        </w:rPr>
        <w:t> </w:t>
      </w:r>
      <w:r>
        <w:rPr>
          <w:spacing w:val="-56"/>
        </w:rPr>
      </w:r>
      <w:r>
        <w:rPr/>
        <w:t>激励对象为</w:t>
      </w:r>
      <w:r>
        <w:rPr>
          <w:spacing w:val="-35"/>
        </w:rPr>
        <w:t> </w:t>
      </w:r>
      <w:r>
        <w:rPr>
          <w:rFonts w:ascii="Arial" w:hAnsi="Arial" w:cs="Arial" w:eastAsia="Arial" w:hint="default"/>
        </w:rPr>
        <w:t>36</w:t>
      </w:r>
      <w:r>
        <w:rPr>
          <w:rFonts w:ascii="Arial" w:hAnsi="Arial" w:cs="Arial" w:eastAsia="Arial" w:hint="default"/>
          <w:spacing w:val="8"/>
        </w:rPr>
        <w:t> </w:t>
      </w:r>
      <w:r>
        <w:rPr>
          <w:spacing w:val="-3"/>
        </w:rPr>
        <w:t>人，本次授予限制性股票数为</w:t>
      </w:r>
      <w:r>
        <w:rPr>
          <w:spacing w:val="-36"/>
        </w:rPr>
        <w:t> </w:t>
      </w:r>
      <w:r>
        <w:rPr>
          <w:rFonts w:ascii="Arial" w:hAnsi="Arial" w:cs="Arial" w:eastAsia="Arial" w:hint="default"/>
        </w:rPr>
        <w:t>92</w:t>
      </w:r>
      <w:r>
        <w:rPr>
          <w:rFonts w:ascii="Arial" w:hAnsi="Arial" w:cs="Arial" w:eastAsia="Arial" w:hint="default"/>
          <w:spacing w:val="8"/>
        </w:rPr>
        <w:t> </w:t>
      </w:r>
      <w:r>
        <w:rPr>
          <w:spacing w:val="-4"/>
        </w:rPr>
        <w:t>万股，由于本次限制性股票授予完成后，公司股份总数由</w:t>
      </w:r>
    </w:p>
    <w:p>
      <w:pPr>
        <w:pStyle w:val="BodyText"/>
        <w:spacing w:line="240" w:lineRule="auto" w:before="37"/>
        <w:ind w:right="0"/>
        <w:jc w:val="left"/>
      </w:pPr>
      <w:r>
        <w:rPr/>
        <w:t>原来的</w:t>
      </w:r>
      <w:r>
        <w:rPr>
          <w:spacing w:val="-50"/>
        </w:rPr>
        <w:t> </w:t>
      </w:r>
      <w:r>
        <w:rPr>
          <w:rFonts w:ascii="Arial" w:hAnsi="Arial" w:cs="Arial" w:eastAsia="Arial" w:hint="default"/>
          <w:spacing w:val="-3"/>
        </w:rPr>
        <w:t>327,132,000</w:t>
      </w:r>
      <w:r>
        <w:rPr>
          <w:rFonts w:ascii="Arial" w:hAnsi="Arial" w:cs="Arial" w:eastAsia="Arial" w:hint="default"/>
          <w:spacing w:val="50"/>
        </w:rPr>
        <w:t> </w:t>
      </w:r>
      <w:r>
        <w:rPr/>
        <w:t>股增加至</w:t>
      </w:r>
      <w:r>
        <w:rPr>
          <w:spacing w:val="-50"/>
        </w:rPr>
        <w:t> </w:t>
      </w:r>
      <w:r>
        <w:rPr>
          <w:rFonts w:ascii="Arial" w:hAnsi="Arial" w:cs="Arial" w:eastAsia="Arial" w:hint="default"/>
        </w:rPr>
        <w:t>328,052,000</w:t>
      </w:r>
      <w:r>
        <w:rPr>
          <w:rFonts w:ascii="Arial" w:hAnsi="Arial" w:cs="Arial" w:eastAsia="Arial" w:hint="default"/>
          <w:spacing w:val="-7"/>
        </w:rPr>
        <w:t> </w:t>
      </w:r>
      <w:r>
        <w:rPr/>
        <w:t>股。</w:t>
      </w:r>
    </w:p>
    <w:p>
      <w:pPr>
        <w:pStyle w:val="Heading4"/>
        <w:spacing w:line="240" w:lineRule="auto" w:before="109"/>
        <w:ind w:left="575" w:right="0"/>
        <w:jc w:val="left"/>
        <w:rPr>
          <w:b w:val="0"/>
          <w:bCs w:val="0"/>
        </w:rPr>
      </w:pPr>
      <w:r>
        <w:rPr/>
        <w:t>股份变动的批准情况</w:t>
      </w:r>
      <w:r>
        <w:rPr>
          <w:b w:val="0"/>
          <w:bCs w:val="0"/>
        </w:rPr>
      </w:r>
    </w:p>
    <w:p>
      <w:pPr>
        <w:pStyle w:val="BodyText"/>
        <w:spacing w:line="240" w:lineRule="auto" w:before="171"/>
        <w:ind w:left="575" w:right="0"/>
        <w:jc w:val="left"/>
      </w:pPr>
      <w:r>
        <w:rPr/>
        <w:t>√ 适用 □</w:t>
      </w:r>
      <w:r>
        <w:rPr>
          <w:spacing w:val="3"/>
        </w:rPr>
        <w:t> </w:t>
      </w:r>
      <w:r>
        <w:rPr/>
        <w:t>不适用</w:t>
      </w:r>
    </w:p>
    <w:p>
      <w:pPr>
        <w:spacing w:line="240" w:lineRule="auto" w:before="8"/>
        <w:rPr>
          <w:rFonts w:ascii="宋体" w:hAnsi="宋体" w:cs="宋体" w:eastAsia="宋体" w:hint="default"/>
          <w:sz w:val="14"/>
          <w:szCs w:val="14"/>
        </w:rPr>
      </w:pPr>
    </w:p>
    <w:p>
      <w:pPr>
        <w:pStyle w:val="BodyText"/>
        <w:spacing w:line="240" w:lineRule="auto"/>
        <w:ind w:left="575" w:right="0"/>
        <w:jc w:val="left"/>
      </w:pPr>
      <w:r>
        <w:rPr>
          <w:rFonts w:ascii="Arial" w:hAnsi="Arial" w:cs="Arial" w:eastAsia="Arial" w:hint="default"/>
        </w:rPr>
        <w:t>1</w:t>
      </w:r>
      <w:r>
        <w:rPr/>
        <w:t>、公司于</w:t>
      </w:r>
      <w:r>
        <w:rPr>
          <w:spacing w:val="-52"/>
        </w:rPr>
        <w:t> </w:t>
      </w:r>
      <w:r>
        <w:rPr>
          <w:rFonts w:ascii="Arial" w:hAnsi="Arial" w:cs="Arial" w:eastAsia="Arial" w:hint="default"/>
          <w:spacing w:val="-3"/>
        </w:rPr>
        <w:t>2014</w:t>
      </w:r>
      <w:r>
        <w:rPr>
          <w:rFonts w:ascii="Arial" w:hAnsi="Arial" w:cs="Arial" w:eastAsia="Arial" w:hint="default"/>
          <w:spacing w:val="-8"/>
        </w:rPr>
        <w:t> </w:t>
      </w:r>
      <w:r>
        <w:rPr/>
        <w:t>年</w:t>
      </w:r>
      <w:r>
        <w:rPr>
          <w:spacing w:val="-52"/>
        </w:rPr>
        <w:t> </w:t>
      </w:r>
      <w:r>
        <w:rPr>
          <w:rFonts w:ascii="Arial" w:hAnsi="Arial" w:cs="Arial" w:eastAsia="Arial" w:hint="default"/>
        </w:rPr>
        <w:t>3</w:t>
      </w:r>
      <w:r>
        <w:rPr>
          <w:rFonts w:ascii="Arial" w:hAnsi="Arial" w:cs="Arial" w:eastAsia="Arial" w:hint="default"/>
          <w:spacing w:val="-7"/>
        </w:rPr>
        <w:t> </w:t>
      </w:r>
      <w:r>
        <w:rPr/>
        <w:t>月</w:t>
      </w:r>
      <w:r>
        <w:rPr>
          <w:spacing w:val="-52"/>
        </w:rPr>
        <w:t> </w:t>
      </w:r>
      <w:r>
        <w:rPr>
          <w:rFonts w:ascii="Arial" w:hAnsi="Arial" w:cs="Arial" w:eastAsia="Arial" w:hint="default"/>
        </w:rPr>
        <w:t>24</w:t>
      </w:r>
      <w:r>
        <w:rPr>
          <w:rFonts w:ascii="Arial" w:hAnsi="Arial" w:cs="Arial" w:eastAsia="Arial" w:hint="default"/>
          <w:spacing w:val="-7"/>
        </w:rPr>
        <w:t> </w:t>
      </w:r>
      <w:r>
        <w:rPr/>
        <w:t>日分别召开了第二届董事会第十九次会议和第二届监事会第十六次会议，</w:t>
      </w:r>
    </w:p>
    <w:p>
      <w:pPr>
        <w:pStyle w:val="BodyText"/>
        <w:spacing w:line="386" w:lineRule="auto" w:before="180"/>
        <w:ind w:right="203"/>
        <w:jc w:val="left"/>
      </w:pPr>
      <w:r>
        <w:rPr>
          <w:spacing w:val="-4"/>
          <w:w w:val="100"/>
        </w:rPr>
        <w:t>审议通过了《公司</w:t>
      </w:r>
      <w:r>
        <w:rPr>
          <w:spacing w:val="-42"/>
          <w:w w:val="100"/>
        </w:rPr>
        <w:t> </w:t>
      </w:r>
      <w:r>
        <w:rPr>
          <w:rFonts w:ascii="Arial" w:hAnsi="Arial" w:cs="Arial" w:eastAsia="Arial" w:hint="default"/>
          <w:spacing w:val="-3"/>
          <w:w w:val="100"/>
        </w:rPr>
        <w:t>2013</w:t>
      </w:r>
      <w:r>
        <w:rPr>
          <w:rFonts w:ascii="Arial" w:hAnsi="Arial" w:cs="Arial" w:eastAsia="Arial" w:hint="default"/>
          <w:spacing w:val="2"/>
          <w:w w:val="100"/>
        </w:rPr>
        <w:t> </w:t>
      </w:r>
      <w:r>
        <w:rPr>
          <w:spacing w:val="-6"/>
          <w:w w:val="100"/>
        </w:rPr>
        <w:t>年度利润分配预案》，公司独立董事对此发表了独立意见，认为公司利润分配预案</w:t>
      </w:r>
      <w:r>
        <w:rPr>
          <w:spacing w:val="-103"/>
          <w:w w:val="100"/>
        </w:rPr>
        <w:t> </w:t>
      </w:r>
      <w:r>
        <w:rPr>
          <w:spacing w:val="-103"/>
          <w:w w:val="100"/>
        </w:rPr>
      </w:r>
      <w:r>
        <w:rPr/>
        <w:t>符合公司实际开展业务和未来发展的需要，有利于公司的正常经营和健康发展。</w:t>
      </w:r>
    </w:p>
    <w:p>
      <w:pPr>
        <w:pStyle w:val="BodyText"/>
        <w:spacing w:line="386" w:lineRule="auto" w:before="67"/>
        <w:ind w:right="0" w:firstLine="422"/>
        <w:jc w:val="left"/>
      </w:pPr>
      <w:r>
        <w:rPr>
          <w:rFonts w:ascii="Arial" w:hAnsi="Arial" w:cs="Arial" w:eastAsia="Arial" w:hint="default"/>
        </w:rPr>
        <w:t>2</w:t>
      </w:r>
      <w:r>
        <w:rPr/>
        <w:t>、公司于</w:t>
      </w:r>
      <w:r>
        <w:rPr>
          <w:spacing w:val="-39"/>
        </w:rPr>
        <w:t> </w:t>
      </w:r>
      <w:r>
        <w:rPr>
          <w:rFonts w:ascii="Arial" w:hAnsi="Arial" w:cs="Arial" w:eastAsia="Arial" w:hint="default"/>
          <w:spacing w:val="-3"/>
        </w:rPr>
        <w:t>2014</w:t>
      </w:r>
      <w:r>
        <w:rPr>
          <w:rFonts w:ascii="Arial" w:hAnsi="Arial" w:cs="Arial" w:eastAsia="Arial" w:hint="default"/>
          <w:spacing w:val="5"/>
        </w:rPr>
        <w:t> </w:t>
      </w:r>
      <w:r>
        <w:rPr/>
        <w:t>年</w:t>
      </w:r>
      <w:r>
        <w:rPr>
          <w:spacing w:val="-39"/>
        </w:rPr>
        <w:t> </w:t>
      </w:r>
      <w:r>
        <w:rPr>
          <w:rFonts w:ascii="Arial" w:hAnsi="Arial" w:cs="Arial" w:eastAsia="Arial" w:hint="default"/>
        </w:rPr>
        <w:t>4</w:t>
      </w:r>
      <w:r>
        <w:rPr>
          <w:rFonts w:ascii="Arial" w:hAnsi="Arial" w:cs="Arial" w:eastAsia="Arial" w:hint="default"/>
          <w:spacing w:val="5"/>
        </w:rPr>
        <w:t> </w:t>
      </w:r>
      <w:r>
        <w:rPr/>
        <w:t>月</w:t>
      </w:r>
      <w:r>
        <w:rPr>
          <w:spacing w:val="-39"/>
        </w:rPr>
        <w:t> </w:t>
      </w:r>
      <w:r>
        <w:rPr>
          <w:rFonts w:ascii="Arial" w:hAnsi="Arial" w:cs="Arial" w:eastAsia="Arial" w:hint="default"/>
        </w:rPr>
        <w:t>18</w:t>
      </w:r>
      <w:r>
        <w:rPr>
          <w:rFonts w:ascii="Arial" w:hAnsi="Arial" w:cs="Arial" w:eastAsia="Arial" w:hint="default"/>
          <w:spacing w:val="5"/>
        </w:rPr>
        <w:t> </w:t>
      </w:r>
      <w:r>
        <w:rPr/>
        <w:t>日召开了</w:t>
      </w:r>
      <w:r>
        <w:rPr>
          <w:spacing w:val="-39"/>
        </w:rPr>
        <w:t> </w:t>
      </w:r>
      <w:r>
        <w:rPr>
          <w:rFonts w:ascii="Arial" w:hAnsi="Arial" w:cs="Arial" w:eastAsia="Arial" w:hint="default"/>
          <w:spacing w:val="-3"/>
        </w:rPr>
        <w:t>2013</w:t>
      </w:r>
      <w:r>
        <w:rPr>
          <w:rFonts w:ascii="Arial" w:hAnsi="Arial" w:cs="Arial" w:eastAsia="Arial" w:hint="default"/>
          <w:spacing w:val="5"/>
        </w:rPr>
        <w:t> </w:t>
      </w:r>
      <w:r>
        <w:rPr/>
        <w:t>年年度股东大会，审议通过了《公司</w:t>
      </w:r>
      <w:r>
        <w:rPr>
          <w:spacing w:val="-39"/>
        </w:rPr>
        <w:t> </w:t>
      </w:r>
      <w:r>
        <w:rPr>
          <w:rFonts w:ascii="Arial" w:hAnsi="Arial" w:cs="Arial" w:eastAsia="Arial" w:hint="default"/>
          <w:spacing w:val="-3"/>
        </w:rPr>
        <w:t>2013</w:t>
      </w:r>
      <w:r>
        <w:rPr>
          <w:rFonts w:ascii="Arial" w:hAnsi="Arial" w:cs="Arial" w:eastAsia="Arial" w:hint="default"/>
          <w:spacing w:val="5"/>
        </w:rPr>
        <w:t> </w:t>
      </w:r>
      <w:r>
        <w:rPr/>
        <w:t>年度利润分配</w:t>
      </w:r>
      <w:r>
        <w:rPr>
          <w:w w:val="100"/>
        </w:rPr>
        <w:t> </w:t>
      </w:r>
      <w:r>
        <w:rPr/>
        <w:t>预案》及授权董事会在本方案实施后依法办理工商登记资料变更等相关事项。</w:t>
      </w:r>
    </w:p>
    <w:p>
      <w:pPr>
        <w:pStyle w:val="BodyText"/>
        <w:spacing w:line="398" w:lineRule="auto" w:before="67"/>
        <w:ind w:right="201" w:firstLine="422"/>
        <w:jc w:val="both"/>
      </w:pPr>
      <w:r>
        <w:rPr>
          <w:rFonts w:ascii="Arial" w:hAnsi="Arial" w:cs="Arial" w:eastAsia="Arial" w:hint="default"/>
        </w:rPr>
        <w:t>3</w:t>
      </w:r>
      <w:r>
        <w:rPr/>
        <w:t>、公司于</w:t>
      </w:r>
      <w:r>
        <w:rPr>
          <w:spacing w:val="-53"/>
        </w:rPr>
        <w:t> </w:t>
      </w:r>
      <w:r>
        <w:rPr>
          <w:rFonts w:ascii="Arial" w:hAnsi="Arial" w:cs="Arial" w:eastAsia="Arial" w:hint="default"/>
          <w:spacing w:val="-3"/>
        </w:rPr>
        <w:t>2014</w:t>
      </w:r>
      <w:r>
        <w:rPr>
          <w:rFonts w:ascii="Arial" w:hAnsi="Arial" w:cs="Arial" w:eastAsia="Arial" w:hint="default"/>
          <w:spacing w:val="-9"/>
        </w:rPr>
        <w:t> </w:t>
      </w:r>
      <w:r>
        <w:rPr/>
        <w:t>年</w:t>
      </w:r>
      <w:r>
        <w:rPr>
          <w:spacing w:val="-53"/>
        </w:rPr>
        <w:t> </w:t>
      </w:r>
      <w:r>
        <w:rPr>
          <w:rFonts w:ascii="Arial" w:hAnsi="Arial" w:cs="Arial" w:eastAsia="Arial" w:hint="default"/>
        </w:rPr>
        <w:t>12</w:t>
      </w:r>
      <w:r>
        <w:rPr>
          <w:rFonts w:ascii="Arial" w:hAnsi="Arial" w:cs="Arial" w:eastAsia="Arial" w:hint="default"/>
          <w:spacing w:val="-8"/>
        </w:rPr>
        <w:t> </w:t>
      </w:r>
      <w:r>
        <w:rPr/>
        <w:t>月</w:t>
      </w:r>
      <w:r>
        <w:rPr>
          <w:spacing w:val="-53"/>
        </w:rPr>
        <w:t> </w:t>
      </w:r>
      <w:r>
        <w:rPr>
          <w:rFonts w:ascii="Arial" w:hAnsi="Arial" w:cs="Arial" w:eastAsia="Arial" w:hint="default"/>
        </w:rPr>
        <w:t>8</w:t>
      </w:r>
      <w:r>
        <w:rPr>
          <w:rFonts w:ascii="Arial" w:hAnsi="Arial" w:cs="Arial" w:eastAsia="Arial" w:hint="default"/>
          <w:spacing w:val="-8"/>
        </w:rPr>
        <w:t> </w:t>
      </w:r>
      <w:r>
        <w:rPr/>
        <w:t>日分别召开第三届董事会第三次会议和第三届监事会第三次会议，审议通</w:t>
      </w:r>
      <w:r>
        <w:rPr>
          <w:w w:val="100"/>
        </w:rPr>
        <w:t> </w:t>
      </w:r>
      <w:r>
        <w:rPr>
          <w:spacing w:val="-2"/>
        </w:rPr>
        <w:t>过了《关于股权激励计划涉及的首次授予股票期权数量与行权价格及预留股票期权与限制性股票数量进行</w:t>
      </w:r>
      <w:r>
        <w:rPr>
          <w:spacing w:val="-34"/>
        </w:rPr>
        <w:t> </w:t>
      </w:r>
      <w:r>
        <w:rPr>
          <w:spacing w:val="-34"/>
        </w:rPr>
      </w:r>
      <w:r>
        <w:rPr>
          <w:spacing w:val="-7"/>
          <w:w w:val="100"/>
        </w:rPr>
        <w:t>调整的议案》、《关于向激励对象授予预留股票期权和限制性股票的议案》，本次授予限制性股票的激励对</w:t>
      </w:r>
      <w:r>
        <w:rPr>
          <w:spacing w:val="-72"/>
          <w:w w:val="100"/>
        </w:rPr>
        <w:t> </w:t>
      </w:r>
      <w:r>
        <w:rPr>
          <w:spacing w:val="-72"/>
          <w:w w:val="100"/>
        </w:rPr>
      </w:r>
      <w:r>
        <w:rPr/>
        <w:t>象为</w:t>
      </w:r>
      <w:r>
        <w:rPr>
          <w:spacing w:val="-41"/>
        </w:rPr>
        <w:t> </w:t>
      </w:r>
      <w:r>
        <w:rPr>
          <w:rFonts w:ascii="Arial" w:hAnsi="Arial" w:cs="Arial" w:eastAsia="Arial" w:hint="default"/>
        </w:rPr>
        <w:t>36</w:t>
      </w:r>
      <w:r>
        <w:rPr>
          <w:rFonts w:ascii="Arial" w:hAnsi="Arial" w:cs="Arial" w:eastAsia="Arial" w:hint="default"/>
          <w:spacing w:val="3"/>
        </w:rPr>
        <w:t> </w:t>
      </w:r>
      <w:r>
        <w:rPr>
          <w:spacing w:val="-3"/>
        </w:rPr>
        <w:t>人，本次授予限制性股票数为</w:t>
      </w:r>
      <w:r>
        <w:rPr>
          <w:spacing w:val="-41"/>
        </w:rPr>
        <w:t> </w:t>
      </w:r>
      <w:r>
        <w:rPr>
          <w:rFonts w:ascii="Arial" w:hAnsi="Arial" w:cs="Arial" w:eastAsia="Arial" w:hint="default"/>
        </w:rPr>
        <w:t>92</w:t>
      </w:r>
      <w:r>
        <w:rPr>
          <w:rFonts w:ascii="Arial" w:hAnsi="Arial" w:cs="Arial" w:eastAsia="Arial" w:hint="default"/>
          <w:spacing w:val="3"/>
        </w:rPr>
        <w:t> </w:t>
      </w:r>
      <w:r>
        <w:rPr>
          <w:spacing w:val="-3"/>
        </w:rPr>
        <w:t>万股。公司独立董事对此发表了独立意见，认为激励对象的主体</w:t>
      </w:r>
      <w:r>
        <w:rPr>
          <w:spacing w:val="-102"/>
        </w:rPr>
        <w:t> </w:t>
      </w:r>
      <w:r>
        <w:rPr>
          <w:spacing w:val="-102"/>
        </w:rPr>
      </w:r>
      <w:r>
        <w:rPr/>
        <w:t>资格确认办法合法有效，确定的授予日符合相关规定。</w:t>
      </w:r>
    </w:p>
    <w:p>
      <w:pPr>
        <w:pStyle w:val="Heading4"/>
        <w:spacing w:line="351" w:lineRule="exact"/>
        <w:ind w:left="575" w:right="0"/>
        <w:jc w:val="left"/>
        <w:rPr>
          <w:b w:val="0"/>
          <w:bCs w:val="0"/>
        </w:rPr>
      </w:pPr>
      <w:r>
        <w:rPr/>
        <w:t>股份变动的过户情况</w:t>
      </w:r>
      <w:r>
        <w:rPr>
          <w:b w:val="0"/>
          <w:bCs w:val="0"/>
        </w:rPr>
      </w:r>
    </w:p>
    <w:p>
      <w:pPr>
        <w:pStyle w:val="BodyText"/>
        <w:spacing w:line="240" w:lineRule="auto" w:before="171"/>
        <w:ind w:left="575" w:right="0"/>
        <w:jc w:val="left"/>
      </w:pPr>
      <w:r>
        <w:rPr/>
        <w:t>√ 适用 □</w:t>
      </w:r>
      <w:r>
        <w:rPr>
          <w:spacing w:val="3"/>
        </w:rPr>
        <w:t> </w:t>
      </w:r>
      <w:r>
        <w:rPr/>
        <w:t>不适用</w:t>
      </w:r>
    </w:p>
    <w:p>
      <w:pPr>
        <w:spacing w:after="0" w:line="240" w:lineRule="auto"/>
        <w:jc w:val="left"/>
        <w:sectPr>
          <w:pgSz w:w="11900" w:h="16840"/>
          <w:pgMar w:header="742" w:footer="984" w:top="1060" w:bottom="1180" w:left="980" w:right="920"/>
        </w:sectPr>
      </w:pPr>
    </w:p>
    <w:p>
      <w:pPr>
        <w:spacing w:line="240" w:lineRule="auto" w:before="0"/>
        <w:rPr>
          <w:rFonts w:ascii="宋体" w:hAnsi="宋体" w:cs="宋体" w:eastAsia="宋体" w:hint="default"/>
          <w:sz w:val="20"/>
          <w:szCs w:val="20"/>
        </w:rPr>
      </w:pPr>
    </w:p>
    <w:p>
      <w:pPr>
        <w:pStyle w:val="BodyText"/>
        <w:spacing w:line="240" w:lineRule="auto" w:before="182"/>
        <w:ind w:left="575" w:right="0"/>
        <w:jc w:val="left"/>
      </w:pPr>
      <w:r>
        <w:rPr>
          <w:rFonts w:ascii="Arial" w:hAnsi="Arial" w:cs="Arial" w:eastAsia="Arial" w:hint="default"/>
          <w:spacing w:val="-3"/>
          <w:w w:val="100"/>
        </w:rPr>
        <w:t>201</w:t>
      </w:r>
      <w:r>
        <w:rPr>
          <w:rFonts w:ascii="Arial" w:hAnsi="Arial" w:cs="Arial" w:eastAsia="Arial" w:hint="default"/>
          <w:w w:val="100"/>
        </w:rPr>
        <w:t>4</w:t>
      </w:r>
      <w:r>
        <w:rPr>
          <w:rFonts w:ascii="Arial" w:hAnsi="Arial" w:cs="Arial" w:eastAsia="Arial" w:hint="default"/>
          <w:spacing w:val="-9"/>
        </w:rPr>
        <w:t> </w:t>
      </w:r>
      <w:r>
        <w:rPr>
          <w:w w:val="100"/>
        </w:rPr>
        <w:t>年</w:t>
      </w:r>
      <w:r>
        <w:rPr>
          <w:spacing w:val="-53"/>
        </w:rPr>
        <w:t> </w:t>
      </w:r>
      <w:r>
        <w:rPr>
          <w:rFonts w:ascii="Arial" w:hAnsi="Arial" w:cs="Arial" w:eastAsia="Arial" w:hint="default"/>
          <w:w w:val="100"/>
        </w:rPr>
        <w:t>4</w:t>
      </w:r>
      <w:r>
        <w:rPr>
          <w:rFonts w:ascii="Arial" w:hAnsi="Arial" w:cs="Arial" w:eastAsia="Arial" w:hint="default"/>
          <w:spacing w:val="-8"/>
        </w:rPr>
        <w:t> </w:t>
      </w:r>
      <w:r>
        <w:rPr>
          <w:w w:val="100"/>
        </w:rPr>
        <w:t>月</w:t>
      </w:r>
      <w:r>
        <w:rPr>
          <w:spacing w:val="-53"/>
        </w:rPr>
        <w:t> </w:t>
      </w:r>
      <w:r>
        <w:rPr>
          <w:rFonts w:ascii="Arial" w:hAnsi="Arial" w:cs="Arial" w:eastAsia="Arial" w:hint="default"/>
          <w:spacing w:val="-3"/>
          <w:w w:val="100"/>
        </w:rPr>
        <w:t>1</w:t>
      </w:r>
      <w:r>
        <w:rPr>
          <w:rFonts w:ascii="Arial" w:hAnsi="Arial" w:cs="Arial" w:eastAsia="Arial" w:hint="default"/>
          <w:w w:val="100"/>
        </w:rPr>
        <w:t>8</w:t>
      </w:r>
      <w:r>
        <w:rPr>
          <w:rFonts w:ascii="Arial" w:hAnsi="Arial" w:cs="Arial" w:eastAsia="Arial" w:hint="default"/>
          <w:spacing w:val="-8"/>
        </w:rPr>
        <w:t> </w:t>
      </w:r>
      <w:r>
        <w:rPr>
          <w:w w:val="100"/>
        </w:rPr>
        <w:t>日</w:t>
      </w:r>
      <w:r>
        <w:rPr>
          <w:spacing w:val="-15"/>
          <w:w w:val="100"/>
        </w:rPr>
        <w:t>，</w:t>
      </w:r>
      <w:r>
        <w:rPr>
          <w:w w:val="100"/>
        </w:rPr>
        <w:t>公司</w:t>
      </w:r>
      <w:r>
        <w:rPr>
          <w:spacing w:val="-53"/>
        </w:rPr>
        <w:t> </w:t>
      </w:r>
      <w:r>
        <w:rPr>
          <w:rFonts w:ascii="Arial" w:hAnsi="Arial" w:cs="Arial" w:eastAsia="Arial" w:hint="default"/>
          <w:spacing w:val="-3"/>
          <w:w w:val="100"/>
        </w:rPr>
        <w:t>20</w:t>
      </w:r>
      <w:r>
        <w:rPr>
          <w:rFonts w:ascii="Arial" w:hAnsi="Arial" w:cs="Arial" w:eastAsia="Arial" w:hint="default"/>
          <w:spacing w:val="2"/>
          <w:w w:val="100"/>
        </w:rPr>
        <w:t>1</w:t>
      </w:r>
      <w:r>
        <w:rPr>
          <w:rFonts w:ascii="Arial" w:hAnsi="Arial" w:cs="Arial" w:eastAsia="Arial" w:hint="default"/>
          <w:w w:val="100"/>
        </w:rPr>
        <w:t>3</w:t>
      </w:r>
      <w:r>
        <w:rPr>
          <w:rFonts w:ascii="Arial" w:hAnsi="Arial" w:cs="Arial" w:eastAsia="Arial" w:hint="default"/>
          <w:spacing w:val="-8"/>
        </w:rPr>
        <w:t> </w:t>
      </w:r>
      <w:r>
        <w:rPr>
          <w:w w:val="100"/>
        </w:rPr>
        <w:t>年年度股东大会</w:t>
      </w:r>
      <w:r>
        <w:rPr>
          <w:spacing w:val="-5"/>
          <w:w w:val="100"/>
        </w:rPr>
        <w:t>审议</w:t>
      </w:r>
      <w:r>
        <w:rPr>
          <w:w w:val="100"/>
        </w:rPr>
        <w:t>通过</w:t>
      </w:r>
      <w:r>
        <w:rPr>
          <w:spacing w:val="-15"/>
          <w:w w:val="100"/>
        </w:rPr>
        <w:t>了</w:t>
      </w:r>
      <w:r>
        <w:rPr>
          <w:w w:val="100"/>
        </w:rPr>
        <w:t>《公司</w:t>
      </w:r>
      <w:r>
        <w:rPr>
          <w:spacing w:val="-53"/>
        </w:rPr>
        <w:t> </w:t>
      </w:r>
      <w:r>
        <w:rPr>
          <w:rFonts w:ascii="Arial" w:hAnsi="Arial" w:cs="Arial" w:eastAsia="Arial" w:hint="default"/>
          <w:spacing w:val="-3"/>
          <w:w w:val="100"/>
        </w:rPr>
        <w:t>201</w:t>
      </w:r>
      <w:r>
        <w:rPr>
          <w:rFonts w:ascii="Arial" w:hAnsi="Arial" w:cs="Arial" w:eastAsia="Arial" w:hint="default"/>
          <w:w w:val="100"/>
        </w:rPr>
        <w:t>3</w:t>
      </w:r>
      <w:r>
        <w:rPr>
          <w:rFonts w:ascii="Arial" w:hAnsi="Arial" w:cs="Arial" w:eastAsia="Arial" w:hint="default"/>
          <w:spacing w:val="-9"/>
        </w:rPr>
        <w:t> </w:t>
      </w:r>
      <w:r>
        <w:rPr>
          <w:w w:val="100"/>
        </w:rPr>
        <w:t>年度利</w:t>
      </w:r>
      <w:r>
        <w:rPr>
          <w:spacing w:val="-5"/>
          <w:w w:val="100"/>
        </w:rPr>
        <w:t>润</w:t>
      </w:r>
      <w:r>
        <w:rPr>
          <w:w w:val="100"/>
        </w:rPr>
        <w:t>分配预案</w:t>
      </w:r>
      <w:r>
        <w:rPr>
          <w:spacing w:val="-111"/>
          <w:w w:val="100"/>
        </w:rPr>
        <w:t>》</w:t>
      </w:r>
      <w:r>
        <w:rPr>
          <w:spacing w:val="-15"/>
          <w:w w:val="100"/>
        </w:rPr>
        <w:t>，</w:t>
      </w:r>
      <w:r>
        <w:rPr>
          <w:w w:val="100"/>
        </w:rPr>
        <w:t>以公司</w:t>
      </w:r>
    </w:p>
    <w:p>
      <w:pPr>
        <w:pStyle w:val="BodyText"/>
        <w:spacing w:line="240" w:lineRule="auto" w:before="176"/>
        <w:ind w:right="0"/>
        <w:jc w:val="left"/>
      </w:pPr>
      <w:r>
        <w:rPr>
          <w:w w:val="100"/>
        </w:rPr>
        <w:t>总股本</w:t>
      </w:r>
      <w:r>
        <w:rPr/>
        <w:t> </w:t>
      </w:r>
      <w:r>
        <w:rPr>
          <w:rFonts w:ascii="Arial" w:hAnsi="Arial" w:cs="Arial" w:eastAsia="Arial" w:hint="default"/>
          <w:spacing w:val="-3"/>
          <w:w w:val="100"/>
        </w:rPr>
        <w:t>163</w:t>
      </w:r>
      <w:r>
        <w:rPr>
          <w:rFonts w:ascii="Arial" w:hAnsi="Arial" w:cs="Arial" w:eastAsia="Arial" w:hint="default"/>
          <w:spacing w:val="-2"/>
          <w:w w:val="100"/>
        </w:rPr>
        <w:t>,</w:t>
      </w:r>
      <w:r>
        <w:rPr>
          <w:rFonts w:ascii="Arial" w:hAnsi="Arial" w:cs="Arial" w:eastAsia="Arial" w:hint="default"/>
          <w:spacing w:val="2"/>
          <w:w w:val="100"/>
        </w:rPr>
        <w:t>5</w:t>
      </w:r>
      <w:r>
        <w:rPr>
          <w:rFonts w:ascii="Arial" w:hAnsi="Arial" w:cs="Arial" w:eastAsia="Arial" w:hint="default"/>
          <w:spacing w:val="-3"/>
          <w:w w:val="100"/>
        </w:rPr>
        <w:t>66</w:t>
      </w:r>
      <w:r>
        <w:rPr>
          <w:rFonts w:ascii="Arial" w:hAnsi="Arial" w:cs="Arial" w:eastAsia="Arial" w:hint="default"/>
          <w:spacing w:val="-2"/>
          <w:w w:val="100"/>
        </w:rPr>
        <w:t>,</w:t>
      </w:r>
      <w:r>
        <w:rPr>
          <w:rFonts w:ascii="Arial" w:hAnsi="Arial" w:cs="Arial" w:eastAsia="Arial" w:hint="default"/>
          <w:spacing w:val="2"/>
          <w:w w:val="100"/>
        </w:rPr>
        <w:t>0</w:t>
      </w:r>
      <w:r>
        <w:rPr>
          <w:rFonts w:ascii="Arial" w:hAnsi="Arial" w:cs="Arial" w:eastAsia="Arial" w:hint="default"/>
          <w:spacing w:val="-3"/>
          <w:w w:val="100"/>
        </w:rPr>
        <w:t>0</w:t>
      </w:r>
      <w:r>
        <w:rPr>
          <w:rFonts w:ascii="Arial" w:hAnsi="Arial" w:cs="Arial" w:eastAsia="Arial" w:hint="default"/>
          <w:w w:val="100"/>
        </w:rPr>
        <w:t>0</w:t>
      </w:r>
      <w:r>
        <w:rPr>
          <w:rFonts w:ascii="Arial" w:hAnsi="Arial" w:cs="Arial" w:eastAsia="Arial" w:hint="default"/>
        </w:rPr>
        <w:t> </w:t>
      </w:r>
      <w:r>
        <w:rPr>
          <w:rFonts w:ascii="Arial" w:hAnsi="Arial" w:cs="Arial" w:eastAsia="Arial" w:hint="default"/>
          <w:spacing w:val="-14"/>
        </w:rPr>
        <w:t> </w:t>
      </w:r>
      <w:r>
        <w:rPr>
          <w:w w:val="100"/>
        </w:rPr>
        <w:t>股为基数，向全体股东每</w:t>
      </w:r>
      <w:r>
        <w:rPr/>
        <w:t> </w:t>
      </w:r>
      <w:r>
        <w:rPr>
          <w:rFonts w:ascii="Arial" w:hAnsi="Arial" w:cs="Arial" w:eastAsia="Arial" w:hint="default"/>
          <w:spacing w:val="-3"/>
          <w:w w:val="100"/>
        </w:rPr>
        <w:t>1</w:t>
      </w:r>
      <w:r>
        <w:rPr>
          <w:rFonts w:ascii="Arial" w:hAnsi="Arial" w:cs="Arial" w:eastAsia="Arial" w:hint="default"/>
          <w:w w:val="100"/>
        </w:rPr>
        <w:t>0</w:t>
      </w:r>
      <w:r>
        <w:rPr>
          <w:rFonts w:ascii="Arial" w:hAnsi="Arial" w:cs="Arial" w:eastAsia="Arial" w:hint="default"/>
        </w:rPr>
        <w:t> </w:t>
      </w:r>
      <w:r>
        <w:rPr>
          <w:rFonts w:ascii="Arial" w:hAnsi="Arial" w:cs="Arial" w:eastAsia="Arial" w:hint="default"/>
          <w:spacing w:val="-9"/>
        </w:rPr>
        <w:t> </w:t>
      </w:r>
      <w:r>
        <w:rPr>
          <w:w w:val="100"/>
        </w:rPr>
        <w:t>股派发现金股利</w:t>
      </w:r>
      <w:r>
        <w:rPr/>
        <w:t> </w:t>
      </w:r>
      <w:r>
        <w:rPr>
          <w:rFonts w:ascii="Arial" w:hAnsi="Arial" w:cs="Arial" w:eastAsia="Arial" w:hint="default"/>
          <w:w w:val="100"/>
        </w:rPr>
        <w:t>1</w:t>
      </w:r>
      <w:r>
        <w:rPr>
          <w:rFonts w:ascii="Arial" w:hAnsi="Arial" w:cs="Arial" w:eastAsia="Arial" w:hint="default"/>
        </w:rPr>
        <w:t> </w:t>
      </w:r>
      <w:r>
        <w:rPr>
          <w:rFonts w:ascii="Arial" w:hAnsi="Arial" w:cs="Arial" w:eastAsia="Arial" w:hint="default"/>
          <w:spacing w:val="-14"/>
        </w:rPr>
        <w:t> </w:t>
      </w:r>
      <w:r>
        <w:rPr>
          <w:w w:val="100"/>
        </w:rPr>
        <w:t>元人民币（含税</w:t>
      </w:r>
      <w:r>
        <w:rPr>
          <w:spacing w:val="-106"/>
          <w:w w:val="100"/>
        </w:rPr>
        <w:t>）</w:t>
      </w:r>
      <w:r>
        <w:rPr>
          <w:spacing w:val="-1"/>
          <w:w w:val="100"/>
        </w:rPr>
        <w:t>，</w:t>
      </w:r>
      <w:r>
        <w:rPr>
          <w:w w:val="100"/>
        </w:rPr>
        <w:t>合计派发现金</w:t>
      </w:r>
    </w:p>
    <w:p>
      <w:pPr>
        <w:pStyle w:val="BodyText"/>
        <w:spacing w:line="240" w:lineRule="auto" w:before="180"/>
        <w:ind w:right="0"/>
        <w:jc w:val="left"/>
        <w:rPr>
          <w:rFonts w:ascii="Arial" w:hAnsi="Arial" w:cs="Arial" w:eastAsia="Arial" w:hint="default"/>
        </w:rPr>
      </w:pPr>
      <w:r>
        <w:rPr>
          <w:w w:val="100"/>
        </w:rPr>
        <w:t>额</w:t>
      </w:r>
      <w:r>
        <w:rPr/>
        <w:t> </w:t>
      </w:r>
      <w:r>
        <w:rPr>
          <w:rFonts w:ascii="Arial" w:hAnsi="Arial" w:cs="Arial" w:eastAsia="Arial" w:hint="default"/>
          <w:spacing w:val="-3"/>
          <w:w w:val="100"/>
        </w:rPr>
        <w:t>16</w:t>
      </w:r>
      <w:r>
        <w:rPr>
          <w:rFonts w:ascii="Arial" w:hAnsi="Arial" w:cs="Arial" w:eastAsia="Arial" w:hint="default"/>
          <w:spacing w:val="-2"/>
          <w:w w:val="100"/>
        </w:rPr>
        <w:t>,</w:t>
      </w:r>
      <w:r>
        <w:rPr>
          <w:rFonts w:ascii="Arial" w:hAnsi="Arial" w:cs="Arial" w:eastAsia="Arial" w:hint="default"/>
          <w:spacing w:val="-3"/>
          <w:w w:val="100"/>
        </w:rPr>
        <w:t>35</w:t>
      </w:r>
      <w:r>
        <w:rPr>
          <w:rFonts w:ascii="Arial" w:hAnsi="Arial" w:cs="Arial" w:eastAsia="Arial" w:hint="default"/>
          <w:spacing w:val="2"/>
          <w:w w:val="100"/>
        </w:rPr>
        <w:t>6</w:t>
      </w:r>
      <w:r>
        <w:rPr>
          <w:rFonts w:ascii="Arial" w:hAnsi="Arial" w:cs="Arial" w:eastAsia="Arial" w:hint="default"/>
          <w:spacing w:val="-2"/>
          <w:w w:val="100"/>
        </w:rPr>
        <w:t>,</w:t>
      </w:r>
      <w:r>
        <w:rPr>
          <w:rFonts w:ascii="Arial" w:hAnsi="Arial" w:cs="Arial" w:eastAsia="Arial" w:hint="default"/>
          <w:spacing w:val="-3"/>
          <w:w w:val="100"/>
        </w:rPr>
        <w:t>6</w:t>
      </w:r>
      <w:r>
        <w:rPr>
          <w:rFonts w:ascii="Arial" w:hAnsi="Arial" w:cs="Arial" w:eastAsia="Arial" w:hint="default"/>
          <w:spacing w:val="2"/>
          <w:w w:val="100"/>
        </w:rPr>
        <w:t>0</w:t>
      </w:r>
      <w:r>
        <w:rPr>
          <w:rFonts w:ascii="Arial" w:hAnsi="Arial" w:cs="Arial" w:eastAsia="Arial" w:hint="default"/>
          <w:w w:val="100"/>
        </w:rPr>
        <w:t>0</w:t>
      </w:r>
      <w:r>
        <w:rPr>
          <w:rFonts w:ascii="Arial" w:hAnsi="Arial" w:cs="Arial" w:eastAsia="Arial" w:hint="default"/>
        </w:rPr>
        <w:t> </w:t>
      </w:r>
      <w:r>
        <w:rPr>
          <w:rFonts w:ascii="Arial" w:hAnsi="Arial" w:cs="Arial" w:eastAsia="Arial" w:hint="default"/>
          <w:spacing w:val="-14"/>
        </w:rPr>
        <w:t> </w:t>
      </w:r>
      <w:r>
        <w:rPr>
          <w:w w:val="100"/>
        </w:rPr>
        <w:t>元</w:t>
      </w:r>
      <w:r>
        <w:rPr>
          <w:spacing w:val="-82"/>
          <w:w w:val="100"/>
        </w:rPr>
        <w:t>，</w:t>
      </w:r>
      <w:r>
        <w:rPr>
          <w:w w:val="100"/>
        </w:rPr>
        <w:t>其余未分</w:t>
      </w:r>
      <w:r>
        <w:rPr>
          <w:spacing w:val="-5"/>
          <w:w w:val="100"/>
        </w:rPr>
        <w:t>配</w:t>
      </w:r>
      <w:r>
        <w:rPr>
          <w:w w:val="100"/>
        </w:rPr>
        <w:t>利润结</w:t>
      </w:r>
      <w:r>
        <w:rPr>
          <w:spacing w:val="-5"/>
          <w:w w:val="100"/>
        </w:rPr>
        <w:t>转</w:t>
      </w:r>
      <w:r>
        <w:rPr>
          <w:w w:val="100"/>
        </w:rPr>
        <w:t>下年</w:t>
      </w:r>
      <w:r>
        <w:rPr>
          <w:spacing w:val="-87"/>
          <w:w w:val="100"/>
        </w:rPr>
        <w:t>；</w:t>
      </w:r>
      <w:r>
        <w:rPr>
          <w:w w:val="100"/>
        </w:rPr>
        <w:t>同时</w:t>
      </w:r>
      <w:r>
        <w:rPr>
          <w:spacing w:val="-5"/>
          <w:w w:val="100"/>
        </w:rPr>
        <w:t>进</w:t>
      </w:r>
      <w:r>
        <w:rPr>
          <w:w w:val="100"/>
        </w:rPr>
        <w:t>行资本公</w:t>
      </w:r>
      <w:r>
        <w:rPr>
          <w:spacing w:val="-5"/>
          <w:w w:val="100"/>
        </w:rPr>
        <w:t>积</w:t>
      </w:r>
      <w:r>
        <w:rPr>
          <w:w w:val="100"/>
        </w:rPr>
        <w:t>金转增</w:t>
      </w:r>
      <w:r>
        <w:rPr>
          <w:spacing w:val="-5"/>
          <w:w w:val="100"/>
        </w:rPr>
        <w:t>股</w:t>
      </w:r>
      <w:r>
        <w:rPr>
          <w:w w:val="100"/>
        </w:rPr>
        <w:t>本</w:t>
      </w:r>
      <w:r>
        <w:rPr>
          <w:spacing w:val="-82"/>
          <w:w w:val="100"/>
        </w:rPr>
        <w:t>，</w:t>
      </w:r>
      <w:r>
        <w:rPr>
          <w:w w:val="100"/>
        </w:rPr>
        <w:t>以</w:t>
      </w:r>
      <w:r>
        <w:rPr>
          <w:spacing w:val="-5"/>
          <w:w w:val="100"/>
        </w:rPr>
        <w:t>公</w:t>
      </w:r>
      <w:r>
        <w:rPr>
          <w:w w:val="100"/>
        </w:rPr>
        <w:t>司总股本</w:t>
      </w:r>
      <w:r>
        <w:rPr>
          <w:spacing w:val="-5"/>
        </w:rPr>
        <w:t> </w:t>
      </w:r>
      <w:r>
        <w:rPr>
          <w:rFonts w:ascii="Arial" w:hAnsi="Arial" w:cs="Arial" w:eastAsia="Arial" w:hint="default"/>
          <w:spacing w:val="-3"/>
          <w:w w:val="100"/>
        </w:rPr>
        <w:t>163</w:t>
      </w:r>
      <w:r>
        <w:rPr>
          <w:rFonts w:ascii="Arial" w:hAnsi="Arial" w:cs="Arial" w:eastAsia="Arial" w:hint="default"/>
          <w:spacing w:val="-2"/>
          <w:w w:val="100"/>
        </w:rPr>
        <w:t>,</w:t>
      </w:r>
      <w:r>
        <w:rPr>
          <w:rFonts w:ascii="Arial" w:hAnsi="Arial" w:cs="Arial" w:eastAsia="Arial" w:hint="default"/>
          <w:spacing w:val="-3"/>
          <w:w w:val="100"/>
        </w:rPr>
        <w:t>5</w:t>
      </w:r>
      <w:r>
        <w:rPr>
          <w:rFonts w:ascii="Arial" w:hAnsi="Arial" w:cs="Arial" w:eastAsia="Arial" w:hint="default"/>
          <w:spacing w:val="2"/>
          <w:w w:val="100"/>
        </w:rPr>
        <w:t>6</w:t>
      </w:r>
      <w:r>
        <w:rPr>
          <w:rFonts w:ascii="Arial" w:hAnsi="Arial" w:cs="Arial" w:eastAsia="Arial" w:hint="default"/>
          <w:spacing w:val="-3"/>
          <w:w w:val="100"/>
        </w:rPr>
        <w:t>6</w:t>
      </w:r>
      <w:r>
        <w:rPr>
          <w:rFonts w:ascii="Arial" w:hAnsi="Arial" w:cs="Arial" w:eastAsia="Arial" w:hint="default"/>
          <w:spacing w:val="-2"/>
          <w:w w:val="100"/>
        </w:rPr>
        <w:t>,</w:t>
      </w:r>
      <w:r>
        <w:rPr>
          <w:rFonts w:ascii="Arial" w:hAnsi="Arial" w:cs="Arial" w:eastAsia="Arial" w:hint="default"/>
          <w:spacing w:val="-3"/>
          <w:w w:val="100"/>
        </w:rPr>
        <w:t>0</w:t>
      </w:r>
      <w:r>
        <w:rPr>
          <w:rFonts w:ascii="Arial" w:hAnsi="Arial" w:cs="Arial" w:eastAsia="Arial" w:hint="default"/>
          <w:spacing w:val="2"/>
          <w:w w:val="100"/>
        </w:rPr>
        <w:t>0</w:t>
      </w:r>
      <w:r>
        <w:rPr>
          <w:rFonts w:ascii="Arial" w:hAnsi="Arial" w:cs="Arial" w:eastAsia="Arial" w:hint="default"/>
          <w:w w:val="100"/>
        </w:rPr>
        <w:t>0</w:t>
      </w:r>
    </w:p>
    <w:p>
      <w:pPr>
        <w:pStyle w:val="BodyText"/>
        <w:spacing w:line="240" w:lineRule="auto" w:before="176"/>
        <w:ind w:right="0"/>
        <w:jc w:val="left"/>
      </w:pPr>
      <w:r>
        <w:rPr>
          <w:spacing w:val="7"/>
        </w:rPr>
        <w:t>股为基数向全体股东每 </w:t>
      </w:r>
      <w:r>
        <w:rPr>
          <w:rFonts w:ascii="Arial" w:hAnsi="Arial" w:cs="Arial" w:eastAsia="Arial" w:hint="default"/>
        </w:rPr>
        <w:t>10  </w:t>
      </w:r>
      <w:r>
        <w:rPr>
          <w:spacing w:val="5"/>
        </w:rPr>
        <w:t>股转增 </w:t>
      </w:r>
      <w:r>
        <w:rPr>
          <w:rFonts w:ascii="Arial" w:hAnsi="Arial" w:cs="Arial" w:eastAsia="Arial" w:hint="default"/>
        </w:rPr>
        <w:t>10  </w:t>
      </w:r>
      <w:r>
        <w:rPr>
          <w:spacing w:val="7"/>
        </w:rPr>
        <w:t>股，共计转增 </w:t>
      </w:r>
      <w:r>
        <w:rPr>
          <w:rFonts w:ascii="Arial" w:hAnsi="Arial" w:cs="Arial" w:eastAsia="Arial" w:hint="default"/>
        </w:rPr>
        <w:t>163,566,000    </w:t>
      </w:r>
      <w:r>
        <w:rPr>
          <w:spacing w:val="8"/>
        </w:rPr>
        <w:t>股，转增后公司总股本由原来的</w:t>
      </w:r>
    </w:p>
    <w:p>
      <w:pPr>
        <w:pStyle w:val="BodyText"/>
        <w:spacing w:line="240" w:lineRule="auto" w:before="180"/>
        <w:ind w:right="0"/>
        <w:jc w:val="left"/>
      </w:pPr>
      <w:r>
        <w:rPr>
          <w:rFonts w:ascii="Arial" w:hAnsi="Arial" w:cs="Arial" w:eastAsia="Arial" w:hint="default"/>
        </w:rPr>
        <w:t>163,566,000  </w:t>
      </w:r>
      <w:r>
        <w:rPr/>
        <w:t>股增加至 </w:t>
      </w:r>
      <w:r>
        <w:rPr>
          <w:rFonts w:ascii="Arial" w:hAnsi="Arial" w:cs="Arial" w:eastAsia="Arial" w:hint="default"/>
        </w:rPr>
        <w:t>327,132,000</w:t>
      </w:r>
      <w:r>
        <w:rPr>
          <w:rFonts w:ascii="Arial" w:hAnsi="Arial" w:cs="Arial" w:eastAsia="Arial" w:hint="default"/>
          <w:spacing w:val="13"/>
        </w:rPr>
        <w:t> </w:t>
      </w:r>
      <w:r>
        <w:rPr/>
        <w:t>股。</w:t>
      </w:r>
    </w:p>
    <w:p>
      <w:pPr>
        <w:pStyle w:val="BodyText"/>
        <w:spacing w:line="240" w:lineRule="auto" w:before="176"/>
        <w:ind w:left="575" w:right="0"/>
        <w:jc w:val="left"/>
      </w:pPr>
      <w:r>
        <w:rPr/>
        <w:t>众华会计师事务（特殊普通合伙）所于 </w:t>
      </w:r>
      <w:r>
        <w:rPr>
          <w:rFonts w:ascii="Arial" w:hAnsi="Arial" w:cs="Arial" w:eastAsia="Arial" w:hint="default"/>
          <w:spacing w:val="-3"/>
        </w:rPr>
        <w:t>2014  </w:t>
      </w:r>
      <w:r>
        <w:rPr/>
        <w:t>年 </w:t>
      </w:r>
      <w:r>
        <w:rPr>
          <w:rFonts w:ascii="Arial" w:hAnsi="Arial" w:cs="Arial" w:eastAsia="Arial" w:hint="default"/>
        </w:rPr>
        <w:t>12  </w:t>
      </w:r>
      <w:r>
        <w:rPr/>
        <w:t>月 </w:t>
      </w:r>
      <w:r>
        <w:rPr>
          <w:rFonts w:ascii="Arial" w:hAnsi="Arial" w:cs="Arial" w:eastAsia="Arial" w:hint="default"/>
        </w:rPr>
        <w:t>12  </w:t>
      </w:r>
      <w:r>
        <w:rPr/>
        <w:t>日出具众会字（</w:t>
      </w:r>
      <w:r>
        <w:rPr>
          <w:rFonts w:ascii="Arial" w:hAnsi="Arial" w:cs="Arial" w:eastAsia="Arial" w:hint="default"/>
        </w:rPr>
        <w:t>2014</w:t>
      </w:r>
      <w:r>
        <w:rPr/>
        <w:t>）第 </w:t>
      </w:r>
      <w:r>
        <w:rPr>
          <w:rFonts w:ascii="Arial" w:hAnsi="Arial" w:cs="Arial" w:eastAsia="Arial" w:hint="default"/>
          <w:spacing w:val="-3"/>
        </w:rPr>
        <w:t>5742</w:t>
      </w:r>
      <w:r>
        <w:rPr>
          <w:rFonts w:ascii="Arial" w:hAnsi="Arial" w:cs="Arial" w:eastAsia="Arial" w:hint="default"/>
          <w:spacing w:val="21"/>
        </w:rPr>
        <w:t> </w:t>
      </w:r>
      <w:r>
        <w:rPr/>
        <w:t>号验资</w:t>
      </w:r>
    </w:p>
    <w:p>
      <w:pPr>
        <w:pStyle w:val="BodyText"/>
        <w:spacing w:line="240" w:lineRule="auto" w:before="180"/>
        <w:ind w:right="0"/>
        <w:jc w:val="left"/>
      </w:pPr>
      <w:r>
        <w:rPr/>
        <w:t>报告，审验了公司截至 </w:t>
      </w:r>
      <w:r>
        <w:rPr>
          <w:rFonts w:ascii="Arial" w:hAnsi="Arial" w:cs="Arial" w:eastAsia="Arial" w:hint="default"/>
          <w:spacing w:val="-3"/>
        </w:rPr>
        <w:t>2014  </w:t>
      </w:r>
      <w:r>
        <w:rPr/>
        <w:t>年 </w:t>
      </w:r>
      <w:r>
        <w:rPr>
          <w:rFonts w:ascii="Arial" w:hAnsi="Arial" w:cs="Arial" w:eastAsia="Arial" w:hint="default"/>
        </w:rPr>
        <w:t>12  </w:t>
      </w:r>
      <w:r>
        <w:rPr/>
        <w:t>月 </w:t>
      </w:r>
      <w:r>
        <w:rPr>
          <w:rFonts w:ascii="Arial" w:hAnsi="Arial" w:cs="Arial" w:eastAsia="Arial" w:hint="default"/>
        </w:rPr>
        <w:t>12  </w:t>
      </w:r>
      <w:r>
        <w:rPr/>
        <w:t>日止新增注册资本及股本情况，认为：截至 </w:t>
      </w:r>
      <w:r>
        <w:rPr>
          <w:rFonts w:ascii="Arial" w:hAnsi="Arial" w:cs="Arial" w:eastAsia="Arial" w:hint="default"/>
          <w:spacing w:val="-3"/>
        </w:rPr>
        <w:t>2014  </w:t>
      </w:r>
      <w:r>
        <w:rPr/>
        <w:t>年 </w:t>
      </w:r>
      <w:r>
        <w:rPr>
          <w:rFonts w:ascii="Arial" w:hAnsi="Arial" w:cs="Arial" w:eastAsia="Arial" w:hint="default"/>
        </w:rPr>
        <w:t>12</w:t>
      </w:r>
      <w:r>
        <w:rPr>
          <w:rFonts w:ascii="Arial" w:hAnsi="Arial" w:cs="Arial" w:eastAsia="Arial" w:hint="default"/>
          <w:spacing w:val="39"/>
        </w:rPr>
        <w:t> </w:t>
      </w:r>
      <w:r>
        <w:rPr/>
        <w:t>月</w:t>
      </w:r>
    </w:p>
    <w:p>
      <w:pPr>
        <w:pStyle w:val="BodyText"/>
        <w:spacing w:line="240" w:lineRule="auto" w:before="176"/>
        <w:ind w:right="0"/>
        <w:jc w:val="left"/>
      </w:pPr>
      <w:r>
        <w:rPr>
          <w:rFonts w:ascii="Arial" w:hAnsi="Arial" w:cs="Arial" w:eastAsia="Arial" w:hint="default"/>
        </w:rPr>
        <w:t>12  </w:t>
      </w:r>
      <w:r>
        <w:rPr>
          <w:spacing w:val="13"/>
        </w:rPr>
        <w:t>日止， </w:t>
      </w:r>
      <w:r>
        <w:rPr>
          <w:spacing w:val="15"/>
        </w:rPr>
        <w:t>贵公司已收到 </w:t>
      </w:r>
      <w:r>
        <w:rPr>
          <w:rFonts w:ascii="Arial" w:hAnsi="Arial" w:cs="Arial" w:eastAsia="Arial" w:hint="default"/>
        </w:rPr>
        <w:t>36  </w:t>
      </w:r>
      <w:r>
        <w:rPr>
          <w:spacing w:val="16"/>
        </w:rPr>
        <w:t>位激励对象认购 </w:t>
      </w:r>
      <w:r>
        <w:rPr>
          <w:rFonts w:ascii="Arial" w:hAnsi="Arial" w:cs="Arial" w:eastAsia="Arial" w:hint="default"/>
        </w:rPr>
        <w:t>92  </w:t>
      </w:r>
      <w:r>
        <w:rPr>
          <w:rFonts w:ascii="Arial" w:hAnsi="Arial" w:cs="Arial" w:eastAsia="Arial" w:hint="default"/>
          <w:spacing w:val="7"/>
        </w:rPr>
        <w:t> </w:t>
      </w:r>
      <w:r>
        <w:rPr>
          <w:spacing w:val="17"/>
        </w:rPr>
        <w:t>万股限制性股票缴纳的货币资金出资款人民币</w:t>
      </w:r>
    </w:p>
    <w:p>
      <w:pPr>
        <w:pStyle w:val="BodyText"/>
        <w:spacing w:line="240" w:lineRule="auto" w:before="180"/>
        <w:ind w:right="0"/>
        <w:jc w:val="left"/>
      </w:pPr>
      <w:r>
        <w:rPr>
          <w:rFonts w:ascii="Arial" w:hAnsi="Arial" w:cs="Arial" w:eastAsia="Arial" w:hint="default"/>
          <w:spacing w:val="-3"/>
          <w:w w:val="100"/>
        </w:rPr>
        <w:t>4</w:t>
      </w:r>
      <w:r>
        <w:rPr>
          <w:rFonts w:ascii="Arial" w:hAnsi="Arial" w:cs="Arial" w:eastAsia="Arial" w:hint="default"/>
          <w:spacing w:val="-2"/>
          <w:w w:val="100"/>
        </w:rPr>
        <w:t>,</w:t>
      </w:r>
      <w:r>
        <w:rPr>
          <w:rFonts w:ascii="Arial" w:hAnsi="Arial" w:cs="Arial" w:eastAsia="Arial" w:hint="default"/>
          <w:spacing w:val="-3"/>
          <w:w w:val="100"/>
        </w:rPr>
        <w:t>66</w:t>
      </w:r>
      <w:r>
        <w:rPr>
          <w:rFonts w:ascii="Arial" w:hAnsi="Arial" w:cs="Arial" w:eastAsia="Arial" w:hint="default"/>
          <w:spacing w:val="2"/>
          <w:w w:val="100"/>
        </w:rPr>
        <w:t>4</w:t>
      </w:r>
      <w:r>
        <w:rPr>
          <w:rFonts w:ascii="Arial" w:hAnsi="Arial" w:cs="Arial" w:eastAsia="Arial" w:hint="default"/>
          <w:spacing w:val="-2"/>
          <w:w w:val="100"/>
        </w:rPr>
        <w:t>,</w:t>
      </w:r>
      <w:r>
        <w:rPr>
          <w:rFonts w:ascii="Arial" w:hAnsi="Arial" w:cs="Arial" w:eastAsia="Arial" w:hint="default"/>
          <w:spacing w:val="-3"/>
          <w:w w:val="100"/>
        </w:rPr>
        <w:t>4</w:t>
      </w:r>
      <w:r>
        <w:rPr>
          <w:rFonts w:ascii="Arial" w:hAnsi="Arial" w:cs="Arial" w:eastAsia="Arial" w:hint="default"/>
          <w:spacing w:val="2"/>
          <w:w w:val="100"/>
        </w:rPr>
        <w:t>0</w:t>
      </w:r>
      <w:r>
        <w:rPr>
          <w:rFonts w:ascii="Arial" w:hAnsi="Arial" w:cs="Arial" w:eastAsia="Arial" w:hint="default"/>
          <w:spacing w:val="-3"/>
          <w:w w:val="100"/>
        </w:rPr>
        <w:t>0</w:t>
      </w:r>
      <w:r>
        <w:rPr>
          <w:rFonts w:ascii="Arial" w:hAnsi="Arial" w:cs="Arial" w:eastAsia="Arial" w:hint="default"/>
          <w:spacing w:val="-2"/>
          <w:w w:val="100"/>
        </w:rPr>
        <w:t>.</w:t>
      </w:r>
      <w:r>
        <w:rPr>
          <w:rFonts w:ascii="Arial" w:hAnsi="Arial" w:cs="Arial" w:eastAsia="Arial" w:hint="default"/>
          <w:spacing w:val="-3"/>
          <w:w w:val="100"/>
        </w:rPr>
        <w:t>0</w:t>
      </w:r>
      <w:r>
        <w:rPr>
          <w:rFonts w:ascii="Arial" w:hAnsi="Arial" w:cs="Arial" w:eastAsia="Arial" w:hint="default"/>
          <w:w w:val="100"/>
        </w:rPr>
        <w:t>0</w:t>
      </w:r>
      <w:r>
        <w:rPr>
          <w:rFonts w:ascii="Arial" w:hAnsi="Arial" w:cs="Arial" w:eastAsia="Arial" w:hint="default"/>
        </w:rPr>
        <w:t> </w:t>
      </w:r>
      <w:r>
        <w:rPr>
          <w:rFonts w:ascii="Arial" w:hAnsi="Arial" w:cs="Arial" w:eastAsia="Arial" w:hint="default"/>
          <w:spacing w:val="-10"/>
        </w:rPr>
        <w:t> </w:t>
      </w:r>
      <w:r>
        <w:rPr>
          <w:spacing w:val="4"/>
          <w:w w:val="100"/>
        </w:rPr>
        <w:t>元（</w:t>
      </w:r>
      <w:r>
        <w:rPr>
          <w:w w:val="100"/>
        </w:rPr>
        <w:t>人民币</w:t>
      </w:r>
      <w:r>
        <w:rPr>
          <w:spacing w:val="4"/>
          <w:w w:val="100"/>
        </w:rPr>
        <w:t>肆</w:t>
      </w:r>
      <w:r>
        <w:rPr>
          <w:w w:val="100"/>
        </w:rPr>
        <w:t>佰陆拾</w:t>
      </w:r>
      <w:r>
        <w:rPr>
          <w:spacing w:val="4"/>
          <w:w w:val="100"/>
        </w:rPr>
        <w:t>陆</w:t>
      </w:r>
      <w:r>
        <w:rPr>
          <w:w w:val="100"/>
        </w:rPr>
        <w:t>万肆</w:t>
      </w:r>
      <w:r>
        <w:rPr>
          <w:spacing w:val="4"/>
          <w:w w:val="100"/>
        </w:rPr>
        <w:t>仟</w:t>
      </w:r>
      <w:r>
        <w:rPr>
          <w:w w:val="100"/>
        </w:rPr>
        <w:t>肆佰元</w:t>
      </w:r>
      <w:r>
        <w:rPr>
          <w:spacing w:val="5"/>
          <w:w w:val="100"/>
        </w:rPr>
        <w:t>整</w:t>
      </w:r>
      <w:r>
        <w:rPr>
          <w:spacing w:val="-106"/>
          <w:w w:val="100"/>
        </w:rPr>
        <w:t>）</w:t>
      </w:r>
      <w:r>
        <w:rPr>
          <w:spacing w:val="-1"/>
          <w:w w:val="100"/>
        </w:rPr>
        <w:t>，</w:t>
      </w:r>
      <w:r>
        <w:rPr>
          <w:w w:val="100"/>
        </w:rPr>
        <w:t>其</w:t>
      </w:r>
      <w:r>
        <w:rPr>
          <w:spacing w:val="4"/>
          <w:w w:val="100"/>
        </w:rPr>
        <w:t>中</w:t>
      </w:r>
      <w:r>
        <w:rPr>
          <w:w w:val="100"/>
        </w:rPr>
        <w:t>计入</w:t>
      </w:r>
      <w:r>
        <w:rPr>
          <w:spacing w:val="4"/>
          <w:w w:val="100"/>
        </w:rPr>
        <w:t>股</w:t>
      </w:r>
      <w:r>
        <w:rPr>
          <w:w w:val="100"/>
        </w:rPr>
        <w:t>本人民币</w:t>
      </w:r>
      <w:r>
        <w:rPr>
          <w:spacing w:val="6"/>
        </w:rPr>
        <w:t> </w:t>
      </w:r>
      <w:r>
        <w:rPr>
          <w:rFonts w:ascii="Arial" w:hAnsi="Arial" w:cs="Arial" w:eastAsia="Arial" w:hint="default"/>
          <w:spacing w:val="-3"/>
          <w:w w:val="100"/>
        </w:rPr>
        <w:t>920</w:t>
      </w:r>
      <w:r>
        <w:rPr>
          <w:rFonts w:ascii="Arial" w:hAnsi="Arial" w:cs="Arial" w:eastAsia="Arial" w:hint="default"/>
          <w:spacing w:val="-2"/>
          <w:w w:val="100"/>
        </w:rPr>
        <w:t>,</w:t>
      </w:r>
      <w:r>
        <w:rPr>
          <w:rFonts w:ascii="Arial" w:hAnsi="Arial" w:cs="Arial" w:eastAsia="Arial" w:hint="default"/>
          <w:spacing w:val="-3"/>
          <w:w w:val="100"/>
        </w:rPr>
        <w:t>0</w:t>
      </w:r>
      <w:r>
        <w:rPr>
          <w:rFonts w:ascii="Arial" w:hAnsi="Arial" w:cs="Arial" w:eastAsia="Arial" w:hint="default"/>
          <w:spacing w:val="2"/>
          <w:w w:val="100"/>
        </w:rPr>
        <w:t>0</w:t>
      </w:r>
      <w:r>
        <w:rPr>
          <w:rFonts w:ascii="Arial" w:hAnsi="Arial" w:cs="Arial" w:eastAsia="Arial" w:hint="default"/>
          <w:w w:val="100"/>
        </w:rPr>
        <w:t>0</w:t>
      </w:r>
      <w:r>
        <w:rPr>
          <w:rFonts w:ascii="Arial" w:hAnsi="Arial" w:cs="Arial" w:eastAsia="Arial" w:hint="default"/>
        </w:rPr>
        <w:t> </w:t>
      </w:r>
      <w:r>
        <w:rPr>
          <w:rFonts w:ascii="Arial" w:hAnsi="Arial" w:cs="Arial" w:eastAsia="Arial" w:hint="default"/>
          <w:spacing w:val="-14"/>
        </w:rPr>
        <w:t> </w:t>
      </w:r>
      <w:r>
        <w:rPr>
          <w:spacing w:val="4"/>
          <w:w w:val="100"/>
        </w:rPr>
        <w:t>元，</w:t>
      </w:r>
      <w:r>
        <w:rPr>
          <w:w w:val="100"/>
        </w:rPr>
        <w:t>计</w:t>
      </w:r>
      <w:r>
        <w:rPr>
          <w:spacing w:val="4"/>
          <w:w w:val="100"/>
        </w:rPr>
        <w:t>入</w:t>
      </w:r>
      <w:r>
        <w:rPr>
          <w:w w:val="100"/>
        </w:rPr>
        <w:t>资</w:t>
      </w:r>
      <w:r>
        <w:rPr>
          <w:spacing w:val="4"/>
          <w:w w:val="100"/>
        </w:rPr>
        <w:t>本</w:t>
      </w:r>
      <w:r>
        <w:rPr>
          <w:w w:val="100"/>
        </w:rPr>
        <w:t>公</w:t>
      </w:r>
    </w:p>
    <w:p>
      <w:pPr>
        <w:pStyle w:val="BodyText"/>
        <w:spacing w:line="240" w:lineRule="auto" w:before="176"/>
        <w:ind w:right="0"/>
        <w:jc w:val="left"/>
        <w:rPr>
          <w:rFonts w:ascii="Arial" w:hAnsi="Arial" w:cs="Arial" w:eastAsia="Arial" w:hint="default"/>
        </w:rPr>
      </w:pPr>
      <w:r>
        <w:rPr>
          <w:spacing w:val="2"/>
        </w:rPr>
        <w:t>积人民币 </w:t>
      </w:r>
      <w:r>
        <w:rPr>
          <w:rFonts w:ascii="Arial" w:hAnsi="Arial" w:cs="Arial" w:eastAsia="Arial" w:hint="default"/>
        </w:rPr>
        <w:t>3,744,400  </w:t>
      </w:r>
      <w:r>
        <w:rPr>
          <w:spacing w:val="2"/>
        </w:rPr>
        <w:t>元。变更后公司注册资本为人民币 </w:t>
      </w:r>
      <w:r>
        <w:rPr>
          <w:rFonts w:ascii="Arial" w:hAnsi="Arial" w:cs="Arial" w:eastAsia="Arial" w:hint="default"/>
        </w:rPr>
        <w:t>328,052,000  </w:t>
      </w:r>
      <w:r>
        <w:rPr>
          <w:spacing w:val="2"/>
        </w:rPr>
        <w:t>元，股本为人民币</w:t>
      </w:r>
      <w:r>
        <w:rPr>
          <w:spacing w:val="44"/>
        </w:rPr>
        <w:t> </w:t>
      </w:r>
      <w:r>
        <w:rPr>
          <w:rFonts w:ascii="Arial" w:hAnsi="Arial" w:cs="Arial" w:eastAsia="Arial" w:hint="default"/>
        </w:rPr>
        <w:t>328,052,000</w:t>
      </w:r>
    </w:p>
    <w:p>
      <w:pPr>
        <w:pStyle w:val="BodyText"/>
        <w:spacing w:line="240" w:lineRule="auto" w:before="180"/>
        <w:ind w:right="0"/>
        <w:jc w:val="left"/>
      </w:pPr>
      <w:r>
        <w:rPr/>
        <w:t>元。</w:t>
      </w:r>
    </w:p>
    <w:p>
      <w:pPr>
        <w:pStyle w:val="Heading4"/>
        <w:spacing w:line="309" w:lineRule="auto" w:before="124"/>
        <w:ind w:right="0" w:firstLine="422"/>
        <w:jc w:val="left"/>
        <w:rPr>
          <w:b w:val="0"/>
          <w:bCs w:val="0"/>
        </w:rPr>
      </w:pPr>
      <w:r>
        <w:rPr>
          <w:spacing w:val="-2"/>
        </w:rPr>
        <w:t>股份变动对最近一年和最近一期基本每股收益和稀释每股收益、归属于公司普通股股东的每股净资产</w:t>
      </w:r>
      <w:r>
        <w:rPr>
          <w:w w:val="100"/>
        </w:rPr>
        <w:t> </w:t>
      </w:r>
      <w:r>
        <w:rPr/>
        <w:t>等财务指标的影响</w:t>
      </w:r>
      <w:r>
        <w:rPr>
          <w:b w:val="0"/>
          <w:bCs w:val="0"/>
        </w:rPr>
      </w:r>
    </w:p>
    <w:p>
      <w:pPr>
        <w:pStyle w:val="BodyText"/>
        <w:spacing w:line="240" w:lineRule="auto" w:before="86"/>
        <w:ind w:left="575" w:right="0"/>
        <w:jc w:val="left"/>
      </w:pPr>
      <w:r>
        <w:rPr/>
        <w:t>√ 适用 □</w:t>
      </w:r>
      <w:r>
        <w:rPr>
          <w:spacing w:val="3"/>
        </w:rPr>
        <w:t> </w:t>
      </w:r>
      <w:r>
        <w:rPr/>
        <w:t>不适用</w:t>
      </w:r>
    </w:p>
    <w:p>
      <w:pPr>
        <w:spacing w:line="240" w:lineRule="auto" w:before="12"/>
        <w:rPr>
          <w:rFonts w:ascii="宋体" w:hAnsi="宋体" w:cs="宋体" w:eastAsia="宋体" w:hint="default"/>
          <w:sz w:val="14"/>
          <w:szCs w:val="14"/>
        </w:rPr>
      </w:pPr>
    </w:p>
    <w:p>
      <w:pPr>
        <w:pStyle w:val="BodyText"/>
        <w:spacing w:line="240" w:lineRule="auto"/>
        <w:ind w:left="575" w:right="0"/>
        <w:jc w:val="left"/>
      </w:pPr>
      <w:r>
        <w:rPr>
          <w:spacing w:val="-4"/>
        </w:rPr>
        <w:t>股份变动，影响</w:t>
      </w:r>
      <w:r>
        <w:rPr>
          <w:spacing w:val="-34"/>
        </w:rPr>
        <w:t> </w:t>
      </w:r>
      <w:r>
        <w:rPr>
          <w:rFonts w:ascii="Arial" w:hAnsi="Arial" w:cs="Arial" w:eastAsia="Arial" w:hint="default"/>
          <w:spacing w:val="-3"/>
        </w:rPr>
        <w:t>2014</w:t>
      </w:r>
      <w:r>
        <w:rPr>
          <w:rFonts w:ascii="Arial" w:hAnsi="Arial" w:cs="Arial" w:eastAsia="Arial" w:hint="default"/>
          <w:spacing w:val="9"/>
        </w:rPr>
        <w:t> </w:t>
      </w:r>
      <w:r>
        <w:rPr>
          <w:spacing w:val="-3"/>
        </w:rPr>
        <w:t>年的基本每股收益、稀释每股收益下降</w:t>
      </w:r>
      <w:r>
        <w:rPr>
          <w:spacing w:val="-34"/>
        </w:rPr>
        <w:t> </w:t>
      </w:r>
      <w:r>
        <w:rPr>
          <w:rFonts w:ascii="Arial" w:hAnsi="Arial" w:cs="Arial" w:eastAsia="Arial" w:hint="default"/>
        </w:rPr>
        <w:t>0.31</w:t>
      </w:r>
      <w:r>
        <w:rPr>
          <w:rFonts w:ascii="Arial" w:hAnsi="Arial" w:cs="Arial" w:eastAsia="Arial" w:hint="default"/>
          <w:spacing w:val="10"/>
        </w:rPr>
        <w:t> </w:t>
      </w:r>
      <w:r>
        <w:rPr>
          <w:spacing w:val="-3"/>
        </w:rPr>
        <w:t>元，影响归属于公司普通股股东的</w:t>
      </w:r>
    </w:p>
    <w:p>
      <w:pPr>
        <w:pStyle w:val="BodyText"/>
        <w:spacing w:line="240" w:lineRule="auto" w:before="176"/>
        <w:ind w:right="0"/>
        <w:jc w:val="left"/>
      </w:pPr>
      <w:r>
        <w:rPr/>
        <w:t>每股净资产下降</w:t>
      </w:r>
      <w:r>
        <w:rPr>
          <w:spacing w:val="-54"/>
        </w:rPr>
        <w:t> </w:t>
      </w:r>
      <w:r>
        <w:rPr>
          <w:rFonts w:ascii="Arial" w:hAnsi="Arial" w:cs="Arial" w:eastAsia="Arial" w:hint="default"/>
        </w:rPr>
        <w:t>2.71</w:t>
      </w:r>
      <w:r>
        <w:rPr>
          <w:rFonts w:ascii="Arial" w:hAnsi="Arial" w:cs="Arial" w:eastAsia="Arial" w:hint="default"/>
          <w:spacing w:val="-9"/>
        </w:rPr>
        <w:t> </w:t>
      </w:r>
      <w:r>
        <w:rPr/>
        <w:t>元。</w:t>
      </w:r>
    </w:p>
    <w:p>
      <w:pPr>
        <w:pStyle w:val="Heading4"/>
        <w:spacing w:line="240" w:lineRule="auto" w:before="114"/>
        <w:ind w:left="575" w:right="0"/>
        <w:jc w:val="left"/>
        <w:rPr>
          <w:b w:val="0"/>
          <w:bCs w:val="0"/>
        </w:rPr>
      </w:pPr>
      <w:r>
        <w:rPr/>
        <w:t>公司认为必要或证券监管机构要求披露的其他内容</w:t>
      </w:r>
      <w:r>
        <w:rPr>
          <w:b w:val="0"/>
          <w:bCs w:val="0"/>
        </w:rPr>
      </w:r>
    </w:p>
    <w:p>
      <w:pPr>
        <w:pStyle w:val="BodyText"/>
        <w:spacing w:line="240" w:lineRule="auto" w:before="167"/>
        <w:ind w:left="575"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7"/>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240" w:lineRule="auto"/>
        <w:ind w:left="575"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9"/>
        </w:rPr>
        <w:t> </w:t>
      </w:r>
      <w:r>
        <w:rPr/>
        <w:t>不适用</w:t>
      </w:r>
    </w:p>
    <w:p>
      <w:pPr>
        <w:spacing w:before="167"/>
        <w:ind w:left="0" w:right="146" w:firstLine="0"/>
        <w:jc w:val="right"/>
        <w:rPr>
          <w:rFonts w:ascii="宋体" w:hAnsi="宋体" w:cs="宋体" w:eastAsia="宋体" w:hint="default"/>
          <w:sz w:val="18"/>
          <w:szCs w:val="18"/>
        </w:rPr>
      </w:pPr>
      <w:r>
        <w:rPr>
          <w:rFonts w:ascii="宋体" w:hAnsi="宋体" w:cs="宋体" w:eastAsia="宋体" w:hint="default"/>
          <w:spacing w:val="-2"/>
          <w:sz w:val="18"/>
          <w:szCs w:val="18"/>
        </w:rPr>
        <w:t>单位：股</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8"/>
        <w:gridCol w:w="1363"/>
        <w:gridCol w:w="1368"/>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585" w:right="46" w:hanging="538"/>
              <w:jc w:val="left"/>
              <w:rPr>
                <w:rFonts w:ascii="宋体" w:hAnsi="宋体" w:cs="宋体" w:eastAsia="宋体" w:hint="default"/>
                <w:sz w:val="18"/>
                <w:szCs w:val="18"/>
              </w:rPr>
            </w:pPr>
            <w:r>
              <w:rPr>
                <w:rFonts w:ascii="宋体" w:hAnsi="宋体" w:cs="宋体" w:eastAsia="宋体" w:hint="default"/>
                <w:spacing w:val="-3"/>
                <w:sz w:val="18"/>
                <w:szCs w:val="18"/>
              </w:rPr>
              <w:t>本期解除限售股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585" w:right="46" w:hanging="538"/>
              <w:jc w:val="left"/>
              <w:rPr>
                <w:rFonts w:ascii="宋体" w:hAnsi="宋体" w:cs="宋体" w:eastAsia="宋体" w:hint="default"/>
                <w:sz w:val="18"/>
                <w:szCs w:val="18"/>
              </w:rPr>
            </w:pPr>
            <w:r>
              <w:rPr>
                <w:rFonts w:ascii="宋体" w:hAnsi="宋体" w:cs="宋体" w:eastAsia="宋体" w:hint="default"/>
                <w:spacing w:val="-3"/>
                <w:sz w:val="18"/>
                <w:szCs w:val="18"/>
              </w:rPr>
              <w:t>本期增加限售股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数</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54,027,275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54,027,275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108,054,550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0"/>
              <w:jc w:val="both"/>
              <w:rPr>
                <w:rFonts w:ascii="宋体" w:hAnsi="宋体" w:cs="宋体" w:eastAsia="宋体" w:hint="default"/>
                <w:sz w:val="18"/>
                <w:szCs w:val="18"/>
              </w:rPr>
            </w:pPr>
            <w:r>
              <w:rPr>
                <w:rFonts w:ascii="宋体" w:hAnsi="宋体" w:cs="宋体" w:eastAsia="宋体" w:hint="default"/>
                <w:spacing w:val="-3"/>
                <w:sz w:val="18"/>
                <w:szCs w:val="18"/>
              </w:rPr>
              <w:t>每年的第一个交</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易日解锁其持有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的本公司股票总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数的</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臧少玉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12,825,521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8,625,521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21,451,042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70"/>
              <w:jc w:val="left"/>
              <w:rPr>
                <w:rFonts w:ascii="宋体" w:hAnsi="宋体" w:cs="宋体" w:eastAsia="宋体" w:hint="default"/>
                <w:sz w:val="18"/>
                <w:szCs w:val="18"/>
              </w:rPr>
            </w:pPr>
            <w:r>
              <w:rPr>
                <w:rFonts w:ascii="宋体" w:hAnsi="宋体" w:cs="宋体" w:eastAsia="宋体" w:hint="default"/>
                <w:sz w:val="18"/>
                <w:szCs w:val="18"/>
              </w:rPr>
              <w:t>高管离任后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w:t>
            </w:r>
            <w:r>
              <w:rPr>
                <w:rFonts w:ascii="宋体" w:hAnsi="宋体" w:cs="宋体" w:eastAsia="宋体" w:hint="default"/>
                <w:w w:val="101"/>
                <w:sz w:val="18"/>
                <w:szCs w:val="18"/>
              </w:rPr>
              <w:t> </w:t>
            </w:r>
            <w:r>
              <w:rPr>
                <w:rFonts w:ascii="宋体" w:hAnsi="宋体" w:cs="宋体" w:eastAsia="宋体" w:hint="default"/>
                <w:sz w:val="18"/>
                <w:szCs w:val="18"/>
              </w:rPr>
              <w:t>月内全部锁定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w:t>
            </w:r>
          </w:p>
        </w:tc>
      </w:tr>
      <w:tr>
        <w:trPr>
          <w:trHeight w:val="67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王敬敏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196,560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144,060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340,620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70"/>
              <w:jc w:val="left"/>
              <w:rPr>
                <w:rFonts w:ascii="宋体" w:hAnsi="宋体" w:cs="宋体" w:eastAsia="宋体" w:hint="default"/>
                <w:sz w:val="18"/>
                <w:szCs w:val="18"/>
              </w:rPr>
            </w:pPr>
            <w:r>
              <w:rPr>
                <w:rFonts w:ascii="宋体" w:hAnsi="宋体" w:cs="宋体" w:eastAsia="宋体" w:hint="default"/>
                <w:spacing w:val="-3"/>
                <w:sz w:val="18"/>
                <w:szCs w:val="18"/>
              </w:rPr>
              <w:t>每年的第一个交</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易日解锁其持有</w:t>
            </w:r>
          </w:p>
        </w:tc>
      </w:tr>
    </w:tbl>
    <w:p>
      <w:pPr>
        <w:spacing w:after="0" w:line="312" w:lineRule="auto"/>
        <w:jc w:val="left"/>
        <w:rPr>
          <w:rFonts w:ascii="宋体" w:hAnsi="宋体" w:cs="宋体" w:eastAsia="宋体" w:hint="default"/>
          <w:sz w:val="18"/>
          <w:szCs w:val="18"/>
        </w:rPr>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8"/>
        <w:gridCol w:w="1363"/>
        <w:gridCol w:w="1368"/>
        <w:gridCol w:w="1368"/>
      </w:tblGrid>
      <w:tr>
        <w:trPr>
          <w:trHeight w:val="672"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3" w:right="70"/>
              <w:jc w:val="left"/>
              <w:rPr>
                <w:rFonts w:ascii="宋体" w:hAnsi="宋体" w:cs="宋体" w:eastAsia="宋体" w:hint="default"/>
                <w:sz w:val="18"/>
                <w:szCs w:val="18"/>
              </w:rPr>
            </w:pPr>
            <w:r>
              <w:rPr>
                <w:rFonts w:ascii="宋体" w:hAnsi="宋体" w:cs="宋体" w:eastAsia="宋体" w:hint="default"/>
                <w:spacing w:val="-3"/>
                <w:sz w:val="18"/>
                <w:szCs w:val="18"/>
              </w:rPr>
              <w:t>的本公司股票总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数的</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359"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3"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每年的第一个交</w:t>
            </w:r>
          </w:p>
        </w:tc>
      </w:tr>
      <w:tr>
        <w:trPr>
          <w:trHeight w:val="626"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缪融</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983,884</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983,884</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1,967,768</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70"/>
              <w:jc w:val="left"/>
              <w:rPr>
                <w:rFonts w:ascii="宋体" w:hAnsi="宋体" w:cs="宋体" w:eastAsia="宋体" w:hint="default"/>
                <w:sz w:val="18"/>
                <w:szCs w:val="18"/>
              </w:rPr>
            </w:pPr>
            <w:r>
              <w:rPr>
                <w:rFonts w:ascii="宋体" w:hAnsi="宋体" w:cs="宋体" w:eastAsia="宋体" w:hint="default"/>
                <w:spacing w:val="-3"/>
                <w:sz w:val="18"/>
                <w:szCs w:val="18"/>
              </w:rPr>
              <w:t>易日解锁其持有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的本公司股票总</w:t>
            </w:r>
          </w:p>
        </w:tc>
      </w:tr>
      <w:tr>
        <w:trPr>
          <w:trHeight w:val="354"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3"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数的</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357" w:hRule="exact"/>
        </w:trPr>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3"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每年的第一个交</w:t>
            </w:r>
          </w:p>
        </w:tc>
      </w:tr>
      <w:tr>
        <w:trPr>
          <w:trHeight w:val="624"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耿毅英</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656,356</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641,356</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1,297,712</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3" w:right="70"/>
              <w:jc w:val="left"/>
              <w:rPr>
                <w:rFonts w:ascii="宋体" w:hAnsi="宋体" w:cs="宋体" w:eastAsia="宋体" w:hint="default"/>
                <w:sz w:val="18"/>
                <w:szCs w:val="18"/>
              </w:rPr>
            </w:pPr>
            <w:r>
              <w:rPr>
                <w:rFonts w:ascii="宋体" w:hAnsi="宋体" w:cs="宋体" w:eastAsia="宋体" w:hint="default"/>
                <w:spacing w:val="-3"/>
                <w:sz w:val="18"/>
                <w:szCs w:val="18"/>
              </w:rPr>
              <w:t>易日解锁其持有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的本公司股票总</w:t>
            </w:r>
          </w:p>
        </w:tc>
      </w:tr>
      <w:tr>
        <w:trPr>
          <w:trHeight w:val="358" w:hRule="exact"/>
        </w:trPr>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3"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数的</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王宏道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918,726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918,726</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1,837,452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70"/>
              <w:jc w:val="left"/>
              <w:rPr>
                <w:rFonts w:ascii="宋体" w:hAnsi="宋体" w:cs="宋体" w:eastAsia="宋体" w:hint="default"/>
                <w:sz w:val="18"/>
                <w:szCs w:val="18"/>
              </w:rPr>
            </w:pPr>
            <w:r>
              <w:rPr>
                <w:rFonts w:ascii="宋体" w:hAnsi="宋体" w:cs="宋体" w:eastAsia="宋体" w:hint="default"/>
                <w:sz w:val="18"/>
                <w:szCs w:val="18"/>
              </w:rPr>
              <w:t>高管离任后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w:t>
            </w:r>
            <w:r>
              <w:rPr>
                <w:rFonts w:ascii="宋体" w:hAnsi="宋体" w:cs="宋体" w:eastAsia="宋体" w:hint="default"/>
                <w:w w:val="101"/>
                <w:sz w:val="18"/>
                <w:szCs w:val="18"/>
              </w:rPr>
              <w:t> </w:t>
            </w:r>
            <w:r>
              <w:rPr>
                <w:rFonts w:ascii="宋体" w:hAnsi="宋体" w:cs="宋体" w:eastAsia="宋体" w:hint="default"/>
                <w:sz w:val="18"/>
                <w:szCs w:val="18"/>
              </w:rPr>
              <w:t>月内全部锁定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w:t>
            </w:r>
          </w:p>
        </w:tc>
      </w:tr>
      <w:tr>
        <w:trPr>
          <w:trHeight w:val="71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石 </w:t>
            </w:r>
            <w:r>
              <w:rPr>
                <w:rFonts w:ascii="宋体" w:hAnsi="宋体" w:cs="宋体" w:eastAsia="宋体" w:hint="default"/>
                <w:spacing w:val="1"/>
                <w:sz w:val="18"/>
                <w:szCs w:val="18"/>
              </w:rPr>
              <w:t> </w:t>
            </w:r>
            <w:r>
              <w:rPr>
                <w:rFonts w:ascii="宋体" w:hAnsi="宋体" w:cs="宋体" w:eastAsia="宋体" w:hint="default"/>
                <w:sz w:val="18"/>
                <w:szCs w:val="18"/>
              </w:rPr>
              <w:t>磊</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524,161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524,161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70"/>
              <w:jc w:val="left"/>
              <w:rPr>
                <w:rFonts w:ascii="宋体" w:hAnsi="宋体" w:cs="宋体" w:eastAsia="宋体" w:hint="default"/>
                <w:sz w:val="18"/>
                <w:szCs w:val="18"/>
              </w:rPr>
            </w:pPr>
            <w:r>
              <w:rPr>
                <w:rFonts w:ascii="宋体" w:hAnsi="宋体" w:cs="宋体" w:eastAsia="宋体" w:hint="default"/>
                <w:sz w:val="18"/>
                <w:szCs w:val="18"/>
              </w:rPr>
              <w:t>高管离任后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w:t>
            </w:r>
            <w:r>
              <w:rPr>
                <w:rFonts w:ascii="宋体" w:hAnsi="宋体" w:cs="宋体" w:eastAsia="宋体" w:hint="default"/>
                <w:w w:val="101"/>
                <w:sz w:val="18"/>
                <w:szCs w:val="18"/>
              </w:rPr>
              <w:t> </w:t>
            </w:r>
            <w:r>
              <w:rPr>
                <w:rFonts w:ascii="宋体" w:hAnsi="宋体" w:cs="宋体" w:eastAsia="宋体" w:hint="default"/>
                <w:sz w:val="18"/>
                <w:szCs w:val="18"/>
              </w:rPr>
              <w:t>月内全部锁定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徐长进等</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3,066,000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3,066,000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6,132,000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股权激励限售股</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陆荣等</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920,000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920,000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股权激励限售股</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73,198,483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524,161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69,326,822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142,001,144</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9"/>
        <w:rPr>
          <w:rFonts w:ascii="宋体" w:hAnsi="宋体" w:cs="宋体" w:eastAsia="宋体" w:hint="default"/>
          <w:sz w:val="17"/>
          <w:szCs w:val="17"/>
        </w:rPr>
      </w:pPr>
    </w:p>
    <w:p>
      <w:pPr>
        <w:pStyle w:val="Heading3"/>
        <w:spacing w:line="367" w:lineRule="exact"/>
        <w:ind w:right="0"/>
        <w:jc w:val="left"/>
        <w:rPr>
          <w:b w:val="0"/>
          <w:bCs w:val="0"/>
        </w:rPr>
      </w:pPr>
      <w:r>
        <w:rPr/>
        <w:t>二、证券发行与上市情况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1</w:t>
      </w:r>
      <w:r>
        <w:rPr/>
        <w:t>、报告期内证券发行情况</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240" w:lineRule="auto"/>
        <w:ind w:left="575"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240" w:lineRule="auto"/>
        <w:ind w:left="575"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9"/>
        </w:rPr>
        <w:t> </w:t>
      </w:r>
      <w:r>
        <w:rPr/>
        <w:t>不适用</w:t>
      </w:r>
    </w:p>
    <w:p>
      <w:pPr>
        <w:pStyle w:val="BodyText"/>
        <w:spacing w:line="240" w:lineRule="auto" w:before="176"/>
        <w:ind w:left="575" w:right="0"/>
        <w:jc w:val="left"/>
      </w:pPr>
      <w:r>
        <w:rPr>
          <w:rFonts w:ascii="Arial" w:hAnsi="Arial" w:cs="Arial" w:eastAsia="Arial" w:hint="default"/>
          <w:spacing w:val="-3"/>
          <w:w w:val="100"/>
        </w:rPr>
        <w:t>201</w:t>
      </w:r>
      <w:r>
        <w:rPr>
          <w:rFonts w:ascii="Arial" w:hAnsi="Arial" w:cs="Arial" w:eastAsia="Arial" w:hint="default"/>
          <w:w w:val="100"/>
        </w:rPr>
        <w:t>4</w:t>
      </w:r>
      <w:r>
        <w:rPr>
          <w:rFonts w:ascii="Arial" w:hAnsi="Arial" w:cs="Arial" w:eastAsia="Arial" w:hint="default"/>
          <w:spacing w:val="-9"/>
        </w:rPr>
        <w:t> </w:t>
      </w:r>
      <w:r>
        <w:rPr>
          <w:w w:val="100"/>
        </w:rPr>
        <w:t>年</w:t>
      </w:r>
      <w:r>
        <w:rPr>
          <w:spacing w:val="-53"/>
        </w:rPr>
        <w:t> </w:t>
      </w:r>
      <w:r>
        <w:rPr>
          <w:rFonts w:ascii="Arial" w:hAnsi="Arial" w:cs="Arial" w:eastAsia="Arial" w:hint="default"/>
          <w:w w:val="100"/>
        </w:rPr>
        <w:t>4</w:t>
      </w:r>
      <w:r>
        <w:rPr>
          <w:rFonts w:ascii="Arial" w:hAnsi="Arial" w:cs="Arial" w:eastAsia="Arial" w:hint="default"/>
          <w:spacing w:val="-8"/>
        </w:rPr>
        <w:t> </w:t>
      </w:r>
      <w:r>
        <w:rPr>
          <w:w w:val="100"/>
        </w:rPr>
        <w:t>月</w:t>
      </w:r>
      <w:r>
        <w:rPr>
          <w:spacing w:val="-53"/>
        </w:rPr>
        <w:t> </w:t>
      </w:r>
      <w:r>
        <w:rPr>
          <w:rFonts w:ascii="Arial" w:hAnsi="Arial" w:cs="Arial" w:eastAsia="Arial" w:hint="default"/>
          <w:spacing w:val="-3"/>
          <w:w w:val="100"/>
        </w:rPr>
        <w:t>1</w:t>
      </w:r>
      <w:r>
        <w:rPr>
          <w:rFonts w:ascii="Arial" w:hAnsi="Arial" w:cs="Arial" w:eastAsia="Arial" w:hint="default"/>
          <w:w w:val="100"/>
        </w:rPr>
        <w:t>8</w:t>
      </w:r>
      <w:r>
        <w:rPr>
          <w:rFonts w:ascii="Arial" w:hAnsi="Arial" w:cs="Arial" w:eastAsia="Arial" w:hint="default"/>
          <w:spacing w:val="-8"/>
        </w:rPr>
        <w:t> </w:t>
      </w:r>
      <w:r>
        <w:rPr>
          <w:w w:val="100"/>
        </w:rPr>
        <w:t>日</w:t>
      </w:r>
      <w:r>
        <w:rPr>
          <w:spacing w:val="-15"/>
          <w:w w:val="100"/>
        </w:rPr>
        <w:t>，</w:t>
      </w:r>
      <w:r>
        <w:rPr>
          <w:w w:val="100"/>
        </w:rPr>
        <w:t>公司</w:t>
      </w:r>
      <w:r>
        <w:rPr>
          <w:spacing w:val="-53"/>
        </w:rPr>
        <w:t> </w:t>
      </w:r>
      <w:r>
        <w:rPr>
          <w:rFonts w:ascii="Arial" w:hAnsi="Arial" w:cs="Arial" w:eastAsia="Arial" w:hint="default"/>
          <w:spacing w:val="-3"/>
          <w:w w:val="100"/>
        </w:rPr>
        <w:t>20</w:t>
      </w:r>
      <w:r>
        <w:rPr>
          <w:rFonts w:ascii="Arial" w:hAnsi="Arial" w:cs="Arial" w:eastAsia="Arial" w:hint="default"/>
          <w:spacing w:val="2"/>
          <w:w w:val="100"/>
        </w:rPr>
        <w:t>1</w:t>
      </w:r>
      <w:r>
        <w:rPr>
          <w:rFonts w:ascii="Arial" w:hAnsi="Arial" w:cs="Arial" w:eastAsia="Arial" w:hint="default"/>
          <w:w w:val="100"/>
        </w:rPr>
        <w:t>3</w:t>
      </w:r>
      <w:r>
        <w:rPr>
          <w:rFonts w:ascii="Arial" w:hAnsi="Arial" w:cs="Arial" w:eastAsia="Arial" w:hint="default"/>
          <w:spacing w:val="-8"/>
        </w:rPr>
        <w:t> </w:t>
      </w:r>
      <w:r>
        <w:rPr>
          <w:w w:val="100"/>
        </w:rPr>
        <w:t>年年度股东大会</w:t>
      </w:r>
      <w:r>
        <w:rPr>
          <w:spacing w:val="-5"/>
          <w:w w:val="100"/>
        </w:rPr>
        <w:t>审议</w:t>
      </w:r>
      <w:r>
        <w:rPr>
          <w:w w:val="100"/>
        </w:rPr>
        <w:t>通过</w:t>
      </w:r>
      <w:r>
        <w:rPr>
          <w:spacing w:val="-15"/>
          <w:w w:val="100"/>
        </w:rPr>
        <w:t>了</w:t>
      </w:r>
      <w:r>
        <w:rPr>
          <w:w w:val="100"/>
        </w:rPr>
        <w:t>《公司</w:t>
      </w:r>
      <w:r>
        <w:rPr>
          <w:spacing w:val="-53"/>
        </w:rPr>
        <w:t> </w:t>
      </w:r>
      <w:r>
        <w:rPr>
          <w:rFonts w:ascii="Arial" w:hAnsi="Arial" w:cs="Arial" w:eastAsia="Arial" w:hint="default"/>
          <w:spacing w:val="-3"/>
          <w:w w:val="100"/>
        </w:rPr>
        <w:t>201</w:t>
      </w:r>
      <w:r>
        <w:rPr>
          <w:rFonts w:ascii="Arial" w:hAnsi="Arial" w:cs="Arial" w:eastAsia="Arial" w:hint="default"/>
          <w:w w:val="100"/>
        </w:rPr>
        <w:t>3</w:t>
      </w:r>
      <w:r>
        <w:rPr>
          <w:rFonts w:ascii="Arial" w:hAnsi="Arial" w:cs="Arial" w:eastAsia="Arial" w:hint="default"/>
          <w:spacing w:val="-9"/>
        </w:rPr>
        <w:t> </w:t>
      </w:r>
      <w:r>
        <w:rPr>
          <w:w w:val="100"/>
        </w:rPr>
        <w:t>年度利</w:t>
      </w:r>
      <w:r>
        <w:rPr>
          <w:spacing w:val="-5"/>
          <w:w w:val="100"/>
        </w:rPr>
        <w:t>润</w:t>
      </w:r>
      <w:r>
        <w:rPr>
          <w:w w:val="100"/>
        </w:rPr>
        <w:t>分配预案</w:t>
      </w:r>
      <w:r>
        <w:rPr>
          <w:spacing w:val="-111"/>
          <w:w w:val="100"/>
        </w:rPr>
        <w:t>》</w:t>
      </w:r>
      <w:r>
        <w:rPr>
          <w:spacing w:val="-15"/>
          <w:w w:val="100"/>
        </w:rPr>
        <w:t>，</w:t>
      </w:r>
      <w:r>
        <w:rPr>
          <w:w w:val="100"/>
        </w:rPr>
        <w:t>以公司</w:t>
      </w:r>
    </w:p>
    <w:p>
      <w:pPr>
        <w:pStyle w:val="BodyText"/>
        <w:spacing w:line="240" w:lineRule="auto" w:before="180"/>
        <w:ind w:right="0"/>
        <w:jc w:val="left"/>
      </w:pPr>
      <w:r>
        <w:rPr>
          <w:w w:val="100"/>
        </w:rPr>
        <w:t>总股本</w:t>
      </w:r>
      <w:r>
        <w:rPr/>
        <w:t> </w:t>
      </w:r>
      <w:r>
        <w:rPr>
          <w:rFonts w:ascii="Arial" w:hAnsi="Arial" w:cs="Arial" w:eastAsia="Arial" w:hint="default"/>
          <w:spacing w:val="-3"/>
          <w:w w:val="100"/>
        </w:rPr>
        <w:t>163</w:t>
      </w:r>
      <w:r>
        <w:rPr>
          <w:rFonts w:ascii="Arial" w:hAnsi="Arial" w:cs="Arial" w:eastAsia="Arial" w:hint="default"/>
          <w:spacing w:val="-2"/>
          <w:w w:val="100"/>
        </w:rPr>
        <w:t>,</w:t>
      </w:r>
      <w:r>
        <w:rPr>
          <w:rFonts w:ascii="Arial" w:hAnsi="Arial" w:cs="Arial" w:eastAsia="Arial" w:hint="default"/>
          <w:spacing w:val="2"/>
          <w:w w:val="100"/>
        </w:rPr>
        <w:t>5</w:t>
      </w:r>
      <w:r>
        <w:rPr>
          <w:rFonts w:ascii="Arial" w:hAnsi="Arial" w:cs="Arial" w:eastAsia="Arial" w:hint="default"/>
          <w:spacing w:val="-3"/>
          <w:w w:val="100"/>
        </w:rPr>
        <w:t>66</w:t>
      </w:r>
      <w:r>
        <w:rPr>
          <w:rFonts w:ascii="Arial" w:hAnsi="Arial" w:cs="Arial" w:eastAsia="Arial" w:hint="default"/>
          <w:spacing w:val="-2"/>
          <w:w w:val="100"/>
        </w:rPr>
        <w:t>,</w:t>
      </w:r>
      <w:r>
        <w:rPr>
          <w:rFonts w:ascii="Arial" w:hAnsi="Arial" w:cs="Arial" w:eastAsia="Arial" w:hint="default"/>
          <w:spacing w:val="2"/>
          <w:w w:val="100"/>
        </w:rPr>
        <w:t>0</w:t>
      </w:r>
      <w:r>
        <w:rPr>
          <w:rFonts w:ascii="Arial" w:hAnsi="Arial" w:cs="Arial" w:eastAsia="Arial" w:hint="default"/>
          <w:spacing w:val="-3"/>
          <w:w w:val="100"/>
        </w:rPr>
        <w:t>0</w:t>
      </w:r>
      <w:r>
        <w:rPr>
          <w:rFonts w:ascii="Arial" w:hAnsi="Arial" w:cs="Arial" w:eastAsia="Arial" w:hint="default"/>
          <w:w w:val="100"/>
        </w:rPr>
        <w:t>0</w:t>
      </w:r>
      <w:r>
        <w:rPr>
          <w:rFonts w:ascii="Arial" w:hAnsi="Arial" w:cs="Arial" w:eastAsia="Arial" w:hint="default"/>
        </w:rPr>
        <w:t> </w:t>
      </w:r>
      <w:r>
        <w:rPr>
          <w:rFonts w:ascii="Arial" w:hAnsi="Arial" w:cs="Arial" w:eastAsia="Arial" w:hint="default"/>
          <w:spacing w:val="-14"/>
        </w:rPr>
        <w:t> </w:t>
      </w:r>
      <w:r>
        <w:rPr>
          <w:w w:val="100"/>
        </w:rPr>
        <w:t>股为基数，向全体股东每</w:t>
      </w:r>
      <w:r>
        <w:rPr/>
        <w:t> </w:t>
      </w:r>
      <w:r>
        <w:rPr>
          <w:rFonts w:ascii="Arial" w:hAnsi="Arial" w:cs="Arial" w:eastAsia="Arial" w:hint="default"/>
          <w:spacing w:val="-3"/>
          <w:w w:val="100"/>
        </w:rPr>
        <w:t>1</w:t>
      </w:r>
      <w:r>
        <w:rPr>
          <w:rFonts w:ascii="Arial" w:hAnsi="Arial" w:cs="Arial" w:eastAsia="Arial" w:hint="default"/>
          <w:w w:val="100"/>
        </w:rPr>
        <w:t>0</w:t>
      </w:r>
      <w:r>
        <w:rPr>
          <w:rFonts w:ascii="Arial" w:hAnsi="Arial" w:cs="Arial" w:eastAsia="Arial" w:hint="default"/>
        </w:rPr>
        <w:t> </w:t>
      </w:r>
      <w:r>
        <w:rPr>
          <w:rFonts w:ascii="Arial" w:hAnsi="Arial" w:cs="Arial" w:eastAsia="Arial" w:hint="default"/>
          <w:spacing w:val="-9"/>
        </w:rPr>
        <w:t> </w:t>
      </w:r>
      <w:r>
        <w:rPr>
          <w:w w:val="100"/>
        </w:rPr>
        <w:t>股派发现金股利</w:t>
      </w:r>
      <w:r>
        <w:rPr/>
        <w:t> </w:t>
      </w:r>
      <w:r>
        <w:rPr>
          <w:rFonts w:ascii="Arial" w:hAnsi="Arial" w:cs="Arial" w:eastAsia="Arial" w:hint="default"/>
          <w:w w:val="100"/>
        </w:rPr>
        <w:t>1</w:t>
      </w:r>
      <w:r>
        <w:rPr>
          <w:rFonts w:ascii="Arial" w:hAnsi="Arial" w:cs="Arial" w:eastAsia="Arial" w:hint="default"/>
        </w:rPr>
        <w:t> </w:t>
      </w:r>
      <w:r>
        <w:rPr>
          <w:rFonts w:ascii="Arial" w:hAnsi="Arial" w:cs="Arial" w:eastAsia="Arial" w:hint="default"/>
          <w:spacing w:val="-14"/>
        </w:rPr>
        <w:t> </w:t>
      </w:r>
      <w:r>
        <w:rPr>
          <w:w w:val="100"/>
        </w:rPr>
        <w:t>元人民币（含税</w:t>
      </w:r>
      <w:r>
        <w:rPr>
          <w:spacing w:val="-106"/>
          <w:w w:val="100"/>
        </w:rPr>
        <w:t>）</w:t>
      </w:r>
      <w:r>
        <w:rPr>
          <w:spacing w:val="-1"/>
          <w:w w:val="100"/>
        </w:rPr>
        <w:t>，</w:t>
      </w:r>
      <w:r>
        <w:rPr>
          <w:w w:val="100"/>
        </w:rPr>
        <w:t>合计派发现金</w:t>
      </w:r>
    </w:p>
    <w:p>
      <w:pPr>
        <w:pStyle w:val="BodyText"/>
        <w:spacing w:line="240" w:lineRule="auto" w:before="176"/>
        <w:ind w:right="0"/>
        <w:jc w:val="left"/>
        <w:rPr>
          <w:rFonts w:ascii="Arial" w:hAnsi="Arial" w:cs="Arial" w:eastAsia="Arial" w:hint="default"/>
        </w:rPr>
      </w:pPr>
      <w:r>
        <w:rPr/>
        <w:t>额 </w:t>
      </w:r>
      <w:r>
        <w:rPr>
          <w:rFonts w:ascii="Arial" w:hAnsi="Arial" w:cs="Arial" w:eastAsia="Arial" w:hint="default"/>
        </w:rPr>
        <w:t>16,356,600  </w:t>
      </w:r>
      <w:r>
        <w:rPr>
          <w:spacing w:val="-7"/>
        </w:rPr>
        <w:t>元，其余未分配利润结转下年；同时进行资本公积金转增股本，以公司总股本</w:t>
      </w:r>
      <w:r>
        <w:rPr>
          <w:spacing w:val="-44"/>
        </w:rPr>
        <w:t> </w:t>
      </w:r>
      <w:r>
        <w:rPr>
          <w:rFonts w:ascii="Arial" w:hAnsi="Arial" w:cs="Arial" w:eastAsia="Arial" w:hint="default"/>
        </w:rPr>
        <w:t>163,566,000</w:t>
      </w:r>
    </w:p>
    <w:p>
      <w:pPr>
        <w:pStyle w:val="BodyText"/>
        <w:spacing w:line="240" w:lineRule="auto" w:before="180"/>
        <w:ind w:right="0"/>
        <w:jc w:val="left"/>
      </w:pPr>
      <w:r>
        <w:rPr>
          <w:spacing w:val="7"/>
        </w:rPr>
        <w:t>股为基数向全体股东每 </w:t>
      </w:r>
      <w:r>
        <w:rPr>
          <w:rFonts w:ascii="Arial" w:hAnsi="Arial" w:cs="Arial" w:eastAsia="Arial" w:hint="default"/>
        </w:rPr>
        <w:t>10  </w:t>
      </w:r>
      <w:r>
        <w:rPr>
          <w:spacing w:val="5"/>
        </w:rPr>
        <w:t>股转增 </w:t>
      </w:r>
      <w:r>
        <w:rPr>
          <w:rFonts w:ascii="Arial" w:hAnsi="Arial" w:cs="Arial" w:eastAsia="Arial" w:hint="default"/>
        </w:rPr>
        <w:t>10  </w:t>
      </w:r>
      <w:r>
        <w:rPr>
          <w:spacing w:val="7"/>
        </w:rPr>
        <w:t>股，共计转增 </w:t>
      </w:r>
      <w:r>
        <w:rPr>
          <w:rFonts w:ascii="Arial" w:hAnsi="Arial" w:cs="Arial" w:eastAsia="Arial" w:hint="default"/>
        </w:rPr>
        <w:t>163,566,000    </w:t>
      </w:r>
      <w:r>
        <w:rPr>
          <w:spacing w:val="8"/>
        </w:rPr>
        <w:t>股，转增后公司总股本由原来的</w:t>
      </w:r>
    </w:p>
    <w:p>
      <w:pPr>
        <w:pStyle w:val="BodyText"/>
        <w:spacing w:line="240" w:lineRule="auto" w:before="176"/>
        <w:ind w:right="0"/>
        <w:jc w:val="left"/>
      </w:pPr>
      <w:r>
        <w:rPr>
          <w:rFonts w:ascii="Arial" w:hAnsi="Arial" w:cs="Arial" w:eastAsia="Arial" w:hint="default"/>
        </w:rPr>
        <w:t>163,566,000  </w:t>
      </w:r>
      <w:r>
        <w:rPr/>
        <w:t>股增加至 </w:t>
      </w:r>
      <w:r>
        <w:rPr>
          <w:rFonts w:ascii="Arial" w:hAnsi="Arial" w:cs="Arial" w:eastAsia="Arial" w:hint="default"/>
        </w:rPr>
        <w:t>327,132,000</w:t>
      </w:r>
      <w:r>
        <w:rPr>
          <w:rFonts w:ascii="Arial" w:hAnsi="Arial" w:cs="Arial" w:eastAsia="Arial" w:hint="default"/>
          <w:spacing w:val="13"/>
        </w:rPr>
        <w:t> </w:t>
      </w:r>
      <w:r>
        <w:rPr/>
        <w:t>股。</w:t>
      </w:r>
    </w:p>
    <w:p>
      <w:pPr>
        <w:pStyle w:val="BodyText"/>
        <w:spacing w:line="398" w:lineRule="auto" w:before="180"/>
        <w:ind w:right="137" w:firstLine="422"/>
        <w:jc w:val="both"/>
      </w:pPr>
      <w:r>
        <w:rPr>
          <w:rFonts w:ascii="Arial" w:hAnsi="Arial" w:cs="Arial" w:eastAsia="Arial" w:hint="default"/>
          <w:spacing w:val="-3"/>
        </w:rPr>
        <w:t>2014</w:t>
      </w:r>
      <w:r>
        <w:rPr>
          <w:rFonts w:ascii="Arial" w:hAnsi="Arial" w:cs="Arial" w:eastAsia="Arial" w:hint="default"/>
          <w:spacing w:val="3"/>
        </w:rPr>
        <w:t> </w:t>
      </w:r>
      <w:r>
        <w:rPr/>
        <w:t>年</w:t>
      </w:r>
      <w:r>
        <w:rPr>
          <w:spacing w:val="-41"/>
        </w:rPr>
        <w:t> </w:t>
      </w:r>
      <w:r>
        <w:rPr>
          <w:rFonts w:ascii="Arial" w:hAnsi="Arial" w:cs="Arial" w:eastAsia="Arial" w:hint="default"/>
        </w:rPr>
        <w:t>12</w:t>
      </w:r>
      <w:r>
        <w:rPr>
          <w:rFonts w:ascii="Arial" w:hAnsi="Arial" w:cs="Arial" w:eastAsia="Arial" w:hint="default"/>
          <w:spacing w:val="3"/>
        </w:rPr>
        <w:t> </w:t>
      </w:r>
      <w:r>
        <w:rPr/>
        <w:t>月</w:t>
      </w:r>
      <w:r>
        <w:rPr>
          <w:spacing w:val="-41"/>
        </w:rPr>
        <w:t> </w:t>
      </w:r>
      <w:r>
        <w:rPr>
          <w:rFonts w:ascii="Arial" w:hAnsi="Arial" w:cs="Arial" w:eastAsia="Arial" w:hint="default"/>
        </w:rPr>
        <w:t>23</w:t>
      </w:r>
      <w:r>
        <w:rPr>
          <w:rFonts w:ascii="Arial" w:hAnsi="Arial" w:cs="Arial" w:eastAsia="Arial" w:hint="default"/>
          <w:spacing w:val="3"/>
        </w:rPr>
        <w:t> </w:t>
      </w:r>
      <w:r>
        <w:rPr/>
        <w:t>日经深圳证券交易所、中国证券登记结算有限责任公司深圳分公司审核确认，公司</w:t>
      </w:r>
      <w:r>
        <w:rPr>
          <w:w w:val="100"/>
        </w:rPr>
        <w:t> </w:t>
      </w:r>
      <w:r>
        <w:rPr>
          <w:spacing w:val="-2"/>
          <w:w w:val="100"/>
        </w:rPr>
        <w:t>已完成《公司股票期权与限制性股票激励计划（修订案）》所涉预留限制性股票的授予与股票期权的授予</w:t>
      </w:r>
      <w:r>
        <w:rPr>
          <w:spacing w:val="-98"/>
          <w:w w:val="100"/>
        </w:rPr>
        <w:t> </w:t>
      </w:r>
      <w:r>
        <w:rPr>
          <w:spacing w:val="-98"/>
          <w:w w:val="100"/>
        </w:rPr>
      </w:r>
      <w:r>
        <w:rPr>
          <w:spacing w:val="-3"/>
        </w:rPr>
        <w:t>登记工作，公司本次授予限制性股票的激励对象为</w:t>
      </w:r>
      <w:r>
        <w:rPr>
          <w:spacing w:val="-35"/>
        </w:rPr>
        <w:t> </w:t>
      </w:r>
      <w:r>
        <w:rPr>
          <w:rFonts w:ascii="Arial" w:hAnsi="Arial" w:cs="Arial" w:eastAsia="Arial" w:hint="default"/>
        </w:rPr>
        <w:t>36</w:t>
      </w:r>
      <w:r>
        <w:rPr>
          <w:rFonts w:ascii="Arial" w:hAnsi="Arial" w:cs="Arial" w:eastAsia="Arial" w:hint="default"/>
          <w:spacing w:val="9"/>
        </w:rPr>
        <w:t> </w:t>
      </w:r>
      <w:r>
        <w:rPr>
          <w:spacing w:val="-3"/>
        </w:rPr>
        <w:t>人，本次授予限制性股票数为</w:t>
      </w:r>
      <w:r>
        <w:rPr>
          <w:spacing w:val="-35"/>
        </w:rPr>
        <w:t> </w:t>
      </w:r>
      <w:r>
        <w:rPr>
          <w:rFonts w:ascii="Arial" w:hAnsi="Arial" w:cs="Arial" w:eastAsia="Arial" w:hint="default"/>
        </w:rPr>
        <w:t>92</w:t>
      </w:r>
      <w:r>
        <w:rPr>
          <w:rFonts w:ascii="Arial" w:hAnsi="Arial" w:cs="Arial" w:eastAsia="Arial" w:hint="default"/>
          <w:spacing w:val="9"/>
        </w:rPr>
        <w:t> </w:t>
      </w:r>
      <w:r>
        <w:rPr>
          <w:spacing w:val="-4"/>
        </w:rPr>
        <w:t>万股，由于本次限</w:t>
      </w:r>
    </w:p>
    <w:p>
      <w:pPr>
        <w:pStyle w:val="BodyText"/>
        <w:spacing w:line="240" w:lineRule="auto" w:before="21"/>
        <w:ind w:right="0"/>
        <w:jc w:val="left"/>
      </w:pPr>
      <w:r>
        <w:rPr/>
        <w:t>制性股票授予完成后，公司股份总数由原来的</w:t>
      </w:r>
      <w:r>
        <w:rPr>
          <w:spacing w:val="-50"/>
        </w:rPr>
        <w:t> </w:t>
      </w:r>
      <w:r>
        <w:rPr>
          <w:rFonts w:ascii="Arial" w:hAnsi="Arial" w:cs="Arial" w:eastAsia="Arial" w:hint="default"/>
          <w:spacing w:val="-3"/>
        </w:rPr>
        <w:t>327,132,000</w:t>
      </w:r>
      <w:r>
        <w:rPr>
          <w:rFonts w:ascii="Arial" w:hAnsi="Arial" w:cs="Arial" w:eastAsia="Arial" w:hint="default"/>
          <w:spacing w:val="50"/>
        </w:rPr>
        <w:t> </w:t>
      </w:r>
      <w:r>
        <w:rPr/>
        <w:t>股增加至</w:t>
      </w:r>
      <w:r>
        <w:rPr>
          <w:spacing w:val="-50"/>
        </w:rPr>
        <w:t> </w:t>
      </w:r>
      <w:r>
        <w:rPr>
          <w:rFonts w:ascii="Arial" w:hAnsi="Arial" w:cs="Arial" w:eastAsia="Arial" w:hint="default"/>
        </w:rPr>
        <w:t>328,052,000</w:t>
      </w:r>
      <w:r>
        <w:rPr>
          <w:rFonts w:ascii="Arial" w:hAnsi="Arial" w:cs="Arial" w:eastAsia="Arial" w:hint="default"/>
          <w:spacing w:val="-7"/>
        </w:rPr>
        <w:t> </w:t>
      </w:r>
      <w:r>
        <w:rPr/>
        <w:t>股。</w:t>
      </w:r>
    </w:p>
    <w:p>
      <w:pPr>
        <w:spacing w:after="0" w:line="240" w:lineRule="auto"/>
        <w:jc w:val="left"/>
        <w:sectPr>
          <w:pgSz w:w="11900" w:h="16840"/>
          <w:pgMar w:header="742" w:footer="984" w:top="1060" w:bottom="1180" w:left="980" w:right="980"/>
        </w:sectPr>
      </w:pPr>
    </w:p>
    <w:p>
      <w:pPr>
        <w:spacing w:line="240" w:lineRule="auto" w:before="10"/>
        <w:rPr>
          <w:rFonts w:ascii="宋体" w:hAnsi="宋体" w:cs="宋体" w:eastAsia="宋体" w:hint="default"/>
          <w:sz w:val="23"/>
          <w:szCs w:val="23"/>
        </w:rPr>
      </w:pPr>
    </w:p>
    <w:p>
      <w:pPr>
        <w:pStyle w:val="Heading3"/>
        <w:spacing w:line="367" w:lineRule="exact"/>
        <w:ind w:right="0"/>
        <w:jc w:val="left"/>
        <w:rPr>
          <w:b w:val="0"/>
          <w:bCs w:val="0"/>
        </w:rPr>
      </w:pPr>
      <w:r>
        <w:rPr/>
        <w:t>三、股东和实际控制人情况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pacing w:val="-2"/>
          <w:sz w:val="18"/>
          <w:szCs w:val="18"/>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3"/>
          <w:szCs w:val="13"/>
        </w:rPr>
      </w:pPr>
    </w:p>
    <w:p>
      <w:pPr>
        <w:spacing w:line="407" w:lineRule="exact"/>
        <w:ind w:left="2792"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344.9pt;height:20.4pt;mso-position-horizontal-relative:char;mso-position-vertical-relative:line" coordorigin="0,0" coordsize="6898,408">
            <v:group style="position:absolute;left:10;top:10;width:2;height:388" coordorigin="10,10" coordsize="2,388">
              <v:shape style="position:absolute;left:10;top:10;width:2;height:388" coordorigin="10,10" coordsize="0,388" path="m10,10l10,398e" filled="false" stroked="true" strokeweight=".96pt" strokecolor="#ffffff">
                <v:path arrowok="t"/>
              </v:shape>
            </v:group>
            <v:group style="position:absolute;left:19;top:9;width:6879;height:389" coordorigin="19,9" coordsize="6879,389">
              <v:shape style="position:absolute;left:19;top:9;width:6879;height:389" coordorigin="19,9" coordsize="6879,389" path="m19,398l6898,398,6898,9,19,9,19,398xe" filled="true" fillcolor="#ffffff" stroked="false">
                <v:path arrowok="t"/>
                <v:fill type="solid"/>
              </v:shape>
            </v:group>
          </v:group>
        </w:pict>
      </w:r>
      <w:r>
        <w:rPr>
          <w:rFonts w:ascii="宋体" w:hAnsi="宋体" w:cs="宋体" w:eastAsia="宋体" w:hint="default"/>
          <w:position w:val="-7"/>
          <w:sz w:val="20"/>
          <w:szCs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spacing w:before="46"/>
        <w:ind w:left="0" w:right="151" w:firstLine="0"/>
        <w:jc w:val="right"/>
        <w:rPr>
          <w:rFonts w:ascii="宋体" w:hAnsi="宋体" w:cs="宋体" w:eastAsia="宋体" w:hint="default"/>
          <w:sz w:val="18"/>
          <w:szCs w:val="18"/>
        </w:rPr>
      </w:pPr>
      <w:r>
        <w:rPr/>
        <w:pict>
          <v:shape style="position:absolute;margin-left:56.400002pt;margin-top:-500.548279pt;width:479.05pt;height:616.3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48"/>
                    <w:gridCol w:w="1383"/>
                    <w:gridCol w:w="878"/>
                    <w:gridCol w:w="812"/>
                    <w:gridCol w:w="805"/>
                    <w:gridCol w:w="806"/>
                    <w:gridCol w:w="870"/>
                    <w:gridCol w:w="1144"/>
                    <w:gridCol w:w="238"/>
                    <w:gridCol w:w="1382"/>
                  </w:tblGrid>
                  <w:tr>
                    <w:trPr>
                      <w:trHeight w:val="408"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1690" w:type="dxa"/>
                        <w:gridSpan w:val="2"/>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17,820</w:t>
                        </w:r>
                      </w:p>
                    </w:tc>
                    <w:tc>
                      <w:tcPr>
                        <w:tcW w:w="362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9"/>
                            <w:sz w:val="18"/>
                            <w:szCs w:val="18"/>
                          </w:rPr>
                          <w:t> </w:t>
                        </w:r>
                        <w:r>
                          <w:rPr>
                            <w:rFonts w:ascii="宋体" w:hAnsi="宋体" w:cs="宋体" w:eastAsia="宋体" w:hint="default"/>
                            <w:spacing w:val="-3"/>
                            <w:sz w:val="18"/>
                            <w:szCs w:val="18"/>
                          </w:rPr>
                          <w:t>个交易日末股东总数</w:t>
                        </w:r>
                      </w:p>
                    </w:tc>
                    <w:tc>
                      <w:tcPr>
                        <w:tcW w:w="1620"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14,493</w:t>
                        </w:r>
                      </w:p>
                    </w:tc>
                  </w:tr>
                  <w:tr>
                    <w:trPr>
                      <w:trHeight w:val="389" w:hRule="exact"/>
                    </w:trPr>
                    <w:tc>
                      <w:tcPr>
                        <w:tcW w:w="9566"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9"/>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以上的股东持股情况</w:t>
                        </w:r>
                      </w:p>
                    </w:tc>
                  </w:tr>
                  <w:tr>
                    <w:trPr>
                      <w:trHeight w:val="158" w:hRule="exact"/>
                    </w:trPr>
                    <w:tc>
                      <w:tcPr>
                        <w:tcW w:w="1248" w:type="dxa"/>
                        <w:vMerge w:val="restart"/>
                        <w:tcBorders>
                          <w:top w:val="single" w:sz="4" w:space="0" w:color="000000"/>
                          <w:left w:val="single" w:sz="4" w:space="0" w:color="000000"/>
                          <w:right w:val="single" w:sz="4" w:space="0" w:color="000000"/>
                        </w:tcBorders>
                        <w:shd w:val="clear" w:color="auto" w:fill="D2D2D2"/>
                      </w:tcPr>
                      <w:p>
                        <w:pPr/>
                      </w:p>
                    </w:tc>
                    <w:tc>
                      <w:tcPr>
                        <w:tcW w:w="1383" w:type="dxa"/>
                        <w:vMerge w:val="restart"/>
                        <w:tcBorders>
                          <w:top w:val="single" w:sz="4" w:space="0" w:color="000000"/>
                          <w:left w:val="single" w:sz="4" w:space="0" w:color="000000"/>
                          <w:right w:val="single" w:sz="4" w:space="0" w:color="000000"/>
                        </w:tcBorders>
                        <w:shd w:val="clear" w:color="auto" w:fill="D2D2D2"/>
                      </w:tcPr>
                      <w:p>
                        <w:pPr/>
                      </w:p>
                    </w:tc>
                    <w:tc>
                      <w:tcPr>
                        <w:tcW w:w="878" w:type="dxa"/>
                        <w:vMerge w:val="restart"/>
                        <w:tcBorders>
                          <w:top w:val="single" w:sz="4" w:space="0" w:color="000000"/>
                          <w:left w:val="single" w:sz="4" w:space="0" w:color="000000"/>
                          <w:right w:val="single" w:sz="4" w:space="0" w:color="000000"/>
                        </w:tcBorders>
                        <w:shd w:val="clear" w:color="auto" w:fill="D2D2D2"/>
                      </w:tcPr>
                      <w:p>
                        <w:pPr/>
                      </w:p>
                    </w:tc>
                    <w:tc>
                      <w:tcPr>
                        <w:tcW w:w="812" w:type="dxa"/>
                        <w:tcBorders>
                          <w:top w:val="single" w:sz="4" w:space="0" w:color="000000"/>
                          <w:left w:val="single" w:sz="4" w:space="0" w:color="000000"/>
                          <w:bottom w:val="nil" w:sz="6" w:space="0" w:color="auto"/>
                          <w:right w:val="single" w:sz="4" w:space="0" w:color="000000"/>
                        </w:tcBorders>
                        <w:shd w:val="clear" w:color="auto" w:fill="D2D2D2"/>
                      </w:tcPr>
                      <w:p>
                        <w:pPr/>
                      </w:p>
                    </w:tc>
                    <w:tc>
                      <w:tcPr>
                        <w:tcW w:w="80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8"/>
                          <w:ind w:left="32" w:right="36"/>
                          <w:jc w:val="center"/>
                          <w:rPr>
                            <w:rFonts w:ascii="宋体" w:hAnsi="宋体" w:cs="宋体" w:eastAsia="宋体" w:hint="default"/>
                            <w:sz w:val="18"/>
                            <w:szCs w:val="18"/>
                          </w:rPr>
                        </w:pPr>
                        <w:r>
                          <w:rPr>
                            <w:rFonts w:ascii="宋体" w:hAnsi="宋体" w:cs="宋体" w:eastAsia="宋体" w:hint="default"/>
                            <w:spacing w:val="-2"/>
                            <w:sz w:val="18"/>
                            <w:szCs w:val="18"/>
                          </w:rPr>
                          <w:t>报告期内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情况</w:t>
                        </w:r>
                      </w:p>
                    </w:tc>
                    <w:tc>
                      <w:tcPr>
                        <w:tcW w:w="80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8"/>
                          <w:ind w:left="38" w:right="31"/>
                          <w:jc w:val="both"/>
                          <w:rPr>
                            <w:rFonts w:ascii="宋体" w:hAnsi="宋体" w:cs="宋体" w:eastAsia="宋体" w:hint="default"/>
                            <w:sz w:val="18"/>
                            <w:szCs w:val="18"/>
                          </w:rPr>
                        </w:pPr>
                        <w:r>
                          <w:rPr>
                            <w:rFonts w:ascii="宋体" w:hAnsi="宋体" w:cs="宋体" w:eastAsia="宋体" w:hint="default"/>
                            <w:sz w:val="18"/>
                            <w:szCs w:val="18"/>
                          </w:rPr>
                          <w:t>持有有限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售条件的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8"/>
                          <w:ind w:left="62" w:right="66" w:firstLine="4"/>
                          <w:jc w:val="both"/>
                          <w:rPr>
                            <w:rFonts w:ascii="宋体" w:hAnsi="宋体" w:cs="宋体" w:eastAsia="宋体" w:hint="default"/>
                            <w:sz w:val="18"/>
                            <w:szCs w:val="18"/>
                          </w:rPr>
                        </w:pPr>
                        <w:r>
                          <w:rPr>
                            <w:rFonts w:ascii="宋体" w:hAnsi="宋体" w:cs="宋体" w:eastAsia="宋体" w:hint="default"/>
                            <w:sz w:val="18"/>
                            <w:szCs w:val="18"/>
                          </w:rPr>
                          <w:t>持有无限</w:t>
                        </w:r>
                        <w:r>
                          <w:rPr>
                            <w:rFonts w:ascii="宋体" w:hAnsi="宋体" w:cs="宋体" w:eastAsia="宋体" w:hint="default"/>
                            <w:w w:val="101"/>
                            <w:sz w:val="18"/>
                            <w:szCs w:val="18"/>
                          </w:rPr>
                          <w:t> </w:t>
                        </w:r>
                        <w:r>
                          <w:rPr>
                            <w:rFonts w:ascii="宋体" w:hAnsi="宋体" w:cs="宋体" w:eastAsia="宋体" w:hint="default"/>
                            <w:sz w:val="18"/>
                            <w:szCs w:val="18"/>
                          </w:rPr>
                          <w:t>售条件的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tc>
                    <w:tc>
                      <w:tcPr>
                        <w:tcW w:w="276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742" w:right="0"/>
                          <w:jc w:val="left"/>
                          <w:rPr>
                            <w:rFonts w:ascii="宋体" w:hAnsi="宋体" w:cs="宋体" w:eastAsia="宋体" w:hint="default"/>
                            <w:sz w:val="18"/>
                            <w:szCs w:val="18"/>
                          </w:rPr>
                        </w:pPr>
                        <w:r>
                          <w:rPr>
                            <w:rFonts w:ascii="宋体" w:hAnsi="宋体" w:cs="宋体" w:eastAsia="宋体" w:hint="default"/>
                            <w:spacing w:val="-3"/>
                            <w:sz w:val="18"/>
                            <w:szCs w:val="18"/>
                          </w:rPr>
                          <w:t>质押或冻结情况</w:t>
                        </w:r>
                      </w:p>
                    </w:tc>
                  </w:tr>
                  <w:tr>
                    <w:trPr>
                      <w:trHeight w:val="159" w:hRule="exact"/>
                    </w:trPr>
                    <w:tc>
                      <w:tcPr>
                        <w:tcW w:w="1248" w:type="dxa"/>
                        <w:vMerge/>
                        <w:tcBorders>
                          <w:left w:val="single" w:sz="4" w:space="0" w:color="000000"/>
                          <w:bottom w:val="nil" w:sz="6" w:space="0" w:color="auto"/>
                          <w:right w:val="single" w:sz="4" w:space="0" w:color="000000"/>
                        </w:tcBorders>
                        <w:shd w:val="clear" w:color="auto" w:fill="D2D2D2"/>
                      </w:tcPr>
                      <w:p>
                        <w:pPr/>
                      </w:p>
                    </w:tc>
                    <w:tc>
                      <w:tcPr>
                        <w:tcW w:w="1383" w:type="dxa"/>
                        <w:vMerge/>
                        <w:tcBorders>
                          <w:left w:val="single" w:sz="4" w:space="0" w:color="000000"/>
                          <w:bottom w:val="nil" w:sz="6" w:space="0" w:color="auto"/>
                          <w:right w:val="single" w:sz="4" w:space="0" w:color="000000"/>
                        </w:tcBorders>
                        <w:shd w:val="clear" w:color="auto" w:fill="D2D2D2"/>
                      </w:tcPr>
                      <w:p>
                        <w:pPr/>
                      </w:p>
                    </w:tc>
                    <w:tc>
                      <w:tcPr>
                        <w:tcW w:w="878" w:type="dxa"/>
                        <w:vMerge/>
                        <w:tcBorders>
                          <w:left w:val="single" w:sz="4" w:space="0" w:color="000000"/>
                          <w:bottom w:val="nil" w:sz="6" w:space="0" w:color="auto"/>
                          <w:right w:val="single" w:sz="4" w:space="0" w:color="000000"/>
                        </w:tcBorders>
                        <w:shd w:val="clear" w:color="auto" w:fill="D2D2D2"/>
                      </w:tcPr>
                      <w:p>
                        <w:pPr/>
                      </w:p>
                    </w:tc>
                    <w:tc>
                      <w:tcPr>
                        <w:tcW w:w="812"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38" w:right="37"/>
                          <w:jc w:val="left"/>
                          <w:rPr>
                            <w:rFonts w:ascii="宋体" w:hAnsi="宋体" w:cs="宋体" w:eastAsia="宋体" w:hint="default"/>
                            <w:sz w:val="18"/>
                            <w:szCs w:val="18"/>
                          </w:rPr>
                        </w:pPr>
                        <w:r>
                          <w:rPr>
                            <w:rFonts w:ascii="宋体" w:hAnsi="宋体" w:cs="宋体" w:eastAsia="宋体" w:hint="default"/>
                            <w:sz w:val="18"/>
                            <w:szCs w:val="18"/>
                          </w:rPr>
                          <w:t>报告期末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持股数量</w:t>
                        </w:r>
                      </w:p>
                    </w:tc>
                    <w:tc>
                      <w:tcPr>
                        <w:tcW w:w="805" w:type="dxa"/>
                        <w:vMerge/>
                        <w:tcBorders>
                          <w:left w:val="single" w:sz="4" w:space="0" w:color="000000"/>
                          <w:right w:val="single" w:sz="4" w:space="0" w:color="000000"/>
                        </w:tcBorders>
                        <w:shd w:val="clear" w:color="auto" w:fill="D2D2D2"/>
                      </w:tcPr>
                      <w:p>
                        <w:pPr/>
                      </w:p>
                    </w:tc>
                    <w:tc>
                      <w:tcPr>
                        <w:tcW w:w="806" w:type="dxa"/>
                        <w:vMerge/>
                        <w:tcBorders>
                          <w:left w:val="single" w:sz="4" w:space="0" w:color="000000"/>
                          <w:right w:val="single" w:sz="4" w:space="0" w:color="000000"/>
                        </w:tcBorders>
                        <w:shd w:val="clear" w:color="auto" w:fill="D2D2D2"/>
                      </w:tcPr>
                      <w:p>
                        <w:pPr/>
                      </w:p>
                    </w:tc>
                    <w:tc>
                      <w:tcPr>
                        <w:tcW w:w="870" w:type="dxa"/>
                        <w:vMerge/>
                        <w:tcBorders>
                          <w:left w:val="single" w:sz="4" w:space="0" w:color="000000"/>
                          <w:right w:val="single" w:sz="4" w:space="0" w:color="000000"/>
                        </w:tcBorders>
                        <w:shd w:val="clear" w:color="auto" w:fill="D2D2D2"/>
                      </w:tcPr>
                      <w:p>
                        <w:pPr/>
                      </w:p>
                    </w:tc>
                    <w:tc>
                      <w:tcPr>
                        <w:tcW w:w="2764" w:type="dxa"/>
                        <w:gridSpan w:val="3"/>
                        <w:vMerge/>
                        <w:tcBorders>
                          <w:left w:val="single" w:sz="4" w:space="0" w:color="000000"/>
                          <w:right w:val="single" w:sz="4" w:space="0" w:color="000000"/>
                        </w:tcBorders>
                        <w:shd w:val="clear" w:color="auto" w:fill="D2D2D2"/>
                      </w:tcPr>
                      <w:p>
                        <w:pPr/>
                      </w:p>
                    </w:tc>
                  </w:tr>
                  <w:tr>
                    <w:trPr>
                      <w:trHeight w:val="146" w:hRule="exact"/>
                    </w:trPr>
                    <w:tc>
                      <w:tcPr>
                        <w:tcW w:w="124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5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71"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12" w:type="dxa"/>
                        <w:vMerge/>
                        <w:tcBorders>
                          <w:left w:val="single" w:sz="4" w:space="0" w:color="000000"/>
                          <w:right w:val="single" w:sz="4" w:space="0" w:color="000000"/>
                        </w:tcBorders>
                        <w:shd w:val="clear" w:color="auto" w:fill="D2D2D2"/>
                      </w:tcPr>
                      <w:p>
                        <w:pPr/>
                      </w:p>
                    </w:tc>
                    <w:tc>
                      <w:tcPr>
                        <w:tcW w:w="805" w:type="dxa"/>
                        <w:vMerge/>
                        <w:tcBorders>
                          <w:left w:val="single" w:sz="4" w:space="0" w:color="000000"/>
                          <w:right w:val="single" w:sz="4" w:space="0" w:color="000000"/>
                        </w:tcBorders>
                        <w:shd w:val="clear" w:color="auto" w:fill="D2D2D2"/>
                      </w:tcPr>
                      <w:p>
                        <w:pPr/>
                      </w:p>
                    </w:tc>
                    <w:tc>
                      <w:tcPr>
                        <w:tcW w:w="806" w:type="dxa"/>
                        <w:vMerge/>
                        <w:tcBorders>
                          <w:left w:val="single" w:sz="4" w:space="0" w:color="000000"/>
                          <w:right w:val="single" w:sz="4" w:space="0" w:color="000000"/>
                        </w:tcBorders>
                        <w:shd w:val="clear" w:color="auto" w:fill="D2D2D2"/>
                      </w:tcPr>
                      <w:p>
                        <w:pPr/>
                      </w:p>
                    </w:tc>
                    <w:tc>
                      <w:tcPr>
                        <w:tcW w:w="870" w:type="dxa"/>
                        <w:vMerge/>
                        <w:tcBorders>
                          <w:left w:val="single" w:sz="4" w:space="0" w:color="000000"/>
                          <w:right w:val="single" w:sz="4" w:space="0" w:color="000000"/>
                        </w:tcBorders>
                        <w:shd w:val="clear" w:color="auto" w:fill="D2D2D2"/>
                      </w:tcPr>
                      <w:p>
                        <w:pPr/>
                      </w:p>
                    </w:tc>
                    <w:tc>
                      <w:tcPr>
                        <w:tcW w:w="2764" w:type="dxa"/>
                        <w:gridSpan w:val="3"/>
                        <w:vMerge/>
                        <w:tcBorders>
                          <w:left w:val="single" w:sz="4" w:space="0" w:color="000000"/>
                          <w:bottom w:val="single" w:sz="4" w:space="0" w:color="000000"/>
                          <w:right w:val="single" w:sz="4" w:space="0" w:color="000000"/>
                        </w:tcBorders>
                        <w:shd w:val="clear" w:color="auto" w:fill="D2D2D2"/>
                      </w:tcPr>
                      <w:p>
                        <w:pPr/>
                      </w:p>
                    </w:tc>
                  </w:tr>
                  <w:tr>
                    <w:trPr>
                      <w:trHeight w:val="246" w:hRule="exact"/>
                    </w:trPr>
                    <w:tc>
                      <w:tcPr>
                        <w:tcW w:w="1248" w:type="dxa"/>
                        <w:vMerge/>
                        <w:tcBorders>
                          <w:left w:val="single" w:sz="4" w:space="0" w:color="000000"/>
                          <w:bottom w:val="nil" w:sz="6" w:space="0" w:color="auto"/>
                          <w:right w:val="single" w:sz="4" w:space="0" w:color="000000"/>
                        </w:tcBorders>
                        <w:shd w:val="clear" w:color="auto" w:fill="D2D2D2"/>
                      </w:tcPr>
                      <w:p>
                        <w:pPr/>
                      </w:p>
                    </w:tc>
                    <w:tc>
                      <w:tcPr>
                        <w:tcW w:w="1383" w:type="dxa"/>
                        <w:vMerge/>
                        <w:tcBorders>
                          <w:left w:val="single" w:sz="4" w:space="0" w:color="000000"/>
                          <w:bottom w:val="nil" w:sz="6" w:space="0" w:color="auto"/>
                          <w:right w:val="single" w:sz="4" w:space="0" w:color="000000"/>
                        </w:tcBorders>
                        <w:shd w:val="clear" w:color="auto" w:fill="D2D2D2"/>
                      </w:tcPr>
                      <w:p>
                        <w:pPr/>
                      </w:p>
                    </w:tc>
                    <w:tc>
                      <w:tcPr>
                        <w:tcW w:w="878" w:type="dxa"/>
                        <w:vMerge/>
                        <w:tcBorders>
                          <w:left w:val="single" w:sz="4" w:space="0" w:color="000000"/>
                          <w:bottom w:val="nil" w:sz="6" w:space="0" w:color="auto"/>
                          <w:right w:val="single" w:sz="4" w:space="0" w:color="000000"/>
                        </w:tcBorders>
                        <w:shd w:val="clear" w:color="auto" w:fill="D2D2D2"/>
                      </w:tcPr>
                      <w:p>
                        <w:pPr/>
                      </w:p>
                    </w:tc>
                    <w:tc>
                      <w:tcPr>
                        <w:tcW w:w="812" w:type="dxa"/>
                        <w:vMerge/>
                        <w:tcBorders>
                          <w:left w:val="single" w:sz="4" w:space="0" w:color="000000"/>
                          <w:right w:val="single" w:sz="4" w:space="0" w:color="000000"/>
                        </w:tcBorders>
                        <w:shd w:val="clear" w:color="auto" w:fill="D2D2D2"/>
                      </w:tcPr>
                      <w:p>
                        <w:pPr/>
                      </w:p>
                    </w:tc>
                    <w:tc>
                      <w:tcPr>
                        <w:tcW w:w="805" w:type="dxa"/>
                        <w:vMerge/>
                        <w:tcBorders>
                          <w:left w:val="single" w:sz="4" w:space="0" w:color="000000"/>
                          <w:right w:val="single" w:sz="4" w:space="0" w:color="000000"/>
                        </w:tcBorders>
                        <w:shd w:val="clear" w:color="auto" w:fill="D2D2D2"/>
                      </w:tcPr>
                      <w:p>
                        <w:pPr/>
                      </w:p>
                    </w:tc>
                    <w:tc>
                      <w:tcPr>
                        <w:tcW w:w="806" w:type="dxa"/>
                        <w:vMerge/>
                        <w:tcBorders>
                          <w:left w:val="single" w:sz="4" w:space="0" w:color="000000"/>
                          <w:right w:val="single" w:sz="4" w:space="0" w:color="000000"/>
                        </w:tcBorders>
                        <w:shd w:val="clear" w:color="auto" w:fill="D2D2D2"/>
                      </w:tcPr>
                      <w:p>
                        <w:pPr/>
                      </w:p>
                    </w:tc>
                    <w:tc>
                      <w:tcPr>
                        <w:tcW w:w="870" w:type="dxa"/>
                        <w:vMerge/>
                        <w:tcBorders>
                          <w:left w:val="single" w:sz="4" w:space="0" w:color="000000"/>
                          <w:right w:val="single" w:sz="4" w:space="0" w:color="000000"/>
                        </w:tcBorders>
                        <w:shd w:val="clear" w:color="auto" w:fill="D2D2D2"/>
                      </w:tcPr>
                      <w:p>
                        <w:pPr/>
                      </w:p>
                    </w:tc>
                    <w:tc>
                      <w:tcPr>
                        <w:tcW w:w="138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32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4" w:hRule="exact"/>
                    </w:trPr>
                    <w:tc>
                      <w:tcPr>
                        <w:tcW w:w="1248" w:type="dxa"/>
                        <w:vMerge w:val="restart"/>
                        <w:tcBorders>
                          <w:top w:val="nil" w:sz="6" w:space="0" w:color="auto"/>
                          <w:left w:val="single" w:sz="4" w:space="0" w:color="000000"/>
                          <w:right w:val="single" w:sz="4" w:space="0" w:color="000000"/>
                        </w:tcBorders>
                        <w:shd w:val="clear" w:color="auto" w:fill="D2D2D2"/>
                      </w:tcPr>
                      <w:p>
                        <w:pPr/>
                      </w:p>
                    </w:tc>
                    <w:tc>
                      <w:tcPr>
                        <w:tcW w:w="1383" w:type="dxa"/>
                        <w:vMerge w:val="restart"/>
                        <w:tcBorders>
                          <w:top w:val="nil" w:sz="6" w:space="0" w:color="auto"/>
                          <w:left w:val="single" w:sz="4" w:space="0" w:color="000000"/>
                          <w:right w:val="single" w:sz="4" w:space="0" w:color="000000"/>
                        </w:tcBorders>
                        <w:shd w:val="clear" w:color="auto" w:fill="D2D2D2"/>
                      </w:tcPr>
                      <w:p>
                        <w:pPr/>
                      </w:p>
                    </w:tc>
                    <w:tc>
                      <w:tcPr>
                        <w:tcW w:w="878" w:type="dxa"/>
                        <w:vMerge w:val="restart"/>
                        <w:tcBorders>
                          <w:top w:val="nil" w:sz="6" w:space="0" w:color="auto"/>
                          <w:left w:val="single" w:sz="4" w:space="0" w:color="000000"/>
                          <w:right w:val="single" w:sz="4" w:space="0" w:color="000000"/>
                        </w:tcBorders>
                        <w:shd w:val="clear" w:color="auto" w:fill="D2D2D2"/>
                      </w:tcPr>
                      <w:p>
                        <w:pPr/>
                      </w:p>
                    </w:tc>
                    <w:tc>
                      <w:tcPr>
                        <w:tcW w:w="812" w:type="dxa"/>
                        <w:vMerge/>
                        <w:tcBorders>
                          <w:left w:val="single" w:sz="4" w:space="0" w:color="000000"/>
                          <w:bottom w:val="nil" w:sz="6" w:space="0" w:color="auto"/>
                          <w:right w:val="single" w:sz="4" w:space="0" w:color="000000"/>
                        </w:tcBorders>
                        <w:shd w:val="clear" w:color="auto" w:fill="D2D2D2"/>
                      </w:tcPr>
                      <w:p>
                        <w:pPr/>
                      </w:p>
                    </w:tc>
                    <w:tc>
                      <w:tcPr>
                        <w:tcW w:w="805" w:type="dxa"/>
                        <w:vMerge/>
                        <w:tcBorders>
                          <w:left w:val="single" w:sz="4" w:space="0" w:color="000000"/>
                          <w:right w:val="single" w:sz="4" w:space="0" w:color="000000"/>
                        </w:tcBorders>
                        <w:shd w:val="clear" w:color="auto" w:fill="D2D2D2"/>
                      </w:tcPr>
                      <w:p>
                        <w:pPr/>
                      </w:p>
                    </w:tc>
                    <w:tc>
                      <w:tcPr>
                        <w:tcW w:w="806" w:type="dxa"/>
                        <w:vMerge/>
                        <w:tcBorders>
                          <w:left w:val="single" w:sz="4" w:space="0" w:color="000000"/>
                          <w:right w:val="single" w:sz="4" w:space="0" w:color="000000"/>
                        </w:tcBorders>
                        <w:shd w:val="clear" w:color="auto" w:fill="D2D2D2"/>
                      </w:tcPr>
                      <w:p>
                        <w:pPr/>
                      </w:p>
                    </w:tc>
                    <w:tc>
                      <w:tcPr>
                        <w:tcW w:w="870" w:type="dxa"/>
                        <w:vMerge/>
                        <w:tcBorders>
                          <w:left w:val="single" w:sz="4" w:space="0" w:color="000000"/>
                          <w:right w:val="single" w:sz="4" w:space="0" w:color="000000"/>
                        </w:tcBorders>
                        <w:shd w:val="clear" w:color="auto" w:fill="D2D2D2"/>
                      </w:tcPr>
                      <w:p>
                        <w:pPr/>
                      </w:p>
                    </w:tc>
                    <w:tc>
                      <w:tcPr>
                        <w:tcW w:w="1381" w:type="dxa"/>
                        <w:gridSpan w:val="2"/>
                        <w:vMerge/>
                        <w:tcBorders>
                          <w:left w:val="single" w:sz="4" w:space="0" w:color="000000"/>
                          <w:right w:val="single" w:sz="4" w:space="0" w:color="000000"/>
                        </w:tcBorders>
                        <w:shd w:val="clear" w:color="auto" w:fill="D2D2D2"/>
                      </w:tcPr>
                      <w:p>
                        <w:pPr/>
                      </w:p>
                    </w:tc>
                    <w:tc>
                      <w:tcPr>
                        <w:tcW w:w="1382" w:type="dxa"/>
                        <w:vMerge/>
                        <w:tcBorders>
                          <w:left w:val="single" w:sz="4" w:space="0" w:color="000000"/>
                          <w:right w:val="single" w:sz="4" w:space="0" w:color="000000"/>
                        </w:tcBorders>
                        <w:shd w:val="clear" w:color="auto" w:fill="D2D2D2"/>
                      </w:tcPr>
                      <w:p>
                        <w:pPr/>
                      </w:p>
                    </w:tc>
                  </w:tr>
                  <w:tr>
                    <w:trPr>
                      <w:trHeight w:val="168" w:hRule="exact"/>
                    </w:trPr>
                    <w:tc>
                      <w:tcPr>
                        <w:tcW w:w="1248" w:type="dxa"/>
                        <w:vMerge/>
                        <w:tcBorders>
                          <w:left w:val="single" w:sz="4" w:space="0" w:color="000000"/>
                          <w:bottom w:val="single" w:sz="4" w:space="0" w:color="000000"/>
                          <w:right w:val="single" w:sz="4" w:space="0" w:color="000000"/>
                        </w:tcBorders>
                        <w:shd w:val="clear" w:color="auto" w:fill="D2D2D2"/>
                      </w:tcPr>
                      <w:p>
                        <w:pPr/>
                      </w:p>
                    </w:tc>
                    <w:tc>
                      <w:tcPr>
                        <w:tcW w:w="1383" w:type="dxa"/>
                        <w:vMerge/>
                        <w:tcBorders>
                          <w:left w:val="single" w:sz="4" w:space="0" w:color="000000"/>
                          <w:bottom w:val="single" w:sz="4" w:space="0" w:color="000000"/>
                          <w:right w:val="single" w:sz="4" w:space="0" w:color="000000"/>
                        </w:tcBorders>
                        <w:shd w:val="clear" w:color="auto" w:fill="D2D2D2"/>
                      </w:tcPr>
                      <w:p>
                        <w:pPr/>
                      </w:p>
                    </w:tc>
                    <w:tc>
                      <w:tcPr>
                        <w:tcW w:w="878" w:type="dxa"/>
                        <w:vMerge/>
                        <w:tcBorders>
                          <w:left w:val="single" w:sz="4" w:space="0" w:color="000000"/>
                          <w:bottom w:val="single" w:sz="4" w:space="0" w:color="000000"/>
                          <w:right w:val="single" w:sz="4" w:space="0" w:color="000000"/>
                        </w:tcBorders>
                        <w:shd w:val="clear" w:color="auto" w:fill="D2D2D2"/>
                      </w:tcPr>
                      <w:p>
                        <w:pPr/>
                      </w:p>
                    </w:tc>
                    <w:tc>
                      <w:tcPr>
                        <w:tcW w:w="812" w:type="dxa"/>
                        <w:tcBorders>
                          <w:top w:val="nil" w:sz="6" w:space="0" w:color="auto"/>
                          <w:left w:val="single" w:sz="4" w:space="0" w:color="000000"/>
                          <w:bottom w:val="single" w:sz="4" w:space="0" w:color="000000"/>
                          <w:right w:val="single" w:sz="4" w:space="0" w:color="000000"/>
                        </w:tcBorders>
                        <w:shd w:val="clear" w:color="auto" w:fill="D2D2D2"/>
                      </w:tcPr>
                      <w:p>
                        <w:pPr/>
                      </w:p>
                    </w:tc>
                    <w:tc>
                      <w:tcPr>
                        <w:tcW w:w="805" w:type="dxa"/>
                        <w:vMerge/>
                        <w:tcBorders>
                          <w:left w:val="single" w:sz="4" w:space="0" w:color="000000"/>
                          <w:bottom w:val="single" w:sz="4" w:space="0" w:color="000000"/>
                          <w:right w:val="single" w:sz="4" w:space="0" w:color="000000"/>
                        </w:tcBorders>
                        <w:shd w:val="clear" w:color="auto" w:fill="D2D2D2"/>
                      </w:tcPr>
                      <w:p>
                        <w:pPr/>
                      </w:p>
                    </w:tc>
                    <w:tc>
                      <w:tcPr>
                        <w:tcW w:w="806"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c>
                      <w:tcPr>
                        <w:tcW w:w="1381" w:type="dxa"/>
                        <w:gridSpan w:val="2"/>
                        <w:vMerge/>
                        <w:tcBorders>
                          <w:left w:val="single" w:sz="4" w:space="0" w:color="000000"/>
                          <w:bottom w:val="single" w:sz="4" w:space="0" w:color="000000"/>
                          <w:right w:val="single" w:sz="4" w:space="0" w:color="000000"/>
                        </w:tcBorders>
                        <w:shd w:val="clear" w:color="auto" w:fill="D2D2D2"/>
                      </w:tcPr>
                      <w:p>
                        <w:pPr/>
                      </w:p>
                    </w:tc>
                    <w:tc>
                      <w:tcPr>
                        <w:tcW w:w="1382"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43.92%</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144,072,7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34</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 w:right="0"/>
                          <w:jc w:val="left"/>
                          <w:rPr>
                            <w:rFonts w:ascii="Times New Roman" w:hAnsi="Times New Roman" w:cs="Times New Roman" w:eastAsia="Times New Roman" w:hint="default"/>
                            <w:sz w:val="18"/>
                            <w:szCs w:val="18"/>
                          </w:rPr>
                        </w:pPr>
                        <w:r>
                          <w:rPr>
                            <w:rFonts w:ascii="Times New Roman"/>
                            <w:sz w:val="18"/>
                          </w:rPr>
                          <w:t>72,036,36</w:t>
                        </w:r>
                      </w:p>
                      <w:p>
                        <w:pPr>
                          <w:pStyle w:val="TableParagraph"/>
                          <w:spacing w:line="240" w:lineRule="auto" w:before="105"/>
                          <w:ind w:left="17"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108,054,5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36,018,18</w:t>
                        </w:r>
                      </w:p>
                      <w:p>
                        <w:pPr>
                          <w:pStyle w:val="TableParagraph"/>
                          <w:spacing w:line="240" w:lineRule="auto" w:before="105"/>
                          <w:ind w:right="28"/>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381"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2"/>
                          <w:ind w:left="17"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82"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39,000,000</w:t>
                        </w:r>
                      </w:p>
                    </w:tc>
                  </w:tr>
                  <w:tr>
                    <w:trPr>
                      <w:trHeight w:val="715"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张烈寅</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境外自然人</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7.04%</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23,090,80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 w:right="0"/>
                          <w:jc w:val="left"/>
                          <w:rPr>
                            <w:rFonts w:ascii="Times New Roman" w:hAnsi="Times New Roman" w:cs="Times New Roman" w:eastAsia="Times New Roman" w:hint="default"/>
                            <w:sz w:val="18"/>
                            <w:szCs w:val="18"/>
                          </w:rPr>
                        </w:pPr>
                        <w:r>
                          <w:rPr>
                            <w:rFonts w:ascii="Times New Roman"/>
                            <w:sz w:val="18"/>
                          </w:rPr>
                          <w:t>11,545,40</w:t>
                        </w:r>
                      </w:p>
                      <w:p>
                        <w:pPr>
                          <w:pStyle w:val="TableParagraph"/>
                          <w:spacing w:line="240" w:lineRule="auto" w:before="105"/>
                          <w:ind w:left="17"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23,090,80</w:t>
                        </w:r>
                      </w:p>
                      <w:p>
                        <w:pPr>
                          <w:pStyle w:val="TableParagraph"/>
                          <w:spacing w:line="240" w:lineRule="auto" w:before="105"/>
                          <w:ind w:right="2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81" w:type="dxa"/>
                        <w:gridSpan w:val="2"/>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臧少玉</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6.54%</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21,451,04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32"/>
                          <w:jc w:val="center"/>
                          <w:rPr>
                            <w:rFonts w:ascii="Times New Roman" w:hAnsi="Times New Roman" w:cs="Times New Roman" w:eastAsia="Times New Roman" w:hint="default"/>
                            <w:sz w:val="18"/>
                            <w:szCs w:val="18"/>
                          </w:rPr>
                        </w:pPr>
                        <w:r>
                          <w:rPr>
                            <w:rFonts w:ascii="Times New Roman"/>
                            <w:sz w:val="18"/>
                          </w:rPr>
                          <w:t>7,150,347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21,451,04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81" w:type="dxa"/>
                        <w:gridSpan w:val="2"/>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凌凤远</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0.82%</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2,685,032</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2"/>
                          <w:jc w:val="center"/>
                          <w:rPr>
                            <w:rFonts w:ascii="Times New Roman" w:hAnsi="Times New Roman" w:cs="Times New Roman" w:eastAsia="Times New Roman" w:hint="default"/>
                            <w:sz w:val="18"/>
                            <w:szCs w:val="18"/>
                          </w:rPr>
                        </w:pPr>
                        <w:r>
                          <w:rPr>
                            <w:rFonts w:ascii="Times New Roman"/>
                            <w:sz w:val="18"/>
                          </w:rPr>
                          <w:t>1,427,447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8"/>
                          <w:jc w:val="right"/>
                          <w:rPr>
                            <w:rFonts w:ascii="Times New Roman" w:hAnsi="Times New Roman" w:cs="Times New Roman" w:eastAsia="Times New Roman" w:hint="default"/>
                            <w:sz w:val="18"/>
                            <w:szCs w:val="18"/>
                          </w:rPr>
                        </w:pPr>
                        <w:r>
                          <w:rPr>
                            <w:rFonts w:ascii="Times New Roman"/>
                            <w:spacing w:val="-1"/>
                            <w:sz w:val="18"/>
                          </w:rPr>
                          <w:t>2,685,032</w:t>
                        </w:r>
                      </w:p>
                    </w:tc>
                    <w:tc>
                      <w:tcPr>
                        <w:tcW w:w="1381" w:type="dxa"/>
                        <w:gridSpan w:val="2"/>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1963"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127"/>
                          <w:jc w:val="both"/>
                          <w:rPr>
                            <w:rFonts w:ascii="宋体" w:hAnsi="宋体" w:cs="宋体" w:eastAsia="宋体" w:hint="default"/>
                            <w:sz w:val="18"/>
                            <w:szCs w:val="18"/>
                          </w:rPr>
                        </w:pPr>
                        <w:r>
                          <w:rPr>
                            <w:rFonts w:ascii="宋体" w:hAnsi="宋体" w:cs="宋体" w:eastAsia="宋体" w:hint="default"/>
                            <w:spacing w:val="-2"/>
                            <w:sz w:val="18"/>
                            <w:szCs w:val="18"/>
                          </w:rPr>
                          <w:t>中国建设银行</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股份有限公司</w:t>
                        </w:r>
                      </w:p>
                      <w:p>
                        <w:pPr>
                          <w:pStyle w:val="TableParagraph"/>
                          <w:spacing w:line="319" w:lineRule="auto" w:before="22"/>
                          <w:ind w:left="24" w:right="127"/>
                          <w:jc w:val="both"/>
                          <w:rPr>
                            <w:rFonts w:ascii="宋体" w:hAnsi="宋体" w:cs="宋体" w:eastAsia="宋体" w:hint="default"/>
                            <w:sz w:val="18"/>
                            <w:szCs w:val="18"/>
                          </w:rPr>
                        </w:pPr>
                        <w:r>
                          <w:rPr>
                            <w:rFonts w:ascii="宋体" w:hAnsi="宋体" w:cs="宋体" w:eastAsia="宋体" w:hint="default"/>
                            <w:spacing w:val="-2"/>
                            <w:sz w:val="18"/>
                            <w:szCs w:val="18"/>
                          </w:rPr>
                          <w:t>－摩根士丹利</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华鑫多因子精</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选策略股票型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证券投资基金</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0.73%</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2,400,431</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32"/>
                          <w:jc w:val="center"/>
                          <w:rPr>
                            <w:rFonts w:ascii="Times New Roman" w:hAnsi="Times New Roman" w:cs="Times New Roman" w:eastAsia="Times New Roman" w:hint="default"/>
                            <w:sz w:val="18"/>
                            <w:szCs w:val="18"/>
                          </w:rPr>
                        </w:pPr>
                        <w:r>
                          <w:rPr>
                            <w:rFonts w:ascii="Times New Roman"/>
                            <w:sz w:val="18"/>
                          </w:rPr>
                          <w:t>2,368,931</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2,400,431</w:t>
                        </w:r>
                      </w:p>
                    </w:tc>
                    <w:tc>
                      <w:tcPr>
                        <w:tcW w:w="1381" w:type="dxa"/>
                        <w:gridSpan w:val="2"/>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缪融</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0.60%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1,967,768</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7"/>
                          <w:jc w:val="center"/>
                          <w:rPr>
                            <w:rFonts w:ascii="Times New Roman" w:hAnsi="Times New Roman" w:cs="Times New Roman" w:eastAsia="Times New Roman" w:hint="default"/>
                            <w:sz w:val="18"/>
                            <w:szCs w:val="18"/>
                          </w:rPr>
                        </w:pPr>
                        <w:r>
                          <w:rPr>
                            <w:rFonts w:ascii="Times New Roman"/>
                            <w:sz w:val="18"/>
                          </w:rPr>
                          <w:t>655,922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1,967,768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81" w:type="dxa"/>
                        <w:gridSpan w:val="2"/>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王宏道</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0.56%</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1,837,452</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7"/>
                          <w:jc w:val="center"/>
                          <w:rPr>
                            <w:rFonts w:ascii="Times New Roman" w:hAnsi="Times New Roman" w:cs="Times New Roman" w:eastAsia="Times New Roman" w:hint="default"/>
                            <w:sz w:val="18"/>
                            <w:szCs w:val="18"/>
                          </w:rPr>
                        </w:pPr>
                        <w:r>
                          <w:rPr>
                            <w:rFonts w:ascii="Times New Roman"/>
                            <w:sz w:val="18"/>
                          </w:rPr>
                          <w:t>817,626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1,837,452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81" w:type="dxa"/>
                        <w:gridSpan w:val="2"/>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耿毅英</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0.40%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1,297,712</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7"/>
                          <w:jc w:val="center"/>
                          <w:rPr>
                            <w:rFonts w:ascii="Times New Roman" w:hAnsi="Times New Roman" w:cs="Times New Roman" w:eastAsia="Times New Roman" w:hint="default"/>
                            <w:sz w:val="18"/>
                            <w:szCs w:val="18"/>
                          </w:rPr>
                        </w:pPr>
                        <w:r>
                          <w:rPr>
                            <w:rFonts w:ascii="Times New Roman"/>
                            <w:sz w:val="18"/>
                          </w:rPr>
                          <w:t>432,570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1,297,712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81" w:type="dxa"/>
                        <w:gridSpan w:val="2"/>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崔巍</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0.33%</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1,080,000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32"/>
                          <w:jc w:val="center"/>
                          <w:rPr>
                            <w:rFonts w:ascii="Times New Roman" w:hAnsi="Times New Roman" w:cs="Times New Roman" w:eastAsia="Times New Roman" w:hint="default"/>
                            <w:sz w:val="18"/>
                            <w:szCs w:val="18"/>
                          </w:rPr>
                        </w:pPr>
                        <w:r>
                          <w:rPr>
                            <w:rFonts w:ascii="Times New Roman"/>
                            <w:sz w:val="18"/>
                          </w:rPr>
                          <w:t>1,067,580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8"/>
                          <w:jc w:val="right"/>
                          <w:rPr>
                            <w:rFonts w:ascii="Times New Roman" w:hAnsi="Times New Roman" w:cs="Times New Roman" w:eastAsia="Times New Roman" w:hint="default"/>
                            <w:sz w:val="18"/>
                            <w:szCs w:val="18"/>
                          </w:rPr>
                        </w:pPr>
                        <w:r>
                          <w:rPr>
                            <w:rFonts w:ascii="Times New Roman"/>
                            <w:spacing w:val="-1"/>
                            <w:sz w:val="18"/>
                          </w:rPr>
                          <w:t>1,080,000</w:t>
                        </w:r>
                      </w:p>
                    </w:tc>
                    <w:tc>
                      <w:tcPr>
                        <w:tcW w:w="1381" w:type="dxa"/>
                        <w:gridSpan w:val="2"/>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7"/>
                          <w:jc w:val="left"/>
                          <w:rPr>
                            <w:rFonts w:ascii="宋体" w:hAnsi="宋体" w:cs="宋体" w:eastAsia="宋体" w:hint="default"/>
                            <w:sz w:val="18"/>
                            <w:szCs w:val="18"/>
                          </w:rPr>
                        </w:pPr>
                        <w:r>
                          <w:rPr>
                            <w:rFonts w:ascii="宋体" w:hAnsi="宋体" w:cs="宋体" w:eastAsia="宋体" w:hint="default"/>
                            <w:spacing w:val="-2"/>
                            <w:sz w:val="18"/>
                            <w:szCs w:val="18"/>
                          </w:rPr>
                          <w:t>上海翃泰贸易</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有限公司</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0.27%</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900,000</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14"/>
                          <w:jc w:val="center"/>
                          <w:rPr>
                            <w:rFonts w:ascii="Times New Roman" w:hAnsi="Times New Roman" w:cs="Times New Roman" w:eastAsia="Times New Roman" w:hint="default"/>
                            <w:sz w:val="18"/>
                            <w:szCs w:val="18"/>
                          </w:rPr>
                        </w:pPr>
                        <w:r>
                          <w:rPr>
                            <w:rFonts w:ascii="Times New Roman"/>
                            <w:sz w:val="18"/>
                          </w:rPr>
                          <w:t>-911,550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900,000</w:t>
                        </w:r>
                      </w:p>
                    </w:tc>
                    <w:tc>
                      <w:tcPr>
                        <w:tcW w:w="1381" w:type="dxa"/>
                        <w:gridSpan w:val="2"/>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33"/>
                          <w:jc w:val="left"/>
                          <w:rPr>
                            <w:rFonts w:ascii="宋体" w:hAnsi="宋体" w:cs="宋体" w:eastAsia="宋体" w:hint="default"/>
                            <w:sz w:val="18"/>
                            <w:szCs w:val="18"/>
                          </w:rPr>
                        </w:pPr>
                        <w:r>
                          <w:rPr>
                            <w:rFonts w:ascii="宋体" w:hAnsi="宋体" w:cs="宋体" w:eastAsia="宋体" w:hint="default"/>
                            <w:spacing w:val="-3"/>
                            <w:sz w:val="18"/>
                            <w:szCs w:val="18"/>
                          </w:rPr>
                          <w:t>战略投资者或一般法人因配售新</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2"/>
                            <w:w w:val="101"/>
                            <w:sz w:val="18"/>
                            <w:szCs w:val="18"/>
                          </w:rPr>
                          <w:t>股成为前</w:t>
                        </w:r>
                        <w:r>
                          <w:rPr>
                            <w:rFonts w:ascii="宋体" w:hAnsi="宋体" w:cs="宋体" w:eastAsia="宋体" w:hint="default"/>
                            <w:spacing w:val="-60"/>
                            <w:w w:val="101"/>
                            <w:sz w:val="18"/>
                            <w:szCs w:val="18"/>
                          </w:rPr>
                          <w:t> </w:t>
                        </w:r>
                        <w:r>
                          <w:rPr>
                            <w:rFonts w:ascii="Times New Roman" w:hAnsi="Times New Roman" w:cs="Times New Roman" w:eastAsia="Times New Roman" w:hint="default"/>
                            <w:spacing w:val="-3"/>
                            <w:w w:val="101"/>
                            <w:sz w:val="18"/>
                            <w:szCs w:val="18"/>
                          </w:rPr>
                          <w:t>10</w:t>
                        </w:r>
                        <w:r>
                          <w:rPr>
                            <w:rFonts w:ascii="Times New Roman" w:hAnsi="Times New Roman" w:cs="Times New Roman" w:eastAsia="Times New Roman" w:hint="default"/>
                            <w:spacing w:val="-14"/>
                            <w:w w:val="101"/>
                            <w:sz w:val="18"/>
                            <w:szCs w:val="18"/>
                          </w:rPr>
                          <w:t> </w:t>
                        </w:r>
                        <w:r>
                          <w:rPr>
                            <w:rFonts w:ascii="宋体" w:hAnsi="宋体" w:cs="宋体" w:eastAsia="宋体" w:hint="default"/>
                            <w:spacing w:val="-16"/>
                            <w:w w:val="101"/>
                            <w:sz w:val="18"/>
                            <w:szCs w:val="18"/>
                          </w:rPr>
                          <w:t>名股东的情况（如有）</w:t>
                        </w:r>
                        <w:r>
                          <w:rPr>
                            <w:rFonts w:ascii="宋体" w:hAnsi="宋体" w:cs="宋体" w:eastAsia="宋体" w:hint="default"/>
                            <w:sz w:val="18"/>
                            <w:szCs w:val="18"/>
                          </w:rPr>
                        </w:r>
                      </w:p>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935" w:type="dxa"/>
                        <w:gridSpan w:val="8"/>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6"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159" w:hRule="exact"/>
                    </w:trPr>
                    <w:tc>
                      <w:tcPr>
                        <w:tcW w:w="263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935" w:type="dxa"/>
                        <w:gridSpan w:val="8"/>
                        <w:vMerge w:val="restart"/>
                        <w:tcBorders>
                          <w:top w:val="single" w:sz="4" w:space="0" w:color="000000"/>
                          <w:left w:val="single" w:sz="10" w:space="0" w:color="D2D2D2"/>
                          <w:right w:val="single" w:sz="4" w:space="0" w:color="000000"/>
                        </w:tcBorders>
                      </w:tcPr>
                      <w:p>
                        <w:pPr>
                          <w:pStyle w:val="TableParagraph"/>
                          <w:spacing w:line="312" w:lineRule="auto" w:before="53"/>
                          <w:ind w:left="16" w:right="0"/>
                          <w:jc w:val="left"/>
                          <w:rPr>
                            <w:rFonts w:ascii="宋体" w:hAnsi="宋体" w:cs="宋体" w:eastAsia="宋体" w:hint="default"/>
                            <w:sz w:val="18"/>
                            <w:szCs w:val="18"/>
                          </w:rPr>
                        </w:pPr>
                        <w:r>
                          <w:rPr>
                            <w:rFonts w:ascii="宋体" w:hAnsi="宋体" w:cs="宋体" w:eastAsia="宋体" w:hint="default"/>
                            <w:spacing w:val="-3"/>
                            <w:sz w:val="18"/>
                            <w:szCs w:val="18"/>
                          </w:rPr>
                          <w:t>本公司控股股东和实际控制人为纪立军、张列寅夫妇，共同持有本公司 </w:t>
                        </w:r>
                        <w:r>
                          <w:rPr>
                            <w:rFonts w:ascii="Times New Roman" w:hAnsi="Times New Roman" w:cs="Times New Roman" w:eastAsia="Times New Roman" w:hint="default"/>
                            <w:sz w:val="18"/>
                            <w:szCs w:val="18"/>
                          </w:rPr>
                          <w:t>50.96%</w:t>
                        </w:r>
                        <w:r>
                          <w:rPr>
                            <w:rFonts w:ascii="宋体" w:hAnsi="宋体" w:cs="宋体" w:eastAsia="宋体" w:hint="default"/>
                            <w:sz w:val="18"/>
                            <w:szCs w:val="18"/>
                          </w:rPr>
                          <w:t>的股份，</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4"/>
                            <w:sz w:val="18"/>
                            <w:szCs w:val="18"/>
                          </w:rPr>
                          <w:t>根据《上市收购管理办法》的相关规定，纪立军先生及其夫人张列寅女士为一致行动人</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pacing w:val="-3"/>
                            <w:sz w:val="18"/>
                            <w:szCs w:val="18"/>
                          </w:rPr>
                          <w:t>其他股东之间不存在关联关系。</w:t>
                        </w:r>
                      </w:p>
                    </w:tc>
                  </w:tr>
                  <w:tr>
                    <w:trPr>
                      <w:trHeight w:val="706" w:hRule="exact"/>
                    </w:trPr>
                    <w:tc>
                      <w:tcPr>
                        <w:tcW w:w="263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1" w:lineRule="auto" w:before="53"/>
                          <w:ind w:left="24" w:right="72"/>
                          <w:jc w:val="left"/>
                          <w:rPr>
                            <w:rFonts w:ascii="宋体" w:hAnsi="宋体" w:cs="宋体" w:eastAsia="宋体" w:hint="default"/>
                            <w:sz w:val="18"/>
                            <w:szCs w:val="18"/>
                          </w:rPr>
                        </w:pPr>
                        <w:r>
                          <w:rPr>
                            <w:rFonts w:ascii="宋体" w:hAnsi="宋体" w:cs="宋体" w:eastAsia="宋体" w:hint="default"/>
                            <w:spacing w:val="-3"/>
                            <w:sz w:val="18"/>
                            <w:szCs w:val="18"/>
                          </w:rPr>
                          <w:t>上述股东关联关系或一致行动的</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说明</w:t>
                        </w:r>
                      </w:p>
                    </w:tc>
                    <w:tc>
                      <w:tcPr>
                        <w:tcW w:w="6935" w:type="dxa"/>
                        <w:gridSpan w:val="8"/>
                        <w:vMerge/>
                        <w:tcBorders>
                          <w:left w:val="single" w:sz="10" w:space="0" w:color="D2D2D2"/>
                          <w:right w:val="single" w:sz="4" w:space="0" w:color="000000"/>
                        </w:tcBorders>
                      </w:tcPr>
                      <w:p>
                        <w:pPr/>
                      </w:p>
                    </w:tc>
                  </w:tr>
                  <w:tr>
                    <w:trPr>
                      <w:trHeight w:val="163" w:hRule="exact"/>
                    </w:trPr>
                    <w:tc>
                      <w:tcPr>
                        <w:tcW w:w="263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935" w:type="dxa"/>
                        <w:gridSpan w:val="8"/>
                        <w:vMerge/>
                        <w:tcBorders>
                          <w:left w:val="single" w:sz="10" w:space="0" w:color="D2D2D2"/>
                          <w:bottom w:val="single" w:sz="4" w:space="0" w:color="000000"/>
                          <w:right w:val="single" w:sz="4" w:space="0" w:color="000000"/>
                        </w:tcBorders>
                      </w:tcPr>
                      <w:p>
                        <w:pPr/>
                      </w:p>
                    </w:tc>
                  </w:tr>
                  <w:tr>
                    <w:trPr>
                      <w:trHeight w:val="403" w:hRule="exact"/>
                    </w:trPr>
                    <w:tc>
                      <w:tcPr>
                        <w:tcW w:w="9566"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名无限售条件股东持股情况</w:t>
                        </w:r>
                      </w:p>
                    </w:tc>
                  </w:tr>
                  <w:tr>
                    <w:trPr>
                      <w:trHeight w:val="197" w:hRule="exact"/>
                    </w:trPr>
                    <w:tc>
                      <w:tcPr>
                        <w:tcW w:w="263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172"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6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202" w:hRule="exact"/>
                    </w:trPr>
                    <w:tc>
                      <w:tcPr>
                        <w:tcW w:w="263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3"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72"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724" w:right="0"/>
                          <w:jc w:val="left"/>
                          <w:rPr>
                            <w:rFonts w:ascii="宋体" w:hAnsi="宋体" w:cs="宋体" w:eastAsia="宋体" w:hint="default"/>
                            <w:sz w:val="18"/>
                            <w:szCs w:val="18"/>
                          </w:rPr>
                        </w:pPr>
                        <w:r>
                          <w:rPr>
                            <w:rFonts w:ascii="宋体" w:hAnsi="宋体" w:cs="宋体" w:eastAsia="宋体" w:hint="default"/>
                            <w:spacing w:val="-3"/>
                            <w:sz w:val="18"/>
                            <w:szCs w:val="18"/>
                          </w:rPr>
                          <w:t>报告期末持有无限售条件股份数量</w:t>
                        </w:r>
                      </w:p>
                    </w:tc>
                    <w:tc>
                      <w:tcPr>
                        <w:tcW w:w="2764" w:type="dxa"/>
                        <w:gridSpan w:val="3"/>
                        <w:vMerge/>
                        <w:tcBorders>
                          <w:left w:val="single" w:sz="4" w:space="0" w:color="000000"/>
                          <w:bottom w:val="single" w:sz="4" w:space="0" w:color="000000"/>
                          <w:right w:val="single" w:sz="4" w:space="0" w:color="000000"/>
                        </w:tcBorders>
                        <w:shd w:val="clear" w:color="auto" w:fill="D2D2D2"/>
                      </w:tcPr>
                      <w:p>
                        <w:pPr/>
                      </w:p>
                    </w:tc>
                  </w:tr>
                  <w:tr>
                    <w:trPr>
                      <w:trHeight w:val="192" w:hRule="exact"/>
                    </w:trPr>
                    <w:tc>
                      <w:tcPr>
                        <w:tcW w:w="2631" w:type="dxa"/>
                        <w:gridSpan w:val="2"/>
                        <w:vMerge/>
                        <w:tcBorders>
                          <w:left w:val="single" w:sz="4" w:space="0" w:color="000000"/>
                          <w:bottom w:val="nil" w:sz="6" w:space="0" w:color="auto"/>
                          <w:right w:val="single" w:sz="4" w:space="0" w:color="000000"/>
                        </w:tcBorders>
                        <w:shd w:val="clear" w:color="auto" w:fill="D2D2D2"/>
                      </w:tcPr>
                      <w:p>
                        <w:pPr/>
                      </w:p>
                    </w:tc>
                    <w:tc>
                      <w:tcPr>
                        <w:tcW w:w="4172" w:type="dxa"/>
                        <w:gridSpan w:val="5"/>
                        <w:vMerge/>
                        <w:tcBorders>
                          <w:left w:val="single" w:sz="4" w:space="0" w:color="000000"/>
                          <w:bottom w:val="nil" w:sz="6" w:space="0" w:color="auto"/>
                          <w:right w:val="single" w:sz="4" w:space="0" w:color="000000"/>
                        </w:tcBorders>
                        <w:shd w:val="clear" w:color="auto" w:fill="D2D2D2"/>
                      </w:tcPr>
                      <w:p>
                        <w:pPr/>
                      </w:p>
                    </w:tc>
                    <w:tc>
                      <w:tcPr>
                        <w:tcW w:w="138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11" w:hRule="exact"/>
                    </w:trPr>
                    <w:tc>
                      <w:tcPr>
                        <w:tcW w:w="263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172"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81" w:type="dxa"/>
                        <w:gridSpan w:val="2"/>
                        <w:vMerge/>
                        <w:tcBorders>
                          <w:left w:val="single" w:sz="4" w:space="0" w:color="000000"/>
                          <w:bottom w:val="single" w:sz="4" w:space="0" w:color="000000"/>
                          <w:right w:val="single" w:sz="4" w:space="0" w:color="000000"/>
                        </w:tcBorders>
                        <w:shd w:val="clear" w:color="auto" w:fill="D2D2D2"/>
                      </w:tcPr>
                      <w:p>
                        <w:pPr/>
                      </w:p>
                    </w:tc>
                    <w:tc>
                      <w:tcPr>
                        <w:tcW w:w="138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417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8"/>
                          <w:jc w:val="right"/>
                          <w:rPr>
                            <w:rFonts w:ascii="Times New Roman" w:hAnsi="Times New Roman" w:cs="Times New Roman" w:eastAsia="Times New Roman" w:hint="default"/>
                            <w:sz w:val="18"/>
                            <w:szCs w:val="18"/>
                          </w:rPr>
                        </w:pPr>
                        <w:r>
                          <w:rPr>
                            <w:rFonts w:ascii="Times New Roman"/>
                            <w:spacing w:val="-1"/>
                            <w:sz w:val="18"/>
                          </w:rPr>
                          <w:t>36,018,184</w:t>
                        </w:r>
                      </w:p>
                    </w:tc>
                    <w:tc>
                      <w:tcPr>
                        <w:tcW w:w="1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36,018,184</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after="0"/>
        <w:jc w:val="right"/>
        <w:rPr>
          <w:rFonts w:ascii="宋体" w:hAnsi="宋体" w:cs="宋体" w:eastAsia="宋体" w:hint="default"/>
          <w:sz w:val="18"/>
          <w:szCs w:val="18"/>
        </w:rPr>
        <w:sectPr>
          <w:pgSz w:w="11900" w:h="16840"/>
          <w:pgMar w:header="742" w:footer="984"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before="46"/>
        <w:ind w:left="0" w:right="151" w:firstLine="0"/>
        <w:jc w:val="right"/>
        <w:rPr>
          <w:rFonts w:ascii="宋体" w:hAnsi="宋体" w:cs="宋体" w:eastAsia="宋体" w:hint="default"/>
          <w:sz w:val="18"/>
          <w:szCs w:val="18"/>
        </w:rPr>
      </w:pPr>
      <w:r>
        <w:rPr/>
        <w:pict>
          <v:shape style="position:absolute;margin-left:56.400002pt;margin-top:-228.388306pt;width:479.05pt;height:330.7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35"/>
                    <w:gridCol w:w="4162"/>
                    <w:gridCol w:w="1387"/>
                    <w:gridCol w:w="1382"/>
                  </w:tblGrid>
                  <w:tr>
                    <w:trPr>
                      <w:trHeight w:val="403" w:hRule="exact"/>
                    </w:trPr>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张烈寅</w:t>
                        </w:r>
                      </w:p>
                    </w:tc>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23,090,800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23,090,800</w:t>
                        </w:r>
                      </w:p>
                    </w:tc>
                  </w:tr>
                  <w:tr>
                    <w:trPr>
                      <w:trHeight w:val="398" w:hRule="exact"/>
                    </w:trPr>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凌凤远</w:t>
                        </w:r>
                      </w:p>
                    </w:tc>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2,685,032</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2,685,032</w:t>
                        </w:r>
                      </w:p>
                    </w:tc>
                  </w:tr>
                  <w:tr>
                    <w:trPr>
                      <w:trHeight w:val="359" w:hRule="exact"/>
                    </w:trPr>
                    <w:tc>
                      <w:tcPr>
                        <w:tcW w:w="26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中国建设银行股份有限公司－摩</w:t>
                        </w:r>
                      </w:p>
                    </w:tc>
                    <w:tc>
                      <w:tcPr>
                        <w:tcW w:w="4162" w:type="dxa"/>
                        <w:tcBorders>
                          <w:top w:val="single" w:sz="4" w:space="0" w:color="000000"/>
                          <w:left w:val="single" w:sz="4" w:space="0" w:color="000000"/>
                          <w:bottom w:val="nil" w:sz="6" w:space="0" w:color="auto"/>
                          <w:right w:val="single" w:sz="4" w:space="0" w:color="000000"/>
                        </w:tcBorders>
                      </w:tcPr>
                      <w:p>
                        <w:pPr/>
                      </w:p>
                    </w:tc>
                    <w:tc>
                      <w:tcPr>
                        <w:tcW w:w="1387" w:type="dxa"/>
                        <w:tcBorders>
                          <w:top w:val="single" w:sz="4" w:space="0" w:color="000000"/>
                          <w:left w:val="single" w:sz="4" w:space="0" w:color="000000"/>
                          <w:bottom w:val="nil" w:sz="6" w:space="0" w:color="auto"/>
                          <w:right w:val="single" w:sz="4" w:space="0" w:color="000000"/>
                        </w:tcBorders>
                      </w:tcPr>
                      <w:p>
                        <w:pPr/>
                      </w:p>
                    </w:tc>
                    <w:tc>
                      <w:tcPr>
                        <w:tcW w:w="1382" w:type="dxa"/>
                        <w:tcBorders>
                          <w:top w:val="single" w:sz="4" w:space="0" w:color="000000"/>
                          <w:left w:val="single" w:sz="4" w:space="0" w:color="000000"/>
                          <w:bottom w:val="nil" w:sz="6" w:space="0" w:color="auto"/>
                          <w:right w:val="single" w:sz="4" w:space="0" w:color="000000"/>
                        </w:tcBorders>
                      </w:tcPr>
                      <w:p>
                        <w:pPr/>
                      </w:p>
                    </w:tc>
                  </w:tr>
                  <w:tr>
                    <w:trPr>
                      <w:trHeight w:val="319" w:hRule="exact"/>
                    </w:trPr>
                    <w:tc>
                      <w:tcPr>
                        <w:tcW w:w="263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pacing w:val="-3"/>
                            <w:sz w:val="18"/>
                            <w:szCs w:val="18"/>
                          </w:rPr>
                          <w:t>根士丹利华鑫多因子精选策略股</w:t>
                        </w:r>
                      </w:p>
                    </w:tc>
                    <w:tc>
                      <w:tcPr>
                        <w:tcW w:w="4162"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2,400,431</w:t>
                        </w:r>
                      </w:p>
                    </w:tc>
                    <w:tc>
                      <w:tcPr>
                        <w:tcW w:w="138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2"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7"/>
                          <w:jc w:val="right"/>
                          <w:rPr>
                            <w:rFonts w:ascii="Times New Roman" w:hAnsi="Times New Roman" w:cs="Times New Roman" w:eastAsia="Times New Roman" w:hint="default"/>
                            <w:sz w:val="18"/>
                            <w:szCs w:val="18"/>
                          </w:rPr>
                        </w:pPr>
                        <w:r>
                          <w:rPr>
                            <w:rFonts w:ascii="Times New Roman"/>
                            <w:spacing w:val="-1"/>
                            <w:sz w:val="18"/>
                          </w:rPr>
                          <w:t>2,400,431</w:t>
                        </w:r>
                      </w:p>
                    </w:tc>
                  </w:tr>
                  <w:tr>
                    <w:trPr>
                      <w:trHeight w:val="349" w:hRule="exact"/>
                    </w:trPr>
                    <w:tc>
                      <w:tcPr>
                        <w:tcW w:w="26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票型证券投资基金</w:t>
                        </w:r>
                      </w:p>
                    </w:tc>
                    <w:tc>
                      <w:tcPr>
                        <w:tcW w:w="4162" w:type="dxa"/>
                        <w:tcBorders>
                          <w:top w:val="nil" w:sz="6" w:space="0" w:color="auto"/>
                          <w:left w:val="single" w:sz="4" w:space="0" w:color="000000"/>
                          <w:bottom w:val="single" w:sz="4" w:space="0" w:color="000000"/>
                          <w:right w:val="single" w:sz="4" w:space="0" w:color="000000"/>
                        </w:tcBorders>
                      </w:tcPr>
                      <w:p>
                        <w:pPr/>
                      </w:p>
                    </w:tc>
                    <w:tc>
                      <w:tcPr>
                        <w:tcW w:w="1387" w:type="dxa"/>
                        <w:tcBorders>
                          <w:top w:val="nil" w:sz="6" w:space="0" w:color="auto"/>
                          <w:left w:val="single" w:sz="4" w:space="0" w:color="000000"/>
                          <w:bottom w:val="single" w:sz="4" w:space="0" w:color="000000"/>
                          <w:right w:val="single" w:sz="4" w:space="0" w:color="000000"/>
                        </w:tcBorders>
                      </w:tcPr>
                      <w:p>
                        <w:pPr/>
                      </w:p>
                    </w:tc>
                    <w:tc>
                      <w:tcPr>
                        <w:tcW w:w="1382"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崔巍</w:t>
                        </w:r>
                      </w:p>
                    </w:tc>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1,080,000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1,080,000</w:t>
                        </w:r>
                      </w:p>
                    </w:tc>
                  </w:tr>
                  <w:tr>
                    <w:trPr>
                      <w:trHeight w:val="403" w:hRule="exact"/>
                    </w:trPr>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上海翃泰贸易有限公司</w:t>
                        </w:r>
                      </w:p>
                    </w:tc>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900,000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900,000</w:t>
                        </w:r>
                      </w:p>
                    </w:tc>
                  </w:tr>
                  <w:tr>
                    <w:trPr>
                      <w:trHeight w:val="398" w:hRule="exact"/>
                    </w:trPr>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郑国莉</w:t>
                        </w:r>
                      </w:p>
                    </w:tc>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832,000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832,000</w:t>
                        </w:r>
                      </w:p>
                    </w:tc>
                  </w:tr>
                  <w:tr>
                    <w:trPr>
                      <w:trHeight w:val="403" w:hRule="exact"/>
                    </w:trPr>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朱江</w:t>
                        </w:r>
                      </w:p>
                    </w:tc>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700,116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700,116</w:t>
                        </w:r>
                      </w:p>
                    </w:tc>
                  </w:tr>
                  <w:tr>
                    <w:trPr>
                      <w:trHeight w:val="403" w:hRule="exact"/>
                    </w:trPr>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焦五三</w:t>
                        </w:r>
                      </w:p>
                    </w:tc>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549,000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549,000</w:t>
                        </w:r>
                      </w:p>
                    </w:tc>
                  </w:tr>
                  <w:tr>
                    <w:trPr>
                      <w:trHeight w:val="403" w:hRule="exact"/>
                    </w:trPr>
                    <w:tc>
                      <w:tcPr>
                        <w:tcW w:w="2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黄秋芬</w:t>
                        </w:r>
                      </w:p>
                    </w:tc>
                    <w:tc>
                      <w:tcPr>
                        <w:tcW w:w="4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525,100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525,100</w:t>
                        </w:r>
                      </w:p>
                    </w:tc>
                  </w:tr>
                  <w:tr>
                    <w:trPr>
                      <w:trHeight w:val="362" w:hRule="exact"/>
                    </w:trPr>
                    <w:tc>
                      <w:tcPr>
                        <w:tcW w:w="2635" w:type="dxa"/>
                        <w:tcBorders>
                          <w:top w:val="single" w:sz="4" w:space="0" w:color="000000"/>
                          <w:left w:val="single" w:sz="4" w:space="0" w:color="000000"/>
                          <w:bottom w:val="nil" w:sz="6" w:space="0" w:color="auto"/>
                          <w:right w:val="single" w:sz="12" w:space="0" w:color="FFFFFF"/>
                        </w:tcBorders>
                        <w:shd w:val="clear" w:color="auto" w:fill="D2D2D2"/>
                      </w:tcPr>
                      <w:p>
                        <w:pPr>
                          <w:pStyle w:val="TableParagraph"/>
                          <w:spacing w:line="240" w:lineRule="auto" w:before="53"/>
                          <w:ind w:left="24" w:right="-24"/>
                          <w:jc w:val="left"/>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名无限售流通股股东之间，</w:t>
                        </w:r>
                      </w:p>
                    </w:tc>
                    <w:tc>
                      <w:tcPr>
                        <w:tcW w:w="6931" w:type="dxa"/>
                        <w:gridSpan w:val="3"/>
                        <w:tcBorders>
                          <w:top w:val="single" w:sz="4" w:space="0" w:color="000000"/>
                          <w:left w:val="single" w:sz="12" w:space="0" w:color="FFFFFF"/>
                          <w:bottom w:val="nil" w:sz="6" w:space="0" w:color="auto"/>
                          <w:right w:val="single" w:sz="4" w:space="0" w:color="000000"/>
                        </w:tcBorders>
                      </w:tcPr>
                      <w:p>
                        <w:pPr>
                          <w:pStyle w:val="TableParagraph"/>
                          <w:spacing w:line="240" w:lineRule="auto" w:before="53"/>
                          <w:ind w:left="9" w:right="0"/>
                          <w:jc w:val="left"/>
                          <w:rPr>
                            <w:rFonts w:ascii="宋体" w:hAnsi="宋体" w:cs="宋体" w:eastAsia="宋体" w:hint="default"/>
                            <w:sz w:val="18"/>
                            <w:szCs w:val="18"/>
                          </w:rPr>
                        </w:pPr>
                        <w:r>
                          <w:rPr>
                            <w:rFonts w:ascii="宋体" w:hAnsi="宋体" w:cs="宋体" w:eastAsia="宋体" w:hint="default"/>
                            <w:spacing w:val="-3"/>
                            <w:sz w:val="18"/>
                            <w:szCs w:val="18"/>
                          </w:rPr>
                          <w:t>本公司控股股东和实际控制人为纪立军、张列寅夫妇，共同持有本公司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50.96%</w:t>
                        </w:r>
                        <w:r>
                          <w:rPr>
                            <w:rFonts w:ascii="宋体" w:hAnsi="宋体" w:cs="宋体" w:eastAsia="宋体" w:hint="default"/>
                            <w:sz w:val="18"/>
                            <w:szCs w:val="18"/>
                          </w:rPr>
                          <w:t>的股份，</w:t>
                        </w:r>
                      </w:p>
                    </w:tc>
                  </w:tr>
                  <w:tr>
                    <w:trPr>
                      <w:trHeight w:val="310" w:hRule="exact"/>
                    </w:trPr>
                    <w:tc>
                      <w:tcPr>
                        <w:tcW w:w="2635" w:type="dxa"/>
                        <w:tcBorders>
                          <w:top w:val="nil" w:sz="6" w:space="0" w:color="auto"/>
                          <w:left w:val="single" w:sz="4" w:space="0" w:color="000000"/>
                          <w:bottom w:val="nil" w:sz="6" w:space="0" w:color="auto"/>
                          <w:right w:val="single" w:sz="12" w:space="0" w:color="FFFFFF"/>
                        </w:tcBorders>
                        <w:shd w:val="clear" w:color="auto" w:fill="D2D2D2"/>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名无限售流通股股东和</w:t>
                        </w:r>
                      </w:p>
                    </w:tc>
                    <w:tc>
                      <w:tcPr>
                        <w:tcW w:w="6931" w:type="dxa"/>
                        <w:gridSpan w:val="3"/>
                        <w:tcBorders>
                          <w:top w:val="nil" w:sz="6" w:space="0" w:color="auto"/>
                          <w:left w:val="single" w:sz="12" w:space="0" w:color="FFFFFF"/>
                          <w:bottom w:val="nil" w:sz="6" w:space="0" w:color="auto"/>
                          <w:right w:val="single" w:sz="4" w:space="0" w:color="000000"/>
                        </w:tcBorders>
                      </w:tcPr>
                      <w:p>
                        <w:pPr>
                          <w:pStyle w:val="TableParagraph"/>
                          <w:spacing w:line="240" w:lineRule="auto" w:before="4"/>
                          <w:ind w:left="9" w:right="0"/>
                          <w:jc w:val="left"/>
                          <w:rPr>
                            <w:rFonts w:ascii="宋体" w:hAnsi="宋体" w:cs="宋体" w:eastAsia="宋体" w:hint="default"/>
                            <w:sz w:val="18"/>
                            <w:szCs w:val="18"/>
                          </w:rPr>
                        </w:pPr>
                        <w:r>
                          <w:rPr>
                            <w:rFonts w:ascii="宋体" w:hAnsi="宋体" w:cs="宋体" w:eastAsia="宋体" w:hint="default"/>
                            <w:spacing w:val="-4"/>
                            <w:sz w:val="18"/>
                            <w:szCs w:val="18"/>
                          </w:rPr>
                          <w:t>根据《上市收购管理办法》的相关规定，纪立军先生及其夫人张列寅女士为一致行动人</w:t>
                        </w:r>
                      </w:p>
                    </w:tc>
                  </w:tr>
                  <w:tr>
                    <w:trPr>
                      <w:trHeight w:val="314" w:hRule="exact"/>
                    </w:trPr>
                    <w:tc>
                      <w:tcPr>
                        <w:tcW w:w="2635" w:type="dxa"/>
                        <w:tcBorders>
                          <w:top w:val="nil" w:sz="6" w:space="0" w:color="auto"/>
                          <w:left w:val="single" w:sz="4" w:space="0" w:color="000000"/>
                          <w:bottom w:val="nil" w:sz="6" w:space="0" w:color="auto"/>
                          <w:right w:val="single" w:sz="12" w:space="0" w:color="FFFFFF"/>
                        </w:tcBorders>
                        <w:shd w:val="clear" w:color="auto" w:fill="D2D2D2"/>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名股东之间关联关系或一致</w:t>
                        </w:r>
                      </w:p>
                    </w:tc>
                    <w:tc>
                      <w:tcPr>
                        <w:tcW w:w="6931" w:type="dxa"/>
                        <w:gridSpan w:val="3"/>
                        <w:tcBorders>
                          <w:top w:val="nil" w:sz="6" w:space="0" w:color="auto"/>
                          <w:left w:val="single" w:sz="12" w:space="0" w:color="FFFFFF"/>
                          <w:bottom w:val="nil" w:sz="6" w:space="0" w:color="auto"/>
                          <w:right w:val="single" w:sz="4" w:space="0" w:color="000000"/>
                        </w:tcBorders>
                      </w:tcPr>
                      <w:p>
                        <w:pPr>
                          <w:pStyle w:val="TableParagraph"/>
                          <w:spacing w:line="240" w:lineRule="auto" w:before="6"/>
                          <w:ind w:left="9" w:right="0"/>
                          <w:jc w:val="left"/>
                          <w:rPr>
                            <w:rFonts w:ascii="宋体" w:hAnsi="宋体" w:cs="宋体" w:eastAsia="宋体" w:hint="default"/>
                            <w:sz w:val="18"/>
                            <w:szCs w:val="18"/>
                          </w:rPr>
                        </w:pPr>
                        <w:r>
                          <w:rPr>
                            <w:rFonts w:ascii="宋体" w:hAnsi="宋体" w:cs="宋体" w:eastAsia="宋体" w:hint="default"/>
                            <w:spacing w:val="-3"/>
                            <w:sz w:val="18"/>
                            <w:szCs w:val="18"/>
                          </w:rPr>
                          <w:t>公司未知其他前十名无限售条件股东之间是否存在关联关系，也未知是否属于一致行动</w:t>
                        </w:r>
                      </w:p>
                    </w:tc>
                  </w:tr>
                  <w:tr>
                    <w:trPr>
                      <w:trHeight w:val="349" w:hRule="exact"/>
                    </w:trPr>
                    <w:tc>
                      <w:tcPr>
                        <w:tcW w:w="2635" w:type="dxa"/>
                        <w:tcBorders>
                          <w:top w:val="nil" w:sz="6" w:space="0" w:color="auto"/>
                          <w:left w:val="single" w:sz="4" w:space="0" w:color="000000"/>
                          <w:bottom w:val="single" w:sz="4" w:space="0" w:color="000000"/>
                          <w:right w:val="single" w:sz="12" w:space="0" w:color="FFFFFF"/>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行动的说明</w:t>
                        </w:r>
                      </w:p>
                    </w:tc>
                    <w:tc>
                      <w:tcPr>
                        <w:tcW w:w="6931" w:type="dxa"/>
                        <w:gridSpan w:val="3"/>
                        <w:tcBorders>
                          <w:top w:val="nil" w:sz="6" w:space="0" w:color="auto"/>
                          <w:left w:val="single" w:sz="12" w:space="0" w:color="FFFFFF"/>
                          <w:bottom w:val="single" w:sz="4" w:space="0" w:color="000000"/>
                          <w:right w:val="single" w:sz="4" w:space="0" w:color="000000"/>
                        </w:tcBorders>
                      </w:tcPr>
                      <w:p>
                        <w:pPr>
                          <w:pStyle w:val="TableParagraph"/>
                          <w:spacing w:line="240" w:lineRule="auto" w:before="8"/>
                          <w:ind w:left="9" w:right="0"/>
                          <w:jc w:val="left"/>
                          <w:rPr>
                            <w:rFonts w:ascii="宋体" w:hAnsi="宋体" w:cs="宋体" w:eastAsia="宋体" w:hint="default"/>
                            <w:sz w:val="18"/>
                            <w:szCs w:val="18"/>
                          </w:rPr>
                        </w:pPr>
                        <w:r>
                          <w:rPr>
                            <w:rFonts w:ascii="宋体" w:hAnsi="宋体" w:cs="宋体" w:eastAsia="宋体" w:hint="default"/>
                            <w:sz w:val="18"/>
                            <w:szCs w:val="18"/>
                          </w:rPr>
                          <w:t>人。</w:t>
                        </w:r>
                      </w:p>
                    </w:tc>
                  </w:tr>
                  <w:tr>
                    <w:trPr>
                      <w:trHeight w:val="1027" w:hRule="exact"/>
                    </w:trPr>
                    <w:tc>
                      <w:tcPr>
                        <w:tcW w:w="2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参与融资融券业务股东情况说明</w:t>
                        </w:r>
                      </w:p>
                      <w:p>
                        <w:pPr>
                          <w:pStyle w:val="TableParagraph"/>
                          <w:spacing w:line="240" w:lineRule="auto" w:before="81"/>
                          <w:ind w:left="24"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如</w:t>
                        </w:r>
                        <w:r>
                          <w:rPr>
                            <w:rFonts w:ascii="宋体" w:hAnsi="宋体" w:cs="宋体" w:eastAsia="宋体" w:hint="default"/>
                            <w:w w:val="101"/>
                            <w:sz w:val="18"/>
                            <w:szCs w:val="18"/>
                          </w:rPr>
                          <w:t>有</w:t>
                        </w:r>
                        <w:r>
                          <w:rPr>
                            <w:rFonts w:ascii="宋体" w:hAnsi="宋体" w:cs="宋体" w:eastAsia="宋体" w:hint="default"/>
                            <w:spacing w:val="-91"/>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参见注</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4</w:t>
                        </w:r>
                        <w:r>
                          <w:rPr>
                            <w:rFonts w:ascii="宋体" w:hAnsi="宋体" w:cs="宋体" w:eastAsia="宋体" w:hint="default"/>
                            <w:w w:val="101"/>
                            <w:sz w:val="18"/>
                            <w:szCs w:val="18"/>
                          </w:rPr>
                          <w:t>）</w:t>
                        </w:r>
                        <w:r>
                          <w:rPr>
                            <w:rFonts w:ascii="宋体" w:hAnsi="宋体" w:cs="宋体" w:eastAsia="宋体" w:hint="default"/>
                            <w:sz w:val="18"/>
                            <w:szCs w:val="18"/>
                          </w:rPr>
                        </w:r>
                      </w:p>
                    </w:tc>
                    <w:tc>
                      <w:tcPr>
                        <w:tcW w:w="693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pacing w:val="-3"/>
                            <w:sz w:val="18"/>
                            <w:szCs w:val="18"/>
                          </w:rPr>
                          <w:t>公司股东凌凤远除通过普通证券账户持有本公司 </w:t>
                        </w:r>
                        <w:r>
                          <w:rPr>
                            <w:rFonts w:ascii="Times New Roman" w:hAnsi="Times New Roman" w:cs="Times New Roman" w:eastAsia="Times New Roman" w:hint="default"/>
                            <w:sz w:val="18"/>
                            <w:szCs w:val="18"/>
                          </w:rPr>
                          <w:t>143 </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股外，还通过中国中投证券有限责</w:t>
                        </w:r>
                      </w:p>
                      <w:p>
                        <w:pPr>
                          <w:pStyle w:val="TableParagraph"/>
                          <w:spacing w:line="240" w:lineRule="auto" w:before="63"/>
                          <w:ind w:left="19" w:right="0"/>
                          <w:jc w:val="left"/>
                          <w:rPr>
                            <w:rFonts w:ascii="Times New Roman" w:hAnsi="Times New Roman" w:cs="Times New Roman" w:eastAsia="Times New Roman" w:hint="default"/>
                            <w:sz w:val="18"/>
                            <w:szCs w:val="18"/>
                          </w:rPr>
                        </w:pPr>
                        <w:r>
                          <w:rPr>
                            <w:rFonts w:ascii="宋体" w:hAnsi="宋体" w:cs="宋体" w:eastAsia="宋体" w:hint="default"/>
                            <w:w w:val="101"/>
                            <w:sz w:val="18"/>
                            <w:szCs w:val="18"/>
                          </w:rPr>
                          <w:t>任</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客</w:t>
                        </w:r>
                        <w:r>
                          <w:rPr>
                            <w:rFonts w:ascii="宋体" w:hAnsi="宋体" w:cs="宋体" w:eastAsia="宋体" w:hint="default"/>
                            <w:w w:val="101"/>
                            <w:sz w:val="18"/>
                            <w:szCs w:val="18"/>
                          </w:rPr>
                          <w:t>户</w:t>
                        </w:r>
                        <w:r>
                          <w:rPr>
                            <w:rFonts w:ascii="宋体" w:hAnsi="宋体" w:cs="宋体" w:eastAsia="宋体" w:hint="default"/>
                            <w:spacing w:val="-5"/>
                            <w:w w:val="101"/>
                            <w:sz w:val="18"/>
                            <w:szCs w:val="18"/>
                          </w:rPr>
                          <w:t>信</w:t>
                        </w:r>
                        <w:r>
                          <w:rPr>
                            <w:rFonts w:ascii="宋体" w:hAnsi="宋体" w:cs="宋体" w:eastAsia="宋体" w:hint="default"/>
                            <w:w w:val="101"/>
                            <w:sz w:val="18"/>
                            <w:szCs w:val="18"/>
                          </w:rPr>
                          <w:t>用</w:t>
                        </w:r>
                        <w:r>
                          <w:rPr>
                            <w:rFonts w:ascii="宋体" w:hAnsi="宋体" w:cs="宋体" w:eastAsia="宋体" w:hint="default"/>
                            <w:spacing w:val="-5"/>
                            <w:w w:val="101"/>
                            <w:sz w:val="18"/>
                            <w:szCs w:val="18"/>
                          </w:rPr>
                          <w:t>交</w:t>
                        </w:r>
                        <w:r>
                          <w:rPr>
                            <w:rFonts w:ascii="宋体" w:hAnsi="宋体" w:cs="宋体" w:eastAsia="宋体" w:hint="default"/>
                            <w:w w:val="101"/>
                            <w:sz w:val="18"/>
                            <w:szCs w:val="18"/>
                          </w:rPr>
                          <w:t>易</w:t>
                        </w:r>
                        <w:r>
                          <w:rPr>
                            <w:rFonts w:ascii="宋体" w:hAnsi="宋体" w:cs="宋体" w:eastAsia="宋体" w:hint="default"/>
                            <w:spacing w:val="-5"/>
                            <w:w w:val="101"/>
                            <w:sz w:val="18"/>
                            <w:szCs w:val="18"/>
                          </w:rPr>
                          <w:t>担</w:t>
                        </w:r>
                        <w:r>
                          <w:rPr>
                            <w:rFonts w:ascii="宋体" w:hAnsi="宋体" w:cs="宋体" w:eastAsia="宋体" w:hint="default"/>
                            <w:w w:val="101"/>
                            <w:sz w:val="18"/>
                            <w:szCs w:val="18"/>
                          </w:rPr>
                          <w:t>保</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账</w:t>
                        </w:r>
                        <w:r>
                          <w:rPr>
                            <w:rFonts w:ascii="宋体" w:hAnsi="宋体" w:cs="宋体" w:eastAsia="宋体" w:hint="default"/>
                            <w:w w:val="101"/>
                            <w:sz w:val="18"/>
                            <w:szCs w:val="18"/>
                          </w:rPr>
                          <w:t>户</w:t>
                        </w:r>
                        <w:r>
                          <w:rPr>
                            <w:rFonts w:ascii="宋体" w:hAnsi="宋体" w:cs="宋体" w:eastAsia="宋体" w:hint="default"/>
                            <w:spacing w:val="-5"/>
                            <w:w w:val="101"/>
                            <w:sz w:val="18"/>
                            <w:szCs w:val="18"/>
                          </w:rPr>
                          <w:t>持</w:t>
                        </w:r>
                        <w:r>
                          <w:rPr>
                            <w:rFonts w:ascii="宋体" w:hAnsi="宋体" w:cs="宋体" w:eastAsia="宋体" w:hint="default"/>
                            <w:w w:val="101"/>
                            <w:sz w:val="18"/>
                            <w:szCs w:val="18"/>
                          </w:rPr>
                          <w:t>有</w:t>
                        </w:r>
                        <w:r>
                          <w:rPr>
                            <w:rFonts w:ascii="宋体" w:hAnsi="宋体" w:cs="宋体" w:eastAsia="宋体" w:hint="default"/>
                            <w:spacing w:val="-5"/>
                            <w:w w:val="101"/>
                            <w:sz w:val="18"/>
                            <w:szCs w:val="18"/>
                          </w:rPr>
                          <w:t>本</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股票</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6</w:t>
                        </w:r>
                        <w:r>
                          <w:rPr>
                            <w:rFonts w:ascii="Times New Roman" w:hAnsi="Times New Roman" w:cs="Times New Roman" w:eastAsia="Times New Roman" w:hint="default"/>
                            <w:w w:val="101"/>
                            <w:sz w:val="18"/>
                            <w:szCs w:val="18"/>
                          </w:rPr>
                          <w:t>84</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889</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股</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实</w:t>
                        </w:r>
                        <w:r>
                          <w:rPr>
                            <w:rFonts w:ascii="宋体" w:hAnsi="宋体" w:cs="宋体" w:eastAsia="宋体" w:hint="default"/>
                            <w:w w:val="101"/>
                            <w:sz w:val="18"/>
                            <w:szCs w:val="18"/>
                          </w:rPr>
                          <w:t>际</w:t>
                        </w:r>
                        <w:r>
                          <w:rPr>
                            <w:rFonts w:ascii="宋体" w:hAnsi="宋体" w:cs="宋体" w:eastAsia="宋体" w:hint="default"/>
                            <w:spacing w:val="-5"/>
                            <w:w w:val="101"/>
                            <w:sz w:val="18"/>
                            <w:szCs w:val="18"/>
                          </w:rPr>
                          <w:t>合</w:t>
                        </w:r>
                        <w:r>
                          <w:rPr>
                            <w:rFonts w:ascii="宋体" w:hAnsi="宋体" w:cs="宋体" w:eastAsia="宋体" w:hint="default"/>
                            <w:w w:val="101"/>
                            <w:sz w:val="18"/>
                            <w:szCs w:val="18"/>
                          </w:rPr>
                          <w:t>计</w:t>
                        </w:r>
                        <w:r>
                          <w:rPr>
                            <w:rFonts w:ascii="宋体" w:hAnsi="宋体" w:cs="宋体" w:eastAsia="宋体" w:hint="default"/>
                            <w:spacing w:val="-5"/>
                            <w:w w:val="101"/>
                            <w:sz w:val="18"/>
                            <w:szCs w:val="18"/>
                          </w:rPr>
                          <w:t>持</w:t>
                        </w:r>
                        <w:r>
                          <w:rPr>
                            <w:rFonts w:ascii="宋体" w:hAnsi="宋体" w:cs="宋体" w:eastAsia="宋体" w:hint="default"/>
                            <w:w w:val="101"/>
                            <w:sz w:val="18"/>
                            <w:szCs w:val="18"/>
                          </w:rPr>
                          <w:t>有</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68</w:t>
                        </w:r>
                        <w:r>
                          <w:rPr>
                            <w:rFonts w:ascii="Times New Roman" w:hAnsi="Times New Roman" w:cs="Times New Roman" w:eastAsia="Times New Roman" w:hint="default"/>
                            <w:spacing w:val="-5"/>
                            <w:w w:val="101"/>
                            <w:sz w:val="18"/>
                            <w:szCs w:val="18"/>
                          </w:rPr>
                          <w:t>5</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32</w:t>
                        </w:r>
                        <w:r>
                          <w:rPr>
                            <w:rFonts w:ascii="Times New Roman" w:hAnsi="Times New Roman" w:cs="Times New Roman" w:eastAsia="Times New Roman" w:hint="default"/>
                            <w:sz w:val="18"/>
                            <w:szCs w:val="18"/>
                          </w:rPr>
                        </w:r>
                      </w:p>
                      <w:p>
                        <w:pPr>
                          <w:pStyle w:val="TableParagraph"/>
                          <w:spacing w:line="240" w:lineRule="auto" w:before="67"/>
                          <w:ind w:left="19" w:right="0"/>
                          <w:jc w:val="left"/>
                          <w:rPr>
                            <w:rFonts w:ascii="宋体" w:hAnsi="宋体" w:cs="宋体" w:eastAsia="宋体" w:hint="default"/>
                            <w:sz w:val="18"/>
                            <w:szCs w:val="18"/>
                          </w:rPr>
                        </w:pPr>
                        <w:r>
                          <w:rPr>
                            <w:rFonts w:ascii="宋体" w:hAnsi="宋体" w:cs="宋体" w:eastAsia="宋体" w:hint="default"/>
                            <w:sz w:val="18"/>
                            <w:szCs w:val="18"/>
                          </w:rPr>
                          <w:t>股。</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4"/>
        <w:spacing w:line="335" w:lineRule="exact"/>
        <w:ind w:left="575" w:right="0"/>
        <w:jc w:val="left"/>
        <w:rPr>
          <w:b w:val="0"/>
          <w:bCs w:val="0"/>
        </w:rPr>
      </w:pPr>
      <w:r>
        <w:rPr/>
        <w:t>公司股东在报告期内是否进行约定购回交易</w:t>
      </w:r>
      <w:r>
        <w:rPr>
          <w:b w:val="0"/>
          <w:bCs w:val="0"/>
        </w:rPr>
      </w:r>
    </w:p>
    <w:p>
      <w:pPr>
        <w:pStyle w:val="BodyText"/>
        <w:spacing w:line="386" w:lineRule="auto" w:before="171"/>
        <w:ind w:left="575" w:right="5100"/>
        <w:jc w:val="left"/>
      </w:pPr>
      <w:r>
        <w:rPr>
          <w:rFonts w:ascii="Arial" w:hAnsi="Arial" w:cs="Arial" w:eastAsia="Arial" w:hint="default"/>
        </w:rPr>
        <w:t>□</w:t>
      </w:r>
      <w:r>
        <w:rPr>
          <w:rFonts w:ascii="Arial" w:hAnsi="Arial" w:cs="Arial" w:eastAsia="Arial" w:hint="default"/>
          <w:spacing w:val="48"/>
        </w:rPr>
        <w:t> </w:t>
      </w:r>
      <w:r>
        <w:rPr/>
        <w:t>是 </w:t>
      </w:r>
      <w:r>
        <w:rPr>
          <w:rFonts w:ascii="Arial" w:hAnsi="Arial" w:cs="Arial" w:eastAsia="Arial" w:hint="default"/>
        </w:rPr>
        <w:t>√</w:t>
      </w:r>
      <w:r>
        <w:rPr>
          <w:rFonts w:ascii="Arial" w:hAnsi="Arial" w:cs="Arial" w:eastAsia="Arial" w:hint="default"/>
          <w:spacing w:val="46"/>
        </w:rPr>
        <w:t> </w:t>
      </w:r>
      <w:r>
        <w:rPr/>
        <w:t>否</w:t>
      </w:r>
      <w:r>
        <w:rPr>
          <w:spacing w:val="-102"/>
        </w:rPr>
        <w:t> </w:t>
      </w:r>
      <w:r>
        <w:rPr>
          <w:spacing w:val="-2"/>
        </w:rPr>
        <w:t>公司股东在报告期内未进行约定购回交易。</w:t>
      </w:r>
    </w:p>
    <w:p>
      <w:pPr>
        <w:spacing w:line="240" w:lineRule="auto" w:before="12"/>
        <w:rPr>
          <w:rFonts w:ascii="宋体" w:hAnsi="宋体" w:cs="宋体" w:eastAsia="宋体" w:hint="default"/>
          <w:sz w:val="16"/>
          <w:szCs w:val="16"/>
        </w:rPr>
      </w:pPr>
    </w:p>
    <w:p>
      <w:pPr>
        <w:pStyle w:val="Heading4"/>
        <w:spacing w:line="453" w:lineRule="auto"/>
        <w:ind w:left="575" w:right="7773" w:hanging="423"/>
        <w:jc w:val="left"/>
        <w:rPr>
          <w:b w:val="0"/>
          <w:bCs w:val="0"/>
        </w:rPr>
      </w:pPr>
      <w:r>
        <w:rPr/>
        <w:pict>
          <v:shape style="position:absolute;margin-left:56.400002pt;margin-top:58.084435pt;width:479.05pt;height:190.1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6"/>
                    <w:gridCol w:w="2054"/>
                    <w:gridCol w:w="4176"/>
                  </w:tblGrid>
                  <w:tr>
                    <w:trPr>
                      <w:trHeight w:val="398"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0" w:right="0"/>
                          <w:jc w:val="left"/>
                          <w:rPr>
                            <w:rFonts w:ascii="宋体" w:hAnsi="宋体" w:cs="宋体" w:eastAsia="宋体" w:hint="default"/>
                            <w:sz w:val="18"/>
                            <w:szCs w:val="18"/>
                          </w:rPr>
                        </w:pPr>
                        <w:r>
                          <w:rPr>
                            <w:rFonts w:ascii="宋体" w:hAnsi="宋体" w:cs="宋体" w:eastAsia="宋体" w:hint="default"/>
                            <w:spacing w:val="-3"/>
                            <w:sz w:val="18"/>
                            <w:szCs w:val="18"/>
                          </w:rPr>
                          <w:t>是否取得其他国家或地区居留权</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62" w:hRule="exact"/>
                    </w:trPr>
                    <w:tc>
                      <w:tcPr>
                        <w:tcW w:w="3336" w:type="dxa"/>
                        <w:tcBorders>
                          <w:top w:val="single" w:sz="4" w:space="0" w:color="000000"/>
                          <w:left w:val="single" w:sz="4" w:space="0" w:color="000000"/>
                          <w:bottom w:val="nil" w:sz="6" w:space="0" w:color="auto"/>
                          <w:right w:val="single" w:sz="4" w:space="0" w:color="000000"/>
                        </w:tcBorders>
                        <w:shd w:val="clear" w:color="auto" w:fill="D2D2D2"/>
                      </w:tcPr>
                      <w:p>
                        <w:pPr/>
                      </w:p>
                    </w:tc>
                    <w:tc>
                      <w:tcPr>
                        <w:tcW w:w="6230"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纪立军先生，董事长兼总经理，中国国籍，无境外永久居留权，男，</w:t>
                        </w:r>
                        <w:r>
                          <w:rPr>
                            <w:rFonts w:ascii="Times New Roman" w:hAnsi="Times New Roman" w:cs="Times New Roman" w:eastAsia="Times New Roman" w:hint="default"/>
                            <w:spacing w:val="-3"/>
                            <w:sz w:val="18"/>
                            <w:szCs w:val="18"/>
                          </w:rPr>
                          <w:t>1971  </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年出</w:t>
                        </w:r>
                      </w:p>
                    </w:tc>
                  </w:tr>
                  <w:tr>
                    <w:trPr>
                      <w:trHeight w:val="310" w:hRule="exact"/>
                    </w:trPr>
                    <w:tc>
                      <w:tcPr>
                        <w:tcW w:w="3336" w:type="dxa"/>
                        <w:tcBorders>
                          <w:top w:val="nil" w:sz="6" w:space="0" w:color="auto"/>
                          <w:left w:val="single" w:sz="4" w:space="0" w:color="000000"/>
                          <w:bottom w:val="nil" w:sz="6" w:space="0" w:color="auto"/>
                          <w:right w:val="single" w:sz="4" w:space="0" w:color="000000"/>
                        </w:tcBorders>
                        <w:shd w:val="clear" w:color="auto" w:fill="D2D2D2"/>
                      </w:tcPr>
                      <w:p>
                        <w:pPr/>
                      </w:p>
                    </w:tc>
                    <w:tc>
                      <w:tcPr>
                        <w:tcW w:w="623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生，复旦大学工商管理硕士。</w:t>
                        </w:r>
                        <w:r>
                          <w:rPr>
                            <w:rFonts w:ascii="Times New Roman" w:hAnsi="Times New Roman" w:cs="Times New Roman" w:eastAsia="Times New Roman" w:hint="default"/>
                            <w:sz w:val="18"/>
                            <w:szCs w:val="18"/>
                          </w:rPr>
                          <w:t>1994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年毕业于东华大学，</w:t>
                        </w:r>
                        <w:r>
                          <w:rPr>
                            <w:rFonts w:ascii="Times New Roman" w:hAnsi="Times New Roman" w:cs="Times New Roman" w:eastAsia="Times New Roman" w:hint="default"/>
                            <w:sz w:val="18"/>
                            <w:szCs w:val="18"/>
                          </w:rPr>
                          <w:t>1994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1995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年期间</w:t>
                        </w:r>
                      </w:p>
                    </w:tc>
                  </w:tr>
                  <w:tr>
                    <w:trPr>
                      <w:trHeight w:val="312" w:hRule="exact"/>
                    </w:trPr>
                    <w:tc>
                      <w:tcPr>
                        <w:tcW w:w="3336" w:type="dxa"/>
                        <w:tcBorders>
                          <w:top w:val="nil" w:sz="6" w:space="0" w:color="auto"/>
                          <w:left w:val="single" w:sz="4" w:space="0" w:color="000000"/>
                          <w:bottom w:val="nil" w:sz="6" w:space="0" w:color="auto"/>
                          <w:right w:val="single" w:sz="4" w:space="0" w:color="000000"/>
                        </w:tcBorders>
                        <w:shd w:val="clear" w:color="auto" w:fill="D2D2D2"/>
                      </w:tcPr>
                      <w:p>
                        <w:pPr/>
                      </w:p>
                    </w:tc>
                    <w:tc>
                      <w:tcPr>
                        <w:tcW w:w="623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5"/>
                            <w:sz w:val="18"/>
                            <w:szCs w:val="18"/>
                          </w:rPr>
                          <w:t>就职于丹东化纤公司技术部，</w:t>
                        </w:r>
                        <w:r>
                          <w:rPr>
                            <w:rFonts w:ascii="Times New Roman" w:hAnsi="Times New Roman" w:cs="Times New Roman" w:eastAsia="Times New Roman" w:hint="default"/>
                            <w:spacing w:val="-5"/>
                            <w:sz w:val="18"/>
                            <w:szCs w:val="18"/>
                          </w:rPr>
                          <w:t>1996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年至</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年期间任</w:t>
                        </w:r>
                        <w:r>
                          <w:rPr>
                            <w:rFonts w:ascii="宋体" w:hAnsi="宋体" w:cs="宋体" w:eastAsia="宋体" w:hint="default"/>
                            <w:spacing w:val="-35"/>
                            <w:sz w:val="18"/>
                            <w:szCs w:val="18"/>
                          </w:rPr>
                          <w:t> </w:t>
                        </w:r>
                        <w:r>
                          <w:rPr>
                            <w:rFonts w:ascii="Times New Roman" w:hAnsi="Times New Roman" w:cs="Times New Roman" w:eastAsia="Times New Roman" w:hint="default"/>
                            <w:spacing w:val="-3"/>
                            <w:sz w:val="18"/>
                            <w:szCs w:val="18"/>
                          </w:rPr>
                          <w:t>LG</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精密化工上海分公司</w:t>
                        </w:r>
                      </w:p>
                    </w:tc>
                  </w:tr>
                  <w:tr>
                    <w:trPr>
                      <w:trHeight w:val="619" w:hRule="exact"/>
                    </w:trPr>
                    <w:tc>
                      <w:tcPr>
                        <w:tcW w:w="33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最近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1"/>
                            <w:sz w:val="18"/>
                            <w:szCs w:val="18"/>
                          </w:rPr>
                          <w:t> </w:t>
                        </w:r>
                        <w:r>
                          <w:rPr>
                            <w:rFonts w:ascii="宋体" w:hAnsi="宋体" w:cs="宋体" w:eastAsia="宋体" w:hint="default"/>
                            <w:spacing w:val="-3"/>
                            <w:sz w:val="18"/>
                            <w:szCs w:val="18"/>
                          </w:rPr>
                          <w:t>年内的职业及职务</w:t>
                        </w:r>
                      </w:p>
                    </w:tc>
                    <w:tc>
                      <w:tcPr>
                        <w:tcW w:w="6230" w:type="dxa"/>
                        <w:gridSpan w:val="2"/>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3" w:right="12"/>
                          <w:jc w:val="left"/>
                          <w:rPr>
                            <w:rFonts w:ascii="宋体" w:hAnsi="宋体" w:cs="宋体" w:eastAsia="宋体" w:hint="default"/>
                            <w:sz w:val="18"/>
                            <w:szCs w:val="18"/>
                          </w:rPr>
                        </w:pPr>
                        <w:r>
                          <w:rPr>
                            <w:rFonts w:ascii="宋体" w:hAnsi="宋体" w:cs="宋体" w:eastAsia="宋体" w:hint="default"/>
                            <w:spacing w:val="-5"/>
                            <w:sz w:val="18"/>
                            <w:szCs w:val="18"/>
                          </w:rPr>
                          <w:t>经理，自 </w:t>
                        </w:r>
                        <w:r>
                          <w:rPr>
                            <w:rFonts w:ascii="Times New Roman" w:hAnsi="Times New Roman" w:cs="Times New Roman" w:eastAsia="Times New Roman" w:hint="default"/>
                            <w:sz w:val="18"/>
                            <w:szCs w:val="18"/>
                          </w:rPr>
                          <w:t>1999 </w:t>
                        </w:r>
                        <w:r>
                          <w:rPr>
                            <w:rFonts w:ascii="宋体" w:hAnsi="宋体" w:cs="宋体" w:eastAsia="宋体" w:hint="default"/>
                            <w:spacing w:val="-4"/>
                            <w:sz w:val="18"/>
                            <w:szCs w:val="18"/>
                          </w:rPr>
                          <w:t>年底合作创办本公司并一直担任总经理，现任公司董事长兼总经</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理，此外他还担任烟台安诺其、东营安诺其、浙江安诺其、烟台安诺其精细化</w:t>
                        </w:r>
                      </w:p>
                    </w:tc>
                  </w:tr>
                  <w:tr>
                    <w:trPr>
                      <w:trHeight w:val="312" w:hRule="exact"/>
                    </w:trPr>
                    <w:tc>
                      <w:tcPr>
                        <w:tcW w:w="3336" w:type="dxa"/>
                        <w:tcBorders>
                          <w:top w:val="nil" w:sz="6" w:space="0" w:color="auto"/>
                          <w:left w:val="single" w:sz="4" w:space="0" w:color="000000"/>
                          <w:bottom w:val="nil" w:sz="6" w:space="0" w:color="auto"/>
                          <w:right w:val="single" w:sz="4" w:space="0" w:color="000000"/>
                        </w:tcBorders>
                        <w:shd w:val="clear" w:color="auto" w:fill="D2D2D2"/>
                      </w:tcPr>
                      <w:p>
                        <w:pPr/>
                      </w:p>
                    </w:tc>
                    <w:tc>
                      <w:tcPr>
                        <w:tcW w:w="623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工执行董事、江苏安诺其董事长，同时任上海市青浦区政协委员、工商联副主</w:t>
                        </w:r>
                      </w:p>
                    </w:tc>
                  </w:tr>
                  <w:tr>
                    <w:trPr>
                      <w:trHeight w:val="319" w:hRule="exact"/>
                    </w:trPr>
                    <w:tc>
                      <w:tcPr>
                        <w:tcW w:w="3336" w:type="dxa"/>
                        <w:tcBorders>
                          <w:top w:val="nil" w:sz="6" w:space="0" w:color="auto"/>
                          <w:left w:val="single" w:sz="4" w:space="0" w:color="000000"/>
                          <w:bottom w:val="nil" w:sz="6" w:space="0" w:color="auto"/>
                          <w:right w:val="single" w:sz="4" w:space="0" w:color="000000"/>
                        </w:tcBorders>
                        <w:shd w:val="clear" w:color="auto" w:fill="D2D2D2"/>
                      </w:tcPr>
                      <w:p>
                        <w:pPr/>
                      </w:p>
                    </w:tc>
                    <w:tc>
                      <w:tcPr>
                        <w:tcW w:w="623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6"/>
                            <w:sz w:val="18"/>
                            <w:szCs w:val="18"/>
                          </w:rPr>
                          <w:t>席以及科协副主席、中国染料协会理事。</w:t>
                        </w:r>
                        <w:r>
                          <w:rPr>
                            <w:rFonts w:ascii="Times New Roman" w:hAnsi="Times New Roman" w:cs="Times New Roman" w:eastAsia="Times New Roman" w:hint="default"/>
                            <w:spacing w:val="-6"/>
                            <w:sz w:val="18"/>
                            <w:szCs w:val="18"/>
                          </w:rPr>
                          <w:t>2008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4"/>
                            <w:sz w:val="18"/>
                            <w:szCs w:val="18"/>
                          </w:rPr>
                          <w:t> </w:t>
                        </w:r>
                        <w:r>
                          <w:rPr>
                            <w:rFonts w:ascii="宋体" w:hAnsi="宋体" w:cs="宋体" w:eastAsia="宋体" w:hint="default"/>
                            <w:spacing w:val="-3"/>
                            <w:sz w:val="18"/>
                            <w:szCs w:val="18"/>
                          </w:rPr>
                          <w:t>月纪立军先生荣获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中国优秀</w:t>
                        </w:r>
                      </w:p>
                    </w:tc>
                  </w:tr>
                  <w:tr>
                    <w:trPr>
                      <w:trHeight w:val="353" w:hRule="exact"/>
                    </w:trPr>
                    <w:tc>
                      <w:tcPr>
                        <w:tcW w:w="3336" w:type="dxa"/>
                        <w:tcBorders>
                          <w:top w:val="nil" w:sz="6" w:space="0" w:color="auto"/>
                          <w:left w:val="single" w:sz="4" w:space="0" w:color="000000"/>
                          <w:bottom w:val="single" w:sz="4" w:space="0" w:color="000000"/>
                          <w:right w:val="single" w:sz="4" w:space="0" w:color="000000"/>
                        </w:tcBorders>
                        <w:shd w:val="clear" w:color="auto" w:fill="D2D2D2"/>
                      </w:tcPr>
                      <w:p>
                        <w:pPr/>
                      </w:p>
                    </w:tc>
                    <w:tc>
                      <w:tcPr>
                        <w:tcW w:w="6230"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创新企业家</w:t>
                        </w:r>
                        <w:r>
                          <w:rPr>
                            <w:rFonts w:ascii="Times New Roman" w:hAnsi="Times New Roman" w:cs="Times New Roman" w:eastAsia="Times New Roman" w:hint="default"/>
                            <w:sz w:val="18"/>
                            <w:szCs w:val="18"/>
                          </w:rPr>
                          <w:t>”</w:t>
                        </w:r>
                        <w:r>
                          <w:rPr>
                            <w:rFonts w:ascii="宋体" w:hAnsi="宋体" w:cs="宋体" w:eastAsia="宋体" w:hint="default"/>
                            <w:sz w:val="18"/>
                            <w:szCs w:val="18"/>
                          </w:rPr>
                          <w:t>称号。</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过去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年曾控股的境内外上市公司情况</w:t>
                        </w:r>
                      </w:p>
                    </w:tc>
                    <w:tc>
                      <w:tcPr>
                        <w:tcW w:w="62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
              </w:txbxContent>
            </v:textbox>
            <w10:wrap type="none"/>
          </v:shape>
        </w:pict>
      </w:r>
      <w:r>
        <w:rPr>
          <w:rFonts w:ascii="Times New Roman" w:hAnsi="Times New Roman" w:cs="Times New Roman" w:eastAsia="Times New Roman" w:hint="default"/>
        </w:rPr>
        <w:t>2</w:t>
      </w:r>
      <w:r>
        <w:rPr/>
        <w:t>、公司控股股东情况</w:t>
      </w:r>
      <w:r>
        <w:rPr>
          <w:spacing w:val="-42"/>
        </w:rPr>
        <w:t> </w:t>
      </w:r>
      <w:r>
        <w:rPr/>
        <w:t>自然人</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11"/>
          <w:szCs w:val="11"/>
        </w:rPr>
      </w:pPr>
    </w:p>
    <w:p>
      <w:pPr>
        <w:pStyle w:val="Heading4"/>
        <w:spacing w:line="335" w:lineRule="exact"/>
        <w:ind w:left="575" w:right="0"/>
        <w:jc w:val="left"/>
        <w:rPr>
          <w:b w:val="0"/>
          <w:bCs w:val="0"/>
        </w:rPr>
      </w:pPr>
      <w:r>
        <w:rPr/>
        <w:t>控股股东报告期内变更</w:t>
      </w:r>
      <w:r>
        <w:rPr>
          <w:b w:val="0"/>
          <w:bCs w:val="0"/>
        </w:rPr>
      </w:r>
    </w:p>
    <w:p>
      <w:pPr>
        <w:spacing w:after="0" w:line="335" w:lineRule="exact"/>
        <w:jc w:val="left"/>
        <w:sectPr>
          <w:pgSz w:w="11900" w:h="16840"/>
          <w:pgMar w:header="742" w:footer="984" w:top="1060" w:bottom="1180" w:left="980" w:right="980"/>
        </w:sectPr>
      </w:pPr>
    </w:p>
    <w:p>
      <w:pPr>
        <w:spacing w:line="240" w:lineRule="auto" w:before="7"/>
        <w:rPr>
          <w:rFonts w:ascii="Microsoft JhengHei" w:hAnsi="Microsoft JhengHei" w:cs="Microsoft JhengHei" w:eastAsia="Microsoft JhengHei" w:hint="default"/>
          <w:b/>
          <w:bCs/>
          <w:sz w:val="23"/>
          <w:szCs w:val="23"/>
        </w:rPr>
      </w:pPr>
    </w:p>
    <w:p>
      <w:pPr>
        <w:pStyle w:val="BodyText"/>
        <w:spacing w:line="386" w:lineRule="auto" w:before="36"/>
        <w:ind w:left="575" w:right="5100"/>
        <w:jc w:val="left"/>
      </w:pPr>
      <w:r>
        <w:rPr>
          <w:rFonts w:ascii="Arial" w:hAnsi="Arial" w:cs="Arial" w:eastAsia="Arial" w:hint="default"/>
        </w:rPr>
        <w:t>□</w:t>
      </w:r>
      <w:r>
        <w:rPr>
          <w:rFonts w:ascii="Arial" w:hAnsi="Arial" w:cs="Arial" w:eastAsia="Arial" w:hint="default"/>
          <w:spacing w:val="48"/>
        </w:rPr>
        <w:t> </w:t>
      </w:r>
      <w:r>
        <w:rPr/>
        <w:t>适用 </w:t>
      </w:r>
      <w:r>
        <w:rPr>
          <w:rFonts w:ascii="Arial" w:hAnsi="Arial" w:cs="Arial" w:eastAsia="Arial" w:hint="default"/>
        </w:rPr>
        <w:t>√</w:t>
      </w:r>
      <w:r>
        <w:rPr>
          <w:rFonts w:ascii="Arial" w:hAnsi="Arial" w:cs="Arial" w:eastAsia="Arial" w:hint="default"/>
          <w:spacing w:val="41"/>
        </w:rPr>
        <w:t> </w:t>
      </w:r>
      <w:r>
        <w:rPr/>
        <w:t>不适用</w:t>
      </w:r>
      <w:r>
        <w:rPr>
          <w:spacing w:val="-100"/>
        </w:rPr>
        <w:t> </w:t>
      </w:r>
      <w:r>
        <w:rPr>
          <w:spacing w:val="-1"/>
        </w:rPr>
        <w:t>公司报告期控股股东未发生变更。</w:t>
      </w:r>
    </w:p>
    <w:p>
      <w:pPr>
        <w:spacing w:line="240" w:lineRule="auto" w:before="12"/>
        <w:rPr>
          <w:rFonts w:ascii="宋体" w:hAnsi="宋体" w:cs="宋体" w:eastAsia="宋体" w:hint="default"/>
          <w:sz w:val="16"/>
          <w:szCs w:val="16"/>
        </w:rPr>
      </w:pPr>
    </w:p>
    <w:p>
      <w:pPr>
        <w:pStyle w:val="Heading4"/>
        <w:spacing w:line="453" w:lineRule="auto"/>
        <w:ind w:left="575" w:right="7563" w:hanging="423"/>
        <w:jc w:val="left"/>
        <w:rPr>
          <w:b w:val="0"/>
          <w:bCs w:val="0"/>
        </w:rPr>
      </w:pPr>
      <w:r>
        <w:rPr/>
        <w:pict>
          <v:shape style="position:absolute;margin-left:56.400002pt;margin-top:58.084423pt;width:479.05pt;height:101.0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8"/>
                    <w:gridCol w:w="2030"/>
                    <w:gridCol w:w="4118"/>
                  </w:tblGrid>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70" w:right="0"/>
                          <w:jc w:val="left"/>
                          <w:rPr>
                            <w:rFonts w:ascii="宋体" w:hAnsi="宋体" w:cs="宋体" w:eastAsia="宋体" w:hint="default"/>
                            <w:sz w:val="18"/>
                            <w:szCs w:val="18"/>
                          </w:rPr>
                        </w:pPr>
                        <w:r>
                          <w:rPr>
                            <w:rFonts w:ascii="宋体" w:hAnsi="宋体" w:cs="宋体" w:eastAsia="宋体" w:hint="default"/>
                            <w:spacing w:val="-3"/>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国籍</w:t>
                        </w:r>
                      </w:p>
                    </w:tc>
                    <w:tc>
                      <w:tcPr>
                        <w:tcW w:w="4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91" w:right="0"/>
                          <w:jc w:val="left"/>
                          <w:rPr>
                            <w:rFonts w:ascii="宋体" w:hAnsi="宋体" w:cs="宋体" w:eastAsia="宋体" w:hint="default"/>
                            <w:sz w:val="18"/>
                            <w:szCs w:val="18"/>
                          </w:rPr>
                        </w:pPr>
                        <w:r>
                          <w:rPr>
                            <w:rFonts w:ascii="宋体" w:hAnsi="宋体" w:cs="宋体" w:eastAsia="宋体" w:hint="default"/>
                            <w:spacing w:val="-3"/>
                            <w:sz w:val="18"/>
                            <w:szCs w:val="18"/>
                          </w:rPr>
                          <w:t>是否取得其他国家或地区居留权</w:t>
                        </w:r>
                      </w:p>
                    </w:tc>
                  </w:tr>
                  <w:tr>
                    <w:trPr>
                      <w:trHeight w:val="401"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张烈寅</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最近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1"/>
                            <w:sz w:val="18"/>
                            <w:szCs w:val="18"/>
                          </w:rPr>
                          <w:t> </w:t>
                        </w:r>
                        <w:r>
                          <w:rPr>
                            <w:rFonts w:ascii="宋体" w:hAnsi="宋体" w:cs="宋体" w:eastAsia="宋体" w:hint="default"/>
                            <w:spacing w:val="-3"/>
                            <w:sz w:val="18"/>
                            <w:szCs w:val="18"/>
                          </w:rPr>
                          <w:t>年内的职业及职务</w:t>
                        </w:r>
                      </w:p>
                    </w:tc>
                    <w:tc>
                      <w:tcPr>
                        <w:tcW w:w="614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pacing w:val="-3"/>
                            <w:sz w:val="18"/>
                            <w:szCs w:val="18"/>
                          </w:rPr>
                          <w:t>详见上述公司控股股东情况内容</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过去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年曾控股的境内外上市公司情况</w:t>
                        </w:r>
                      </w:p>
                    </w:tc>
                    <w:tc>
                      <w:tcPr>
                        <w:tcW w:w="614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
              </w:txbxContent>
            </v:textbox>
            <w10:wrap type="none"/>
          </v:shape>
        </w:pict>
      </w:r>
      <w:r>
        <w:rPr>
          <w:rFonts w:ascii="Times New Roman" w:hAnsi="Times New Roman" w:cs="Times New Roman" w:eastAsia="Times New Roman" w:hint="default"/>
        </w:rPr>
        <w:t>3</w:t>
      </w:r>
      <w:r>
        <w:rPr/>
        <w:t>、公司实际控制人情况</w:t>
      </w:r>
      <w:r>
        <w:rPr>
          <w:spacing w:val="-41"/>
        </w:rPr>
        <w:t> </w:t>
      </w:r>
      <w:r>
        <w:rPr/>
        <w:t>自然人</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1"/>
        <w:rPr>
          <w:rFonts w:ascii="Microsoft JhengHei" w:hAnsi="Microsoft JhengHei" w:cs="Microsoft JhengHei" w:eastAsia="Microsoft JhengHei" w:hint="default"/>
          <w:b/>
          <w:bCs/>
          <w:sz w:val="29"/>
          <w:szCs w:val="29"/>
        </w:rPr>
      </w:pPr>
    </w:p>
    <w:p>
      <w:pPr>
        <w:pStyle w:val="Heading4"/>
        <w:spacing w:line="335" w:lineRule="exact"/>
        <w:ind w:left="575" w:right="0"/>
        <w:jc w:val="left"/>
        <w:rPr>
          <w:b w:val="0"/>
          <w:bCs w:val="0"/>
        </w:rPr>
      </w:pPr>
      <w:r>
        <w:rPr/>
        <w:t>实际控制人报告期内变更</w:t>
      </w:r>
      <w:r>
        <w:rPr>
          <w:b w:val="0"/>
          <w:bCs w:val="0"/>
        </w:rPr>
      </w:r>
    </w:p>
    <w:p>
      <w:pPr>
        <w:spacing w:line="369" w:lineRule="auto" w:before="167"/>
        <w:ind w:left="575" w:right="4422" w:firstLine="0"/>
        <w:jc w:val="left"/>
        <w:rPr>
          <w:rFonts w:ascii="Microsoft JhengHei" w:hAnsi="Microsoft JhengHei" w:cs="Microsoft JhengHei" w:eastAsia="Microsoft JhengHei" w:hint="default"/>
          <w:sz w:val="21"/>
          <w:szCs w:val="21"/>
        </w:rPr>
      </w:pPr>
      <w:r>
        <w:rPr>
          <w:rFonts w:ascii="Arial" w:hAnsi="Arial" w:cs="Arial" w:eastAsia="Arial" w:hint="default"/>
          <w:sz w:val="21"/>
          <w:szCs w:val="21"/>
        </w:rPr>
        <w:t>□</w:t>
      </w:r>
      <w:r>
        <w:rPr>
          <w:rFonts w:ascii="Arial" w:hAnsi="Arial" w:cs="Arial" w:eastAsia="Arial" w:hint="default"/>
          <w:spacing w:val="48"/>
          <w:sz w:val="21"/>
          <w:szCs w:val="21"/>
        </w:rPr>
        <w:t> </w:t>
      </w:r>
      <w:r>
        <w:rPr>
          <w:rFonts w:ascii="宋体" w:hAnsi="宋体" w:cs="宋体" w:eastAsia="宋体" w:hint="default"/>
          <w:sz w:val="21"/>
          <w:szCs w:val="21"/>
        </w:rPr>
        <w:t>适用 </w:t>
      </w:r>
      <w:r>
        <w:rPr>
          <w:rFonts w:ascii="Arial" w:hAnsi="Arial" w:cs="Arial" w:eastAsia="Arial" w:hint="default"/>
          <w:sz w:val="21"/>
          <w:szCs w:val="21"/>
        </w:rPr>
        <w:t>√</w:t>
      </w:r>
      <w:r>
        <w:rPr>
          <w:rFonts w:ascii="Arial" w:hAnsi="Arial" w:cs="Arial" w:eastAsia="Arial" w:hint="default"/>
          <w:spacing w:val="41"/>
          <w:sz w:val="21"/>
          <w:szCs w:val="21"/>
        </w:rPr>
        <w:t> </w:t>
      </w:r>
      <w:r>
        <w:rPr>
          <w:rFonts w:ascii="宋体" w:hAnsi="宋体" w:cs="宋体" w:eastAsia="宋体" w:hint="default"/>
          <w:sz w:val="21"/>
          <w:szCs w:val="21"/>
        </w:rPr>
        <w:t>不适用</w:t>
      </w:r>
      <w:r>
        <w:rPr>
          <w:rFonts w:ascii="宋体" w:hAnsi="宋体" w:cs="宋体" w:eastAsia="宋体" w:hint="default"/>
          <w:spacing w:val="-99"/>
          <w:sz w:val="21"/>
          <w:szCs w:val="21"/>
        </w:rPr>
        <w:t> </w:t>
      </w:r>
      <w:r>
        <w:rPr>
          <w:rFonts w:ascii="宋体" w:hAnsi="宋体" w:cs="宋体" w:eastAsia="宋体" w:hint="default"/>
          <w:sz w:val="21"/>
          <w:szCs w:val="21"/>
        </w:rPr>
        <w:t>公司报告期实际控制人未发生变更。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Microsoft JhengHei" w:hAnsi="Microsoft JhengHei" w:cs="Microsoft JhengHei" w:eastAsia="Microsoft JhengHei" w:hint="default"/>
          <w:b/>
          <w:bCs/>
          <w:spacing w:val="-1"/>
          <w:sz w:val="21"/>
          <w:szCs w:val="21"/>
        </w:rPr>
        <w:t>公司与实际控制人之间的产权及控制关系的方框图</w:t>
      </w:r>
      <w:r>
        <w:rPr>
          <w:rFonts w:ascii="Microsoft JhengHei" w:hAnsi="Microsoft JhengHei" w:cs="Microsoft JhengHei" w:eastAsia="Microsoft JhengHei" w:hint="default"/>
          <w:spacing w:val="-1"/>
          <w:sz w:val="21"/>
          <w:szCs w:val="21"/>
        </w:rPr>
      </w:r>
    </w:p>
    <w:p>
      <w:pPr>
        <w:spacing w:line="240" w:lineRule="auto" w:before="17"/>
        <w:rPr>
          <w:rFonts w:ascii="Microsoft JhengHei" w:hAnsi="Microsoft JhengHei" w:cs="Microsoft JhengHei" w:eastAsia="Microsoft JhengHei" w:hint="default"/>
          <w:b/>
          <w:bCs/>
          <w:sz w:val="11"/>
          <w:szCs w:val="11"/>
        </w:rPr>
      </w:pPr>
    </w:p>
    <w:p>
      <w:pPr>
        <w:spacing w:line="2397" w:lineRule="exact"/>
        <w:ind w:left="2375"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47"/>
          <w:sz w:val="20"/>
          <w:szCs w:val="20"/>
        </w:rPr>
        <w:drawing>
          <wp:inline distT="0" distB="0" distL="0" distR="0">
            <wp:extent cx="3304812" cy="1522476"/>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7" cstate="print"/>
                    <a:stretch>
                      <a:fillRect/>
                    </a:stretch>
                  </pic:blipFill>
                  <pic:spPr>
                    <a:xfrm>
                      <a:off x="0" y="0"/>
                      <a:ext cx="3304812" cy="1522476"/>
                    </a:xfrm>
                    <a:prstGeom prst="rect">
                      <a:avLst/>
                    </a:prstGeom>
                  </pic:spPr>
                </pic:pic>
              </a:graphicData>
            </a:graphic>
          </wp:inline>
        </w:drawing>
      </w:r>
      <w:r>
        <w:rPr>
          <w:rFonts w:ascii="Microsoft JhengHei" w:hAnsi="Microsoft JhengHei" w:cs="Microsoft JhengHei" w:eastAsia="Microsoft JhengHei" w:hint="default"/>
          <w:position w:val="-47"/>
          <w:sz w:val="20"/>
          <w:szCs w:val="20"/>
        </w:rPr>
      </w:r>
    </w:p>
    <w:p>
      <w:pPr>
        <w:spacing w:line="240" w:lineRule="auto" w:before="17"/>
        <w:rPr>
          <w:rFonts w:ascii="Microsoft JhengHei" w:hAnsi="Microsoft JhengHei" w:cs="Microsoft JhengHei" w:eastAsia="Microsoft JhengHei" w:hint="default"/>
          <w:b/>
          <w:bCs/>
          <w:sz w:val="13"/>
          <w:szCs w:val="13"/>
        </w:rPr>
      </w:pPr>
    </w:p>
    <w:p>
      <w:pPr>
        <w:pStyle w:val="Heading4"/>
        <w:spacing w:line="240" w:lineRule="auto"/>
        <w:ind w:left="575" w:right="0"/>
        <w:jc w:val="left"/>
        <w:rPr>
          <w:b w:val="0"/>
          <w:bCs w:val="0"/>
        </w:rPr>
      </w:pPr>
      <w:r>
        <w:rPr/>
        <w:t>实际控制人通过信托或其他资产管理方式控制公司</w:t>
      </w:r>
      <w:r>
        <w:rPr>
          <w:b w:val="0"/>
          <w:bCs w:val="0"/>
        </w:rPr>
      </w:r>
    </w:p>
    <w:p>
      <w:pPr>
        <w:pStyle w:val="BodyText"/>
        <w:spacing w:line="240" w:lineRule="auto" w:before="167"/>
        <w:ind w:left="575"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7"/>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、其他持股在</w:t>
      </w:r>
      <w:r>
        <w:rPr>
          <w:spacing w:val="12"/>
        </w:rPr>
        <w:t> </w:t>
      </w:r>
      <w:r>
        <w:rPr>
          <w:rFonts w:ascii="Times New Roman" w:hAnsi="Times New Roman" w:cs="Times New Roman" w:eastAsia="Times New Roman" w:hint="default"/>
        </w:rPr>
        <w:t>10%</w:t>
      </w:r>
      <w:r>
        <w:rPr/>
        <w:t>以上的法人股东</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240" w:lineRule="auto"/>
        <w:ind w:left="575"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7"/>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5</w:t>
      </w:r>
      <w:r>
        <w:rPr/>
        <w:t>、前 </w:t>
      </w:r>
      <w:r>
        <w:rPr>
          <w:rFonts w:ascii="Times New Roman" w:hAnsi="Times New Roman" w:cs="Times New Roman" w:eastAsia="Times New Roman" w:hint="default"/>
          <w:spacing w:val="-3"/>
        </w:rPr>
        <w:t>10</w:t>
      </w:r>
      <w:r>
        <w:rPr>
          <w:rFonts w:ascii="Times New Roman" w:hAnsi="Times New Roman" w:cs="Times New Roman" w:eastAsia="Times New Roman" w:hint="default"/>
          <w:spacing w:val="23"/>
        </w:rPr>
        <w:t> </w:t>
      </w:r>
      <w:r>
        <w:rPr/>
        <w:t>名限售条件股东持股数量及限售条件</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715"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限售条件股东名称</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90" w:right="46" w:hanging="538"/>
              <w:jc w:val="left"/>
              <w:rPr>
                <w:rFonts w:ascii="宋体" w:hAnsi="宋体" w:cs="宋体" w:eastAsia="宋体" w:hint="default"/>
                <w:sz w:val="18"/>
                <w:szCs w:val="18"/>
              </w:rPr>
            </w:pPr>
            <w:r>
              <w:rPr>
                <w:rFonts w:ascii="宋体" w:hAnsi="宋体" w:cs="宋体" w:eastAsia="宋体" w:hint="default"/>
                <w:spacing w:val="-2"/>
                <w:sz w:val="18"/>
                <w:szCs w:val="18"/>
              </w:rPr>
              <w:t>持有的限售条件股份数</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量（股）</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pacing w:val="-3"/>
                <w:sz w:val="18"/>
                <w:szCs w:val="18"/>
              </w:rPr>
              <w:t>可上市交易时间</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90" w:right="46" w:hanging="538"/>
              <w:jc w:val="left"/>
              <w:rPr>
                <w:rFonts w:ascii="宋体" w:hAnsi="宋体" w:cs="宋体" w:eastAsia="宋体" w:hint="default"/>
                <w:sz w:val="18"/>
                <w:szCs w:val="18"/>
              </w:rPr>
            </w:pPr>
            <w:r>
              <w:rPr>
                <w:rFonts w:ascii="宋体" w:hAnsi="宋体" w:cs="宋体" w:eastAsia="宋体" w:hint="default"/>
                <w:spacing w:val="-2"/>
                <w:sz w:val="18"/>
                <w:szCs w:val="18"/>
              </w:rPr>
              <w:t>新增可上市交易股份数</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量（股）</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398"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108,054,550</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臧少玉</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21,451,042</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高管离任，所持股份</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6</w:t>
            </w:r>
          </w:p>
        </w:tc>
      </w:tr>
    </w:tbl>
    <w:p>
      <w:pPr>
        <w:spacing w:after="0" w:line="240" w:lineRule="auto"/>
        <w:jc w:val="left"/>
        <w:rPr>
          <w:rFonts w:ascii="Times New Roman" w:hAnsi="Times New Roman" w:cs="Times New Roman" w:eastAsia="Times New Roman" w:hint="default"/>
          <w:sz w:val="18"/>
          <w:szCs w:val="18"/>
        </w:rPr>
        <w:sectPr>
          <w:pgSz w:w="11900" w:h="16840"/>
          <w:pgMar w:header="742" w:footer="984"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360" w:hRule="exact"/>
        </w:trPr>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pacing w:val="-3"/>
                <w:sz w:val="18"/>
                <w:szCs w:val="18"/>
              </w:rPr>
              <w:t>个月内全部锁定</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缪融</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1,967,768</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王宏道</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1,837,452</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高管离任，所持股份</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3"/>
                <w:sz w:val="18"/>
                <w:szCs w:val="18"/>
              </w:rPr>
              <w:t>个月内全部锁定</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耿毅英</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1,297,712</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398"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徐长进</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640,000</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股权激励限售股</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汤晓飞</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440,000</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股权激励限售股</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王敬敏</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340,620</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林伟</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300,000</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股权激励限售股</w:t>
            </w:r>
          </w:p>
        </w:tc>
      </w:tr>
      <w:tr>
        <w:trPr>
          <w:trHeight w:val="398"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迟立宗</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300,000</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股权激励限售股</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陈昌文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300,000</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股权激励限售股</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吕卫</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300,000</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股权激励限售股</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郑强</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300,000</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股权激励限售股</w:t>
            </w:r>
          </w:p>
        </w:tc>
      </w:tr>
    </w:tbl>
    <w:p>
      <w:pPr>
        <w:spacing w:after="0" w:line="240" w:lineRule="auto"/>
        <w:jc w:val="left"/>
        <w:rPr>
          <w:rFonts w:ascii="宋体" w:hAnsi="宋体" w:cs="宋体" w:eastAsia="宋体" w:hint="default"/>
          <w:sz w:val="18"/>
          <w:szCs w:val="18"/>
        </w:rPr>
        <w:sectPr>
          <w:pgSz w:w="11900" w:h="16840"/>
          <w:pgMar w:header="742" w:footer="984"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8"/>
          <w:szCs w:val="28"/>
        </w:rPr>
      </w:pPr>
    </w:p>
    <w:p>
      <w:pPr>
        <w:pStyle w:val="Heading1"/>
        <w:spacing w:line="458" w:lineRule="exact"/>
        <w:ind w:left="1679" w:right="0"/>
        <w:jc w:val="left"/>
        <w:rPr>
          <w:b w:val="0"/>
          <w:bCs w:val="0"/>
        </w:rPr>
      </w:pPr>
      <w:bookmarkStart w:name="_TOC_250003" w:id="7"/>
      <w:r>
        <w:rPr/>
        <w:t>第七节 </w:t>
      </w:r>
      <w:r>
        <w:rPr>
          <w:spacing w:val="23"/>
        </w:rPr>
        <w:t> </w:t>
      </w:r>
      <w:r>
        <w:rPr/>
        <w:t>董事、监事、高级管理人员和员工情况</w:t>
      </w:r>
      <w:bookmarkEnd w:id="7"/>
      <w:r>
        <w:rPr>
          <w:b w:val="0"/>
          <w:bCs w:val="0"/>
        </w:rPr>
      </w:r>
    </w:p>
    <w:p>
      <w:pPr>
        <w:spacing w:line="240" w:lineRule="auto" w:before="5"/>
        <w:rPr>
          <w:rFonts w:ascii="Microsoft JhengHei" w:hAnsi="Microsoft JhengHei" w:cs="Microsoft JhengHei" w:eastAsia="Microsoft JhengHei" w:hint="default"/>
          <w:b/>
          <w:bCs/>
          <w:sz w:val="22"/>
          <w:szCs w:val="22"/>
        </w:rPr>
      </w:pPr>
    </w:p>
    <w:p>
      <w:pPr>
        <w:pStyle w:val="Heading3"/>
        <w:spacing w:line="240" w:lineRule="auto"/>
        <w:ind w:right="0"/>
        <w:jc w:val="left"/>
        <w:rPr>
          <w:b w:val="0"/>
          <w:bCs w:val="0"/>
        </w:rPr>
      </w:pPr>
      <w:r>
        <w:rPr/>
        <w:t>一、董事、监事和高级管理人员持股变动</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1</w:t>
      </w:r>
      <w:r>
        <w:rPr/>
        <w:t>、持股情况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pacing w:val="-2"/>
          <w:sz w:val="18"/>
          <w:szCs w:val="18"/>
        </w:rPr>
        <w:t>单位：股</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6"/>
        <w:gridCol w:w="557"/>
        <w:gridCol w:w="682"/>
        <w:gridCol w:w="682"/>
        <w:gridCol w:w="682"/>
        <w:gridCol w:w="686"/>
        <w:gridCol w:w="682"/>
        <w:gridCol w:w="686"/>
        <w:gridCol w:w="682"/>
        <w:gridCol w:w="686"/>
        <w:gridCol w:w="682"/>
        <w:gridCol w:w="686"/>
        <w:gridCol w:w="682"/>
        <w:gridCol w:w="686"/>
      </w:tblGrid>
      <w:tr>
        <w:trPr>
          <w:trHeight w:val="2270" w:hRule="exact"/>
        </w:trPr>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4"/>
              <w:jc w:val="right"/>
              <w:rPr>
                <w:rFonts w:ascii="宋体" w:hAnsi="宋体" w:cs="宋体" w:eastAsia="宋体" w:hint="default"/>
                <w:sz w:val="18"/>
                <w:szCs w:val="18"/>
              </w:rPr>
            </w:pPr>
            <w:r>
              <w:rPr>
                <w:rFonts w:ascii="宋体" w:hAnsi="宋体" w:cs="宋体" w:eastAsia="宋体" w:hint="default"/>
                <w:sz w:val="18"/>
                <w:szCs w:val="18"/>
              </w:rPr>
              <w:t>姓名</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44" w:right="60" w:hanging="178"/>
              <w:jc w:val="left"/>
              <w:rPr>
                <w:rFonts w:ascii="宋体" w:hAnsi="宋体" w:cs="宋体" w:eastAsia="宋体" w:hint="default"/>
                <w:sz w:val="18"/>
                <w:szCs w:val="18"/>
              </w:rPr>
            </w:pPr>
            <w:r>
              <w:rPr>
                <w:rFonts w:ascii="宋体" w:hAnsi="宋体" w:cs="宋体" w:eastAsia="宋体" w:hint="default"/>
                <w:sz w:val="18"/>
                <w:szCs w:val="18"/>
              </w:rPr>
              <w:t>任职状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态</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53" w:right="65" w:hanging="87"/>
              <w:jc w:val="left"/>
              <w:rPr>
                <w:rFonts w:ascii="宋体" w:hAnsi="宋体" w:cs="宋体" w:eastAsia="宋体" w:hint="default"/>
                <w:sz w:val="18"/>
                <w:szCs w:val="18"/>
              </w:rPr>
            </w:pPr>
            <w:r>
              <w:rPr>
                <w:rFonts w:ascii="宋体" w:hAnsi="宋体" w:cs="宋体" w:eastAsia="宋体" w:hint="default"/>
                <w:sz w:val="18"/>
                <w:szCs w:val="18"/>
              </w:rPr>
              <w:t>期初持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7" w:right="60"/>
              <w:jc w:val="both"/>
              <w:rPr>
                <w:rFonts w:ascii="宋体" w:hAnsi="宋体" w:cs="宋体" w:eastAsia="宋体" w:hint="default"/>
                <w:sz w:val="18"/>
                <w:szCs w:val="18"/>
              </w:rPr>
            </w:pPr>
            <w:r>
              <w:rPr>
                <w:rFonts w:ascii="宋体" w:hAnsi="宋体" w:cs="宋体" w:eastAsia="宋体" w:hint="default"/>
                <w:sz w:val="18"/>
                <w:szCs w:val="18"/>
              </w:rPr>
              <w:t>本期增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数量</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本期减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数量</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48" w:right="65" w:hanging="87"/>
              <w:jc w:val="left"/>
              <w:rPr>
                <w:rFonts w:ascii="宋体" w:hAnsi="宋体" w:cs="宋体" w:eastAsia="宋体" w:hint="default"/>
                <w:sz w:val="18"/>
                <w:szCs w:val="18"/>
              </w:rPr>
            </w:pPr>
            <w:r>
              <w:rPr>
                <w:rFonts w:ascii="宋体" w:hAnsi="宋体" w:cs="宋体" w:eastAsia="宋体" w:hint="default"/>
                <w:sz w:val="18"/>
                <w:szCs w:val="18"/>
              </w:rPr>
              <w:t>期末持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股数</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67" w:right="65"/>
              <w:jc w:val="center"/>
              <w:rPr>
                <w:rFonts w:ascii="宋体" w:hAnsi="宋体" w:cs="宋体" w:eastAsia="宋体" w:hint="default"/>
                <w:sz w:val="18"/>
                <w:szCs w:val="18"/>
              </w:rPr>
            </w:pPr>
            <w:r>
              <w:rPr>
                <w:rFonts w:ascii="宋体" w:hAnsi="宋体" w:cs="宋体" w:eastAsia="宋体" w:hint="default"/>
                <w:spacing w:val="-2"/>
                <w:sz w:val="18"/>
                <w:szCs w:val="18"/>
              </w:rPr>
              <w:t>期初持</w:t>
            </w:r>
            <w:r>
              <w:rPr>
                <w:rFonts w:ascii="宋体" w:hAnsi="宋体" w:cs="宋体" w:eastAsia="宋体" w:hint="default"/>
                <w:w w:val="101"/>
                <w:sz w:val="18"/>
                <w:szCs w:val="18"/>
              </w:rPr>
              <w:t> </w:t>
            </w:r>
            <w:r>
              <w:rPr>
                <w:rFonts w:ascii="宋体" w:hAnsi="宋体" w:cs="宋体" w:eastAsia="宋体" w:hint="default"/>
                <w:spacing w:val="-2"/>
                <w:sz w:val="18"/>
                <w:szCs w:val="18"/>
              </w:rPr>
              <w:t>有的股</w:t>
            </w:r>
            <w:r>
              <w:rPr>
                <w:rFonts w:ascii="宋体" w:hAnsi="宋体" w:cs="宋体" w:eastAsia="宋体" w:hint="default"/>
                <w:w w:val="101"/>
                <w:sz w:val="18"/>
                <w:szCs w:val="18"/>
              </w:rPr>
              <w:t> </w:t>
            </w:r>
            <w:r>
              <w:rPr>
                <w:rFonts w:ascii="宋体" w:hAnsi="宋体" w:cs="宋体" w:eastAsia="宋体" w:hint="default"/>
                <w:spacing w:val="-2"/>
                <w:sz w:val="18"/>
                <w:szCs w:val="18"/>
              </w:rPr>
              <w:t>权激励</w:t>
            </w:r>
            <w:r>
              <w:rPr>
                <w:rFonts w:ascii="宋体" w:hAnsi="宋体" w:cs="宋体" w:eastAsia="宋体" w:hint="default"/>
                <w:w w:val="101"/>
                <w:sz w:val="18"/>
                <w:szCs w:val="18"/>
              </w:rPr>
              <w:t> </w:t>
            </w:r>
            <w:r>
              <w:rPr>
                <w:rFonts w:ascii="宋体" w:hAnsi="宋体" w:cs="宋体" w:eastAsia="宋体" w:hint="default"/>
                <w:spacing w:val="-2"/>
                <w:sz w:val="18"/>
                <w:szCs w:val="18"/>
              </w:rPr>
              <w:t>获授予</w:t>
            </w:r>
            <w:r>
              <w:rPr>
                <w:rFonts w:ascii="宋体" w:hAnsi="宋体" w:cs="宋体" w:eastAsia="宋体" w:hint="default"/>
                <w:w w:val="101"/>
                <w:sz w:val="18"/>
                <w:szCs w:val="18"/>
              </w:rPr>
              <w:t> </w:t>
            </w:r>
            <w:r>
              <w:rPr>
                <w:rFonts w:ascii="宋体" w:hAnsi="宋体" w:cs="宋体" w:eastAsia="宋体" w:hint="default"/>
                <w:spacing w:val="-2"/>
                <w:sz w:val="18"/>
                <w:szCs w:val="18"/>
              </w:rPr>
              <w:t>限制性</w:t>
            </w:r>
            <w:r>
              <w:rPr>
                <w:rFonts w:ascii="宋体" w:hAnsi="宋体" w:cs="宋体" w:eastAsia="宋体" w:hint="default"/>
                <w:w w:val="101"/>
                <w:sz w:val="18"/>
                <w:szCs w:val="18"/>
              </w:rPr>
              <w:t> </w:t>
            </w:r>
            <w:r>
              <w:rPr>
                <w:rFonts w:ascii="宋体" w:hAnsi="宋体" w:cs="宋体" w:eastAsia="宋体" w:hint="default"/>
                <w:spacing w:val="-2"/>
                <w:sz w:val="18"/>
                <w:szCs w:val="18"/>
              </w:rPr>
              <w:t>股票数</w:t>
            </w:r>
            <w:r>
              <w:rPr>
                <w:rFonts w:ascii="宋体" w:hAnsi="宋体" w:cs="宋体" w:eastAsia="宋体" w:hint="default"/>
                <w:w w:val="101"/>
                <w:sz w:val="18"/>
                <w:szCs w:val="18"/>
              </w:rPr>
              <w:t> </w:t>
            </w:r>
            <w:r>
              <w:rPr>
                <w:rFonts w:ascii="宋体" w:hAnsi="宋体" w:cs="宋体" w:eastAsia="宋体" w:hint="default"/>
                <w:sz w:val="18"/>
                <w:szCs w:val="18"/>
              </w:rPr>
              <w:t>量</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2" w:right="65"/>
              <w:jc w:val="both"/>
              <w:rPr>
                <w:rFonts w:ascii="宋体" w:hAnsi="宋体" w:cs="宋体" w:eastAsia="宋体" w:hint="default"/>
                <w:sz w:val="18"/>
                <w:szCs w:val="18"/>
              </w:rPr>
            </w:pPr>
            <w:r>
              <w:rPr>
                <w:rFonts w:ascii="宋体" w:hAnsi="宋体" w:cs="宋体" w:eastAsia="宋体" w:hint="default"/>
                <w:sz w:val="18"/>
                <w:szCs w:val="18"/>
              </w:rPr>
              <w:t>本期获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授予的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股权激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励限制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性股票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数量</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本期被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注销的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股权激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励限制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性股票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数量</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62" w:right="65"/>
              <w:jc w:val="center"/>
              <w:rPr>
                <w:rFonts w:ascii="宋体" w:hAnsi="宋体" w:cs="宋体" w:eastAsia="宋体" w:hint="default"/>
                <w:sz w:val="18"/>
                <w:szCs w:val="18"/>
              </w:rPr>
            </w:pPr>
            <w:r>
              <w:rPr>
                <w:rFonts w:ascii="宋体" w:hAnsi="宋体" w:cs="宋体" w:eastAsia="宋体" w:hint="default"/>
                <w:spacing w:val="-2"/>
                <w:sz w:val="18"/>
                <w:szCs w:val="18"/>
              </w:rPr>
              <w:t>期末持</w:t>
            </w:r>
            <w:r>
              <w:rPr>
                <w:rFonts w:ascii="宋体" w:hAnsi="宋体" w:cs="宋体" w:eastAsia="宋体" w:hint="default"/>
                <w:w w:val="101"/>
                <w:sz w:val="18"/>
                <w:szCs w:val="18"/>
              </w:rPr>
              <w:t> </w:t>
            </w:r>
            <w:r>
              <w:rPr>
                <w:rFonts w:ascii="宋体" w:hAnsi="宋体" w:cs="宋体" w:eastAsia="宋体" w:hint="default"/>
                <w:spacing w:val="-2"/>
                <w:sz w:val="18"/>
                <w:szCs w:val="18"/>
              </w:rPr>
              <w:t>有的股</w:t>
            </w:r>
            <w:r>
              <w:rPr>
                <w:rFonts w:ascii="宋体" w:hAnsi="宋体" w:cs="宋体" w:eastAsia="宋体" w:hint="default"/>
                <w:w w:val="101"/>
                <w:sz w:val="18"/>
                <w:szCs w:val="18"/>
              </w:rPr>
              <w:t> </w:t>
            </w:r>
            <w:r>
              <w:rPr>
                <w:rFonts w:ascii="宋体" w:hAnsi="宋体" w:cs="宋体" w:eastAsia="宋体" w:hint="default"/>
                <w:spacing w:val="-2"/>
                <w:sz w:val="18"/>
                <w:szCs w:val="18"/>
              </w:rPr>
              <w:t>权激励</w:t>
            </w:r>
            <w:r>
              <w:rPr>
                <w:rFonts w:ascii="宋体" w:hAnsi="宋体" w:cs="宋体" w:eastAsia="宋体" w:hint="default"/>
                <w:w w:val="101"/>
                <w:sz w:val="18"/>
                <w:szCs w:val="18"/>
              </w:rPr>
              <w:t> </w:t>
            </w:r>
            <w:r>
              <w:rPr>
                <w:rFonts w:ascii="宋体" w:hAnsi="宋体" w:cs="宋体" w:eastAsia="宋体" w:hint="default"/>
                <w:spacing w:val="-2"/>
                <w:sz w:val="18"/>
                <w:szCs w:val="18"/>
              </w:rPr>
              <w:t>获授予</w:t>
            </w:r>
            <w:r>
              <w:rPr>
                <w:rFonts w:ascii="宋体" w:hAnsi="宋体" w:cs="宋体" w:eastAsia="宋体" w:hint="default"/>
                <w:w w:val="101"/>
                <w:sz w:val="18"/>
                <w:szCs w:val="18"/>
              </w:rPr>
              <w:t> </w:t>
            </w:r>
            <w:r>
              <w:rPr>
                <w:rFonts w:ascii="宋体" w:hAnsi="宋体" w:cs="宋体" w:eastAsia="宋体" w:hint="default"/>
                <w:spacing w:val="-2"/>
                <w:sz w:val="18"/>
                <w:szCs w:val="18"/>
              </w:rPr>
              <w:t>限制性</w:t>
            </w:r>
            <w:r>
              <w:rPr>
                <w:rFonts w:ascii="宋体" w:hAnsi="宋体" w:cs="宋体" w:eastAsia="宋体" w:hint="default"/>
                <w:w w:val="101"/>
                <w:sz w:val="18"/>
                <w:szCs w:val="18"/>
              </w:rPr>
              <w:t> </w:t>
            </w:r>
            <w:r>
              <w:rPr>
                <w:rFonts w:ascii="宋体" w:hAnsi="宋体" w:cs="宋体" w:eastAsia="宋体" w:hint="default"/>
                <w:spacing w:val="-2"/>
                <w:sz w:val="18"/>
                <w:szCs w:val="18"/>
              </w:rPr>
              <w:t>股票数</w:t>
            </w:r>
            <w:r>
              <w:rPr>
                <w:rFonts w:ascii="宋体" w:hAnsi="宋体" w:cs="宋体" w:eastAsia="宋体" w:hint="default"/>
                <w:w w:val="101"/>
                <w:sz w:val="18"/>
                <w:szCs w:val="18"/>
              </w:rPr>
              <w:t> </w:t>
            </w:r>
            <w:r>
              <w:rPr>
                <w:rFonts w:ascii="宋体" w:hAnsi="宋体" w:cs="宋体" w:eastAsia="宋体" w:hint="default"/>
                <w:sz w:val="18"/>
                <w:szCs w:val="18"/>
              </w:rPr>
              <w:t>量</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67" w:right="65"/>
              <w:jc w:val="left"/>
              <w:rPr>
                <w:rFonts w:ascii="宋体" w:hAnsi="宋体" w:cs="宋体" w:eastAsia="宋体" w:hint="default"/>
                <w:sz w:val="18"/>
                <w:szCs w:val="18"/>
              </w:rPr>
            </w:pPr>
            <w:r>
              <w:rPr>
                <w:rFonts w:ascii="宋体" w:hAnsi="宋体" w:cs="宋体" w:eastAsia="宋体" w:hint="default"/>
                <w:sz w:val="18"/>
                <w:szCs w:val="18"/>
              </w:rPr>
              <w:t>增减变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动原因</w:t>
            </w:r>
          </w:p>
        </w:tc>
      </w:tr>
      <w:tr>
        <w:trPr>
          <w:trHeight w:val="1027" w:hRule="exact"/>
        </w:trPr>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8"/>
              <w:jc w:val="right"/>
              <w:rPr>
                <w:rFonts w:ascii="宋体" w:hAnsi="宋体" w:cs="宋体" w:eastAsia="宋体" w:hint="default"/>
                <w:sz w:val="18"/>
                <w:szCs w:val="18"/>
              </w:rPr>
            </w:pPr>
            <w:r>
              <w:rPr>
                <w:rFonts w:ascii="宋体" w:hAnsi="宋体" w:cs="宋体" w:eastAsia="宋体" w:hint="default"/>
                <w:spacing w:val="-2"/>
                <w:sz w:val="18"/>
                <w:szCs w:val="18"/>
              </w:rPr>
              <w:t>纪立军</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9" w:right="161"/>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86"/>
                <w:sz w:val="18"/>
                <w:szCs w:val="18"/>
              </w:rPr>
              <w:t> </w:t>
            </w:r>
            <w:r>
              <w:rPr>
                <w:rFonts w:ascii="宋体" w:hAnsi="宋体" w:cs="宋体" w:eastAsia="宋体" w:hint="default"/>
                <w:sz w:val="18"/>
                <w:szCs w:val="18"/>
              </w:rPr>
              <w:t>长</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9"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72,036,</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367</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72,036,</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367</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144,072</w:t>
            </w:r>
          </w:p>
          <w:p>
            <w:pPr>
              <w:pStyle w:val="TableParagraph"/>
              <w:spacing w:line="240" w:lineRule="auto" w:before="110"/>
              <w:ind w:left="326" w:right="0"/>
              <w:jc w:val="left"/>
              <w:rPr>
                <w:rFonts w:ascii="Times New Roman" w:hAnsi="Times New Roman" w:cs="Times New Roman" w:eastAsia="Times New Roman" w:hint="default"/>
                <w:sz w:val="18"/>
                <w:szCs w:val="18"/>
              </w:rPr>
            </w:pPr>
            <w:r>
              <w:rPr>
                <w:rFonts w:ascii="Times New Roman"/>
                <w:sz w:val="18"/>
              </w:rPr>
              <w:t>,734</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08"/>
              <w:jc w:val="both"/>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积金转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增股本</w:t>
            </w:r>
          </w:p>
        </w:tc>
      </w:tr>
      <w:tr>
        <w:trPr>
          <w:trHeight w:val="357" w:hRule="exact"/>
        </w:trPr>
        <w:tc>
          <w:tcPr>
            <w:tcW w:w="806" w:type="dxa"/>
            <w:tcBorders>
              <w:top w:val="single" w:sz="4" w:space="0" w:color="000000"/>
              <w:left w:val="single" w:sz="4" w:space="0" w:color="000000"/>
              <w:bottom w:val="nil" w:sz="6" w:space="0" w:color="auto"/>
              <w:right w:val="single" w:sz="4" w:space="0" w:color="000000"/>
            </w:tcBorders>
          </w:tcPr>
          <w:p>
            <w:pPr/>
          </w:p>
        </w:tc>
        <w:tc>
          <w:tcPr>
            <w:tcW w:w="557"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资本公</w:t>
            </w:r>
          </w:p>
        </w:tc>
      </w:tr>
      <w:tr>
        <w:trPr>
          <w:trHeight w:val="310" w:hRule="exact"/>
        </w:trPr>
        <w:tc>
          <w:tcPr>
            <w:tcW w:w="806" w:type="dxa"/>
            <w:tcBorders>
              <w:top w:val="nil" w:sz="6" w:space="0" w:color="auto"/>
              <w:left w:val="single" w:sz="4" w:space="0" w:color="000000"/>
              <w:bottom w:val="nil" w:sz="6" w:space="0" w:color="auto"/>
              <w:right w:val="single" w:sz="4" w:space="0" w:color="000000"/>
            </w:tcBorders>
          </w:tcPr>
          <w:p>
            <w:pPr/>
          </w:p>
        </w:tc>
        <w:tc>
          <w:tcPr>
            <w:tcW w:w="557"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积金转</w:t>
            </w:r>
          </w:p>
        </w:tc>
      </w:tr>
      <w:tr>
        <w:trPr>
          <w:trHeight w:val="312" w:hRule="exact"/>
        </w:trPr>
        <w:tc>
          <w:tcPr>
            <w:tcW w:w="806" w:type="dxa"/>
            <w:tcBorders>
              <w:top w:val="nil" w:sz="6" w:space="0" w:color="auto"/>
              <w:left w:val="single" w:sz="4" w:space="0" w:color="000000"/>
              <w:bottom w:val="nil" w:sz="6" w:space="0" w:color="auto"/>
              <w:right w:val="single" w:sz="4" w:space="0" w:color="000000"/>
            </w:tcBorders>
          </w:tcPr>
          <w:p>
            <w:pPr/>
          </w:p>
        </w:tc>
        <w:tc>
          <w:tcPr>
            <w:tcW w:w="557"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增股</w:t>
            </w:r>
          </w:p>
        </w:tc>
      </w:tr>
      <w:tr>
        <w:trPr>
          <w:trHeight w:val="936" w:hRule="exact"/>
        </w:trPr>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28"/>
              <w:jc w:val="right"/>
              <w:rPr>
                <w:rFonts w:ascii="宋体" w:hAnsi="宋体" w:cs="宋体" w:eastAsia="宋体" w:hint="default"/>
                <w:sz w:val="18"/>
                <w:szCs w:val="18"/>
              </w:rPr>
            </w:pPr>
            <w:r>
              <w:rPr>
                <w:rFonts w:ascii="宋体" w:hAnsi="宋体" w:cs="宋体" w:eastAsia="宋体" w:hint="default"/>
                <w:spacing w:val="-2"/>
                <w:sz w:val="18"/>
                <w:szCs w:val="18"/>
              </w:rPr>
              <w:t>臧少玉</w:t>
            </w:r>
          </w:p>
        </w:tc>
        <w:tc>
          <w:tcPr>
            <w:tcW w:w="55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7"/>
              <w:jc w:val="right"/>
              <w:rPr>
                <w:rFonts w:ascii="Times New Roman" w:hAnsi="Times New Roman" w:cs="Times New Roman" w:eastAsia="Times New Roman" w:hint="default"/>
                <w:sz w:val="18"/>
                <w:szCs w:val="18"/>
              </w:rPr>
            </w:pPr>
            <w:r>
              <w:rPr>
                <w:rFonts w:ascii="Times New Roman"/>
                <w:sz w:val="18"/>
              </w:rPr>
              <w:t>41</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14,300,</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695</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12,800,</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695</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5,650,3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48</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21,451,</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042</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108"/>
              <w:jc w:val="both"/>
              <w:rPr>
                <w:rFonts w:ascii="宋体" w:hAnsi="宋体" w:cs="宋体" w:eastAsia="宋体" w:hint="default"/>
                <w:sz w:val="18"/>
                <w:szCs w:val="18"/>
              </w:rPr>
            </w:pPr>
            <w:r>
              <w:rPr>
                <w:rFonts w:ascii="宋体" w:hAnsi="宋体" w:cs="宋体" w:eastAsia="宋体" w:hint="default"/>
                <w:sz w:val="18"/>
                <w:szCs w:val="18"/>
              </w:rPr>
              <w:t>本，其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本期减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持股份</w:t>
            </w:r>
          </w:p>
        </w:tc>
      </w:tr>
      <w:tr>
        <w:trPr>
          <w:trHeight w:val="317" w:hRule="exact"/>
        </w:trPr>
        <w:tc>
          <w:tcPr>
            <w:tcW w:w="806" w:type="dxa"/>
            <w:tcBorders>
              <w:top w:val="nil" w:sz="6" w:space="0" w:color="auto"/>
              <w:left w:val="single" w:sz="4" w:space="0" w:color="000000"/>
              <w:bottom w:val="nil" w:sz="6" w:space="0" w:color="auto"/>
              <w:right w:val="single" w:sz="4" w:space="0" w:color="000000"/>
            </w:tcBorders>
          </w:tcPr>
          <w:p>
            <w:pPr/>
          </w:p>
        </w:tc>
        <w:tc>
          <w:tcPr>
            <w:tcW w:w="557"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为</w:t>
            </w:r>
            <w:r>
              <w:rPr>
                <w:rFonts w:ascii="宋体" w:hAnsi="宋体" w:cs="宋体" w:eastAsia="宋体" w:hint="default"/>
                <w:sz w:val="18"/>
                <w:szCs w:val="18"/>
              </w:rPr>
            </w:r>
          </w:p>
        </w:tc>
      </w:tr>
      <w:tr>
        <w:trPr>
          <w:trHeight w:val="314" w:hRule="exact"/>
        </w:trPr>
        <w:tc>
          <w:tcPr>
            <w:tcW w:w="806" w:type="dxa"/>
            <w:tcBorders>
              <w:top w:val="nil" w:sz="6" w:space="0" w:color="auto"/>
              <w:left w:val="single" w:sz="4" w:space="0" w:color="000000"/>
              <w:bottom w:val="nil" w:sz="6" w:space="0" w:color="auto"/>
              <w:right w:val="single" w:sz="4" w:space="0" w:color="000000"/>
            </w:tcBorders>
          </w:tcPr>
          <w:p>
            <w:pPr/>
          </w:p>
        </w:tc>
        <w:tc>
          <w:tcPr>
            <w:tcW w:w="557"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sz w:val="18"/>
              </w:rPr>
              <w:t>5,650,3</w:t>
            </w:r>
          </w:p>
        </w:tc>
      </w:tr>
      <w:tr>
        <w:trPr>
          <w:trHeight w:val="353" w:hRule="exact"/>
        </w:trPr>
        <w:tc>
          <w:tcPr>
            <w:tcW w:w="806" w:type="dxa"/>
            <w:tcBorders>
              <w:top w:val="nil" w:sz="6" w:space="0" w:color="auto"/>
              <w:left w:val="single" w:sz="4" w:space="0" w:color="000000"/>
              <w:bottom w:val="single" w:sz="4" w:space="0" w:color="000000"/>
              <w:right w:val="single" w:sz="4" w:space="0" w:color="000000"/>
            </w:tcBorders>
          </w:tcPr>
          <w:p>
            <w:pPr/>
          </w:p>
        </w:tc>
        <w:tc>
          <w:tcPr>
            <w:tcW w:w="557"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p>
        </w:tc>
      </w:tr>
      <w:tr>
        <w:trPr>
          <w:trHeight w:val="357" w:hRule="exact"/>
        </w:trPr>
        <w:tc>
          <w:tcPr>
            <w:tcW w:w="806" w:type="dxa"/>
            <w:tcBorders>
              <w:top w:val="single" w:sz="4" w:space="0" w:color="000000"/>
              <w:left w:val="single" w:sz="4" w:space="0" w:color="000000"/>
              <w:bottom w:val="nil" w:sz="6" w:space="0" w:color="auto"/>
              <w:right w:val="single" w:sz="4" w:space="0" w:color="000000"/>
            </w:tcBorders>
          </w:tcPr>
          <w:p>
            <w:pPr/>
          </w:p>
        </w:tc>
        <w:tc>
          <w:tcPr>
            <w:tcW w:w="557"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资本公</w:t>
            </w:r>
          </w:p>
        </w:tc>
      </w:tr>
      <w:tr>
        <w:trPr>
          <w:trHeight w:val="310" w:hRule="exact"/>
        </w:trPr>
        <w:tc>
          <w:tcPr>
            <w:tcW w:w="806" w:type="dxa"/>
            <w:tcBorders>
              <w:top w:val="nil" w:sz="6" w:space="0" w:color="auto"/>
              <w:left w:val="single" w:sz="4" w:space="0" w:color="000000"/>
              <w:bottom w:val="nil" w:sz="6" w:space="0" w:color="auto"/>
              <w:right w:val="single" w:sz="4" w:space="0" w:color="000000"/>
            </w:tcBorders>
          </w:tcPr>
          <w:p>
            <w:pPr/>
          </w:p>
        </w:tc>
        <w:tc>
          <w:tcPr>
            <w:tcW w:w="557"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积金转</w:t>
            </w:r>
          </w:p>
        </w:tc>
      </w:tr>
      <w:tr>
        <w:trPr>
          <w:trHeight w:val="312" w:hRule="exact"/>
        </w:trPr>
        <w:tc>
          <w:tcPr>
            <w:tcW w:w="806" w:type="dxa"/>
            <w:tcBorders>
              <w:top w:val="nil" w:sz="6" w:space="0" w:color="auto"/>
              <w:left w:val="single" w:sz="4" w:space="0" w:color="000000"/>
              <w:bottom w:val="nil" w:sz="6" w:space="0" w:color="auto"/>
              <w:right w:val="single" w:sz="4" w:space="0" w:color="000000"/>
            </w:tcBorders>
          </w:tcPr>
          <w:p>
            <w:pPr/>
          </w:p>
        </w:tc>
        <w:tc>
          <w:tcPr>
            <w:tcW w:w="557"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增股</w:t>
            </w:r>
          </w:p>
        </w:tc>
      </w:tr>
      <w:tr>
        <w:trPr>
          <w:trHeight w:val="938" w:hRule="exact"/>
        </w:trPr>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28"/>
              <w:jc w:val="right"/>
              <w:rPr>
                <w:rFonts w:ascii="宋体" w:hAnsi="宋体" w:cs="宋体" w:eastAsia="宋体" w:hint="default"/>
                <w:sz w:val="18"/>
                <w:szCs w:val="18"/>
              </w:rPr>
            </w:pPr>
            <w:r>
              <w:rPr>
                <w:rFonts w:ascii="宋体" w:hAnsi="宋体" w:cs="宋体" w:eastAsia="宋体" w:hint="default"/>
                <w:spacing w:val="-2"/>
                <w:sz w:val="18"/>
                <w:szCs w:val="18"/>
              </w:rPr>
              <w:t>王宏道</w:t>
            </w:r>
          </w:p>
        </w:tc>
        <w:tc>
          <w:tcPr>
            <w:tcW w:w="557" w:type="dxa"/>
            <w:tcBorders>
              <w:top w:val="nil" w:sz="6" w:space="0" w:color="auto"/>
              <w:left w:val="single" w:sz="4" w:space="0" w:color="000000"/>
              <w:bottom w:val="nil" w:sz="6" w:space="0" w:color="auto"/>
              <w:right w:val="single" w:sz="4" w:space="0" w:color="000000"/>
            </w:tcBorders>
          </w:tcPr>
          <w:p>
            <w:pPr>
              <w:pStyle w:val="TableParagraph"/>
              <w:spacing w:line="316" w:lineRule="auto" w:before="16"/>
              <w:ind w:left="19" w:right="-15"/>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副总</w:t>
            </w:r>
            <w:r>
              <w:rPr>
                <w:rFonts w:ascii="宋体" w:hAnsi="宋体" w:cs="宋体" w:eastAsia="宋体" w:hint="default"/>
                <w:spacing w:val="-86"/>
                <w:sz w:val="18"/>
                <w:szCs w:val="18"/>
              </w:rPr>
              <w:t> </w:t>
            </w:r>
            <w:r>
              <w:rPr>
                <w:rFonts w:ascii="宋体" w:hAnsi="宋体" w:cs="宋体" w:eastAsia="宋体" w:hint="default"/>
                <w:sz w:val="18"/>
                <w:szCs w:val="18"/>
              </w:rPr>
              <w:t>经理</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7"/>
              <w:jc w:val="right"/>
              <w:rPr>
                <w:rFonts w:ascii="Times New Roman" w:hAnsi="Times New Roman" w:cs="Times New Roman" w:eastAsia="Times New Roman" w:hint="default"/>
                <w:sz w:val="18"/>
                <w:szCs w:val="18"/>
              </w:rPr>
            </w:pPr>
            <w:r>
              <w:rPr>
                <w:rFonts w:ascii="Times New Roman"/>
                <w:sz w:val="18"/>
              </w:rPr>
              <w:t>50</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1,019,8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26</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7"/>
              <w:jc w:val="right"/>
              <w:rPr>
                <w:rFonts w:ascii="Times New Roman" w:hAnsi="Times New Roman" w:cs="Times New Roman" w:eastAsia="Times New Roman" w:hint="default"/>
                <w:sz w:val="18"/>
                <w:szCs w:val="18"/>
              </w:rPr>
            </w:pPr>
            <w:r>
              <w:rPr>
                <w:rFonts w:ascii="Times New Roman"/>
                <w:spacing w:val="-1"/>
                <w:sz w:val="18"/>
              </w:rPr>
              <w:t>918,726</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22"/>
              <w:jc w:val="right"/>
              <w:rPr>
                <w:rFonts w:ascii="Times New Roman" w:hAnsi="Times New Roman" w:cs="Times New Roman" w:eastAsia="Times New Roman" w:hint="default"/>
                <w:sz w:val="18"/>
                <w:szCs w:val="18"/>
              </w:rPr>
            </w:pPr>
            <w:r>
              <w:rPr>
                <w:rFonts w:ascii="Times New Roman"/>
                <w:spacing w:val="-1"/>
                <w:sz w:val="18"/>
              </w:rPr>
              <w:t>101,100</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1,837,4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52</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108"/>
              <w:jc w:val="both"/>
              <w:rPr>
                <w:rFonts w:ascii="宋体" w:hAnsi="宋体" w:cs="宋体" w:eastAsia="宋体" w:hint="default"/>
                <w:sz w:val="18"/>
                <w:szCs w:val="18"/>
              </w:rPr>
            </w:pPr>
            <w:r>
              <w:rPr>
                <w:rFonts w:ascii="宋体" w:hAnsi="宋体" w:cs="宋体" w:eastAsia="宋体" w:hint="default"/>
                <w:sz w:val="18"/>
                <w:szCs w:val="18"/>
              </w:rPr>
              <w:t>本，其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本期减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持股份</w:t>
            </w:r>
          </w:p>
        </w:tc>
      </w:tr>
      <w:tr>
        <w:trPr>
          <w:trHeight w:val="315" w:hRule="exact"/>
        </w:trPr>
        <w:tc>
          <w:tcPr>
            <w:tcW w:w="806" w:type="dxa"/>
            <w:tcBorders>
              <w:top w:val="nil" w:sz="6" w:space="0" w:color="auto"/>
              <w:left w:val="single" w:sz="4" w:space="0" w:color="000000"/>
              <w:bottom w:val="nil" w:sz="6" w:space="0" w:color="auto"/>
              <w:right w:val="single" w:sz="4" w:space="0" w:color="000000"/>
            </w:tcBorders>
          </w:tcPr>
          <w:p>
            <w:pPr/>
          </w:p>
        </w:tc>
        <w:tc>
          <w:tcPr>
            <w:tcW w:w="557"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w w:val="101"/>
                <w:sz w:val="18"/>
                <w:szCs w:val="18"/>
              </w:rPr>
              <w:t>为</w:t>
            </w:r>
            <w:r>
              <w:rPr>
                <w:rFonts w:ascii="宋体" w:hAnsi="宋体" w:cs="宋体" w:eastAsia="宋体" w:hint="default"/>
                <w:sz w:val="18"/>
                <w:szCs w:val="18"/>
              </w:rPr>
            </w:r>
          </w:p>
        </w:tc>
      </w:tr>
      <w:tr>
        <w:trPr>
          <w:trHeight w:val="314" w:hRule="exact"/>
        </w:trPr>
        <w:tc>
          <w:tcPr>
            <w:tcW w:w="806" w:type="dxa"/>
            <w:tcBorders>
              <w:top w:val="nil" w:sz="6" w:space="0" w:color="auto"/>
              <w:left w:val="single" w:sz="4" w:space="0" w:color="000000"/>
              <w:bottom w:val="nil" w:sz="6" w:space="0" w:color="auto"/>
              <w:right w:val="single" w:sz="4" w:space="0" w:color="000000"/>
            </w:tcBorders>
          </w:tcPr>
          <w:p>
            <w:pPr/>
          </w:p>
        </w:tc>
        <w:tc>
          <w:tcPr>
            <w:tcW w:w="557"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sz w:val="18"/>
              </w:rPr>
              <w:t>101,100</w:t>
            </w:r>
          </w:p>
        </w:tc>
      </w:tr>
      <w:tr>
        <w:trPr>
          <w:trHeight w:val="353" w:hRule="exact"/>
        </w:trPr>
        <w:tc>
          <w:tcPr>
            <w:tcW w:w="806" w:type="dxa"/>
            <w:tcBorders>
              <w:top w:val="nil" w:sz="6" w:space="0" w:color="auto"/>
              <w:left w:val="single" w:sz="4" w:space="0" w:color="000000"/>
              <w:bottom w:val="single" w:sz="4" w:space="0" w:color="000000"/>
              <w:right w:val="single" w:sz="4" w:space="0" w:color="000000"/>
            </w:tcBorders>
          </w:tcPr>
          <w:p>
            <w:pPr/>
          </w:p>
        </w:tc>
        <w:tc>
          <w:tcPr>
            <w:tcW w:w="557"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347" w:hRule="exact"/>
        </w:trPr>
        <w:tc>
          <w:tcPr>
            <w:tcW w:w="806" w:type="dxa"/>
            <w:tcBorders>
              <w:top w:val="single" w:sz="4" w:space="0" w:color="000000"/>
              <w:left w:val="single" w:sz="4" w:space="0" w:color="000000"/>
              <w:bottom w:val="nil" w:sz="6" w:space="0" w:color="auto"/>
              <w:right w:val="single" w:sz="4" w:space="0" w:color="000000"/>
            </w:tcBorders>
          </w:tcPr>
          <w:p>
            <w:pPr/>
          </w:p>
        </w:tc>
        <w:tc>
          <w:tcPr>
            <w:tcW w:w="557"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资本公</w:t>
            </w:r>
          </w:p>
        </w:tc>
      </w:tr>
      <w:tr>
        <w:trPr>
          <w:trHeight w:val="307" w:hRule="exact"/>
        </w:trPr>
        <w:tc>
          <w:tcPr>
            <w:tcW w:w="806" w:type="dxa"/>
            <w:tcBorders>
              <w:top w:val="nil" w:sz="6" w:space="0" w:color="auto"/>
              <w:left w:val="single" w:sz="4" w:space="0" w:color="000000"/>
              <w:bottom w:val="nil" w:sz="6" w:space="0" w:color="auto"/>
              <w:right w:val="single" w:sz="4" w:space="0" w:color="000000"/>
            </w:tcBorders>
          </w:tcPr>
          <w:p>
            <w:pPr/>
          </w:p>
        </w:tc>
        <w:tc>
          <w:tcPr>
            <w:tcW w:w="557"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19" w:right="-15"/>
              <w:jc w:val="left"/>
              <w:rPr>
                <w:rFonts w:ascii="宋体" w:hAnsi="宋体" w:cs="宋体" w:eastAsia="宋体" w:hint="default"/>
                <w:sz w:val="18"/>
                <w:szCs w:val="18"/>
              </w:rPr>
            </w:pPr>
            <w:r>
              <w:rPr>
                <w:rFonts w:ascii="宋体" w:hAnsi="宋体" w:cs="宋体" w:eastAsia="宋体" w:hint="default"/>
                <w:sz w:val="18"/>
                <w:szCs w:val="18"/>
              </w:rPr>
              <w:t>董事、</w:t>
            </w: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left="23" w:right="0"/>
              <w:jc w:val="left"/>
              <w:rPr>
                <w:rFonts w:ascii="宋体" w:hAnsi="宋体" w:cs="宋体" w:eastAsia="宋体" w:hint="default"/>
                <w:sz w:val="18"/>
                <w:szCs w:val="18"/>
              </w:rPr>
            </w:pPr>
            <w:r>
              <w:rPr>
                <w:rFonts w:ascii="宋体" w:hAnsi="宋体" w:cs="宋体" w:eastAsia="宋体" w:hint="default"/>
                <w:sz w:val="18"/>
                <w:szCs w:val="18"/>
              </w:rPr>
              <w:t>积金转</w:t>
            </w:r>
          </w:p>
        </w:tc>
      </w:tr>
      <w:tr>
        <w:trPr>
          <w:trHeight w:val="314" w:hRule="exact"/>
        </w:trPr>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228"/>
              <w:jc w:val="right"/>
              <w:rPr>
                <w:rFonts w:ascii="宋体" w:hAnsi="宋体" w:cs="宋体" w:eastAsia="宋体" w:hint="default"/>
                <w:sz w:val="18"/>
                <w:szCs w:val="18"/>
              </w:rPr>
            </w:pPr>
            <w:r>
              <w:rPr>
                <w:rFonts w:ascii="宋体" w:hAnsi="宋体" w:cs="宋体" w:eastAsia="宋体" w:hint="default"/>
                <w:spacing w:val="-2"/>
                <w:sz w:val="18"/>
                <w:szCs w:val="18"/>
              </w:rPr>
              <w:t>王敬敏</w:t>
            </w:r>
          </w:p>
        </w:tc>
        <w:tc>
          <w:tcPr>
            <w:tcW w:w="557"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19" w:right="0"/>
              <w:jc w:val="left"/>
              <w:rPr>
                <w:rFonts w:ascii="宋体" w:hAnsi="宋体" w:cs="宋体" w:eastAsia="宋体" w:hint="default"/>
                <w:sz w:val="18"/>
                <w:szCs w:val="18"/>
              </w:rPr>
            </w:pPr>
            <w:r>
              <w:rPr>
                <w:rFonts w:ascii="宋体" w:hAnsi="宋体" w:cs="宋体" w:eastAsia="宋体" w:hint="default"/>
                <w:sz w:val="18"/>
                <w:szCs w:val="18"/>
              </w:rPr>
              <w:t>副总</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9"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7"/>
              <w:jc w:val="right"/>
              <w:rPr>
                <w:rFonts w:ascii="Times New Roman" w:hAnsi="Times New Roman" w:cs="Times New Roman" w:eastAsia="Times New Roman" w:hint="default"/>
                <w:sz w:val="18"/>
                <w:szCs w:val="18"/>
              </w:rPr>
            </w:pPr>
            <w:r>
              <w:rPr>
                <w:rFonts w:ascii="Times New Roman"/>
                <w:sz w:val="18"/>
              </w:rPr>
              <w:t>55</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62" w:right="0"/>
              <w:jc w:val="left"/>
              <w:rPr>
                <w:rFonts w:ascii="Times New Roman" w:hAnsi="Times New Roman" w:cs="Times New Roman" w:eastAsia="Times New Roman" w:hint="default"/>
                <w:sz w:val="18"/>
                <w:szCs w:val="18"/>
              </w:rPr>
            </w:pPr>
            <w:r>
              <w:rPr>
                <w:rFonts w:ascii="Times New Roman"/>
                <w:sz w:val="18"/>
              </w:rPr>
              <w:t>227,080</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7"/>
              <w:jc w:val="right"/>
              <w:rPr>
                <w:rFonts w:ascii="Times New Roman" w:hAnsi="Times New Roman" w:cs="Times New Roman" w:eastAsia="Times New Roman" w:hint="default"/>
                <w:sz w:val="18"/>
                <w:szCs w:val="18"/>
              </w:rPr>
            </w:pPr>
            <w:r>
              <w:rPr>
                <w:rFonts w:ascii="Times New Roman"/>
                <w:spacing w:val="-1"/>
                <w:sz w:val="18"/>
              </w:rPr>
              <w:t>227,080</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1"/>
                <w:sz w:val="18"/>
              </w:rPr>
              <w:t>60,000</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57" w:right="0"/>
              <w:jc w:val="left"/>
              <w:rPr>
                <w:rFonts w:ascii="Times New Roman" w:hAnsi="Times New Roman" w:cs="Times New Roman" w:eastAsia="Times New Roman" w:hint="default"/>
                <w:sz w:val="18"/>
                <w:szCs w:val="18"/>
              </w:rPr>
            </w:pPr>
            <w:r>
              <w:rPr>
                <w:rFonts w:ascii="Times New Roman"/>
                <w:sz w:val="18"/>
              </w:rPr>
              <w:t>394,160</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left="23" w:right="0"/>
              <w:jc w:val="left"/>
              <w:rPr>
                <w:rFonts w:ascii="宋体" w:hAnsi="宋体" w:cs="宋体" w:eastAsia="宋体" w:hint="default"/>
                <w:sz w:val="18"/>
                <w:szCs w:val="18"/>
              </w:rPr>
            </w:pPr>
            <w:r>
              <w:rPr>
                <w:rFonts w:ascii="宋体" w:hAnsi="宋体" w:cs="宋体" w:eastAsia="宋体" w:hint="default"/>
                <w:sz w:val="18"/>
                <w:szCs w:val="18"/>
              </w:rPr>
              <w:t>增股</w:t>
            </w:r>
          </w:p>
        </w:tc>
      </w:tr>
      <w:tr>
        <w:trPr>
          <w:trHeight w:val="322" w:hRule="exact"/>
        </w:trPr>
        <w:tc>
          <w:tcPr>
            <w:tcW w:w="806" w:type="dxa"/>
            <w:tcBorders>
              <w:top w:val="nil" w:sz="6" w:space="0" w:color="auto"/>
              <w:left w:val="single" w:sz="4" w:space="0" w:color="000000"/>
              <w:bottom w:val="nil" w:sz="6" w:space="0" w:color="auto"/>
              <w:right w:val="single" w:sz="4" w:space="0" w:color="000000"/>
            </w:tcBorders>
          </w:tcPr>
          <w:p>
            <w:pPr/>
          </w:p>
        </w:tc>
        <w:tc>
          <w:tcPr>
            <w:tcW w:w="55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9"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本，其</w:t>
            </w:r>
          </w:p>
        </w:tc>
      </w:tr>
      <w:tr>
        <w:trPr>
          <w:trHeight w:val="318" w:hRule="exact"/>
        </w:trPr>
        <w:tc>
          <w:tcPr>
            <w:tcW w:w="806" w:type="dxa"/>
            <w:tcBorders>
              <w:top w:val="nil" w:sz="6" w:space="0" w:color="auto"/>
              <w:left w:val="single" w:sz="4" w:space="0" w:color="000000"/>
              <w:bottom w:val="single" w:sz="4" w:space="0" w:color="000000"/>
              <w:right w:val="single" w:sz="4" w:space="0" w:color="000000"/>
            </w:tcBorders>
          </w:tcPr>
          <w:p>
            <w:pPr/>
          </w:p>
        </w:tc>
        <w:tc>
          <w:tcPr>
            <w:tcW w:w="557"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本期减</w:t>
            </w:r>
          </w:p>
        </w:tc>
      </w:tr>
    </w:tbl>
    <w:p>
      <w:pPr>
        <w:spacing w:after="0" w:line="240" w:lineRule="auto"/>
        <w:jc w:val="left"/>
        <w:rPr>
          <w:rFonts w:ascii="宋体" w:hAnsi="宋体" w:cs="宋体" w:eastAsia="宋体" w:hint="default"/>
          <w:sz w:val="18"/>
          <w:szCs w:val="18"/>
        </w:rPr>
        <w:sectPr>
          <w:pgSz w:w="11900" w:h="16840"/>
          <w:pgMar w:header="742" w:footer="984"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06"/>
        <w:gridCol w:w="557"/>
        <w:gridCol w:w="682"/>
        <w:gridCol w:w="682"/>
        <w:gridCol w:w="682"/>
        <w:gridCol w:w="686"/>
        <w:gridCol w:w="682"/>
        <w:gridCol w:w="686"/>
        <w:gridCol w:w="682"/>
        <w:gridCol w:w="686"/>
        <w:gridCol w:w="682"/>
        <w:gridCol w:w="686"/>
        <w:gridCol w:w="682"/>
        <w:gridCol w:w="686"/>
      </w:tblGrid>
      <w:tr>
        <w:trPr>
          <w:trHeight w:val="316" w:hRule="exact"/>
        </w:trPr>
        <w:tc>
          <w:tcPr>
            <w:tcW w:w="806" w:type="dxa"/>
            <w:vMerge w:val="restart"/>
            <w:tcBorders>
              <w:top w:val="single" w:sz="4" w:space="0" w:color="000000"/>
              <w:left w:val="single" w:sz="4" w:space="0" w:color="000000"/>
              <w:right w:val="single" w:sz="4" w:space="0" w:color="000000"/>
            </w:tcBorders>
          </w:tcPr>
          <w:p>
            <w:pPr/>
          </w:p>
        </w:tc>
        <w:tc>
          <w:tcPr>
            <w:tcW w:w="557"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持股份</w:t>
            </w:r>
          </w:p>
        </w:tc>
      </w:tr>
      <w:tr>
        <w:trPr>
          <w:trHeight w:val="317" w:hRule="exact"/>
        </w:trPr>
        <w:tc>
          <w:tcPr>
            <w:tcW w:w="806"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为</w:t>
            </w:r>
            <w:r>
              <w:rPr>
                <w:rFonts w:ascii="宋体" w:hAnsi="宋体" w:cs="宋体" w:eastAsia="宋体" w:hint="default"/>
                <w:sz w:val="18"/>
                <w:szCs w:val="18"/>
              </w:rPr>
            </w:r>
          </w:p>
        </w:tc>
      </w:tr>
      <w:tr>
        <w:trPr>
          <w:trHeight w:val="314" w:hRule="exact"/>
        </w:trPr>
        <w:tc>
          <w:tcPr>
            <w:tcW w:w="806" w:type="dxa"/>
            <w:vMerge/>
            <w:tcBorders>
              <w:left w:val="single" w:sz="4" w:space="0" w:color="000000"/>
              <w:right w:val="single" w:sz="4" w:space="0" w:color="000000"/>
            </w:tcBorders>
          </w:tcPr>
          <w:p>
            <w:pPr/>
          </w:p>
        </w:tc>
        <w:tc>
          <w:tcPr>
            <w:tcW w:w="557"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sz w:val="18"/>
              </w:rPr>
              <w:t>60,000</w:t>
            </w:r>
          </w:p>
        </w:tc>
      </w:tr>
      <w:tr>
        <w:trPr>
          <w:trHeight w:val="349" w:hRule="exact"/>
        </w:trPr>
        <w:tc>
          <w:tcPr>
            <w:tcW w:w="806" w:type="dxa"/>
            <w:vMerge/>
            <w:tcBorders>
              <w:left w:val="single" w:sz="4" w:space="0" w:color="000000"/>
              <w:bottom w:val="single" w:sz="4" w:space="0" w:color="000000"/>
              <w:right w:val="single" w:sz="4" w:space="0" w:color="000000"/>
            </w:tcBorders>
          </w:tcPr>
          <w:p>
            <w:pPr/>
          </w:p>
        </w:tc>
        <w:tc>
          <w:tcPr>
            <w:tcW w:w="557"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403" w:hRule="exact"/>
        </w:trPr>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马立群</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47</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田利明</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9" w:right="161"/>
              <w:jc w:val="left"/>
              <w:rPr>
                <w:rFonts w:ascii="宋体" w:hAnsi="宋体" w:cs="宋体" w:eastAsia="宋体" w:hint="default"/>
                <w:sz w:val="18"/>
                <w:szCs w:val="18"/>
              </w:rPr>
            </w:pPr>
            <w:r>
              <w:rPr>
                <w:rFonts w:ascii="宋体" w:hAnsi="宋体" w:cs="宋体" w:eastAsia="宋体" w:hint="default"/>
                <w:sz w:val="18"/>
                <w:szCs w:val="18"/>
              </w:rPr>
              <w:t>独立</w:t>
            </w:r>
            <w:r>
              <w:rPr>
                <w:rFonts w:ascii="宋体" w:hAnsi="宋体" w:cs="宋体" w:eastAsia="宋体" w:hint="default"/>
                <w:spacing w:val="-86"/>
                <w:sz w:val="18"/>
                <w:szCs w:val="18"/>
              </w:rPr>
              <w:t> </w:t>
            </w:r>
            <w:r>
              <w:rPr>
                <w:rFonts w:ascii="宋体" w:hAnsi="宋体" w:cs="宋体" w:eastAsia="宋体" w:hint="default"/>
                <w:sz w:val="18"/>
                <w:szCs w:val="18"/>
              </w:rPr>
              <w:t>董事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尚建平</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9" w:right="161"/>
              <w:jc w:val="left"/>
              <w:rPr>
                <w:rFonts w:ascii="宋体" w:hAnsi="宋体" w:cs="宋体" w:eastAsia="宋体" w:hint="default"/>
                <w:sz w:val="18"/>
                <w:szCs w:val="18"/>
              </w:rPr>
            </w:pPr>
            <w:r>
              <w:rPr>
                <w:rFonts w:ascii="宋体" w:hAnsi="宋体" w:cs="宋体" w:eastAsia="宋体" w:hint="default"/>
                <w:sz w:val="18"/>
                <w:szCs w:val="18"/>
              </w:rPr>
              <w:t>独立</w:t>
            </w:r>
            <w:r>
              <w:rPr>
                <w:rFonts w:ascii="宋体" w:hAnsi="宋体" w:cs="宋体" w:eastAsia="宋体" w:hint="default"/>
                <w:spacing w:val="-86"/>
                <w:sz w:val="18"/>
                <w:szCs w:val="18"/>
              </w:rPr>
              <w:t> </w:t>
            </w:r>
            <w:r>
              <w:rPr>
                <w:rFonts w:ascii="宋体" w:hAnsi="宋体" w:cs="宋体" w:eastAsia="宋体" w:hint="default"/>
                <w:sz w:val="18"/>
                <w:szCs w:val="18"/>
              </w:rPr>
              <w:t>董事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朱震宇</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9" w:right="161"/>
              <w:jc w:val="left"/>
              <w:rPr>
                <w:rFonts w:ascii="宋体" w:hAnsi="宋体" w:cs="宋体" w:eastAsia="宋体" w:hint="default"/>
                <w:sz w:val="18"/>
                <w:szCs w:val="18"/>
              </w:rPr>
            </w:pPr>
            <w:r>
              <w:rPr>
                <w:rFonts w:ascii="宋体" w:hAnsi="宋体" w:cs="宋体" w:eastAsia="宋体" w:hint="default"/>
                <w:sz w:val="18"/>
                <w:szCs w:val="18"/>
              </w:rPr>
              <w:t>独立</w:t>
            </w:r>
            <w:r>
              <w:rPr>
                <w:rFonts w:ascii="宋体" w:hAnsi="宋体" w:cs="宋体" w:eastAsia="宋体" w:hint="default"/>
                <w:spacing w:val="-86"/>
                <w:sz w:val="18"/>
                <w:szCs w:val="18"/>
              </w:rPr>
              <w:t> </w:t>
            </w:r>
            <w:r>
              <w:rPr>
                <w:rFonts w:ascii="宋体" w:hAnsi="宋体" w:cs="宋体" w:eastAsia="宋体" w:hint="default"/>
                <w:sz w:val="18"/>
                <w:szCs w:val="18"/>
              </w:rPr>
              <w:t>董事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
        </w:tc>
      </w:tr>
      <w:tr>
        <w:trPr>
          <w:trHeight w:val="359" w:hRule="exact"/>
        </w:trPr>
        <w:tc>
          <w:tcPr>
            <w:tcW w:w="806" w:type="dxa"/>
            <w:tcBorders>
              <w:top w:val="single" w:sz="4" w:space="0" w:color="000000"/>
              <w:left w:val="single" w:sz="4" w:space="0" w:color="000000"/>
              <w:bottom w:val="nil" w:sz="6" w:space="0" w:color="auto"/>
              <w:right w:val="single" w:sz="4" w:space="0" w:color="000000"/>
            </w:tcBorders>
          </w:tcPr>
          <w:p>
            <w:pPr/>
          </w:p>
        </w:tc>
        <w:tc>
          <w:tcPr>
            <w:tcW w:w="557"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资本公</w:t>
            </w:r>
          </w:p>
        </w:tc>
      </w:tr>
      <w:tr>
        <w:trPr>
          <w:trHeight w:val="319" w:hRule="exact"/>
        </w:trPr>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汤晓飞</w:t>
            </w:r>
          </w:p>
        </w:tc>
        <w:tc>
          <w:tcPr>
            <w:tcW w:w="55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7"/>
              <w:jc w:val="right"/>
              <w:rPr>
                <w:rFonts w:ascii="Times New Roman" w:hAnsi="Times New Roman" w:cs="Times New Roman" w:eastAsia="Times New Roman" w:hint="default"/>
                <w:sz w:val="18"/>
                <w:szCs w:val="18"/>
              </w:rPr>
            </w:pPr>
            <w:r>
              <w:rPr>
                <w:rFonts w:ascii="Times New Roman"/>
                <w:sz w:val="18"/>
              </w:rPr>
              <w:t>41</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pacing w:val="-1"/>
                <w:sz w:val="18"/>
              </w:rPr>
              <w:t>220,000</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7"/>
              <w:jc w:val="right"/>
              <w:rPr>
                <w:rFonts w:ascii="Times New Roman" w:hAnsi="Times New Roman" w:cs="Times New Roman" w:eastAsia="Times New Roman" w:hint="default"/>
                <w:sz w:val="18"/>
                <w:szCs w:val="18"/>
              </w:rPr>
            </w:pPr>
            <w:r>
              <w:rPr>
                <w:rFonts w:ascii="Times New Roman"/>
                <w:spacing w:val="-1"/>
                <w:sz w:val="18"/>
              </w:rPr>
              <w:t>220,000</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pacing w:val="-1"/>
                <w:sz w:val="18"/>
              </w:rPr>
              <w:t>440,000</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pacing w:val="-1"/>
                <w:sz w:val="18"/>
              </w:rPr>
              <w:t>220,000</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pacing w:val="-1"/>
                <w:sz w:val="18"/>
              </w:rPr>
              <w:t>220,000</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pacing w:val="-1"/>
                <w:sz w:val="18"/>
              </w:rPr>
              <w:t>440,000</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积金转</w:t>
            </w:r>
          </w:p>
        </w:tc>
      </w:tr>
      <w:tr>
        <w:trPr>
          <w:trHeight w:val="349" w:hRule="exact"/>
        </w:trPr>
        <w:tc>
          <w:tcPr>
            <w:tcW w:w="806" w:type="dxa"/>
            <w:tcBorders>
              <w:top w:val="nil" w:sz="6" w:space="0" w:color="auto"/>
              <w:left w:val="single" w:sz="4" w:space="0" w:color="000000"/>
              <w:bottom w:val="single" w:sz="4" w:space="0" w:color="000000"/>
              <w:right w:val="single" w:sz="4" w:space="0" w:color="000000"/>
            </w:tcBorders>
          </w:tcPr>
          <w:p>
            <w:pPr/>
          </w:p>
        </w:tc>
        <w:tc>
          <w:tcPr>
            <w:tcW w:w="557"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增股本</w:t>
            </w:r>
          </w:p>
        </w:tc>
      </w:tr>
      <w:tr>
        <w:trPr>
          <w:trHeight w:val="357" w:hRule="exact"/>
        </w:trPr>
        <w:tc>
          <w:tcPr>
            <w:tcW w:w="806" w:type="dxa"/>
            <w:tcBorders>
              <w:top w:val="single" w:sz="4" w:space="0" w:color="000000"/>
              <w:left w:val="single" w:sz="4" w:space="0" w:color="000000"/>
              <w:bottom w:val="nil" w:sz="6" w:space="0" w:color="auto"/>
              <w:right w:val="single" w:sz="4" w:space="0" w:color="000000"/>
            </w:tcBorders>
          </w:tcPr>
          <w:p>
            <w:pPr/>
          </w:p>
        </w:tc>
        <w:tc>
          <w:tcPr>
            <w:tcW w:w="55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19" w:right="-15"/>
              <w:jc w:val="left"/>
              <w:rPr>
                <w:rFonts w:ascii="宋体" w:hAnsi="宋体" w:cs="宋体" w:eastAsia="宋体" w:hint="default"/>
                <w:sz w:val="18"/>
                <w:szCs w:val="18"/>
              </w:rPr>
            </w:pPr>
            <w:r>
              <w:rPr>
                <w:rFonts w:ascii="宋体" w:hAnsi="宋体" w:cs="宋体" w:eastAsia="宋体" w:hint="default"/>
                <w:sz w:val="18"/>
                <w:szCs w:val="18"/>
              </w:rPr>
              <w:t>董事、</w:t>
            </w: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资本公</w:t>
            </w:r>
          </w:p>
        </w:tc>
      </w:tr>
      <w:tr>
        <w:trPr>
          <w:trHeight w:val="319" w:hRule="exact"/>
        </w:trPr>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徐长进</w:t>
            </w:r>
          </w:p>
        </w:tc>
        <w:tc>
          <w:tcPr>
            <w:tcW w:w="55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9" w:right="0"/>
              <w:jc w:val="left"/>
              <w:rPr>
                <w:rFonts w:ascii="宋体" w:hAnsi="宋体" w:cs="宋体" w:eastAsia="宋体" w:hint="default"/>
                <w:sz w:val="18"/>
                <w:szCs w:val="18"/>
              </w:rPr>
            </w:pPr>
            <w:r>
              <w:rPr>
                <w:rFonts w:ascii="宋体" w:hAnsi="宋体" w:cs="宋体" w:eastAsia="宋体" w:hint="default"/>
                <w:sz w:val="18"/>
                <w:szCs w:val="18"/>
              </w:rPr>
              <w:t>副总</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19"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18"/>
                <w:szCs w:val="18"/>
              </w:rPr>
            </w:pPr>
            <w:r>
              <w:rPr>
                <w:rFonts w:ascii="Times New Roman"/>
                <w:sz w:val="18"/>
              </w:rPr>
              <w:t>43</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22"/>
              <w:jc w:val="right"/>
              <w:rPr>
                <w:rFonts w:ascii="Times New Roman" w:hAnsi="Times New Roman" w:cs="Times New Roman" w:eastAsia="Times New Roman" w:hint="default"/>
                <w:sz w:val="18"/>
                <w:szCs w:val="18"/>
              </w:rPr>
            </w:pPr>
            <w:r>
              <w:rPr>
                <w:rFonts w:ascii="Times New Roman"/>
                <w:spacing w:val="-1"/>
                <w:sz w:val="18"/>
              </w:rPr>
              <w:t>320,000</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18"/>
                <w:szCs w:val="18"/>
              </w:rPr>
            </w:pPr>
            <w:r>
              <w:rPr>
                <w:rFonts w:ascii="Times New Roman"/>
                <w:spacing w:val="-1"/>
                <w:sz w:val="18"/>
              </w:rPr>
              <w:t>320,000</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22"/>
              <w:jc w:val="right"/>
              <w:rPr>
                <w:rFonts w:ascii="Times New Roman" w:hAnsi="Times New Roman" w:cs="Times New Roman" w:eastAsia="Times New Roman" w:hint="default"/>
                <w:sz w:val="18"/>
                <w:szCs w:val="18"/>
              </w:rPr>
            </w:pPr>
            <w:r>
              <w:rPr>
                <w:rFonts w:ascii="Times New Roman"/>
                <w:spacing w:val="-1"/>
                <w:sz w:val="18"/>
              </w:rPr>
              <w:t>640,000</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22"/>
              <w:jc w:val="right"/>
              <w:rPr>
                <w:rFonts w:ascii="Times New Roman" w:hAnsi="Times New Roman" w:cs="Times New Roman" w:eastAsia="Times New Roman" w:hint="default"/>
                <w:sz w:val="18"/>
                <w:szCs w:val="18"/>
              </w:rPr>
            </w:pPr>
            <w:r>
              <w:rPr>
                <w:rFonts w:ascii="Times New Roman"/>
                <w:spacing w:val="-1"/>
                <w:sz w:val="18"/>
              </w:rPr>
              <w:t>320,000</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22"/>
              <w:jc w:val="right"/>
              <w:rPr>
                <w:rFonts w:ascii="Times New Roman" w:hAnsi="Times New Roman" w:cs="Times New Roman" w:eastAsia="Times New Roman" w:hint="default"/>
                <w:sz w:val="18"/>
                <w:szCs w:val="18"/>
              </w:rPr>
            </w:pPr>
            <w:r>
              <w:rPr>
                <w:rFonts w:ascii="Times New Roman"/>
                <w:spacing w:val="-1"/>
                <w:sz w:val="18"/>
              </w:rPr>
              <w:t>320,000</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22"/>
              <w:jc w:val="right"/>
              <w:rPr>
                <w:rFonts w:ascii="Times New Roman" w:hAnsi="Times New Roman" w:cs="Times New Roman" w:eastAsia="Times New Roman" w:hint="default"/>
                <w:sz w:val="18"/>
                <w:szCs w:val="18"/>
              </w:rPr>
            </w:pPr>
            <w:r>
              <w:rPr>
                <w:rFonts w:ascii="Times New Roman"/>
                <w:spacing w:val="-1"/>
                <w:sz w:val="18"/>
              </w:rPr>
              <w:t>640,000</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积金转</w:t>
            </w:r>
          </w:p>
        </w:tc>
      </w:tr>
      <w:tr>
        <w:trPr>
          <w:trHeight w:val="351" w:hRule="exact"/>
        </w:trPr>
        <w:tc>
          <w:tcPr>
            <w:tcW w:w="806" w:type="dxa"/>
            <w:tcBorders>
              <w:top w:val="nil" w:sz="6" w:space="0" w:color="auto"/>
              <w:left w:val="single" w:sz="4" w:space="0" w:color="000000"/>
              <w:bottom w:val="single" w:sz="4" w:space="0" w:color="000000"/>
              <w:right w:val="single" w:sz="4" w:space="0" w:color="000000"/>
            </w:tcBorders>
          </w:tcPr>
          <w:p>
            <w:pPr/>
          </w:p>
        </w:tc>
        <w:tc>
          <w:tcPr>
            <w:tcW w:w="5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9"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增股本</w:t>
            </w:r>
          </w:p>
        </w:tc>
      </w:tr>
      <w:tr>
        <w:trPr>
          <w:trHeight w:val="715" w:hRule="exact"/>
        </w:trPr>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张惠强</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9" w:right="161"/>
              <w:jc w:val="left"/>
              <w:rPr>
                <w:rFonts w:ascii="宋体" w:hAnsi="宋体" w:cs="宋体" w:eastAsia="宋体" w:hint="default"/>
                <w:sz w:val="18"/>
                <w:szCs w:val="18"/>
              </w:rPr>
            </w:pPr>
            <w:r>
              <w:rPr>
                <w:rFonts w:ascii="宋体" w:hAnsi="宋体" w:cs="宋体" w:eastAsia="宋体" w:hint="default"/>
                <w:sz w:val="18"/>
                <w:szCs w:val="18"/>
              </w:rPr>
              <w:t>独立</w:t>
            </w:r>
            <w:r>
              <w:rPr>
                <w:rFonts w:ascii="宋体" w:hAnsi="宋体" w:cs="宋体" w:eastAsia="宋体" w:hint="default"/>
                <w:spacing w:val="-86"/>
                <w:sz w:val="18"/>
                <w:szCs w:val="18"/>
              </w:rPr>
              <w:t> </w:t>
            </w:r>
            <w:r>
              <w:rPr>
                <w:rFonts w:ascii="宋体" w:hAnsi="宋体" w:cs="宋体" w:eastAsia="宋体" w:hint="default"/>
                <w:sz w:val="18"/>
                <w:szCs w:val="18"/>
              </w:rPr>
              <w:t>董事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顾洪锤</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9" w:right="161"/>
              <w:jc w:val="left"/>
              <w:rPr>
                <w:rFonts w:ascii="宋体" w:hAnsi="宋体" w:cs="宋体" w:eastAsia="宋体" w:hint="default"/>
                <w:sz w:val="18"/>
                <w:szCs w:val="18"/>
              </w:rPr>
            </w:pPr>
            <w:r>
              <w:rPr>
                <w:rFonts w:ascii="宋体" w:hAnsi="宋体" w:cs="宋体" w:eastAsia="宋体" w:hint="default"/>
                <w:sz w:val="18"/>
                <w:szCs w:val="18"/>
              </w:rPr>
              <w:t>独立</w:t>
            </w:r>
            <w:r>
              <w:rPr>
                <w:rFonts w:ascii="宋体" w:hAnsi="宋体" w:cs="宋体" w:eastAsia="宋体" w:hint="default"/>
                <w:spacing w:val="-86"/>
                <w:sz w:val="18"/>
                <w:szCs w:val="18"/>
              </w:rPr>
              <w:t> </w:t>
            </w:r>
            <w:r>
              <w:rPr>
                <w:rFonts w:ascii="宋体" w:hAnsi="宋体" w:cs="宋体" w:eastAsia="宋体" w:hint="default"/>
                <w:sz w:val="18"/>
                <w:szCs w:val="18"/>
              </w:rPr>
              <w:t>董事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
        </w:tc>
      </w:tr>
      <w:tr>
        <w:trPr>
          <w:trHeight w:val="359" w:hRule="exact"/>
        </w:trPr>
        <w:tc>
          <w:tcPr>
            <w:tcW w:w="806" w:type="dxa"/>
            <w:tcBorders>
              <w:top w:val="single" w:sz="4" w:space="0" w:color="000000"/>
              <w:left w:val="single" w:sz="4" w:space="0" w:color="000000"/>
              <w:bottom w:val="nil" w:sz="6" w:space="0" w:color="auto"/>
              <w:right w:val="single" w:sz="4" w:space="0" w:color="000000"/>
            </w:tcBorders>
          </w:tcPr>
          <w:p>
            <w:pPr/>
          </w:p>
        </w:tc>
        <w:tc>
          <w:tcPr>
            <w:tcW w:w="557"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资本公</w:t>
            </w:r>
          </w:p>
        </w:tc>
      </w:tr>
      <w:tr>
        <w:trPr>
          <w:trHeight w:val="312" w:hRule="exact"/>
        </w:trPr>
        <w:tc>
          <w:tcPr>
            <w:tcW w:w="806" w:type="dxa"/>
            <w:tcBorders>
              <w:top w:val="nil" w:sz="6" w:space="0" w:color="auto"/>
              <w:left w:val="single" w:sz="4" w:space="0" w:color="000000"/>
              <w:bottom w:val="nil" w:sz="6" w:space="0" w:color="auto"/>
              <w:right w:val="single" w:sz="4" w:space="0" w:color="000000"/>
            </w:tcBorders>
          </w:tcPr>
          <w:p>
            <w:pPr/>
          </w:p>
        </w:tc>
        <w:tc>
          <w:tcPr>
            <w:tcW w:w="557"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积金转</w:t>
            </w:r>
          </w:p>
        </w:tc>
      </w:tr>
      <w:tr>
        <w:trPr>
          <w:trHeight w:val="1253" w:hRule="exact"/>
        </w:trPr>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耿毅英</w:t>
            </w:r>
          </w:p>
        </w:tc>
        <w:tc>
          <w:tcPr>
            <w:tcW w:w="55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9" w:lineRule="auto"/>
              <w:ind w:left="19" w:right="161"/>
              <w:jc w:val="both"/>
              <w:rPr>
                <w:rFonts w:ascii="宋体" w:hAnsi="宋体" w:cs="宋体" w:eastAsia="宋体" w:hint="default"/>
                <w:sz w:val="18"/>
                <w:szCs w:val="18"/>
              </w:rPr>
            </w:pPr>
            <w:r>
              <w:rPr>
                <w:rFonts w:ascii="宋体" w:hAnsi="宋体" w:cs="宋体" w:eastAsia="宋体" w:hint="default"/>
                <w:sz w:val="18"/>
                <w:szCs w:val="18"/>
              </w:rPr>
              <w:t>监事</w:t>
            </w:r>
            <w:r>
              <w:rPr>
                <w:rFonts w:ascii="宋体" w:hAnsi="宋体" w:cs="宋体" w:eastAsia="宋体" w:hint="default"/>
                <w:spacing w:val="-86"/>
                <w:sz w:val="18"/>
                <w:szCs w:val="18"/>
              </w:rPr>
              <w:t> </w:t>
            </w:r>
            <w:r>
              <w:rPr>
                <w:rFonts w:ascii="宋体" w:hAnsi="宋体" w:cs="宋体" w:eastAsia="宋体" w:hint="default"/>
                <w:sz w:val="18"/>
                <w:szCs w:val="18"/>
              </w:rPr>
              <w:t>会主</w:t>
            </w:r>
            <w:r>
              <w:rPr>
                <w:rFonts w:ascii="宋体" w:hAnsi="宋体" w:cs="宋体" w:eastAsia="宋体" w:hint="default"/>
                <w:spacing w:val="-86"/>
                <w:sz w:val="18"/>
                <w:szCs w:val="18"/>
              </w:rPr>
              <w:t> </w:t>
            </w:r>
            <w:r>
              <w:rPr>
                <w:rFonts w:ascii="宋体" w:hAnsi="宋体" w:cs="宋体" w:eastAsia="宋体" w:hint="default"/>
                <w:sz w:val="18"/>
                <w:szCs w:val="18"/>
              </w:rPr>
              <w:t>席</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51</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865,142</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865,142</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432,572</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17"/>
              <w:jc w:val="right"/>
              <w:rPr>
                <w:rFonts w:ascii="Times New Roman" w:hAnsi="Times New Roman" w:cs="Times New Roman" w:eastAsia="Times New Roman" w:hint="default"/>
                <w:sz w:val="18"/>
                <w:szCs w:val="18"/>
              </w:rPr>
            </w:pPr>
            <w:r>
              <w:rPr>
                <w:rFonts w:ascii="Times New Roman"/>
                <w:spacing w:val="-1"/>
                <w:sz w:val="18"/>
              </w:rPr>
              <w:t>1,297,7</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sz w:val="18"/>
              </w:rPr>
              <w:t>12</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108"/>
              <w:jc w:val="left"/>
              <w:rPr>
                <w:rFonts w:ascii="宋体" w:hAnsi="宋体" w:cs="宋体" w:eastAsia="宋体" w:hint="default"/>
                <w:sz w:val="18"/>
                <w:szCs w:val="18"/>
              </w:rPr>
            </w:pPr>
            <w:r>
              <w:rPr>
                <w:rFonts w:ascii="宋体" w:hAnsi="宋体" w:cs="宋体" w:eastAsia="宋体" w:hint="default"/>
                <w:sz w:val="18"/>
                <w:szCs w:val="18"/>
              </w:rPr>
              <w:t>增股</w:t>
            </w:r>
            <w:r>
              <w:rPr>
                <w:rFonts w:ascii="宋体" w:hAnsi="宋体" w:cs="宋体" w:eastAsia="宋体" w:hint="default"/>
                <w:spacing w:val="-86"/>
                <w:sz w:val="18"/>
                <w:szCs w:val="18"/>
              </w:rPr>
              <w:t> </w:t>
            </w:r>
            <w:r>
              <w:rPr>
                <w:rFonts w:ascii="宋体" w:hAnsi="宋体" w:cs="宋体" w:eastAsia="宋体" w:hint="default"/>
                <w:sz w:val="18"/>
                <w:szCs w:val="18"/>
              </w:rPr>
              <w:t>本，本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期减持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股份为</w:t>
            </w:r>
          </w:p>
        </w:tc>
      </w:tr>
      <w:tr>
        <w:trPr>
          <w:trHeight w:val="314" w:hRule="exact"/>
        </w:trPr>
        <w:tc>
          <w:tcPr>
            <w:tcW w:w="806" w:type="dxa"/>
            <w:tcBorders>
              <w:top w:val="nil" w:sz="6" w:space="0" w:color="auto"/>
              <w:left w:val="single" w:sz="4" w:space="0" w:color="000000"/>
              <w:bottom w:val="nil" w:sz="6" w:space="0" w:color="auto"/>
              <w:right w:val="single" w:sz="4" w:space="0" w:color="000000"/>
            </w:tcBorders>
          </w:tcPr>
          <w:p>
            <w:pPr/>
          </w:p>
        </w:tc>
        <w:tc>
          <w:tcPr>
            <w:tcW w:w="557"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sz w:val="18"/>
              </w:rPr>
              <w:t>432,572</w:t>
            </w:r>
          </w:p>
        </w:tc>
      </w:tr>
      <w:tr>
        <w:trPr>
          <w:trHeight w:val="349" w:hRule="exact"/>
        </w:trPr>
        <w:tc>
          <w:tcPr>
            <w:tcW w:w="806" w:type="dxa"/>
            <w:tcBorders>
              <w:top w:val="nil" w:sz="6" w:space="0" w:color="auto"/>
              <w:left w:val="single" w:sz="4" w:space="0" w:color="000000"/>
              <w:bottom w:val="single" w:sz="4" w:space="0" w:color="000000"/>
              <w:right w:val="single" w:sz="4" w:space="0" w:color="000000"/>
            </w:tcBorders>
          </w:tcPr>
          <w:p>
            <w:pPr/>
          </w:p>
        </w:tc>
        <w:tc>
          <w:tcPr>
            <w:tcW w:w="557"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403" w:hRule="exact"/>
        </w:trPr>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鲁珊</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33</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杨好伟</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35</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806" w:type="dxa"/>
            <w:tcBorders>
              <w:top w:val="single" w:sz="4" w:space="0" w:color="000000"/>
              <w:left w:val="single" w:sz="4" w:space="0" w:color="000000"/>
              <w:bottom w:val="nil" w:sz="6" w:space="0" w:color="auto"/>
              <w:right w:val="single" w:sz="4" w:space="0" w:color="000000"/>
            </w:tcBorders>
          </w:tcPr>
          <w:p>
            <w:pPr/>
          </w:p>
        </w:tc>
        <w:tc>
          <w:tcPr>
            <w:tcW w:w="557"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资本公</w:t>
            </w:r>
          </w:p>
        </w:tc>
      </w:tr>
      <w:tr>
        <w:trPr>
          <w:trHeight w:val="310" w:hRule="exact"/>
        </w:trPr>
        <w:tc>
          <w:tcPr>
            <w:tcW w:w="806" w:type="dxa"/>
            <w:tcBorders>
              <w:top w:val="nil" w:sz="6" w:space="0" w:color="auto"/>
              <w:left w:val="single" w:sz="4" w:space="0" w:color="000000"/>
              <w:bottom w:val="nil" w:sz="6" w:space="0" w:color="auto"/>
              <w:right w:val="single" w:sz="4" w:space="0" w:color="000000"/>
            </w:tcBorders>
          </w:tcPr>
          <w:p>
            <w:pPr/>
          </w:p>
        </w:tc>
        <w:tc>
          <w:tcPr>
            <w:tcW w:w="557"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积金转</w:t>
            </w:r>
          </w:p>
        </w:tc>
      </w:tr>
      <w:tr>
        <w:trPr>
          <w:trHeight w:val="312" w:hRule="exact"/>
        </w:trPr>
        <w:tc>
          <w:tcPr>
            <w:tcW w:w="806" w:type="dxa"/>
            <w:tcBorders>
              <w:top w:val="nil" w:sz="6" w:space="0" w:color="auto"/>
              <w:left w:val="single" w:sz="4" w:space="0" w:color="000000"/>
              <w:bottom w:val="nil" w:sz="6" w:space="0" w:color="auto"/>
              <w:right w:val="single" w:sz="4" w:space="0" w:color="000000"/>
            </w:tcBorders>
          </w:tcPr>
          <w:p>
            <w:pPr/>
          </w:p>
        </w:tc>
        <w:tc>
          <w:tcPr>
            <w:tcW w:w="557"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增股</w:t>
            </w:r>
          </w:p>
        </w:tc>
      </w:tr>
      <w:tr>
        <w:trPr>
          <w:trHeight w:val="936" w:hRule="exact"/>
        </w:trPr>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4" w:right="0"/>
              <w:jc w:val="left"/>
              <w:rPr>
                <w:rFonts w:ascii="宋体" w:hAnsi="宋体" w:cs="宋体" w:eastAsia="宋体" w:hint="default"/>
                <w:sz w:val="18"/>
                <w:szCs w:val="18"/>
              </w:rPr>
            </w:pPr>
            <w:r>
              <w:rPr>
                <w:rFonts w:ascii="宋体" w:hAnsi="宋体" w:cs="宋体" w:eastAsia="宋体" w:hint="default"/>
                <w:sz w:val="18"/>
                <w:szCs w:val="18"/>
              </w:rPr>
              <w:t>缪融</w:t>
            </w:r>
          </w:p>
        </w:tc>
        <w:tc>
          <w:tcPr>
            <w:tcW w:w="55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19"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19"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1,311,84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1,311,84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655,924</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1,967,7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68</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108"/>
              <w:jc w:val="both"/>
              <w:rPr>
                <w:rFonts w:ascii="宋体" w:hAnsi="宋体" w:cs="宋体" w:eastAsia="宋体" w:hint="default"/>
                <w:sz w:val="18"/>
                <w:szCs w:val="18"/>
              </w:rPr>
            </w:pPr>
            <w:r>
              <w:rPr>
                <w:rFonts w:ascii="宋体" w:hAnsi="宋体" w:cs="宋体" w:eastAsia="宋体" w:hint="default"/>
                <w:sz w:val="18"/>
                <w:szCs w:val="18"/>
              </w:rPr>
              <w:t>本。其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本期减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持股份</w:t>
            </w:r>
          </w:p>
        </w:tc>
      </w:tr>
      <w:tr>
        <w:trPr>
          <w:trHeight w:val="317" w:hRule="exact"/>
        </w:trPr>
        <w:tc>
          <w:tcPr>
            <w:tcW w:w="806" w:type="dxa"/>
            <w:tcBorders>
              <w:top w:val="nil" w:sz="6" w:space="0" w:color="auto"/>
              <w:left w:val="single" w:sz="4" w:space="0" w:color="000000"/>
              <w:bottom w:val="nil" w:sz="6" w:space="0" w:color="auto"/>
              <w:right w:val="single" w:sz="4" w:space="0" w:color="000000"/>
            </w:tcBorders>
          </w:tcPr>
          <w:p>
            <w:pPr/>
          </w:p>
        </w:tc>
        <w:tc>
          <w:tcPr>
            <w:tcW w:w="557"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w w:val="101"/>
                <w:sz w:val="18"/>
                <w:szCs w:val="18"/>
              </w:rPr>
              <w:t>为</w:t>
            </w:r>
            <w:r>
              <w:rPr>
                <w:rFonts w:ascii="宋体" w:hAnsi="宋体" w:cs="宋体" w:eastAsia="宋体" w:hint="default"/>
                <w:sz w:val="18"/>
                <w:szCs w:val="18"/>
              </w:rPr>
            </w:r>
          </w:p>
        </w:tc>
      </w:tr>
      <w:tr>
        <w:trPr>
          <w:trHeight w:val="314" w:hRule="exact"/>
        </w:trPr>
        <w:tc>
          <w:tcPr>
            <w:tcW w:w="806" w:type="dxa"/>
            <w:tcBorders>
              <w:top w:val="nil" w:sz="6" w:space="0" w:color="auto"/>
              <w:left w:val="single" w:sz="4" w:space="0" w:color="000000"/>
              <w:bottom w:val="nil" w:sz="6" w:space="0" w:color="auto"/>
              <w:right w:val="single" w:sz="4" w:space="0" w:color="000000"/>
            </w:tcBorders>
          </w:tcPr>
          <w:p>
            <w:pPr/>
          </w:p>
        </w:tc>
        <w:tc>
          <w:tcPr>
            <w:tcW w:w="557"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left="23" w:right="0"/>
              <w:jc w:val="left"/>
              <w:rPr>
                <w:rFonts w:ascii="Times New Roman" w:hAnsi="Times New Roman" w:cs="Times New Roman" w:eastAsia="Times New Roman" w:hint="default"/>
                <w:sz w:val="18"/>
                <w:szCs w:val="18"/>
              </w:rPr>
            </w:pPr>
            <w:r>
              <w:rPr>
                <w:rFonts w:ascii="Times New Roman"/>
                <w:sz w:val="18"/>
              </w:rPr>
              <w:t>655,924</w:t>
            </w:r>
          </w:p>
        </w:tc>
      </w:tr>
      <w:tr>
        <w:trPr>
          <w:trHeight w:val="349" w:hRule="exact"/>
        </w:trPr>
        <w:tc>
          <w:tcPr>
            <w:tcW w:w="806" w:type="dxa"/>
            <w:tcBorders>
              <w:top w:val="nil" w:sz="6" w:space="0" w:color="auto"/>
              <w:left w:val="single" w:sz="4" w:space="0" w:color="000000"/>
              <w:bottom w:val="single" w:sz="4" w:space="0" w:color="000000"/>
              <w:right w:val="single" w:sz="4" w:space="0" w:color="000000"/>
            </w:tcBorders>
          </w:tcPr>
          <w:p>
            <w:pPr/>
          </w:p>
        </w:tc>
        <w:tc>
          <w:tcPr>
            <w:tcW w:w="557"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00" w:h="16840"/>
          <w:pgMar w:header="742" w:footer="984"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06"/>
        <w:gridCol w:w="557"/>
        <w:gridCol w:w="682"/>
        <w:gridCol w:w="682"/>
        <w:gridCol w:w="682"/>
        <w:gridCol w:w="686"/>
        <w:gridCol w:w="682"/>
        <w:gridCol w:w="686"/>
        <w:gridCol w:w="682"/>
        <w:gridCol w:w="686"/>
        <w:gridCol w:w="682"/>
        <w:gridCol w:w="686"/>
        <w:gridCol w:w="682"/>
        <w:gridCol w:w="686"/>
      </w:tblGrid>
      <w:tr>
        <w:trPr>
          <w:trHeight w:val="403" w:hRule="exact"/>
        </w:trPr>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金银姬</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42</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81"/>
              <w:jc w:val="right"/>
              <w:rPr>
                <w:rFonts w:ascii="宋体" w:hAnsi="宋体" w:cs="宋体" w:eastAsia="宋体" w:hint="default"/>
                <w:sz w:val="18"/>
                <w:szCs w:val="18"/>
              </w:rPr>
            </w:pPr>
            <w:r>
              <w:rPr>
                <w:rFonts w:ascii="宋体" w:hAnsi="宋体" w:cs="宋体" w:eastAsia="宋体" w:hint="default"/>
                <w:sz w:val="18"/>
                <w:szCs w:val="18"/>
              </w:rPr>
              <w:t>离任</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减持</w:t>
            </w:r>
          </w:p>
        </w:tc>
      </w:tr>
      <w:tr>
        <w:trPr>
          <w:trHeight w:val="710" w:hRule="exact"/>
        </w:trPr>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延元起</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9" w:right="161"/>
              <w:jc w:val="left"/>
              <w:rPr>
                <w:rFonts w:ascii="宋体" w:hAnsi="宋体" w:cs="宋体" w:eastAsia="宋体" w:hint="default"/>
                <w:sz w:val="18"/>
                <w:szCs w:val="18"/>
              </w:rPr>
            </w:pPr>
            <w:r>
              <w:rPr>
                <w:rFonts w:ascii="宋体" w:hAnsi="宋体" w:cs="宋体" w:eastAsia="宋体" w:hint="default"/>
                <w:sz w:val="18"/>
                <w:szCs w:val="18"/>
              </w:rPr>
              <w:t>副总</w:t>
            </w:r>
            <w:r>
              <w:rPr>
                <w:rFonts w:ascii="宋体" w:hAnsi="宋体" w:cs="宋体" w:eastAsia="宋体" w:hint="default"/>
                <w:spacing w:val="-86"/>
                <w:sz w:val="18"/>
                <w:szCs w:val="18"/>
              </w:rPr>
              <w:t> </w:t>
            </w:r>
            <w:r>
              <w:rPr>
                <w:rFonts w:ascii="宋体" w:hAnsi="宋体" w:cs="宋体" w:eastAsia="宋体" w:hint="default"/>
                <w:sz w:val="18"/>
                <w:szCs w:val="18"/>
              </w:rPr>
              <w:t>经理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81"/>
              <w:jc w:val="right"/>
              <w:rPr>
                <w:rFonts w:ascii="宋体" w:hAnsi="宋体" w:cs="宋体" w:eastAsia="宋体" w:hint="default"/>
                <w:sz w:val="18"/>
                <w:szCs w:val="18"/>
              </w:rPr>
            </w:pPr>
            <w:r>
              <w:rPr>
                <w:rFonts w:ascii="宋体" w:hAnsi="宋体" w:cs="宋体" w:eastAsia="宋体" w:hint="default"/>
                <w:sz w:val="18"/>
                <w:szCs w:val="18"/>
              </w:rPr>
              <w:t>离任</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马成斌</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9" w:right="161"/>
              <w:jc w:val="left"/>
              <w:rPr>
                <w:rFonts w:ascii="宋体" w:hAnsi="宋体" w:cs="宋体" w:eastAsia="宋体" w:hint="default"/>
                <w:sz w:val="18"/>
                <w:szCs w:val="18"/>
              </w:rPr>
            </w:pPr>
            <w:r>
              <w:rPr>
                <w:rFonts w:ascii="宋体" w:hAnsi="宋体" w:cs="宋体" w:eastAsia="宋体" w:hint="default"/>
                <w:sz w:val="18"/>
                <w:szCs w:val="18"/>
              </w:rPr>
              <w:t>副总</w:t>
            </w:r>
            <w:r>
              <w:rPr>
                <w:rFonts w:ascii="宋体" w:hAnsi="宋体" w:cs="宋体" w:eastAsia="宋体" w:hint="default"/>
                <w:spacing w:val="-86"/>
                <w:sz w:val="18"/>
                <w:szCs w:val="18"/>
              </w:rPr>
              <w:t> </w:t>
            </w:r>
            <w:r>
              <w:rPr>
                <w:rFonts w:ascii="宋体" w:hAnsi="宋体" w:cs="宋体" w:eastAsia="宋体" w:hint="default"/>
                <w:sz w:val="18"/>
                <w:szCs w:val="18"/>
              </w:rPr>
              <w:t>经理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81"/>
              <w:jc w:val="right"/>
              <w:rPr>
                <w:rFonts w:ascii="宋体" w:hAnsi="宋体" w:cs="宋体" w:eastAsia="宋体" w:hint="default"/>
                <w:sz w:val="18"/>
                <w:szCs w:val="18"/>
              </w:rPr>
            </w:pPr>
            <w:r>
              <w:rPr>
                <w:rFonts w:ascii="宋体" w:hAnsi="宋体" w:cs="宋体" w:eastAsia="宋体" w:hint="default"/>
                <w:sz w:val="18"/>
                <w:szCs w:val="18"/>
              </w:rPr>
              <w:t>离任</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陈昌文</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9" w:right="161"/>
              <w:jc w:val="both"/>
              <w:rPr>
                <w:rFonts w:ascii="宋体" w:hAnsi="宋体" w:cs="宋体" w:eastAsia="宋体" w:hint="default"/>
                <w:sz w:val="18"/>
                <w:szCs w:val="18"/>
              </w:rPr>
            </w:pPr>
            <w:r>
              <w:rPr>
                <w:rFonts w:ascii="宋体" w:hAnsi="宋体" w:cs="宋体" w:eastAsia="宋体" w:hint="default"/>
                <w:sz w:val="18"/>
                <w:szCs w:val="18"/>
              </w:rPr>
              <w:t>副总</w:t>
            </w:r>
            <w:r>
              <w:rPr>
                <w:rFonts w:ascii="宋体" w:hAnsi="宋体" w:cs="宋体" w:eastAsia="宋体" w:hint="default"/>
                <w:spacing w:val="-86"/>
                <w:sz w:val="18"/>
                <w:szCs w:val="18"/>
              </w:rPr>
              <w:t> </w:t>
            </w:r>
            <w:r>
              <w:rPr>
                <w:rFonts w:ascii="宋体" w:hAnsi="宋体" w:cs="宋体" w:eastAsia="宋体" w:hint="default"/>
                <w:sz w:val="18"/>
                <w:szCs w:val="18"/>
              </w:rPr>
              <w:t>经理</w:t>
            </w:r>
            <w:r>
              <w:rPr>
                <w:rFonts w:ascii="宋体" w:hAnsi="宋体" w:cs="宋体" w:eastAsia="宋体" w:hint="default"/>
                <w:spacing w:val="-86"/>
                <w:sz w:val="18"/>
                <w:szCs w:val="18"/>
              </w:rPr>
              <w:t> </w:t>
            </w:r>
            <w:r>
              <w:rPr>
                <w:rFonts w:ascii="宋体" w:hAnsi="宋体" w:cs="宋体" w:eastAsia="宋体" w:hint="default"/>
                <w:sz w:val="18"/>
                <w:szCs w:val="18"/>
              </w:rPr>
              <w:t>兼董</w:t>
            </w:r>
            <w:r>
              <w:rPr>
                <w:rFonts w:ascii="宋体" w:hAnsi="宋体" w:cs="宋体" w:eastAsia="宋体" w:hint="default"/>
                <w:spacing w:val="-86"/>
                <w:sz w:val="18"/>
                <w:szCs w:val="18"/>
              </w:rPr>
              <w:t> </w:t>
            </w:r>
            <w:r>
              <w:rPr>
                <w:rFonts w:ascii="宋体" w:hAnsi="宋体" w:cs="宋体" w:eastAsia="宋体" w:hint="default"/>
                <w:sz w:val="18"/>
                <w:szCs w:val="18"/>
              </w:rPr>
              <w:t>事会</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9"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z w:val="18"/>
              </w:rPr>
              <w:t>50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81"/>
              <w:jc w:val="right"/>
              <w:rPr>
                <w:rFonts w:ascii="宋体" w:hAnsi="宋体" w:cs="宋体" w:eastAsia="宋体" w:hint="default"/>
                <w:sz w:val="18"/>
                <w:szCs w:val="18"/>
              </w:rPr>
            </w:pPr>
            <w:r>
              <w:rPr>
                <w:rFonts w:ascii="宋体" w:hAnsi="宋体" w:cs="宋体" w:eastAsia="宋体" w:hint="default"/>
                <w:sz w:val="18"/>
                <w:szCs w:val="18"/>
              </w:rPr>
              <w:t>现任</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spacing w:val="-1"/>
                <w:sz w:val="18"/>
              </w:rPr>
              <w:t>150,000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pacing w:val="-1"/>
                <w:sz w:val="18"/>
              </w:rPr>
              <w:t>150,000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spacing w:val="-1"/>
                <w:sz w:val="18"/>
              </w:rPr>
              <w:t>300,000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spacing w:val="-1"/>
                <w:sz w:val="18"/>
              </w:rPr>
              <w:t>150,000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spacing w:val="-1"/>
                <w:sz w:val="18"/>
              </w:rPr>
              <w:t>150,000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spacing w:val="-1"/>
                <w:sz w:val="18"/>
              </w:rPr>
              <w:t>300,000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108"/>
              <w:jc w:val="both"/>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积金转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增股本</w:t>
            </w:r>
          </w:p>
        </w:tc>
      </w:tr>
      <w:tr>
        <w:trPr>
          <w:trHeight w:val="1027" w:hRule="exact"/>
        </w:trPr>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郑强</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9" w:right="161"/>
              <w:jc w:val="left"/>
              <w:rPr>
                <w:rFonts w:ascii="宋体" w:hAnsi="宋体" w:cs="宋体" w:eastAsia="宋体" w:hint="default"/>
                <w:sz w:val="18"/>
                <w:szCs w:val="18"/>
              </w:rPr>
            </w:pPr>
            <w:r>
              <w:rPr>
                <w:rFonts w:ascii="宋体" w:hAnsi="宋体" w:cs="宋体" w:eastAsia="宋体" w:hint="default"/>
                <w:sz w:val="18"/>
                <w:szCs w:val="18"/>
              </w:rPr>
              <w:t>财务</w:t>
            </w:r>
            <w:r>
              <w:rPr>
                <w:rFonts w:ascii="宋体" w:hAnsi="宋体" w:cs="宋体" w:eastAsia="宋体" w:hint="default"/>
                <w:spacing w:val="-86"/>
                <w:sz w:val="18"/>
                <w:szCs w:val="18"/>
              </w:rPr>
              <w:t> </w:t>
            </w:r>
            <w:r>
              <w:rPr>
                <w:rFonts w:ascii="宋体" w:hAnsi="宋体" w:cs="宋体" w:eastAsia="宋体" w:hint="default"/>
                <w:sz w:val="18"/>
                <w:szCs w:val="18"/>
              </w:rPr>
              <w:t>总监</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9"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281"/>
              <w:jc w:val="right"/>
              <w:rPr>
                <w:rFonts w:ascii="宋体" w:hAnsi="宋体" w:cs="宋体" w:eastAsia="宋体" w:hint="default"/>
                <w:sz w:val="18"/>
                <w:szCs w:val="18"/>
              </w:rPr>
            </w:pPr>
            <w:r>
              <w:rPr>
                <w:rFonts w:ascii="宋体" w:hAnsi="宋体" w:cs="宋体" w:eastAsia="宋体" w:hint="default"/>
                <w:sz w:val="18"/>
                <w:szCs w:val="18"/>
              </w:rPr>
              <w:t>离任</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08"/>
              <w:jc w:val="both"/>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积金转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增股本</w:t>
            </w:r>
          </w:p>
        </w:tc>
      </w:tr>
      <w:tr>
        <w:trPr>
          <w:trHeight w:val="357" w:hRule="exact"/>
        </w:trPr>
        <w:tc>
          <w:tcPr>
            <w:tcW w:w="806" w:type="dxa"/>
            <w:tcBorders>
              <w:top w:val="single" w:sz="4" w:space="0" w:color="000000"/>
              <w:left w:val="single" w:sz="4" w:space="0" w:color="000000"/>
              <w:bottom w:val="nil" w:sz="6" w:space="0" w:color="auto"/>
              <w:right w:val="single" w:sz="4" w:space="0" w:color="000000"/>
            </w:tcBorders>
          </w:tcPr>
          <w:p>
            <w:pPr/>
          </w:p>
        </w:tc>
        <w:tc>
          <w:tcPr>
            <w:tcW w:w="557"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股权激</w:t>
            </w:r>
          </w:p>
        </w:tc>
      </w:tr>
      <w:tr>
        <w:trPr>
          <w:trHeight w:val="626" w:hRule="exact"/>
        </w:trPr>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陆荣</w:t>
            </w:r>
          </w:p>
        </w:tc>
        <w:tc>
          <w:tcPr>
            <w:tcW w:w="557" w:type="dxa"/>
            <w:tcBorders>
              <w:top w:val="nil" w:sz="6" w:space="0" w:color="auto"/>
              <w:left w:val="single" w:sz="4" w:space="0" w:color="000000"/>
              <w:bottom w:val="nil" w:sz="6" w:space="0" w:color="auto"/>
              <w:right w:val="single" w:sz="4" w:space="0" w:color="000000"/>
            </w:tcBorders>
          </w:tcPr>
          <w:p>
            <w:pPr>
              <w:pStyle w:val="TableParagraph"/>
              <w:spacing w:line="316" w:lineRule="auto" w:before="13"/>
              <w:ind w:left="19" w:right="161"/>
              <w:jc w:val="left"/>
              <w:rPr>
                <w:rFonts w:ascii="宋体" w:hAnsi="宋体" w:cs="宋体" w:eastAsia="宋体" w:hint="default"/>
                <w:sz w:val="18"/>
                <w:szCs w:val="18"/>
              </w:rPr>
            </w:pPr>
            <w:r>
              <w:rPr>
                <w:rFonts w:ascii="宋体" w:hAnsi="宋体" w:cs="宋体" w:eastAsia="宋体" w:hint="default"/>
                <w:sz w:val="18"/>
                <w:szCs w:val="18"/>
              </w:rPr>
              <w:t>财务</w:t>
            </w:r>
            <w:r>
              <w:rPr>
                <w:rFonts w:ascii="宋体" w:hAnsi="宋体" w:cs="宋体" w:eastAsia="宋体" w:hint="default"/>
                <w:spacing w:val="-86"/>
                <w:sz w:val="18"/>
                <w:szCs w:val="18"/>
              </w:rPr>
              <w:t> </w:t>
            </w:r>
            <w:r>
              <w:rPr>
                <w:rFonts w:ascii="宋体" w:hAnsi="宋体" w:cs="宋体" w:eastAsia="宋体" w:hint="default"/>
                <w:sz w:val="18"/>
                <w:szCs w:val="18"/>
              </w:rPr>
              <w:t>总监</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81"/>
              <w:jc w:val="right"/>
              <w:rPr>
                <w:rFonts w:ascii="宋体" w:hAnsi="宋体" w:cs="宋体" w:eastAsia="宋体" w:hint="default"/>
                <w:sz w:val="18"/>
                <w:szCs w:val="18"/>
              </w:rPr>
            </w:pPr>
            <w:r>
              <w:rPr>
                <w:rFonts w:ascii="宋体" w:hAnsi="宋体" w:cs="宋体" w:eastAsia="宋体" w:hint="default"/>
                <w:sz w:val="18"/>
                <w:szCs w:val="18"/>
              </w:rPr>
              <w:t>现任</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50,000</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w:t>
            </w: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3" w:right="108"/>
              <w:jc w:val="left"/>
              <w:rPr>
                <w:rFonts w:ascii="宋体" w:hAnsi="宋体" w:cs="宋体" w:eastAsia="宋体" w:hint="default"/>
                <w:sz w:val="18"/>
                <w:szCs w:val="18"/>
              </w:rPr>
            </w:pPr>
            <w:r>
              <w:rPr>
                <w:rFonts w:ascii="宋体" w:hAnsi="宋体" w:cs="宋体" w:eastAsia="宋体" w:hint="default"/>
                <w:sz w:val="18"/>
                <w:szCs w:val="18"/>
              </w:rPr>
              <w:t>励授予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的限制</w:t>
            </w:r>
          </w:p>
        </w:tc>
      </w:tr>
      <w:tr>
        <w:trPr>
          <w:trHeight w:val="351" w:hRule="exact"/>
        </w:trPr>
        <w:tc>
          <w:tcPr>
            <w:tcW w:w="806" w:type="dxa"/>
            <w:tcBorders>
              <w:top w:val="nil" w:sz="6" w:space="0" w:color="auto"/>
              <w:left w:val="single" w:sz="4" w:space="0" w:color="000000"/>
              <w:bottom w:val="single" w:sz="4" w:space="0" w:color="000000"/>
              <w:right w:val="single" w:sz="4" w:space="0" w:color="000000"/>
            </w:tcBorders>
          </w:tcPr>
          <w:p>
            <w:pPr/>
          </w:p>
        </w:tc>
        <w:tc>
          <w:tcPr>
            <w:tcW w:w="557"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性股票</w:t>
            </w:r>
          </w:p>
        </w:tc>
      </w:tr>
      <w:tr>
        <w:trPr>
          <w:trHeight w:val="715" w:hRule="exact"/>
        </w:trPr>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73"/>
              <w:jc w:val="right"/>
              <w:rPr>
                <w:rFonts w:ascii="Times New Roman" w:hAnsi="Times New Roman" w:cs="Times New Roman" w:eastAsia="Times New Roman" w:hint="default"/>
                <w:sz w:val="18"/>
                <w:szCs w:val="18"/>
              </w:rPr>
            </w:pPr>
            <w:r>
              <w:rPr>
                <w:rFonts w:ascii="Times New Roman"/>
                <w:spacing w:val="-2"/>
                <w:sz w:val="18"/>
              </w:rPr>
              <w:t>--</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5" w:right="0"/>
              <w:jc w:val="left"/>
              <w:rPr>
                <w:rFonts w:ascii="Times New Roman" w:hAnsi="Times New Roman" w:cs="Times New Roman" w:eastAsia="Times New Roman" w:hint="default"/>
                <w:sz w:val="18"/>
                <w:szCs w:val="18"/>
              </w:rPr>
            </w:pPr>
            <w:r>
              <w:rPr>
                <w:rFonts w:ascii="Times New Roman"/>
                <w:sz w:val="18"/>
              </w:rPr>
              <w:t>90,600,</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956</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5" w:right="0"/>
              <w:jc w:val="left"/>
              <w:rPr>
                <w:rFonts w:ascii="Times New Roman" w:hAnsi="Times New Roman" w:cs="Times New Roman" w:eastAsia="Times New Roman" w:hint="default"/>
                <w:sz w:val="18"/>
                <w:szCs w:val="18"/>
              </w:rPr>
            </w:pPr>
            <w:r>
              <w:rPr>
                <w:rFonts w:ascii="Times New Roman"/>
                <w:sz w:val="18"/>
              </w:rPr>
              <w:t>89,052,</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856</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6,902,9</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sz w:val="18"/>
              </w:rPr>
              <w:t>44</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172,750</w:t>
            </w:r>
          </w:p>
          <w:p>
            <w:pPr>
              <w:pStyle w:val="TableParagraph"/>
              <w:spacing w:line="240" w:lineRule="auto" w:before="110"/>
              <w:ind w:left="326" w:right="0"/>
              <w:jc w:val="left"/>
              <w:rPr>
                <w:rFonts w:ascii="Times New Roman" w:hAnsi="Times New Roman" w:cs="Times New Roman" w:eastAsia="Times New Roman" w:hint="default"/>
                <w:sz w:val="18"/>
                <w:szCs w:val="18"/>
              </w:rPr>
            </w:pPr>
            <w:r>
              <w:rPr>
                <w:rFonts w:ascii="Times New Roman"/>
                <w:sz w:val="18"/>
              </w:rPr>
              <w:t>,868</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1,730,0</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sz w:val="18"/>
              </w:rPr>
              <w:t>00</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4"/>
        <w:spacing w:line="335" w:lineRule="exact"/>
        <w:ind w:right="0"/>
        <w:jc w:val="left"/>
        <w:rPr>
          <w:b w:val="0"/>
          <w:bCs w:val="0"/>
        </w:rPr>
      </w:pPr>
      <w:r>
        <w:rPr>
          <w:rFonts w:ascii="Times New Roman" w:hAnsi="Times New Roman" w:cs="Times New Roman" w:eastAsia="Times New Roman" w:hint="default"/>
        </w:rPr>
        <w:t>2</w:t>
      </w:r>
      <w:r>
        <w:rPr/>
        <w:t>、持有股票期权情况</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240" w:lineRule="auto"/>
        <w:ind w:left="575"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9"/>
        </w:rPr>
        <w:t> </w:t>
      </w:r>
      <w:r>
        <w:rPr/>
        <w:t>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spacing w:before="46"/>
        <w:ind w:left="0" w:right="146" w:firstLine="0"/>
        <w:jc w:val="right"/>
        <w:rPr>
          <w:rFonts w:ascii="宋体" w:hAnsi="宋体" w:cs="宋体" w:eastAsia="宋体" w:hint="default"/>
          <w:sz w:val="18"/>
          <w:szCs w:val="18"/>
        </w:rPr>
      </w:pPr>
      <w:r>
        <w:rPr/>
        <w:pict>
          <v:shape style="position:absolute;margin-left:56.400002pt;margin-top:-24.148287pt;width:479.05pt;height:187.9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5"/>
                    <w:gridCol w:w="1190"/>
                    <w:gridCol w:w="1195"/>
                    <w:gridCol w:w="1200"/>
                    <w:gridCol w:w="1195"/>
                    <w:gridCol w:w="1200"/>
                    <w:gridCol w:w="1195"/>
                    <w:gridCol w:w="1195"/>
                  </w:tblGrid>
                  <w:tr>
                    <w:trPr>
                      <w:trHeight w:val="1027"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
                          <w:jc w:val="center"/>
                          <w:rPr>
                            <w:rFonts w:ascii="宋体" w:hAnsi="宋体" w:cs="宋体" w:eastAsia="宋体" w:hint="default"/>
                            <w:sz w:val="18"/>
                            <w:szCs w:val="18"/>
                          </w:rPr>
                        </w:pPr>
                        <w:r>
                          <w:rPr>
                            <w:rFonts w:ascii="宋体" w:hAnsi="宋体" w:cs="宋体" w:eastAsia="宋体" w:hint="default"/>
                            <w:sz w:val="18"/>
                            <w:szCs w:val="18"/>
                          </w:rPr>
                          <w:t>姓名</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7"/>
                          <w:jc w:val="center"/>
                          <w:rPr>
                            <w:rFonts w:ascii="宋体" w:hAnsi="宋体" w:cs="宋体" w:eastAsia="宋体" w:hint="default"/>
                            <w:sz w:val="18"/>
                            <w:szCs w:val="18"/>
                          </w:rPr>
                        </w:pPr>
                        <w:r>
                          <w:rPr>
                            <w:rFonts w:ascii="宋体" w:hAnsi="宋体" w:cs="宋体" w:eastAsia="宋体" w:hint="default"/>
                            <w:sz w:val="18"/>
                            <w:szCs w:val="18"/>
                          </w:rPr>
                          <w:t>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0"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50" w:firstLine="28"/>
                          <w:jc w:val="left"/>
                          <w:rPr>
                            <w:rFonts w:ascii="宋体" w:hAnsi="宋体" w:cs="宋体" w:eastAsia="宋体" w:hint="default"/>
                            <w:sz w:val="18"/>
                            <w:szCs w:val="18"/>
                          </w:rPr>
                        </w:pPr>
                        <w:r>
                          <w:rPr>
                            <w:rFonts w:ascii="宋体" w:hAnsi="宋体" w:cs="宋体" w:eastAsia="宋体" w:hint="default"/>
                            <w:spacing w:val="-2"/>
                            <w:sz w:val="18"/>
                            <w:szCs w:val="18"/>
                          </w:rPr>
                          <w:t>期初持有股票</w:t>
                        </w:r>
                        <w:r>
                          <w:rPr>
                            <w:rFonts w:ascii="宋体" w:hAnsi="宋体" w:cs="宋体" w:eastAsia="宋体" w:hint="default"/>
                            <w:w w:val="101"/>
                            <w:sz w:val="18"/>
                            <w:szCs w:val="18"/>
                          </w:rPr>
                          <w:t> </w:t>
                        </w:r>
                        <w:r>
                          <w:rPr>
                            <w:rFonts w:ascii="宋体" w:hAnsi="宋体" w:cs="宋体" w:eastAsia="宋体" w:hint="default"/>
                            <w:spacing w:val="-7"/>
                            <w:sz w:val="18"/>
                            <w:szCs w:val="18"/>
                          </w:rPr>
                          <w:t>期权数量（份</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8" w:lineRule="exact" w:before="17"/>
                          <w:ind w:left="52" w:right="46"/>
                          <w:jc w:val="center"/>
                          <w:rPr>
                            <w:rFonts w:ascii="宋体" w:hAnsi="宋体" w:cs="宋体" w:eastAsia="宋体" w:hint="default"/>
                            <w:sz w:val="18"/>
                            <w:szCs w:val="18"/>
                          </w:rPr>
                        </w:pPr>
                        <w:r>
                          <w:rPr>
                            <w:rFonts w:ascii="宋体" w:hAnsi="宋体" w:cs="宋体" w:eastAsia="宋体" w:hint="default"/>
                            <w:spacing w:val="-2"/>
                            <w:sz w:val="18"/>
                            <w:szCs w:val="18"/>
                          </w:rPr>
                          <w:t>本期获授予股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票期权数量</w:t>
                        </w:r>
                      </w:p>
                      <w:p>
                        <w:pPr>
                          <w:pStyle w:val="TableParagraph"/>
                          <w:spacing w:line="84" w:lineRule="exact"/>
                          <w:ind w:left="-12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97" w:lineRule="exact"/>
                          <w:ind w:right="0"/>
                          <w:jc w:val="center"/>
                          <w:rPr>
                            <w:rFonts w:ascii="宋体" w:hAnsi="宋体" w:cs="宋体" w:eastAsia="宋体" w:hint="default"/>
                            <w:sz w:val="18"/>
                            <w:szCs w:val="18"/>
                          </w:rPr>
                        </w:pPr>
                        <w:r>
                          <w:rPr>
                            <w:rFonts w:ascii="宋体" w:hAnsi="宋体" w:cs="宋体" w:eastAsia="宋体" w:hint="default"/>
                            <w:sz w:val="18"/>
                            <w:szCs w:val="18"/>
                          </w:rPr>
                          <w:t>（份）</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52" w:right="50"/>
                          <w:jc w:val="center"/>
                          <w:rPr>
                            <w:rFonts w:ascii="宋体" w:hAnsi="宋体" w:cs="宋体" w:eastAsia="宋体" w:hint="default"/>
                            <w:sz w:val="18"/>
                            <w:szCs w:val="18"/>
                          </w:rPr>
                        </w:pPr>
                        <w:r>
                          <w:rPr>
                            <w:rFonts w:ascii="宋体" w:hAnsi="宋体" w:cs="宋体" w:eastAsia="宋体" w:hint="default"/>
                            <w:spacing w:val="-2"/>
                            <w:sz w:val="18"/>
                            <w:szCs w:val="18"/>
                          </w:rPr>
                          <w:t>本期已行权股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票期权数量</w:t>
                        </w:r>
                      </w:p>
                      <w:p>
                        <w:pPr>
                          <w:pStyle w:val="TableParagraph"/>
                          <w:spacing w:line="240" w:lineRule="auto" w:before="27"/>
                          <w:ind w:right="2"/>
                          <w:jc w:val="center"/>
                          <w:rPr>
                            <w:rFonts w:ascii="宋体" w:hAnsi="宋体" w:cs="宋体" w:eastAsia="宋体" w:hint="default"/>
                            <w:sz w:val="18"/>
                            <w:szCs w:val="18"/>
                          </w:rPr>
                        </w:pPr>
                        <w:r>
                          <w:rPr>
                            <w:rFonts w:ascii="宋体" w:hAnsi="宋体" w:cs="宋体" w:eastAsia="宋体" w:hint="default"/>
                            <w:sz w:val="18"/>
                            <w:szCs w:val="18"/>
                          </w:rPr>
                          <w:t>（份）</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47" w:right="50"/>
                          <w:jc w:val="center"/>
                          <w:rPr>
                            <w:rFonts w:ascii="宋体" w:hAnsi="宋体" w:cs="宋体" w:eastAsia="宋体" w:hint="default"/>
                            <w:sz w:val="18"/>
                            <w:szCs w:val="18"/>
                          </w:rPr>
                        </w:pPr>
                        <w:r>
                          <w:rPr>
                            <w:rFonts w:ascii="宋体" w:hAnsi="宋体" w:cs="宋体" w:eastAsia="宋体" w:hint="default"/>
                            <w:spacing w:val="-2"/>
                            <w:sz w:val="18"/>
                            <w:szCs w:val="18"/>
                          </w:rPr>
                          <w:t>本期注销的股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票期权数量</w:t>
                        </w:r>
                      </w:p>
                      <w:p>
                        <w:pPr>
                          <w:pStyle w:val="TableParagraph"/>
                          <w:spacing w:line="240" w:lineRule="auto" w:before="27"/>
                          <w:ind w:right="7"/>
                          <w:jc w:val="center"/>
                          <w:rPr>
                            <w:rFonts w:ascii="宋体" w:hAnsi="宋体" w:cs="宋体" w:eastAsia="宋体" w:hint="default"/>
                            <w:sz w:val="18"/>
                            <w:szCs w:val="18"/>
                          </w:rPr>
                        </w:pPr>
                        <w:r>
                          <w:rPr>
                            <w:rFonts w:ascii="宋体" w:hAnsi="宋体" w:cs="宋体" w:eastAsia="宋体" w:hint="default"/>
                            <w:sz w:val="18"/>
                            <w:szCs w:val="18"/>
                          </w:rPr>
                          <w:t>（份）</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46" w:firstLine="28"/>
                          <w:jc w:val="left"/>
                          <w:rPr>
                            <w:rFonts w:ascii="宋体" w:hAnsi="宋体" w:cs="宋体" w:eastAsia="宋体" w:hint="default"/>
                            <w:sz w:val="18"/>
                            <w:szCs w:val="18"/>
                          </w:rPr>
                        </w:pPr>
                        <w:r>
                          <w:rPr>
                            <w:rFonts w:ascii="宋体" w:hAnsi="宋体" w:cs="宋体" w:eastAsia="宋体" w:hint="default"/>
                            <w:spacing w:val="-2"/>
                            <w:sz w:val="18"/>
                            <w:szCs w:val="18"/>
                          </w:rPr>
                          <w:t>期末持有股票</w:t>
                        </w:r>
                        <w:r>
                          <w:rPr>
                            <w:rFonts w:ascii="宋体" w:hAnsi="宋体" w:cs="宋体" w:eastAsia="宋体" w:hint="default"/>
                            <w:w w:val="101"/>
                            <w:sz w:val="18"/>
                            <w:szCs w:val="18"/>
                          </w:rPr>
                          <w:t> </w:t>
                        </w:r>
                        <w:r>
                          <w:rPr>
                            <w:rFonts w:ascii="宋体" w:hAnsi="宋体" w:cs="宋体" w:eastAsia="宋体" w:hint="default"/>
                            <w:spacing w:val="-7"/>
                            <w:sz w:val="18"/>
                            <w:szCs w:val="18"/>
                          </w:rPr>
                          <w:t>期权数量（份</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徐长进</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180,000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360,000</w:t>
                        </w:r>
                      </w:p>
                    </w:tc>
                  </w:tr>
                  <w:tr>
                    <w:trPr>
                      <w:trHeight w:val="710"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陈昌文</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9" w:right="74"/>
                          <w:jc w:val="left"/>
                          <w:rPr>
                            <w:rFonts w:ascii="宋体" w:hAnsi="宋体" w:cs="宋体" w:eastAsia="宋体" w:hint="default"/>
                            <w:sz w:val="18"/>
                            <w:szCs w:val="18"/>
                          </w:rPr>
                        </w:pPr>
                        <w:r>
                          <w:rPr>
                            <w:rFonts w:ascii="宋体" w:hAnsi="宋体" w:cs="宋体" w:eastAsia="宋体" w:hint="default"/>
                            <w:spacing w:val="-2"/>
                            <w:sz w:val="18"/>
                            <w:szCs w:val="18"/>
                          </w:rPr>
                          <w:t>副总经理兼董</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事会</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140,000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280,000</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汤晓飞</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160,000</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郑强</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160,000</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陆荣</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25,000</w:t>
                        </w:r>
                      </w:p>
                    </w:tc>
                  </w:tr>
                  <w:tr>
                    <w:trPr>
                      <w:trHeight w:val="398"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480,000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505,000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985,000</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pStyle w:val="Heading3"/>
        <w:spacing w:line="367" w:lineRule="exact"/>
        <w:ind w:right="0"/>
        <w:jc w:val="left"/>
        <w:rPr>
          <w:b w:val="0"/>
          <w:bCs w:val="0"/>
        </w:rPr>
      </w:pPr>
      <w:r>
        <w:rPr/>
        <w:t>二、任职情况</w:t>
      </w:r>
      <w:r>
        <w:rPr>
          <w:b w:val="0"/>
          <w:bCs w:val="0"/>
        </w:rPr>
      </w:r>
    </w:p>
    <w:p>
      <w:pPr>
        <w:spacing w:line="240" w:lineRule="auto" w:before="5"/>
        <w:rPr>
          <w:rFonts w:ascii="Microsoft JhengHei" w:hAnsi="Microsoft JhengHei" w:cs="Microsoft JhengHei" w:eastAsia="Microsoft JhengHei" w:hint="default"/>
          <w:b/>
          <w:bCs/>
          <w:sz w:val="18"/>
          <w:szCs w:val="18"/>
        </w:rPr>
      </w:pPr>
    </w:p>
    <w:p>
      <w:pPr>
        <w:pStyle w:val="Heading4"/>
        <w:spacing w:line="240" w:lineRule="auto"/>
        <w:ind w:left="575" w:right="0"/>
        <w:jc w:val="left"/>
        <w:rPr>
          <w:b w:val="0"/>
          <w:bCs w:val="0"/>
        </w:rPr>
      </w:pPr>
      <w:r>
        <w:rPr/>
        <w:t>公司现任董事、监事、高级管理人员最近 </w:t>
      </w:r>
      <w:r>
        <w:rPr>
          <w:rFonts w:ascii="Arial" w:hAnsi="Arial" w:cs="Arial" w:eastAsia="Arial" w:hint="default"/>
        </w:rPr>
        <w:t>5</w:t>
      </w:r>
      <w:r>
        <w:rPr>
          <w:rFonts w:ascii="Arial" w:hAnsi="Arial" w:cs="Arial" w:eastAsia="Arial" w:hint="default"/>
          <w:spacing w:val="12"/>
        </w:rPr>
        <w:t> </w:t>
      </w:r>
      <w:r>
        <w:rPr/>
        <w:t>年的主要工作经历</w:t>
      </w:r>
      <w:r>
        <w:rPr>
          <w:b w:val="0"/>
          <w:bCs w:val="0"/>
        </w:rPr>
      </w:r>
    </w:p>
    <w:p>
      <w:pPr>
        <w:pStyle w:val="Heading4"/>
        <w:spacing w:line="240" w:lineRule="auto" w:before="100"/>
        <w:ind w:left="575" w:right="0"/>
        <w:jc w:val="left"/>
        <w:rPr>
          <w:b w:val="0"/>
          <w:bCs w:val="0"/>
        </w:rPr>
      </w:pPr>
      <w:r>
        <w:rPr/>
        <w:t>（一）董事会成员</w:t>
      </w:r>
      <w:r>
        <w:rPr>
          <w:b w:val="0"/>
          <w:bCs w:val="0"/>
        </w:rPr>
      </w:r>
    </w:p>
    <w:p>
      <w:pPr>
        <w:spacing w:before="105"/>
        <w:ind w:left="575" w:right="0"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纪立军先生：</w:t>
      </w:r>
      <w:r>
        <w:rPr>
          <w:rFonts w:ascii="宋体" w:hAnsi="宋体" w:cs="宋体" w:eastAsia="宋体" w:hint="default"/>
          <w:sz w:val="21"/>
          <w:szCs w:val="21"/>
        </w:rPr>
        <w:t>见第六节：三、</w:t>
      </w:r>
      <w:r>
        <w:rPr>
          <w:rFonts w:ascii="Arial" w:hAnsi="Arial" w:cs="Arial" w:eastAsia="Arial" w:hint="default"/>
          <w:sz w:val="21"/>
          <w:szCs w:val="21"/>
        </w:rPr>
        <w:t>2</w:t>
      </w:r>
      <w:r>
        <w:rPr>
          <w:rFonts w:ascii="Arial" w:hAnsi="Arial" w:cs="Arial" w:eastAsia="Arial" w:hint="default"/>
          <w:spacing w:val="55"/>
          <w:sz w:val="21"/>
          <w:szCs w:val="21"/>
        </w:rPr>
        <w:t> </w:t>
      </w:r>
      <w:r>
        <w:rPr>
          <w:rFonts w:ascii="宋体" w:hAnsi="宋体" w:cs="宋体" w:eastAsia="宋体" w:hint="default"/>
          <w:sz w:val="21"/>
          <w:szCs w:val="21"/>
        </w:rPr>
        <w:t>公司控股股东情况。</w:t>
      </w:r>
    </w:p>
    <w:p>
      <w:pPr>
        <w:spacing w:after="0"/>
        <w:jc w:val="left"/>
        <w:rPr>
          <w:rFonts w:ascii="宋体" w:hAnsi="宋体" w:cs="宋体" w:eastAsia="宋体" w:hint="default"/>
          <w:sz w:val="21"/>
          <w:szCs w:val="21"/>
        </w:rPr>
        <w:sectPr>
          <w:pgSz w:w="11900" w:h="16840"/>
          <w:pgMar w:header="742" w:footer="984" w:top="1060" w:bottom="1180" w:left="980" w:right="980"/>
        </w:sectPr>
      </w:pPr>
    </w:p>
    <w:p>
      <w:pPr>
        <w:spacing w:line="240" w:lineRule="auto" w:before="0"/>
        <w:rPr>
          <w:rFonts w:ascii="宋体" w:hAnsi="宋体" w:cs="宋体" w:eastAsia="宋体" w:hint="default"/>
          <w:sz w:val="20"/>
          <w:szCs w:val="20"/>
        </w:rPr>
      </w:pPr>
    </w:p>
    <w:p>
      <w:pPr>
        <w:pStyle w:val="BodyText"/>
        <w:spacing w:line="369" w:lineRule="auto" w:before="115"/>
        <w:ind w:right="231" w:firstLine="422"/>
        <w:jc w:val="both"/>
      </w:pPr>
      <w:r>
        <w:rPr>
          <w:rFonts w:ascii="Microsoft JhengHei" w:hAnsi="Microsoft JhengHei" w:cs="Microsoft JhengHei" w:eastAsia="Microsoft JhengHei" w:hint="default"/>
          <w:b/>
          <w:bCs/>
          <w:spacing w:val="-3"/>
        </w:rPr>
        <w:t>王敬敏先生：</w:t>
      </w:r>
      <w:r>
        <w:rPr>
          <w:spacing w:val="-3"/>
        </w:rPr>
        <w:t>中国国籍，无境外永久居留权，毕业于上海电视大学工商管理专业。</w:t>
      </w:r>
      <w:r>
        <w:rPr>
          <w:rFonts w:ascii="Arial" w:hAnsi="Arial" w:cs="Arial" w:eastAsia="Arial" w:hint="default"/>
          <w:spacing w:val="-3"/>
        </w:rPr>
        <w:t>1976 </w:t>
      </w:r>
      <w:r>
        <w:rPr/>
        <w:t>年至 </w:t>
      </w:r>
      <w:r>
        <w:rPr>
          <w:rFonts w:ascii="Arial" w:hAnsi="Arial" w:cs="Arial" w:eastAsia="Arial" w:hint="default"/>
          <w:spacing w:val="-3"/>
        </w:rPr>
        <w:t>1981</w:t>
      </w:r>
      <w:r>
        <w:rPr>
          <w:rFonts w:ascii="Arial" w:hAnsi="Arial" w:cs="Arial" w:eastAsia="Arial" w:hint="default"/>
          <w:spacing w:val="-20"/>
        </w:rPr>
        <w:t> </w:t>
      </w:r>
      <w:r>
        <w:rPr/>
        <w:t>年</w:t>
      </w:r>
      <w:r>
        <w:rPr>
          <w:w w:val="100"/>
        </w:rPr>
        <w:t> </w:t>
      </w:r>
      <w:r>
        <w:rPr/>
        <w:t>服务于中国人民解放军海军</w:t>
      </w:r>
      <w:r>
        <w:rPr>
          <w:spacing w:val="-46"/>
        </w:rPr>
        <w:t> </w:t>
      </w:r>
      <w:r>
        <w:rPr>
          <w:rFonts w:ascii="Arial" w:hAnsi="Arial" w:cs="Arial" w:eastAsia="Arial" w:hint="default"/>
          <w:spacing w:val="-3"/>
        </w:rPr>
        <w:t>37901</w:t>
      </w:r>
      <w:r>
        <w:rPr>
          <w:rFonts w:ascii="Arial" w:hAnsi="Arial" w:cs="Arial" w:eastAsia="Arial" w:hint="default"/>
          <w:spacing w:val="-2"/>
        </w:rPr>
        <w:t> </w:t>
      </w:r>
      <w:r>
        <w:rPr/>
        <w:t>部队，</w:t>
      </w:r>
      <w:r>
        <w:rPr>
          <w:rFonts w:ascii="Arial" w:hAnsi="Arial" w:cs="Arial" w:eastAsia="Arial" w:hint="default"/>
        </w:rPr>
        <w:t>1981</w:t>
      </w:r>
      <w:r>
        <w:rPr>
          <w:rFonts w:ascii="Arial" w:hAnsi="Arial" w:cs="Arial" w:eastAsia="Arial" w:hint="default"/>
          <w:spacing w:val="-2"/>
        </w:rPr>
        <w:t> </w:t>
      </w:r>
      <w:r>
        <w:rPr/>
        <w:t>年至</w:t>
      </w:r>
      <w:r>
        <w:rPr>
          <w:spacing w:val="-41"/>
        </w:rPr>
        <w:t> </w:t>
      </w:r>
      <w:r>
        <w:rPr>
          <w:rFonts w:ascii="Arial" w:hAnsi="Arial" w:cs="Arial" w:eastAsia="Arial" w:hint="default"/>
          <w:spacing w:val="-3"/>
        </w:rPr>
        <w:t>1993</w:t>
      </w:r>
      <w:r>
        <w:rPr>
          <w:rFonts w:ascii="Arial" w:hAnsi="Arial" w:cs="Arial" w:eastAsia="Arial" w:hint="default"/>
          <w:spacing w:val="-2"/>
        </w:rPr>
        <w:t> </w:t>
      </w:r>
      <w:r>
        <w:rPr/>
        <w:t>年就职于上海电话设备厂，</w:t>
      </w:r>
      <w:r>
        <w:rPr>
          <w:rFonts w:ascii="Arial" w:hAnsi="Arial" w:cs="Arial" w:eastAsia="Arial" w:hint="default"/>
        </w:rPr>
        <w:t>1993</w:t>
      </w:r>
      <w:r>
        <w:rPr>
          <w:rFonts w:ascii="Arial" w:hAnsi="Arial" w:cs="Arial" w:eastAsia="Arial" w:hint="default"/>
          <w:spacing w:val="-2"/>
        </w:rPr>
        <w:t> </w:t>
      </w:r>
      <w:r>
        <w:rPr/>
        <w:t>年至</w:t>
      </w:r>
      <w:r>
        <w:rPr>
          <w:spacing w:val="-46"/>
        </w:rPr>
        <w:t> </w:t>
      </w:r>
      <w:r>
        <w:rPr>
          <w:rFonts w:ascii="Arial" w:hAnsi="Arial" w:cs="Arial" w:eastAsia="Arial" w:hint="default"/>
        </w:rPr>
        <w:t>2007</w:t>
      </w:r>
      <w:r>
        <w:rPr>
          <w:rFonts w:ascii="Arial" w:hAnsi="Arial" w:cs="Arial" w:eastAsia="Arial" w:hint="default"/>
          <w:spacing w:val="-2"/>
        </w:rPr>
        <w:t> </w:t>
      </w:r>
      <w:r>
        <w:rPr/>
        <w:t>年</w:t>
      </w:r>
      <w:r>
        <w:rPr>
          <w:w w:val="100"/>
        </w:rPr>
        <w:t> </w:t>
      </w:r>
      <w:r>
        <w:rPr>
          <w:spacing w:val="-2"/>
        </w:rPr>
        <w:t>任上海普天马可尼网络公司行政人事部经理，</w:t>
      </w:r>
      <w:r>
        <w:rPr>
          <w:rFonts w:ascii="Arial" w:hAnsi="Arial" w:cs="Arial" w:eastAsia="Arial" w:hint="default"/>
          <w:spacing w:val="-2"/>
        </w:rPr>
        <w:t>2007</w:t>
      </w:r>
      <w:r>
        <w:rPr>
          <w:rFonts w:ascii="Arial" w:hAnsi="Arial" w:cs="Arial" w:eastAsia="Arial" w:hint="default"/>
        </w:rPr>
        <w:t> </w:t>
      </w:r>
      <w:r>
        <w:rPr>
          <w:rFonts w:ascii="Arial" w:hAnsi="Arial" w:cs="Arial" w:eastAsia="Arial" w:hint="default"/>
          <w:spacing w:val="24"/>
        </w:rPr>
        <w:t> </w:t>
      </w:r>
      <w:r>
        <w:rPr>
          <w:spacing w:val="-2"/>
        </w:rPr>
        <w:t>加入本公司，现任组织管理中心负责人、副总经理。</w:t>
      </w:r>
    </w:p>
    <w:p>
      <w:pPr>
        <w:pStyle w:val="BodyText"/>
        <w:spacing w:line="348" w:lineRule="exact"/>
        <w:ind w:right="0" w:firstLine="422"/>
        <w:jc w:val="both"/>
      </w:pPr>
      <w:r>
        <w:rPr>
          <w:rFonts w:ascii="Microsoft JhengHei" w:hAnsi="Microsoft JhengHei" w:cs="Microsoft JhengHei" w:eastAsia="Microsoft JhengHei" w:hint="default"/>
          <w:b/>
          <w:bCs/>
          <w:spacing w:val="-4"/>
        </w:rPr>
        <w:t>徐长进先生：</w:t>
      </w:r>
      <w:r>
        <w:rPr>
          <w:spacing w:val="-4"/>
        </w:rPr>
        <w:t>中国国籍，无境外永久居留权，上海财经大学 </w:t>
      </w:r>
      <w:r>
        <w:rPr>
          <w:rFonts w:ascii="Arial" w:hAnsi="Arial" w:cs="Arial" w:eastAsia="Arial" w:hint="default"/>
        </w:rPr>
        <w:t>EMBA</w:t>
      </w:r>
      <w:r>
        <w:rPr>
          <w:rFonts w:ascii="Arial" w:hAnsi="Arial" w:cs="Arial" w:eastAsia="Arial" w:hint="default"/>
          <w:spacing w:val="-2"/>
        </w:rPr>
        <w:t> </w:t>
      </w:r>
      <w:r>
        <w:rPr>
          <w:spacing w:val="-3"/>
        </w:rPr>
        <w:t>专业市场营销方向，高级工商管理</w:t>
      </w:r>
    </w:p>
    <w:p>
      <w:pPr>
        <w:pStyle w:val="BodyText"/>
        <w:spacing w:line="391" w:lineRule="auto" w:before="171"/>
        <w:ind w:right="113"/>
        <w:jc w:val="left"/>
      </w:pPr>
      <w:r>
        <w:rPr/>
        <w:t>硕士。中国人民大学，世界经济专业，投资与融资方向，同等学力研究生。西北农林科技大学，投资经济</w:t>
      </w:r>
      <w:r>
        <w:rPr>
          <w:w w:val="100"/>
        </w:rPr>
        <w:t> </w:t>
      </w:r>
      <w:r>
        <w:rPr>
          <w:spacing w:val="-5"/>
        </w:rPr>
        <w:t>与项目管理方向，硕士研究生学历，获得工商管理硕士。</w:t>
      </w:r>
      <w:r>
        <w:rPr>
          <w:rFonts w:ascii="Arial" w:hAnsi="Arial" w:cs="Arial" w:eastAsia="Arial" w:hint="default"/>
          <w:spacing w:val="-5"/>
        </w:rPr>
        <w:t>1995</w:t>
      </w:r>
      <w:r>
        <w:rPr>
          <w:rFonts w:ascii="Arial" w:hAnsi="Arial" w:cs="Arial" w:eastAsia="Arial" w:hint="default"/>
        </w:rPr>
        <w:t> </w:t>
      </w:r>
      <w:r>
        <w:rPr/>
        <w:t>年</w:t>
      </w:r>
      <w:r>
        <w:rPr>
          <w:spacing w:val="-44"/>
        </w:rPr>
        <w:t> </w:t>
      </w:r>
      <w:r>
        <w:rPr>
          <w:rFonts w:ascii="Arial" w:hAnsi="Arial" w:cs="Arial" w:eastAsia="Arial" w:hint="default"/>
        </w:rPr>
        <w:t>8</w:t>
      </w:r>
      <w:r>
        <w:rPr>
          <w:rFonts w:ascii="Arial" w:hAnsi="Arial" w:cs="Arial" w:eastAsia="Arial" w:hint="default"/>
          <w:spacing w:val="1"/>
        </w:rPr>
        <w:t> </w:t>
      </w:r>
      <w:r>
        <w:rPr/>
        <w:t>月</w:t>
      </w:r>
      <w:r>
        <w:rPr>
          <w:rFonts w:ascii="Arial" w:hAnsi="Arial" w:cs="Arial" w:eastAsia="Arial" w:hint="default"/>
        </w:rPr>
        <w:t>-1997 </w:t>
      </w:r>
      <w:r>
        <w:rPr/>
        <w:t>年</w:t>
      </w:r>
      <w:r>
        <w:rPr>
          <w:spacing w:val="-44"/>
        </w:rPr>
        <w:t> </w:t>
      </w:r>
      <w:r>
        <w:rPr>
          <w:rFonts w:ascii="Arial" w:hAnsi="Arial" w:cs="Arial" w:eastAsia="Arial" w:hint="default"/>
        </w:rPr>
        <w:t>7</w:t>
      </w:r>
      <w:r>
        <w:rPr>
          <w:rFonts w:ascii="Arial" w:hAnsi="Arial" w:cs="Arial" w:eastAsia="Arial" w:hint="default"/>
          <w:spacing w:val="1"/>
        </w:rPr>
        <w:t> </w:t>
      </w:r>
      <w:r>
        <w:rPr>
          <w:spacing w:val="-4"/>
        </w:rPr>
        <w:t>月，郑州金笛印染有限公</w:t>
      </w:r>
      <w:r>
        <w:rPr>
          <w:spacing w:val="-81"/>
        </w:rPr>
        <w:t> </w:t>
      </w:r>
      <w:r>
        <w:rPr>
          <w:spacing w:val="-81"/>
        </w:rPr>
      </w:r>
      <w:r>
        <w:rPr>
          <w:spacing w:val="-6"/>
          <w:w w:val="100"/>
        </w:rPr>
        <w:t>司（原郑州印染厂），从事印染技术工作；</w:t>
      </w:r>
      <w:r>
        <w:rPr>
          <w:rFonts w:ascii="Arial" w:hAnsi="Arial" w:cs="Arial" w:eastAsia="Arial" w:hint="default"/>
          <w:spacing w:val="-6"/>
          <w:w w:val="100"/>
        </w:rPr>
        <w:t>1997</w:t>
      </w:r>
      <w:r>
        <w:rPr>
          <w:rFonts w:ascii="Arial" w:hAnsi="Arial" w:cs="Arial" w:eastAsia="Arial" w:hint="default"/>
          <w:spacing w:val="-9"/>
          <w:w w:val="100"/>
        </w:rPr>
        <w:t> </w:t>
      </w:r>
      <w:r>
        <w:rPr>
          <w:w w:val="100"/>
        </w:rPr>
        <w:t>年</w:t>
      </w:r>
      <w:r>
        <w:rPr>
          <w:spacing w:val="-53"/>
          <w:w w:val="100"/>
        </w:rPr>
        <w:t> </w:t>
      </w:r>
      <w:r>
        <w:rPr>
          <w:rFonts w:ascii="Arial" w:hAnsi="Arial" w:cs="Arial" w:eastAsia="Arial" w:hint="default"/>
          <w:w w:val="100"/>
        </w:rPr>
        <w:t>8</w:t>
      </w:r>
      <w:r>
        <w:rPr>
          <w:rFonts w:ascii="Arial" w:hAnsi="Arial" w:cs="Arial" w:eastAsia="Arial" w:hint="default"/>
          <w:spacing w:val="-8"/>
          <w:w w:val="100"/>
        </w:rPr>
        <w:t> </w:t>
      </w:r>
      <w:r>
        <w:rPr>
          <w:spacing w:val="-2"/>
          <w:w w:val="100"/>
        </w:rPr>
        <w:t>月</w:t>
      </w:r>
      <w:r>
        <w:rPr>
          <w:rFonts w:ascii="Arial" w:hAnsi="Arial" w:cs="Arial" w:eastAsia="Arial" w:hint="default"/>
          <w:spacing w:val="-2"/>
          <w:w w:val="100"/>
        </w:rPr>
        <w:t>-2007</w:t>
      </w:r>
      <w:r>
        <w:rPr>
          <w:rFonts w:ascii="Arial" w:hAnsi="Arial" w:cs="Arial" w:eastAsia="Arial" w:hint="default"/>
          <w:spacing w:val="-9"/>
          <w:w w:val="100"/>
        </w:rPr>
        <w:t> </w:t>
      </w:r>
      <w:r>
        <w:rPr>
          <w:w w:val="100"/>
        </w:rPr>
        <w:t>年</w:t>
      </w:r>
      <w:r>
        <w:rPr>
          <w:spacing w:val="-53"/>
          <w:w w:val="100"/>
        </w:rPr>
        <w:t> </w:t>
      </w:r>
      <w:r>
        <w:rPr>
          <w:rFonts w:ascii="Arial" w:hAnsi="Arial" w:cs="Arial" w:eastAsia="Arial" w:hint="default"/>
          <w:w w:val="100"/>
        </w:rPr>
        <w:t>5</w:t>
      </w:r>
      <w:r>
        <w:rPr>
          <w:rFonts w:ascii="Arial" w:hAnsi="Arial" w:cs="Arial" w:eastAsia="Arial" w:hint="default"/>
          <w:spacing w:val="-8"/>
          <w:w w:val="100"/>
        </w:rPr>
        <w:t> </w:t>
      </w:r>
      <w:r>
        <w:rPr>
          <w:spacing w:val="-1"/>
          <w:w w:val="100"/>
        </w:rPr>
        <w:t>月，上海万得化工有限公司，历任办事</w:t>
      </w:r>
      <w:r>
        <w:rPr>
          <w:spacing w:val="-103"/>
          <w:w w:val="100"/>
        </w:rPr>
        <w:t> </w:t>
      </w:r>
      <w:r>
        <w:rPr>
          <w:spacing w:val="-103"/>
          <w:w w:val="100"/>
        </w:rPr>
      </w:r>
      <w:r>
        <w:rPr/>
        <w:t>处经理、人事部经理、采购部经理、储运部经理、万得化工（泰兴）有限公司总经理等职。</w:t>
      </w:r>
      <w:r>
        <w:rPr>
          <w:rFonts w:ascii="Arial" w:hAnsi="Arial" w:cs="Arial" w:eastAsia="Arial" w:hint="default"/>
        </w:rPr>
        <w:t>2007 </w:t>
      </w:r>
      <w:r>
        <w:rPr/>
        <w:t>年 </w:t>
      </w:r>
      <w:r>
        <w:rPr>
          <w:rFonts w:ascii="Arial" w:hAnsi="Arial" w:cs="Arial" w:eastAsia="Arial" w:hint="default"/>
        </w:rPr>
        <w:t>6</w:t>
      </w:r>
      <w:r>
        <w:rPr>
          <w:rFonts w:ascii="Arial" w:hAnsi="Arial" w:cs="Arial" w:eastAsia="Arial" w:hint="default"/>
          <w:spacing w:val="-1"/>
        </w:rPr>
        <w:t> </w:t>
      </w:r>
      <w:r>
        <w:rPr/>
        <w:t>月</w:t>
      </w:r>
      <w:r>
        <w:rPr>
          <w:w w:val="100"/>
        </w:rPr>
        <w:t> </w:t>
      </w:r>
      <w:r>
        <w:rPr/>
        <w:t>至</w:t>
      </w:r>
      <w:r>
        <w:rPr>
          <w:spacing w:val="-40"/>
        </w:rPr>
        <w:t> </w:t>
      </w:r>
      <w:r>
        <w:rPr>
          <w:rFonts w:ascii="Arial" w:hAnsi="Arial" w:cs="Arial" w:eastAsia="Arial" w:hint="default"/>
          <w:spacing w:val="-3"/>
        </w:rPr>
        <w:t>2012</w:t>
      </w:r>
      <w:r>
        <w:rPr>
          <w:rFonts w:ascii="Arial" w:hAnsi="Arial" w:cs="Arial" w:eastAsia="Arial" w:hint="default"/>
          <w:spacing w:val="4"/>
        </w:rPr>
        <w:t> </w:t>
      </w:r>
      <w:r>
        <w:rPr/>
        <w:t>年</w:t>
      </w:r>
      <w:r>
        <w:rPr>
          <w:spacing w:val="-40"/>
        </w:rPr>
        <w:t> </w:t>
      </w:r>
      <w:r>
        <w:rPr>
          <w:rFonts w:ascii="Arial" w:hAnsi="Arial" w:cs="Arial" w:eastAsia="Arial" w:hint="default"/>
        </w:rPr>
        <w:t>6</w:t>
      </w:r>
      <w:r>
        <w:rPr>
          <w:rFonts w:ascii="Arial" w:hAnsi="Arial" w:cs="Arial" w:eastAsia="Arial" w:hint="default"/>
          <w:spacing w:val="5"/>
        </w:rPr>
        <w:t> </w:t>
      </w:r>
      <w:r>
        <w:rPr>
          <w:spacing w:val="-3"/>
        </w:rPr>
        <w:t>月，分别在两家染料企业担任经营副总及总经理职务，负责企业全面经营管理工作。多年来，</w:t>
      </w:r>
      <w:r>
        <w:rPr>
          <w:spacing w:val="-102"/>
        </w:rPr>
        <w:t> </w:t>
      </w:r>
      <w:r>
        <w:rPr>
          <w:spacing w:val="-102"/>
        </w:rPr>
      </w:r>
      <w:r>
        <w:rPr/>
        <w:t>不同的染料企业的工作经历，使其积累了丰富的管理经验。</w:t>
      </w:r>
      <w:r>
        <w:rPr>
          <w:rFonts w:ascii="Arial" w:hAnsi="Arial" w:cs="Arial" w:eastAsia="Arial" w:hint="default"/>
        </w:rPr>
        <w:t>2012</w:t>
      </w:r>
      <w:r>
        <w:rPr>
          <w:rFonts w:ascii="Arial" w:hAnsi="Arial" w:cs="Arial" w:eastAsia="Arial" w:hint="default"/>
          <w:spacing w:val="16"/>
        </w:rPr>
        <w:t> </w:t>
      </w:r>
      <w:r>
        <w:rPr/>
        <w:t>年</w:t>
      </w:r>
      <w:r>
        <w:rPr>
          <w:spacing w:val="-28"/>
        </w:rPr>
        <w:t> </w:t>
      </w:r>
      <w:r>
        <w:rPr>
          <w:rFonts w:ascii="Arial" w:hAnsi="Arial" w:cs="Arial" w:eastAsia="Arial" w:hint="default"/>
        </w:rPr>
        <w:t>7</w:t>
      </w:r>
      <w:r>
        <w:rPr>
          <w:rFonts w:ascii="Arial" w:hAnsi="Arial" w:cs="Arial" w:eastAsia="Arial" w:hint="default"/>
          <w:spacing w:val="17"/>
        </w:rPr>
        <w:t> </w:t>
      </w:r>
      <w:r>
        <w:rPr/>
        <w:t>月，加入本公司，现任公司副总经</w:t>
      </w:r>
      <w:r>
        <w:rPr>
          <w:spacing w:val="-103"/>
        </w:rPr>
        <w:t> </w:t>
      </w:r>
      <w:r>
        <w:rPr>
          <w:spacing w:val="-103"/>
        </w:rPr>
      </w:r>
      <w:r>
        <w:rPr/>
        <w:t>理，负责市场营销工作。</w:t>
      </w:r>
    </w:p>
    <w:p>
      <w:pPr>
        <w:pStyle w:val="BodyText"/>
        <w:spacing w:line="376" w:lineRule="auto"/>
        <w:ind w:right="222" w:firstLine="422"/>
        <w:jc w:val="both"/>
      </w:pPr>
      <w:r>
        <w:rPr>
          <w:rFonts w:ascii="Microsoft JhengHei" w:hAnsi="Microsoft JhengHei" w:cs="Microsoft JhengHei" w:eastAsia="Microsoft JhengHei" w:hint="default"/>
          <w:b/>
          <w:bCs/>
        </w:rPr>
        <w:t>汤晓飞先生：</w:t>
      </w:r>
      <w:r>
        <w:rPr/>
        <w:t>中国国籍，无境外永久居留权，本科学历，</w:t>
      </w:r>
      <w:r>
        <w:rPr>
          <w:rFonts w:ascii="Arial" w:hAnsi="Arial" w:cs="Arial" w:eastAsia="Arial" w:hint="default"/>
        </w:rPr>
        <w:t>1996 </w:t>
      </w:r>
      <w:r>
        <w:rPr/>
        <w:t>年 </w:t>
      </w:r>
      <w:r>
        <w:rPr>
          <w:rFonts w:ascii="Arial" w:hAnsi="Arial" w:cs="Arial" w:eastAsia="Arial" w:hint="default"/>
        </w:rPr>
        <w:t>7</w:t>
      </w:r>
      <w:r>
        <w:rPr>
          <w:rFonts w:ascii="Arial" w:hAnsi="Arial" w:cs="Arial" w:eastAsia="Arial" w:hint="default"/>
          <w:spacing w:val="6"/>
        </w:rPr>
        <w:t> </w:t>
      </w:r>
      <w:r>
        <w:rPr/>
        <w:t>月毕业于中国纺织大学（现东华</w:t>
      </w:r>
      <w:r>
        <w:rPr>
          <w:w w:val="100"/>
        </w:rPr>
        <w:t> </w:t>
      </w:r>
      <w:r>
        <w:rPr>
          <w:spacing w:val="-6"/>
        </w:rPr>
        <w:t>大学）染整工程专业，</w:t>
      </w:r>
      <w:r>
        <w:rPr>
          <w:rFonts w:ascii="Arial" w:hAnsi="Arial" w:cs="Arial" w:eastAsia="Arial" w:hint="default"/>
          <w:spacing w:val="-6"/>
        </w:rPr>
        <w:t>1996</w:t>
      </w:r>
      <w:r>
        <w:rPr>
          <w:rFonts w:ascii="Arial" w:hAnsi="Arial" w:cs="Arial" w:eastAsia="Arial" w:hint="default"/>
          <w:spacing w:val="2"/>
        </w:rPr>
        <w:t> </w:t>
      </w:r>
      <w:r>
        <w:rPr/>
        <w:t>年</w:t>
      </w:r>
      <w:r>
        <w:rPr>
          <w:spacing w:val="-41"/>
        </w:rPr>
        <w:t> </w:t>
      </w:r>
      <w:r>
        <w:rPr>
          <w:rFonts w:ascii="Arial" w:hAnsi="Arial" w:cs="Arial" w:eastAsia="Arial" w:hint="default"/>
        </w:rPr>
        <w:t>7</w:t>
      </w:r>
      <w:r>
        <w:rPr>
          <w:rFonts w:ascii="Arial" w:hAnsi="Arial" w:cs="Arial" w:eastAsia="Arial" w:hint="default"/>
          <w:spacing w:val="3"/>
        </w:rPr>
        <w:t> </w:t>
      </w:r>
      <w:r>
        <w:rPr/>
        <w:t>月至</w:t>
      </w:r>
      <w:r>
        <w:rPr>
          <w:spacing w:val="-41"/>
        </w:rPr>
        <w:t> </w:t>
      </w:r>
      <w:r>
        <w:rPr>
          <w:rFonts w:ascii="Arial" w:hAnsi="Arial" w:cs="Arial" w:eastAsia="Arial" w:hint="default"/>
          <w:spacing w:val="-3"/>
        </w:rPr>
        <w:t>2008</w:t>
      </w:r>
      <w:r>
        <w:rPr>
          <w:rFonts w:ascii="Arial" w:hAnsi="Arial" w:cs="Arial" w:eastAsia="Arial" w:hint="default"/>
          <w:spacing w:val="2"/>
        </w:rPr>
        <w:t> </w:t>
      </w:r>
      <w:r>
        <w:rPr/>
        <w:t>年</w:t>
      </w:r>
      <w:r>
        <w:rPr>
          <w:spacing w:val="-41"/>
        </w:rPr>
        <w:t> </w:t>
      </w:r>
      <w:r>
        <w:rPr>
          <w:rFonts w:ascii="Arial" w:hAnsi="Arial" w:cs="Arial" w:eastAsia="Arial" w:hint="default"/>
        </w:rPr>
        <w:t>6</w:t>
      </w:r>
      <w:r>
        <w:rPr>
          <w:rFonts w:ascii="Arial" w:hAnsi="Arial" w:cs="Arial" w:eastAsia="Arial" w:hint="default"/>
          <w:spacing w:val="3"/>
        </w:rPr>
        <w:t> </w:t>
      </w:r>
      <w:r>
        <w:rPr>
          <w:spacing w:val="-3"/>
        </w:rPr>
        <w:t>月先后工作于深圳龙飞纺织工业有限公司、宁波雅戈尔日</w:t>
      </w:r>
      <w:r>
        <w:rPr>
          <w:spacing w:val="-101"/>
        </w:rPr>
        <w:t> </w:t>
      </w:r>
      <w:r>
        <w:rPr>
          <w:spacing w:val="-101"/>
        </w:rPr>
      </w:r>
      <w:r>
        <w:rPr/>
        <w:t>中纺织印染有限公司，</w:t>
      </w:r>
      <w:r>
        <w:rPr>
          <w:rFonts w:ascii="Arial" w:hAnsi="Arial" w:cs="Arial" w:eastAsia="Arial" w:hint="default"/>
        </w:rPr>
        <w:t>2008 </w:t>
      </w:r>
      <w:r>
        <w:rPr/>
        <w:t>年 </w:t>
      </w:r>
      <w:r>
        <w:rPr>
          <w:rFonts w:ascii="Arial" w:hAnsi="Arial" w:cs="Arial" w:eastAsia="Arial" w:hint="default"/>
        </w:rPr>
        <w:t>6</w:t>
      </w:r>
      <w:r>
        <w:rPr>
          <w:rFonts w:ascii="Arial" w:hAnsi="Arial" w:cs="Arial" w:eastAsia="Arial" w:hint="default"/>
          <w:spacing w:val="9"/>
        </w:rPr>
        <w:t> </w:t>
      </w:r>
      <w:r>
        <w:rPr/>
        <w:t>月至今就职于本公司，先后担任应用技术部经理、应用技术副总监、技</w:t>
      </w:r>
      <w:r>
        <w:rPr>
          <w:w w:val="100"/>
        </w:rPr>
        <w:t> </w:t>
      </w:r>
      <w:r>
        <w:rPr/>
        <w:t>术总监等职务，主要负责研发、应用、质量控制、市场推广等技术相关工作。</w:t>
      </w:r>
    </w:p>
    <w:p>
      <w:pPr>
        <w:pStyle w:val="BodyText"/>
        <w:spacing w:line="391" w:lineRule="auto" w:before="71"/>
        <w:ind w:right="222" w:firstLine="422"/>
        <w:jc w:val="both"/>
      </w:pPr>
      <w:r>
        <w:rPr>
          <w:spacing w:val="-2"/>
        </w:rPr>
        <w:t>长期从事棉、麻、涤及其混纺等织物的现场生产及实验室的技术管理工作，具有丰富的从织造到染整</w:t>
      </w:r>
      <w:r>
        <w:rPr>
          <w:w w:val="100"/>
        </w:rPr>
        <w:t> </w:t>
      </w:r>
      <w:r>
        <w:rPr/>
        <w:t>加工的整个流程的系统的新产品（梭织面料）开发经验，完善丰富了安诺素 </w:t>
      </w:r>
      <w:r>
        <w:rPr>
          <w:rFonts w:ascii="Arial" w:hAnsi="Arial" w:cs="Arial" w:eastAsia="Arial" w:hint="default"/>
        </w:rPr>
        <w:t>L </w:t>
      </w:r>
      <w:r>
        <w:rPr/>
        <w:t>型低活性染料和安诺素</w:t>
      </w:r>
      <w:r>
        <w:rPr>
          <w:spacing w:val="-74"/>
        </w:rPr>
        <w:t> </w:t>
      </w:r>
      <w:r>
        <w:rPr>
          <w:rFonts w:ascii="Arial" w:hAnsi="Arial" w:cs="Arial" w:eastAsia="Arial" w:hint="default"/>
        </w:rPr>
        <w:t>CP</w:t>
      </w:r>
      <w:r>
        <w:rPr>
          <w:rFonts w:ascii="Arial" w:hAnsi="Arial" w:cs="Arial" w:eastAsia="Arial" w:hint="default"/>
          <w:w w:val="100"/>
        </w:rPr>
        <w:t> </w:t>
      </w:r>
      <w:r>
        <w:rPr>
          <w:spacing w:val="-3"/>
        </w:rPr>
        <w:t>系列轧染活性染料的品种系列，并在应用技术上取得进展。</w:t>
      </w:r>
      <w:r>
        <w:rPr>
          <w:rFonts w:ascii="Arial" w:hAnsi="Arial" w:cs="Arial" w:eastAsia="Arial" w:hint="default"/>
          <w:spacing w:val="-3"/>
        </w:rPr>
        <w:t>2009 </w:t>
      </w:r>
      <w:r>
        <w:rPr/>
        <w:t>年至 </w:t>
      </w:r>
      <w:r>
        <w:rPr>
          <w:rFonts w:ascii="Arial" w:hAnsi="Arial" w:cs="Arial" w:eastAsia="Arial" w:hint="default"/>
          <w:spacing w:val="-3"/>
        </w:rPr>
        <w:t>2013 </w:t>
      </w:r>
      <w:r>
        <w:rPr>
          <w:spacing w:val="-3"/>
        </w:rPr>
        <w:t>年期间，组织开发了安诺可隆</w:t>
      </w:r>
      <w:r>
        <w:rPr>
          <w:spacing w:val="-95"/>
        </w:rPr>
        <w:t> </w:t>
      </w:r>
      <w:r>
        <w:rPr>
          <w:spacing w:val="-95"/>
        </w:rPr>
      </w:r>
      <w:r>
        <w:rPr>
          <w:rFonts w:ascii="Arial" w:hAnsi="Arial" w:cs="Arial" w:eastAsia="Arial" w:hint="default"/>
        </w:rPr>
        <w:t>PUD-SD</w:t>
      </w:r>
      <w:r>
        <w:rPr>
          <w:rFonts w:ascii="Arial" w:hAnsi="Arial" w:cs="Arial" w:eastAsia="Arial" w:hint="default"/>
          <w:spacing w:val="-15"/>
        </w:rPr>
        <w:t> </w:t>
      </w:r>
      <w:r>
        <w:rPr/>
        <w:t>系列产品，在产品性能达到国际先进水平的基础上将成本压缩到国外同行的</w:t>
      </w:r>
      <w:r>
        <w:rPr>
          <w:spacing w:val="-58"/>
        </w:rPr>
        <w:t> </w:t>
      </w:r>
      <w:r>
        <w:rPr>
          <w:rFonts w:ascii="Arial" w:hAnsi="Arial" w:cs="Arial" w:eastAsia="Arial" w:hint="default"/>
        </w:rPr>
        <w:t>1/2</w:t>
      </w:r>
      <w:r>
        <w:rPr>
          <w:rFonts w:ascii="Arial" w:hAnsi="Arial" w:cs="Arial" w:eastAsia="Arial" w:hint="default"/>
          <w:spacing w:val="-13"/>
        </w:rPr>
        <w:t> </w:t>
      </w:r>
      <w:r>
        <w:rPr/>
        <w:t>左右，大大提高</w:t>
      </w:r>
      <w:r>
        <w:rPr>
          <w:w w:val="100"/>
        </w:rPr>
        <w:t> </w:t>
      </w:r>
      <w:r>
        <w:rPr/>
        <w:t>了产品的市场竞争力；</w:t>
      </w:r>
      <w:r>
        <w:rPr>
          <w:rFonts w:ascii="Arial" w:hAnsi="Arial" w:cs="Arial" w:eastAsia="Arial" w:hint="default"/>
        </w:rPr>
        <w:t>2013</w:t>
      </w:r>
      <w:r>
        <w:rPr>
          <w:rFonts w:ascii="Arial" w:hAnsi="Arial" w:cs="Arial" w:eastAsia="Arial" w:hint="default"/>
          <w:spacing w:val="21"/>
        </w:rPr>
        <w:t> </w:t>
      </w:r>
      <w:r>
        <w:rPr/>
        <w:t>年组织研发了锦棉一浴染色技术，相比传统酸性活性染料二浴法染色技术，</w:t>
      </w:r>
      <w:r>
        <w:rPr>
          <w:spacing w:val="-103"/>
        </w:rPr>
        <w:t> </w:t>
      </w:r>
      <w:r>
        <w:rPr>
          <w:spacing w:val="-103"/>
        </w:rPr>
      </w:r>
      <w:r>
        <w:rPr/>
        <w:t>节能减排效果明显，印染企业的染色成本也有 </w:t>
      </w:r>
      <w:r>
        <w:rPr>
          <w:rFonts w:ascii="Arial" w:hAnsi="Arial" w:cs="Arial" w:eastAsia="Arial" w:hint="default"/>
        </w:rPr>
        <w:t>30%</w:t>
      </w:r>
      <w:r>
        <w:rPr/>
        <w:t>左右的降低。</w:t>
      </w:r>
      <w:r>
        <w:rPr>
          <w:rFonts w:ascii="Arial" w:hAnsi="Arial" w:cs="Arial" w:eastAsia="Arial" w:hint="default"/>
        </w:rPr>
        <w:t>2012</w:t>
      </w:r>
      <w:r>
        <w:rPr>
          <w:rFonts w:ascii="Arial" w:hAnsi="Arial" w:cs="Arial" w:eastAsia="Arial" w:hint="default"/>
          <w:spacing w:val="-26"/>
        </w:rPr>
        <w:t> </w:t>
      </w:r>
      <w:r>
        <w:rPr/>
        <w:t>年代表公司荣获上海市产学研合作</w:t>
      </w:r>
      <w:r>
        <w:rPr>
          <w:w w:val="100"/>
        </w:rPr>
        <w:t> </w:t>
      </w:r>
      <w:r>
        <w:rPr/>
        <w:t>优秀项目奖。</w:t>
      </w:r>
    </w:p>
    <w:p>
      <w:pPr>
        <w:pStyle w:val="BodyText"/>
        <w:spacing w:line="350" w:lineRule="auto"/>
        <w:ind w:right="224" w:firstLine="422"/>
        <w:jc w:val="both"/>
      </w:pPr>
      <w:r>
        <w:rPr>
          <w:rFonts w:ascii="Microsoft JhengHei" w:hAnsi="Microsoft JhengHei" w:cs="Microsoft JhengHei" w:eastAsia="Microsoft JhengHei" w:hint="default"/>
          <w:b/>
          <w:bCs/>
        </w:rPr>
        <w:t>朱震宇先生：</w:t>
      </w:r>
      <w:r>
        <w:rPr/>
        <w:t>中国国籍，无境外永久居留权，</w:t>
      </w:r>
      <w:r>
        <w:rPr>
          <w:rFonts w:ascii="Arial" w:hAnsi="Arial" w:cs="Arial" w:eastAsia="Arial" w:hint="default"/>
        </w:rPr>
        <w:t>2010</w:t>
      </w:r>
      <w:r>
        <w:rPr>
          <w:rFonts w:ascii="Arial" w:hAnsi="Arial" w:cs="Arial" w:eastAsia="Arial" w:hint="default"/>
          <w:spacing w:val="3"/>
        </w:rPr>
        <w:t> </w:t>
      </w:r>
      <w:r>
        <w:rPr/>
        <w:t>年</w:t>
      </w:r>
      <w:r>
        <w:rPr>
          <w:spacing w:val="-46"/>
        </w:rPr>
        <w:t> </w:t>
      </w:r>
      <w:r>
        <w:rPr>
          <w:rFonts w:ascii="Arial" w:hAnsi="Arial" w:cs="Arial" w:eastAsia="Arial" w:hint="default"/>
        </w:rPr>
        <w:t>9</w:t>
      </w:r>
      <w:r>
        <w:rPr>
          <w:rFonts w:ascii="Arial" w:hAnsi="Arial" w:cs="Arial" w:eastAsia="Arial" w:hint="default"/>
          <w:spacing w:val="-2"/>
        </w:rPr>
        <w:t> </w:t>
      </w:r>
      <w:r>
        <w:rPr/>
        <w:t>月中国地质大学产业经济学博士毕业。</w:t>
      </w:r>
      <w:r>
        <w:rPr>
          <w:rFonts w:ascii="Arial" w:hAnsi="Arial" w:cs="Arial" w:eastAsia="Arial" w:hint="default"/>
        </w:rPr>
        <w:t>1988</w:t>
      </w:r>
      <w:r>
        <w:rPr>
          <w:rFonts w:ascii="Arial" w:hAnsi="Arial" w:cs="Arial" w:eastAsia="Arial" w:hint="default"/>
          <w:w w:val="100"/>
        </w:rPr>
        <w:t> </w:t>
      </w:r>
      <w:r>
        <w:rPr/>
        <w:t>年</w:t>
      </w:r>
      <w:r>
        <w:rPr>
          <w:spacing w:val="-50"/>
        </w:rPr>
        <w:t> </w:t>
      </w:r>
      <w:r>
        <w:rPr>
          <w:rFonts w:ascii="Arial" w:hAnsi="Arial" w:cs="Arial" w:eastAsia="Arial" w:hint="default"/>
        </w:rPr>
        <w:t>8</w:t>
      </w:r>
      <w:r>
        <w:rPr>
          <w:rFonts w:ascii="Arial" w:hAnsi="Arial" w:cs="Arial" w:eastAsia="Arial" w:hint="default"/>
          <w:spacing w:val="-5"/>
        </w:rPr>
        <w:t> </w:t>
      </w:r>
      <w:r>
        <w:rPr/>
        <w:t>月至</w:t>
      </w:r>
      <w:r>
        <w:rPr>
          <w:spacing w:val="-50"/>
        </w:rPr>
        <w:t> </w:t>
      </w:r>
      <w:r>
        <w:rPr>
          <w:rFonts w:ascii="Arial" w:hAnsi="Arial" w:cs="Arial" w:eastAsia="Arial" w:hint="default"/>
          <w:spacing w:val="-3"/>
        </w:rPr>
        <w:t>1994</w:t>
      </w:r>
      <w:r>
        <w:rPr>
          <w:rFonts w:ascii="Arial" w:hAnsi="Arial" w:cs="Arial" w:eastAsia="Arial" w:hint="default"/>
          <w:spacing w:val="-7"/>
        </w:rPr>
        <w:t> </w:t>
      </w:r>
      <w:r>
        <w:rPr/>
        <w:t>年</w:t>
      </w:r>
      <w:r>
        <w:rPr>
          <w:spacing w:val="-50"/>
        </w:rPr>
        <w:t> </w:t>
      </w:r>
      <w:r>
        <w:rPr>
          <w:rFonts w:ascii="Arial" w:hAnsi="Arial" w:cs="Arial" w:eastAsia="Arial" w:hint="default"/>
        </w:rPr>
        <w:t>12</w:t>
      </w:r>
      <w:r>
        <w:rPr>
          <w:rFonts w:ascii="Arial" w:hAnsi="Arial" w:cs="Arial" w:eastAsia="Arial" w:hint="default"/>
          <w:spacing w:val="-5"/>
        </w:rPr>
        <w:t> </w:t>
      </w:r>
      <w:r>
        <w:rPr>
          <w:spacing w:val="-6"/>
        </w:rPr>
        <w:t>月任上海轻工业局党校教师；</w:t>
      </w:r>
      <w:r>
        <w:rPr>
          <w:rFonts w:ascii="Arial" w:hAnsi="Arial" w:cs="Arial" w:eastAsia="Arial" w:hint="default"/>
          <w:spacing w:val="-6"/>
        </w:rPr>
        <w:t>1994</w:t>
      </w:r>
      <w:r>
        <w:rPr>
          <w:rFonts w:ascii="Arial" w:hAnsi="Arial" w:cs="Arial" w:eastAsia="Arial" w:hint="default"/>
          <w:spacing w:val="-5"/>
        </w:rPr>
        <w:t> </w:t>
      </w:r>
      <w:r>
        <w:rPr/>
        <w:t>年</w:t>
      </w:r>
      <w:r>
        <w:rPr>
          <w:spacing w:val="-50"/>
        </w:rPr>
        <w:t> </w:t>
      </w:r>
      <w:r>
        <w:rPr>
          <w:rFonts w:ascii="Arial" w:hAnsi="Arial" w:cs="Arial" w:eastAsia="Arial" w:hint="default"/>
        </w:rPr>
        <w:t>12</w:t>
      </w:r>
      <w:r>
        <w:rPr>
          <w:rFonts w:ascii="Arial" w:hAnsi="Arial" w:cs="Arial" w:eastAsia="Arial" w:hint="default"/>
          <w:spacing w:val="-5"/>
        </w:rPr>
        <w:t> </w:t>
      </w:r>
      <w:r>
        <w:rPr/>
        <w:t>月至</w:t>
      </w:r>
      <w:r>
        <w:rPr>
          <w:spacing w:val="-50"/>
        </w:rPr>
        <w:t> </w:t>
      </w:r>
      <w:r>
        <w:rPr>
          <w:rFonts w:ascii="Arial" w:hAnsi="Arial" w:cs="Arial" w:eastAsia="Arial" w:hint="default"/>
        </w:rPr>
        <w:t>2000</w:t>
      </w:r>
      <w:r>
        <w:rPr>
          <w:rFonts w:ascii="Arial" w:hAnsi="Arial" w:cs="Arial" w:eastAsia="Arial" w:hint="default"/>
          <w:spacing w:val="-5"/>
        </w:rPr>
        <w:t> </w:t>
      </w:r>
      <w:r>
        <w:rPr/>
        <w:t>年</w:t>
      </w:r>
      <w:r>
        <w:rPr>
          <w:spacing w:val="-50"/>
        </w:rPr>
        <w:t> </w:t>
      </w:r>
      <w:r>
        <w:rPr>
          <w:rFonts w:ascii="Arial" w:hAnsi="Arial" w:cs="Arial" w:eastAsia="Arial" w:hint="default"/>
        </w:rPr>
        <w:t>1</w:t>
      </w:r>
      <w:r>
        <w:rPr>
          <w:rFonts w:ascii="Arial" w:hAnsi="Arial" w:cs="Arial" w:eastAsia="Arial" w:hint="default"/>
          <w:spacing w:val="-5"/>
        </w:rPr>
        <w:t> </w:t>
      </w:r>
      <w:r>
        <w:rPr/>
        <w:t>月任大华会计师事务所审核</w:t>
      </w:r>
    </w:p>
    <w:p>
      <w:pPr>
        <w:pStyle w:val="BodyText"/>
        <w:spacing w:line="388" w:lineRule="auto" w:before="72"/>
        <w:ind w:right="222"/>
        <w:jc w:val="both"/>
      </w:pPr>
      <w:r>
        <w:rPr/>
        <w:t>经理；</w:t>
      </w:r>
      <w:r>
        <w:rPr>
          <w:rFonts w:ascii="Arial" w:hAnsi="Arial" w:cs="Arial" w:eastAsia="Arial" w:hint="default"/>
        </w:rPr>
        <w:t>2000</w:t>
      </w:r>
      <w:r>
        <w:rPr>
          <w:rFonts w:ascii="Arial" w:hAnsi="Arial" w:cs="Arial" w:eastAsia="Arial" w:hint="default"/>
          <w:spacing w:val="-3"/>
        </w:rPr>
        <w:t> </w:t>
      </w:r>
      <w:r>
        <w:rPr/>
        <w:t>年</w:t>
      </w:r>
      <w:r>
        <w:rPr>
          <w:spacing w:val="-47"/>
        </w:rPr>
        <w:t> </w:t>
      </w:r>
      <w:r>
        <w:rPr>
          <w:rFonts w:ascii="Arial" w:hAnsi="Arial" w:cs="Arial" w:eastAsia="Arial" w:hint="default"/>
        </w:rPr>
        <w:t>1</w:t>
      </w:r>
      <w:r>
        <w:rPr>
          <w:rFonts w:ascii="Arial" w:hAnsi="Arial" w:cs="Arial" w:eastAsia="Arial" w:hint="default"/>
          <w:spacing w:val="-2"/>
        </w:rPr>
        <w:t> </w:t>
      </w:r>
      <w:r>
        <w:rPr/>
        <w:t>月至</w:t>
      </w:r>
      <w:r>
        <w:rPr>
          <w:spacing w:val="-47"/>
        </w:rPr>
        <w:t> </w:t>
      </w:r>
      <w:r>
        <w:rPr>
          <w:rFonts w:ascii="Arial" w:hAnsi="Arial" w:cs="Arial" w:eastAsia="Arial" w:hint="default"/>
          <w:spacing w:val="-3"/>
        </w:rPr>
        <w:t>2003 </w:t>
      </w:r>
      <w:r>
        <w:rPr/>
        <w:t>年</w:t>
      </w:r>
      <w:r>
        <w:rPr>
          <w:spacing w:val="-47"/>
        </w:rPr>
        <w:t> </w:t>
      </w:r>
      <w:r>
        <w:rPr>
          <w:rFonts w:ascii="Arial" w:hAnsi="Arial" w:cs="Arial" w:eastAsia="Arial" w:hint="default"/>
        </w:rPr>
        <w:t>1</w:t>
      </w:r>
      <w:r>
        <w:rPr>
          <w:rFonts w:ascii="Arial" w:hAnsi="Arial" w:cs="Arial" w:eastAsia="Arial" w:hint="default"/>
          <w:spacing w:val="-2"/>
        </w:rPr>
        <w:t> </w:t>
      </w:r>
      <w:r>
        <w:rPr/>
        <w:t>月任上海永大会计师事务所主任会计师；</w:t>
      </w:r>
      <w:r>
        <w:rPr>
          <w:rFonts w:ascii="Arial" w:hAnsi="Arial" w:cs="Arial" w:eastAsia="Arial" w:hint="default"/>
        </w:rPr>
        <w:t>2003</w:t>
      </w:r>
      <w:r>
        <w:rPr>
          <w:rFonts w:ascii="Arial" w:hAnsi="Arial" w:cs="Arial" w:eastAsia="Arial" w:hint="default"/>
          <w:spacing w:val="-3"/>
        </w:rPr>
        <w:t> </w:t>
      </w:r>
      <w:r>
        <w:rPr/>
        <w:t>年</w:t>
      </w:r>
      <w:r>
        <w:rPr>
          <w:spacing w:val="-47"/>
        </w:rPr>
        <w:t> </w:t>
      </w:r>
      <w:r>
        <w:rPr>
          <w:rFonts w:ascii="Arial" w:hAnsi="Arial" w:cs="Arial" w:eastAsia="Arial" w:hint="default"/>
        </w:rPr>
        <w:t>1</w:t>
      </w:r>
      <w:r>
        <w:rPr>
          <w:rFonts w:ascii="Arial" w:hAnsi="Arial" w:cs="Arial" w:eastAsia="Arial" w:hint="default"/>
          <w:spacing w:val="-2"/>
        </w:rPr>
        <w:t> </w:t>
      </w:r>
      <w:r>
        <w:rPr/>
        <w:t>月至</w:t>
      </w:r>
      <w:r>
        <w:rPr>
          <w:spacing w:val="-47"/>
        </w:rPr>
        <w:t> </w:t>
      </w:r>
      <w:r>
        <w:rPr>
          <w:rFonts w:ascii="Arial" w:hAnsi="Arial" w:cs="Arial" w:eastAsia="Arial" w:hint="default"/>
          <w:spacing w:val="-3"/>
        </w:rPr>
        <w:t>2005 </w:t>
      </w:r>
      <w:r>
        <w:rPr/>
        <w:t>年</w:t>
      </w:r>
      <w:r>
        <w:rPr>
          <w:spacing w:val="-47"/>
        </w:rPr>
        <w:t> </w:t>
      </w:r>
      <w:r>
        <w:rPr>
          <w:rFonts w:ascii="Arial" w:hAnsi="Arial" w:cs="Arial" w:eastAsia="Arial" w:hint="default"/>
        </w:rPr>
        <w:t>8</w:t>
      </w:r>
      <w:r>
        <w:rPr>
          <w:rFonts w:ascii="Arial" w:hAnsi="Arial" w:cs="Arial" w:eastAsia="Arial" w:hint="default"/>
          <w:spacing w:val="-2"/>
        </w:rPr>
        <w:t> </w:t>
      </w:r>
      <w:r>
        <w:rPr/>
        <w:t>月任</w:t>
      </w:r>
      <w:r>
        <w:rPr>
          <w:w w:val="100"/>
        </w:rPr>
        <w:t> </w:t>
      </w:r>
      <w:r>
        <w:rPr/>
        <w:t>上海信宇会计师事务所主任会计师；</w:t>
      </w:r>
      <w:r>
        <w:rPr>
          <w:rFonts w:ascii="Arial" w:hAnsi="Arial" w:cs="Arial" w:eastAsia="Arial" w:hint="default"/>
        </w:rPr>
        <w:t>2005 </w:t>
      </w:r>
      <w:r>
        <w:rPr/>
        <w:t>年 </w:t>
      </w:r>
      <w:r>
        <w:rPr>
          <w:rFonts w:ascii="Arial" w:hAnsi="Arial" w:cs="Arial" w:eastAsia="Arial" w:hint="default"/>
        </w:rPr>
        <w:t>8</w:t>
      </w:r>
      <w:r>
        <w:rPr>
          <w:rFonts w:ascii="Arial" w:hAnsi="Arial" w:cs="Arial" w:eastAsia="Arial" w:hint="default"/>
          <w:spacing w:val="8"/>
        </w:rPr>
        <w:t> </w:t>
      </w:r>
      <w:r>
        <w:rPr/>
        <w:t>月至今任上海宏大东亚会计师事务所主任。执业注册会计</w:t>
      </w:r>
      <w:r>
        <w:rPr>
          <w:w w:val="100"/>
        </w:rPr>
        <w:t> </w:t>
      </w:r>
      <w:r>
        <w:rPr/>
        <w:t>师、资产评估师、房地产估价师并且具有高级会计师职称。</w:t>
      </w:r>
    </w:p>
    <w:p>
      <w:pPr>
        <w:pStyle w:val="BodyText"/>
        <w:spacing w:line="369" w:lineRule="auto"/>
        <w:ind w:right="222" w:firstLine="422"/>
        <w:jc w:val="both"/>
      </w:pPr>
      <w:r>
        <w:rPr>
          <w:rFonts w:ascii="Microsoft JhengHei" w:hAnsi="Microsoft JhengHei" w:cs="Microsoft JhengHei" w:eastAsia="Microsoft JhengHei" w:hint="default"/>
          <w:b/>
          <w:bCs/>
        </w:rPr>
        <w:t>顾洪锤先生：</w:t>
      </w:r>
      <w:r>
        <w:rPr/>
        <w:t>中国国籍，无境外永久居留权，农学和法学双学士学历。</w:t>
      </w:r>
      <w:r>
        <w:rPr>
          <w:rFonts w:ascii="Arial" w:hAnsi="Arial" w:cs="Arial" w:eastAsia="Arial" w:hint="default"/>
        </w:rPr>
        <w:t>2000</w:t>
      </w:r>
      <w:r>
        <w:rPr>
          <w:rFonts w:ascii="Arial" w:hAnsi="Arial" w:cs="Arial" w:eastAsia="Arial" w:hint="default"/>
          <w:spacing w:val="18"/>
        </w:rPr>
        <w:t> </w:t>
      </w:r>
      <w:r>
        <w:rPr/>
        <w:t>年毕业于南京农业大学</w:t>
      </w:r>
      <w:r>
        <w:rPr>
          <w:w w:val="100"/>
        </w:rPr>
        <w:t> </w:t>
      </w:r>
      <w:r>
        <w:rPr/>
        <w:t>淡水渔业专业，</w:t>
      </w:r>
      <w:r>
        <w:rPr>
          <w:rFonts w:ascii="Arial" w:hAnsi="Arial" w:cs="Arial" w:eastAsia="Arial" w:hint="default"/>
        </w:rPr>
        <w:t>2002 </w:t>
      </w:r>
      <w:r>
        <w:rPr/>
        <w:t>年毕业于中南财经政法大学法学第二学士学位专业。</w:t>
      </w:r>
      <w:r>
        <w:rPr>
          <w:rFonts w:ascii="Arial" w:hAnsi="Arial" w:cs="Arial" w:eastAsia="Arial" w:hint="default"/>
        </w:rPr>
        <w:t>2002 </w:t>
      </w:r>
      <w:r>
        <w:rPr/>
        <w:t>年至 </w:t>
      </w:r>
      <w:r>
        <w:rPr>
          <w:rFonts w:ascii="Arial" w:hAnsi="Arial" w:cs="Arial" w:eastAsia="Arial" w:hint="default"/>
        </w:rPr>
        <w:t>2004</w:t>
      </w:r>
      <w:r>
        <w:rPr>
          <w:rFonts w:ascii="Arial" w:hAnsi="Arial" w:cs="Arial" w:eastAsia="Arial" w:hint="default"/>
          <w:spacing w:val="-32"/>
        </w:rPr>
        <w:t> </w:t>
      </w:r>
      <w:r>
        <w:rPr/>
        <w:t>年就职于上海</w:t>
      </w:r>
      <w:r>
        <w:rPr>
          <w:w w:val="100"/>
        </w:rPr>
        <w:t> </w:t>
      </w:r>
      <w:r>
        <w:rPr/>
        <w:t>市鑫旦升律师事务所，担任律师职务，</w:t>
      </w:r>
      <w:r>
        <w:rPr>
          <w:rFonts w:ascii="Arial" w:hAnsi="Arial" w:cs="Arial" w:eastAsia="Arial" w:hint="default"/>
        </w:rPr>
        <w:t>2004 </w:t>
      </w:r>
      <w:r>
        <w:rPr/>
        <w:t>年 </w:t>
      </w:r>
      <w:r>
        <w:rPr>
          <w:rFonts w:ascii="Arial" w:hAnsi="Arial" w:cs="Arial" w:eastAsia="Arial" w:hint="default"/>
        </w:rPr>
        <w:t>6</w:t>
      </w:r>
      <w:r>
        <w:rPr>
          <w:rFonts w:ascii="Arial" w:hAnsi="Arial" w:cs="Arial" w:eastAsia="Arial" w:hint="default"/>
          <w:spacing w:val="8"/>
        </w:rPr>
        <w:t> </w:t>
      </w:r>
      <w:r>
        <w:rPr/>
        <w:t>月加入北京市君泽君律师事务所上海分所，担任律师，</w:t>
      </w:r>
    </w:p>
    <w:p>
      <w:pPr>
        <w:spacing w:after="0" w:line="369" w:lineRule="auto"/>
        <w:jc w:val="both"/>
        <w:sectPr>
          <w:pgSz w:w="11900" w:h="16840"/>
          <w:pgMar w:header="742" w:footer="984" w:top="1060" w:bottom="1180" w:left="980" w:right="9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08" w:lineRule="auto"/>
        <w:ind w:right="202"/>
        <w:jc w:val="both"/>
      </w:pPr>
      <w:r>
        <w:rPr>
          <w:spacing w:val="-2"/>
        </w:rPr>
        <w:t>合伙人。顾洪锤先生主要在金融、风险投资、房地产与基础设施项目、知识产权及商事争议解决领域从事</w:t>
      </w:r>
      <w:r>
        <w:rPr>
          <w:spacing w:val="-36"/>
        </w:rPr>
        <w:t> </w:t>
      </w:r>
      <w:r>
        <w:rPr>
          <w:spacing w:val="-36"/>
        </w:rPr>
      </w:r>
      <w:r>
        <w:rPr>
          <w:spacing w:val="-2"/>
        </w:rPr>
        <w:t>法律业务。顾洪锤律师为部分境内外金融机构及其金融产品提供法律服务，对金融、金融产品的设计有丰</w:t>
      </w:r>
      <w:r>
        <w:rPr>
          <w:spacing w:val="-36"/>
        </w:rPr>
        <w:t> </w:t>
      </w:r>
      <w:r>
        <w:rPr>
          <w:spacing w:val="-36"/>
        </w:rPr>
      </w:r>
      <w:r>
        <w:rPr/>
        <w:t>富经验。在私人权益资本领域，顾洪锤律师为众多股权投资项目提供了投资法律服务。</w:t>
      </w:r>
    </w:p>
    <w:p>
      <w:pPr>
        <w:pStyle w:val="BodyText"/>
        <w:spacing w:line="342" w:lineRule="exact"/>
        <w:ind w:right="0" w:firstLine="422"/>
        <w:jc w:val="both"/>
      </w:pPr>
      <w:r>
        <w:rPr>
          <w:rFonts w:ascii="Microsoft JhengHei" w:hAnsi="Microsoft JhengHei" w:cs="Microsoft JhengHei" w:eastAsia="Microsoft JhengHei" w:hint="default"/>
          <w:b/>
          <w:bCs/>
          <w:spacing w:val="-3"/>
        </w:rPr>
        <w:t>张惠强先生：</w:t>
      </w:r>
      <w:r>
        <w:rPr>
          <w:spacing w:val="-3"/>
        </w:rPr>
        <w:t>中国国籍，无境外永久居留权，上海交通大学材料学院博士研究生毕业。近 </w:t>
      </w:r>
      <w:r>
        <w:rPr>
          <w:rFonts w:ascii="Arial" w:hAnsi="Arial" w:cs="Arial" w:eastAsia="Arial" w:hint="default"/>
        </w:rPr>
        <w:t>5</w:t>
      </w:r>
      <w:r>
        <w:rPr>
          <w:rFonts w:ascii="Arial" w:hAnsi="Arial" w:cs="Arial" w:eastAsia="Arial" w:hint="default"/>
          <w:spacing w:val="24"/>
        </w:rPr>
        <w:t> </w:t>
      </w:r>
      <w:r>
        <w:rPr/>
        <w:t>年曾任上</w:t>
      </w:r>
    </w:p>
    <w:p>
      <w:pPr>
        <w:pStyle w:val="BodyText"/>
        <w:spacing w:line="405" w:lineRule="auto" w:before="171"/>
        <w:ind w:right="202"/>
        <w:jc w:val="both"/>
      </w:pPr>
      <w:r>
        <w:rPr>
          <w:spacing w:val="-2"/>
        </w:rPr>
        <w:t>海申能资产管理有限公司研究部副总经理、研究部总经理、研究总监兼研究部总经理。现任北京嘉惠盈投</w:t>
      </w:r>
      <w:r>
        <w:rPr>
          <w:spacing w:val="-35"/>
        </w:rPr>
        <w:t> </w:t>
      </w:r>
      <w:r>
        <w:rPr>
          <w:spacing w:val="-35"/>
        </w:rPr>
      </w:r>
      <w:r>
        <w:rPr/>
        <w:t>资管理中心执行合伙人、天津松江独立董事。</w:t>
      </w:r>
    </w:p>
    <w:p>
      <w:pPr>
        <w:pStyle w:val="Heading4"/>
        <w:spacing w:line="349" w:lineRule="exact"/>
        <w:ind w:left="575" w:right="0"/>
        <w:jc w:val="left"/>
        <w:rPr>
          <w:b w:val="0"/>
          <w:bCs w:val="0"/>
        </w:rPr>
      </w:pPr>
      <w:r>
        <w:rPr/>
        <w:t>（二）监事会成员</w:t>
      </w:r>
      <w:r>
        <w:rPr>
          <w:b w:val="0"/>
          <w:bCs w:val="0"/>
        </w:rPr>
      </w:r>
    </w:p>
    <w:p>
      <w:pPr>
        <w:pStyle w:val="BodyText"/>
        <w:spacing w:line="369" w:lineRule="auto" w:before="100"/>
        <w:ind w:right="211" w:firstLine="422"/>
        <w:jc w:val="both"/>
      </w:pPr>
      <w:r>
        <w:rPr>
          <w:rFonts w:ascii="Microsoft JhengHei" w:hAnsi="Microsoft JhengHei" w:cs="Microsoft JhengHei" w:eastAsia="Microsoft JhengHei" w:hint="default"/>
          <w:b/>
          <w:bCs/>
          <w:spacing w:val="-7"/>
        </w:rPr>
        <w:t>耿毅英女士：</w:t>
      </w:r>
      <w:r>
        <w:rPr>
          <w:spacing w:val="-7"/>
        </w:rPr>
        <w:t>监事会主席，中国国籍，无境外永久居留权，同济大学会计专业专科毕业。</w:t>
      </w:r>
      <w:r>
        <w:rPr>
          <w:rFonts w:ascii="Arial" w:hAnsi="Arial" w:cs="Arial" w:eastAsia="Arial" w:hint="default"/>
          <w:spacing w:val="-7"/>
        </w:rPr>
        <w:t>1983 </w:t>
      </w:r>
      <w:r>
        <w:rPr/>
        <w:t>至</w:t>
      </w:r>
      <w:r>
        <w:rPr>
          <w:spacing w:val="-49"/>
        </w:rPr>
        <w:t> </w:t>
      </w:r>
      <w:r>
        <w:rPr>
          <w:rFonts w:ascii="Arial" w:hAnsi="Arial" w:cs="Arial" w:eastAsia="Arial" w:hint="default"/>
          <w:spacing w:val="-3"/>
        </w:rPr>
        <w:t>1995</w:t>
      </w:r>
      <w:r>
        <w:rPr>
          <w:rFonts w:ascii="Arial" w:hAnsi="Arial" w:cs="Arial" w:eastAsia="Arial" w:hint="default"/>
          <w:w w:val="100"/>
        </w:rPr>
        <w:t> </w:t>
      </w:r>
      <w:r>
        <w:rPr/>
        <w:t>就职于上海金属丝网二厂检验科，</w:t>
      </w:r>
      <w:r>
        <w:rPr>
          <w:rFonts w:ascii="Arial" w:hAnsi="Arial" w:cs="Arial" w:eastAsia="Arial" w:hint="default"/>
        </w:rPr>
        <w:t>1995 </w:t>
      </w:r>
      <w:r>
        <w:rPr/>
        <w:t>至</w:t>
      </w:r>
      <w:r>
        <w:rPr>
          <w:spacing w:val="-44"/>
        </w:rPr>
        <w:t> </w:t>
      </w:r>
      <w:r>
        <w:rPr>
          <w:rFonts w:ascii="Arial" w:hAnsi="Arial" w:cs="Arial" w:eastAsia="Arial" w:hint="default"/>
        </w:rPr>
        <w:t>2003 </w:t>
      </w:r>
      <w:r>
        <w:rPr/>
        <w:t>期间，任上海塑料工程设备厂财务人事部经理，</w:t>
      </w:r>
      <w:r>
        <w:rPr>
          <w:rFonts w:ascii="Arial" w:hAnsi="Arial" w:cs="Arial" w:eastAsia="Arial" w:hint="default"/>
        </w:rPr>
        <w:t>2004 </w:t>
      </w:r>
      <w:r>
        <w:rPr/>
        <w:t>加</w:t>
      </w:r>
      <w:r>
        <w:rPr>
          <w:w w:val="100"/>
        </w:rPr>
        <w:t> </w:t>
      </w:r>
      <w:r>
        <w:rPr/>
        <w:t>入安诺其任财务部门负责人，现任公司内审部部长。</w:t>
      </w:r>
    </w:p>
    <w:p>
      <w:pPr>
        <w:pStyle w:val="BodyText"/>
        <w:spacing w:line="369" w:lineRule="auto" w:before="15"/>
        <w:ind w:right="207" w:firstLine="422"/>
        <w:jc w:val="both"/>
      </w:pPr>
      <w:r>
        <w:rPr>
          <w:rFonts w:ascii="Microsoft JhengHei" w:hAnsi="Microsoft JhengHei" w:cs="Microsoft JhengHei" w:eastAsia="Microsoft JhengHei" w:hint="default"/>
          <w:b/>
          <w:bCs/>
        </w:rPr>
        <w:t>缪融先生：</w:t>
      </w:r>
      <w:r>
        <w:rPr/>
        <w:t>中国国籍，无境外永久居留权，</w:t>
      </w:r>
      <w:r>
        <w:rPr>
          <w:rFonts w:ascii="Arial" w:hAnsi="Arial" w:cs="Arial" w:eastAsia="Arial" w:hint="default"/>
        </w:rPr>
        <w:t>1981 </w:t>
      </w:r>
      <w:r>
        <w:rPr/>
        <w:t>年东华大学本科毕业。</w:t>
      </w:r>
      <w:r>
        <w:rPr>
          <w:rFonts w:ascii="Arial" w:hAnsi="Arial" w:cs="Arial" w:eastAsia="Arial" w:hint="default"/>
        </w:rPr>
        <w:t>1981 </w:t>
      </w:r>
      <w:r>
        <w:rPr/>
        <w:t>年至 </w:t>
      </w:r>
      <w:r>
        <w:rPr>
          <w:rFonts w:ascii="Arial" w:hAnsi="Arial" w:cs="Arial" w:eastAsia="Arial" w:hint="default"/>
          <w:spacing w:val="-3"/>
        </w:rPr>
        <w:t>1997</w:t>
      </w:r>
      <w:r>
        <w:rPr>
          <w:rFonts w:ascii="Arial" w:hAnsi="Arial" w:cs="Arial" w:eastAsia="Arial" w:hint="default"/>
          <w:spacing w:val="-27"/>
        </w:rPr>
        <w:t> </w:t>
      </w:r>
      <w:r>
        <w:rPr/>
        <w:t>年就职于上</w:t>
      </w:r>
      <w:r>
        <w:rPr>
          <w:w w:val="100"/>
        </w:rPr>
        <w:t> </w:t>
      </w:r>
      <w:r>
        <w:rPr/>
        <w:t>海第一印染厂，先后任该厂工程师，技术主任，副总工程师，副厂长等职务；</w:t>
      </w:r>
      <w:r>
        <w:rPr>
          <w:rFonts w:ascii="Arial" w:hAnsi="Arial" w:cs="Arial" w:eastAsia="Arial" w:hint="default"/>
        </w:rPr>
        <w:t>1997</w:t>
      </w:r>
      <w:r>
        <w:rPr>
          <w:rFonts w:ascii="Arial" w:hAnsi="Arial" w:cs="Arial" w:eastAsia="Arial" w:hint="default"/>
          <w:spacing w:val="16"/>
        </w:rPr>
        <w:t> </w:t>
      </w:r>
      <w:r>
        <w:rPr/>
        <w:t>年加入德国德司达染</w:t>
      </w:r>
      <w:r>
        <w:rPr>
          <w:spacing w:val="-103"/>
        </w:rPr>
        <w:t> </w:t>
      </w:r>
      <w:r>
        <w:rPr/>
        <w:t>料有限公司，先后担任技术代表，高级代表，高级应用工程师，应用技术经理；</w:t>
      </w:r>
      <w:r>
        <w:rPr>
          <w:rFonts w:ascii="Arial" w:hAnsi="Arial" w:cs="Arial" w:eastAsia="Arial" w:hint="default"/>
        </w:rPr>
        <w:t>2006 </w:t>
      </w:r>
      <w:r>
        <w:rPr>
          <w:rFonts w:ascii="Arial" w:hAnsi="Arial" w:cs="Arial" w:eastAsia="Arial" w:hint="default"/>
          <w:spacing w:val="19"/>
        </w:rPr>
        <w:t> </w:t>
      </w:r>
      <w:r>
        <w:rPr/>
        <w:t>年加入安诺其并任</w:t>
      </w:r>
    </w:p>
    <w:p>
      <w:pPr>
        <w:pStyle w:val="BodyText"/>
        <w:spacing w:line="240" w:lineRule="auto" w:before="49"/>
        <w:ind w:right="0"/>
        <w:jc w:val="both"/>
      </w:pPr>
      <w:r>
        <w:rPr/>
        <w:t>职技术总监。现任公司技术中心总工程师。</w:t>
      </w:r>
    </w:p>
    <w:p>
      <w:pPr>
        <w:pStyle w:val="BodyText"/>
        <w:spacing w:line="350" w:lineRule="auto" w:before="128"/>
        <w:ind w:right="202" w:firstLine="422"/>
        <w:jc w:val="both"/>
      </w:pPr>
      <w:r>
        <w:rPr>
          <w:rFonts w:ascii="Microsoft JhengHei" w:hAnsi="Microsoft JhengHei" w:cs="Microsoft JhengHei" w:eastAsia="Microsoft JhengHei" w:hint="default"/>
          <w:b/>
          <w:bCs/>
        </w:rPr>
        <w:t>鲁珊女士：</w:t>
      </w:r>
      <w:r>
        <w:rPr/>
        <w:t>中国国籍，本科学历，</w:t>
      </w:r>
      <w:r>
        <w:rPr>
          <w:rFonts w:ascii="Arial" w:hAnsi="Arial" w:cs="Arial" w:eastAsia="Arial" w:hint="default"/>
        </w:rPr>
        <w:t>2005</w:t>
      </w:r>
      <w:r>
        <w:rPr>
          <w:rFonts w:ascii="Arial" w:hAnsi="Arial" w:cs="Arial" w:eastAsia="Arial" w:hint="default"/>
          <w:spacing w:val="18"/>
        </w:rPr>
        <w:t> </w:t>
      </w:r>
      <w:r>
        <w:rPr/>
        <w:t>年毕业于南京大学，先后任职于上海方多生物科技有限公司</w:t>
      </w:r>
      <w:r>
        <w:rPr>
          <w:w w:val="100"/>
        </w:rPr>
        <w:t> </w:t>
      </w:r>
      <w:r>
        <w:rPr>
          <w:spacing w:val="-2"/>
        </w:rPr>
        <w:t>商务部合规专员，上海中春房地产有限公司工程部法务专员。</w:t>
      </w:r>
      <w:r>
        <w:rPr>
          <w:rFonts w:ascii="Arial" w:hAnsi="Arial" w:cs="Arial" w:eastAsia="Arial" w:hint="default"/>
          <w:spacing w:val="-2"/>
        </w:rPr>
        <w:t>2011</w:t>
      </w:r>
      <w:r>
        <w:rPr>
          <w:rFonts w:ascii="Arial" w:hAnsi="Arial" w:cs="Arial" w:eastAsia="Arial" w:hint="default"/>
          <w:spacing w:val="53"/>
        </w:rPr>
        <w:t> </w:t>
      </w:r>
      <w:r>
        <w:rPr>
          <w:spacing w:val="-1"/>
        </w:rPr>
        <w:t>年加入本公司，现任公司法务主任。</w:t>
      </w:r>
    </w:p>
    <w:p>
      <w:pPr>
        <w:spacing w:line="307" w:lineRule="auto" w:before="6"/>
        <w:ind w:left="575" w:right="5096"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（三）高级管理人员</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6"/>
          <w:w w:val="100"/>
          <w:sz w:val="21"/>
          <w:szCs w:val="21"/>
        </w:rPr>
        <w:t>王敬敏先生：</w:t>
      </w:r>
      <w:r>
        <w:rPr>
          <w:rFonts w:ascii="宋体" w:hAnsi="宋体" w:cs="宋体" w:eastAsia="宋体" w:hint="default"/>
          <w:spacing w:val="-6"/>
          <w:w w:val="100"/>
          <w:sz w:val="21"/>
          <w:szCs w:val="21"/>
        </w:rPr>
        <w:t>见本节：（一）董事会成员介绍。</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Microsoft JhengHei" w:hAnsi="Microsoft JhengHei" w:cs="Microsoft JhengHei" w:eastAsia="Microsoft JhengHei" w:hint="default"/>
          <w:b/>
          <w:bCs/>
          <w:spacing w:val="-6"/>
          <w:w w:val="100"/>
          <w:sz w:val="21"/>
          <w:szCs w:val="21"/>
        </w:rPr>
        <w:t>徐长进先生：</w:t>
      </w:r>
      <w:r>
        <w:rPr>
          <w:rFonts w:ascii="宋体" w:hAnsi="宋体" w:cs="宋体" w:eastAsia="宋体" w:hint="default"/>
          <w:spacing w:val="-6"/>
          <w:w w:val="100"/>
          <w:sz w:val="21"/>
          <w:szCs w:val="21"/>
        </w:rPr>
        <w:t>见本节：（一）董事会成员介绍。</w:t>
      </w:r>
    </w:p>
    <w:p>
      <w:pPr>
        <w:pStyle w:val="BodyText"/>
        <w:spacing w:line="376" w:lineRule="auto" w:before="22"/>
        <w:ind w:right="101" w:firstLine="422"/>
        <w:jc w:val="both"/>
      </w:pPr>
      <w:r>
        <w:rPr>
          <w:rFonts w:ascii="Microsoft JhengHei" w:hAnsi="Microsoft JhengHei" w:cs="Microsoft JhengHei" w:eastAsia="Microsoft JhengHei" w:hint="default"/>
          <w:b/>
          <w:bCs/>
        </w:rPr>
        <w:t>陈昌文先生：</w:t>
      </w:r>
      <w:r>
        <w:rPr/>
        <w:t>中国国籍，无境外永久居留权中国国籍，</w:t>
      </w:r>
      <w:r>
        <w:rPr>
          <w:rFonts w:ascii="Arial" w:hAnsi="Arial" w:cs="Arial" w:eastAsia="Arial" w:hint="default"/>
        </w:rPr>
        <w:t>1985</w:t>
      </w:r>
      <w:r>
        <w:rPr>
          <w:rFonts w:ascii="Arial" w:hAnsi="Arial" w:cs="Arial" w:eastAsia="Arial" w:hint="default"/>
          <w:spacing w:val="2"/>
        </w:rPr>
        <w:t> </w:t>
      </w:r>
      <w:r>
        <w:rPr/>
        <w:t>年毕业于上海财经学院财政金融系基建</w:t>
      </w:r>
      <w:r>
        <w:rPr>
          <w:w w:val="100"/>
        </w:rPr>
        <w:t> </w:t>
      </w:r>
      <w:r>
        <w:rPr/>
        <w:t>财务与信用专业，经济学学士。</w:t>
      </w:r>
      <w:r>
        <w:rPr>
          <w:rFonts w:ascii="Arial" w:hAnsi="Arial" w:cs="Arial" w:eastAsia="Arial" w:hint="default"/>
        </w:rPr>
        <w:t>1991 </w:t>
      </w:r>
      <w:r>
        <w:rPr/>
        <w:t>年 至 </w:t>
      </w:r>
      <w:r>
        <w:rPr>
          <w:rFonts w:ascii="Arial" w:hAnsi="Arial" w:cs="Arial" w:eastAsia="Arial" w:hint="default"/>
          <w:spacing w:val="-3"/>
        </w:rPr>
        <w:t>1996</w:t>
      </w:r>
      <w:r>
        <w:rPr>
          <w:rFonts w:ascii="Arial" w:hAnsi="Arial" w:cs="Arial" w:eastAsia="Arial" w:hint="default"/>
          <w:spacing w:val="-21"/>
        </w:rPr>
        <w:t> </w:t>
      </w:r>
      <w:r>
        <w:rPr/>
        <w:t>年任职于中国轻工业上海设计院第一咨询设计室，担任</w:t>
      </w:r>
      <w:r>
        <w:rPr>
          <w:w w:val="100"/>
        </w:rPr>
        <w:t> </w:t>
      </w:r>
      <w:r>
        <w:rPr/>
        <w:t>技术经济与预算组经理；</w:t>
      </w:r>
      <w:r>
        <w:rPr>
          <w:rFonts w:ascii="Arial" w:hAnsi="Arial" w:cs="Arial" w:eastAsia="Arial" w:hint="default"/>
        </w:rPr>
        <w:t>1996</w:t>
      </w:r>
      <w:r>
        <w:rPr>
          <w:rFonts w:ascii="Arial" w:hAnsi="Arial" w:cs="Arial" w:eastAsia="Arial" w:hint="default"/>
          <w:spacing w:val="41"/>
        </w:rPr>
        <w:t> </w:t>
      </w:r>
      <w:r>
        <w:rPr/>
        <w:t>年至</w:t>
      </w:r>
      <w:r>
        <w:rPr>
          <w:spacing w:val="2"/>
        </w:rPr>
        <w:t> </w:t>
      </w:r>
      <w:r>
        <w:rPr>
          <w:rFonts w:ascii="Arial" w:hAnsi="Arial" w:cs="Arial" w:eastAsia="Arial" w:hint="default"/>
          <w:spacing w:val="-3"/>
        </w:rPr>
        <w:t>2004</w:t>
      </w:r>
      <w:r>
        <w:rPr>
          <w:rFonts w:ascii="Arial" w:hAnsi="Arial" w:cs="Arial" w:eastAsia="Arial" w:hint="default"/>
          <w:spacing w:val="41"/>
        </w:rPr>
        <w:t> </w:t>
      </w:r>
      <w:r>
        <w:rPr/>
        <w:t>年期间，先后担任申银万国证券股份有限公司投资银行二部总</w:t>
      </w:r>
      <w:r>
        <w:rPr>
          <w:spacing w:val="-103"/>
        </w:rPr>
        <w:t> </w:t>
      </w:r>
      <w:r>
        <w:rPr>
          <w:spacing w:val="-103"/>
        </w:rPr>
      </w:r>
      <w:r>
        <w:rPr>
          <w:spacing w:val="-4"/>
        </w:rPr>
        <w:t>经理助理、国泰基金管理有限公司市场部副总监、东方证券股份有限公司秣陵路证券营业部总经理等职务，</w:t>
      </w:r>
    </w:p>
    <w:p>
      <w:pPr>
        <w:pStyle w:val="BodyText"/>
        <w:spacing w:line="240" w:lineRule="auto" w:before="71"/>
        <w:ind w:right="0"/>
        <w:jc w:val="both"/>
        <w:rPr>
          <w:rFonts w:ascii="Arial" w:hAnsi="Arial" w:cs="Arial" w:eastAsia="Arial" w:hint="default"/>
        </w:rPr>
      </w:pPr>
      <w:r>
        <w:rPr>
          <w:rFonts w:ascii="Arial" w:hAnsi="Arial" w:cs="Arial" w:eastAsia="Arial" w:hint="default"/>
          <w:spacing w:val="-3"/>
          <w:w w:val="100"/>
        </w:rPr>
        <w:t>20</w:t>
      </w:r>
      <w:r>
        <w:rPr>
          <w:rFonts w:ascii="Arial" w:hAnsi="Arial" w:cs="Arial" w:eastAsia="Arial" w:hint="default"/>
          <w:spacing w:val="2"/>
          <w:w w:val="100"/>
        </w:rPr>
        <w:t>0</w:t>
      </w:r>
      <w:r>
        <w:rPr>
          <w:rFonts w:ascii="Arial" w:hAnsi="Arial" w:cs="Arial" w:eastAsia="Arial" w:hint="default"/>
          <w:w w:val="100"/>
        </w:rPr>
        <w:t>7</w:t>
      </w:r>
      <w:r>
        <w:rPr>
          <w:rFonts w:ascii="Arial" w:hAnsi="Arial" w:cs="Arial" w:eastAsia="Arial" w:hint="default"/>
          <w:spacing w:val="-13"/>
        </w:rPr>
        <w:t> </w:t>
      </w:r>
      <w:r>
        <w:rPr>
          <w:w w:val="100"/>
        </w:rPr>
        <w:t>年至</w:t>
      </w:r>
      <w:r>
        <w:rPr>
          <w:spacing w:val="-57"/>
        </w:rPr>
        <w:t> </w:t>
      </w:r>
      <w:r>
        <w:rPr>
          <w:rFonts w:ascii="Arial" w:hAnsi="Arial" w:cs="Arial" w:eastAsia="Arial" w:hint="default"/>
          <w:spacing w:val="-3"/>
          <w:w w:val="100"/>
        </w:rPr>
        <w:t>20</w:t>
      </w:r>
      <w:r>
        <w:rPr>
          <w:rFonts w:ascii="Arial" w:hAnsi="Arial" w:cs="Arial" w:eastAsia="Arial" w:hint="default"/>
          <w:spacing w:val="2"/>
          <w:w w:val="100"/>
        </w:rPr>
        <w:t>1</w:t>
      </w:r>
      <w:r>
        <w:rPr>
          <w:rFonts w:ascii="Arial" w:hAnsi="Arial" w:cs="Arial" w:eastAsia="Arial" w:hint="default"/>
          <w:w w:val="100"/>
        </w:rPr>
        <w:t>3</w:t>
      </w:r>
      <w:r>
        <w:rPr>
          <w:rFonts w:ascii="Arial" w:hAnsi="Arial" w:cs="Arial" w:eastAsia="Arial" w:hint="default"/>
          <w:spacing w:val="-13"/>
        </w:rPr>
        <w:t> </w:t>
      </w:r>
      <w:r>
        <w:rPr>
          <w:w w:val="100"/>
        </w:rPr>
        <w:t>年</w:t>
      </w:r>
      <w:r>
        <w:rPr>
          <w:spacing w:val="-57"/>
        </w:rPr>
        <w:t> </w:t>
      </w:r>
      <w:r>
        <w:rPr>
          <w:rFonts w:ascii="Arial" w:hAnsi="Arial" w:cs="Arial" w:eastAsia="Arial" w:hint="default"/>
          <w:w w:val="100"/>
        </w:rPr>
        <w:t>3</w:t>
      </w:r>
      <w:r>
        <w:rPr>
          <w:rFonts w:ascii="Arial" w:hAnsi="Arial" w:cs="Arial" w:eastAsia="Arial" w:hint="default"/>
          <w:spacing w:val="-13"/>
        </w:rPr>
        <w:t> </w:t>
      </w:r>
      <w:r>
        <w:rPr>
          <w:w w:val="100"/>
        </w:rPr>
        <w:t>月</w:t>
      </w:r>
      <w:r>
        <w:rPr>
          <w:spacing w:val="-106"/>
          <w:w w:val="100"/>
        </w:rPr>
        <w:t>，</w:t>
      </w:r>
      <w:r>
        <w:rPr>
          <w:w w:val="100"/>
        </w:rPr>
        <w:t>任职于福建冠福</w:t>
      </w:r>
      <w:r>
        <w:rPr>
          <w:spacing w:val="-5"/>
          <w:w w:val="100"/>
        </w:rPr>
        <w:t>现</w:t>
      </w:r>
      <w:r>
        <w:rPr>
          <w:w w:val="100"/>
        </w:rPr>
        <w:t>代家用</w:t>
      </w:r>
      <w:r>
        <w:rPr>
          <w:spacing w:val="-5"/>
          <w:w w:val="100"/>
        </w:rPr>
        <w:t>股</w:t>
      </w:r>
      <w:r>
        <w:rPr>
          <w:w w:val="100"/>
        </w:rPr>
        <w:t>份有限公司</w:t>
      </w:r>
      <w:r>
        <w:rPr>
          <w:spacing w:val="-111"/>
          <w:w w:val="100"/>
        </w:rPr>
        <w:t>，</w:t>
      </w:r>
      <w:r>
        <w:rPr>
          <w:w w:val="100"/>
        </w:rPr>
        <w:t>担任副</w:t>
      </w:r>
      <w:r>
        <w:rPr>
          <w:spacing w:val="-5"/>
          <w:w w:val="100"/>
        </w:rPr>
        <w:t>总</w:t>
      </w:r>
      <w:r>
        <w:rPr>
          <w:w w:val="100"/>
        </w:rPr>
        <w:t>经理兼</w:t>
      </w:r>
      <w:r>
        <w:rPr>
          <w:spacing w:val="-5"/>
          <w:w w:val="100"/>
        </w:rPr>
        <w:t>董</w:t>
      </w:r>
      <w:r>
        <w:rPr>
          <w:w w:val="100"/>
        </w:rPr>
        <w:t>事会秘</w:t>
      </w:r>
      <w:r>
        <w:rPr>
          <w:spacing w:val="-5"/>
          <w:w w:val="100"/>
        </w:rPr>
        <w:t>书</w:t>
      </w:r>
      <w:r>
        <w:rPr>
          <w:w w:val="100"/>
        </w:rPr>
        <w:t>等职务</w:t>
      </w:r>
      <w:r>
        <w:rPr>
          <w:spacing w:val="-106"/>
          <w:w w:val="100"/>
        </w:rPr>
        <w:t>，</w:t>
      </w:r>
      <w:r>
        <w:rPr>
          <w:rFonts w:ascii="Arial" w:hAnsi="Arial" w:cs="Arial" w:eastAsia="Arial" w:hint="default"/>
          <w:spacing w:val="-3"/>
          <w:w w:val="100"/>
        </w:rPr>
        <w:t>201</w:t>
      </w:r>
      <w:r>
        <w:rPr>
          <w:rFonts w:ascii="Arial" w:hAnsi="Arial" w:cs="Arial" w:eastAsia="Arial" w:hint="default"/>
          <w:w w:val="100"/>
        </w:rPr>
        <w:t>3</w:t>
      </w:r>
    </w:p>
    <w:p>
      <w:pPr>
        <w:pStyle w:val="BodyText"/>
        <w:spacing w:line="240" w:lineRule="auto" w:before="180"/>
        <w:ind w:right="0"/>
        <w:jc w:val="both"/>
      </w:pPr>
      <w:r>
        <w:rPr/>
        <w:t>年</w:t>
      </w:r>
      <w:r>
        <w:rPr>
          <w:spacing w:val="-51"/>
        </w:rPr>
        <w:t> </w:t>
      </w:r>
      <w:r>
        <w:rPr>
          <w:rFonts w:ascii="Arial" w:hAnsi="Arial" w:cs="Arial" w:eastAsia="Arial" w:hint="default"/>
        </w:rPr>
        <w:t>7</w:t>
      </w:r>
      <w:r>
        <w:rPr>
          <w:rFonts w:ascii="Arial" w:hAnsi="Arial" w:cs="Arial" w:eastAsia="Arial" w:hint="default"/>
          <w:spacing w:val="-6"/>
        </w:rPr>
        <w:t> </w:t>
      </w:r>
      <w:r>
        <w:rPr/>
        <w:t>月加入安诺其担任董事长助理。现任公司副总经理兼董事会秘书。</w:t>
      </w:r>
    </w:p>
    <w:p>
      <w:pPr>
        <w:pStyle w:val="BodyText"/>
        <w:spacing w:line="369" w:lineRule="auto" w:before="109"/>
        <w:ind w:right="202" w:firstLine="422"/>
        <w:jc w:val="both"/>
      </w:pPr>
      <w:r>
        <w:rPr>
          <w:rFonts w:ascii="Microsoft JhengHei" w:hAnsi="Microsoft JhengHei" w:cs="Microsoft JhengHei" w:eastAsia="Microsoft JhengHei" w:hint="default"/>
          <w:b/>
          <w:bCs/>
        </w:rPr>
        <w:t>陆荣先生：</w:t>
      </w:r>
      <w:r>
        <w:rPr/>
        <w:t>中国国籍，无境外永久居留权，本科学历，</w:t>
      </w:r>
      <w:r>
        <w:rPr>
          <w:rFonts w:ascii="Arial" w:hAnsi="Arial" w:cs="Arial" w:eastAsia="Arial" w:hint="default"/>
        </w:rPr>
        <w:t>2003</w:t>
      </w:r>
      <w:r>
        <w:rPr>
          <w:rFonts w:ascii="Arial" w:hAnsi="Arial" w:cs="Arial" w:eastAsia="Arial" w:hint="default"/>
          <w:spacing w:val="12"/>
        </w:rPr>
        <w:t> </w:t>
      </w:r>
      <w:r>
        <w:rPr/>
        <w:t>年毕业于上海财经大学会计学专业，会</w:t>
      </w:r>
      <w:r>
        <w:rPr>
          <w:w w:val="100"/>
        </w:rPr>
        <w:t> </w:t>
      </w:r>
      <w:r>
        <w:rPr/>
        <w:t>计师职称，</w:t>
      </w:r>
      <w:r>
        <w:rPr>
          <w:rFonts w:ascii="Arial" w:hAnsi="Arial" w:cs="Arial" w:eastAsia="Arial" w:hint="default"/>
        </w:rPr>
        <w:t>2003 </w:t>
      </w:r>
      <w:r>
        <w:rPr/>
        <w:t>年</w:t>
      </w:r>
      <w:r>
        <w:rPr>
          <w:rFonts w:ascii="Arial" w:hAnsi="Arial" w:cs="Arial" w:eastAsia="Arial" w:hint="default"/>
        </w:rPr>
        <w:t>~2004</w:t>
      </w:r>
      <w:r>
        <w:rPr>
          <w:rFonts w:ascii="Arial" w:hAnsi="Arial" w:cs="Arial" w:eastAsia="Arial" w:hint="default"/>
          <w:spacing w:val="8"/>
        </w:rPr>
        <w:t> </w:t>
      </w:r>
      <w:r>
        <w:rPr/>
        <w:t>年就职于上海金田实业总公司担任教育板块财务主管、财务经理等职务；</w:t>
      </w:r>
      <w:r>
        <w:rPr>
          <w:rFonts w:ascii="Arial" w:hAnsi="Arial" w:cs="Arial" w:eastAsia="Arial" w:hint="default"/>
        </w:rPr>
        <w:t>2004</w:t>
      </w:r>
      <w:r>
        <w:rPr>
          <w:rFonts w:ascii="Arial" w:hAnsi="Arial" w:cs="Arial" w:eastAsia="Arial" w:hint="default"/>
          <w:w w:val="100"/>
        </w:rPr>
        <w:t> </w:t>
      </w:r>
      <w:r>
        <w:rPr/>
        <w:t>年 </w:t>
      </w:r>
      <w:r>
        <w:rPr>
          <w:rFonts w:ascii="Arial" w:hAnsi="Arial" w:cs="Arial" w:eastAsia="Arial" w:hint="default"/>
        </w:rPr>
        <w:t>5</w:t>
      </w:r>
      <w:r>
        <w:rPr>
          <w:rFonts w:ascii="Arial" w:hAnsi="Arial" w:cs="Arial" w:eastAsia="Arial" w:hint="default"/>
          <w:spacing w:val="-5"/>
        </w:rPr>
        <w:t> </w:t>
      </w:r>
      <w:r>
        <w:rPr>
          <w:spacing w:val="-2"/>
        </w:rPr>
        <w:t>月加入上海华申会计师事务所有限公司担任项目经理一职，主要负责为大型集团提供审计及财务咨询</w:t>
      </w:r>
    </w:p>
    <w:p>
      <w:pPr>
        <w:pStyle w:val="BodyText"/>
        <w:spacing w:line="386" w:lineRule="auto" w:before="54"/>
        <w:ind w:right="202"/>
        <w:jc w:val="both"/>
      </w:pPr>
      <w:r>
        <w:rPr/>
        <w:t>服务；</w:t>
      </w:r>
      <w:r>
        <w:rPr>
          <w:rFonts w:ascii="Arial" w:hAnsi="Arial" w:cs="Arial" w:eastAsia="Arial" w:hint="default"/>
        </w:rPr>
        <w:t>2007 </w:t>
      </w:r>
      <w:r>
        <w:rPr/>
        <w:t>年 </w:t>
      </w:r>
      <w:r>
        <w:rPr>
          <w:rFonts w:ascii="Arial" w:hAnsi="Arial" w:cs="Arial" w:eastAsia="Arial" w:hint="default"/>
        </w:rPr>
        <w:t>5</w:t>
      </w:r>
      <w:r>
        <w:rPr>
          <w:rFonts w:ascii="Arial" w:hAnsi="Arial" w:cs="Arial" w:eastAsia="Arial" w:hint="default"/>
          <w:spacing w:val="9"/>
        </w:rPr>
        <w:t> </w:t>
      </w:r>
      <w:r>
        <w:rPr/>
        <w:t>月加入紫江股份上海紫珊光电技术有限公司担任常务副总经理一职，全面分管财务、销</w:t>
      </w:r>
      <w:r>
        <w:rPr>
          <w:w w:val="100"/>
        </w:rPr>
        <w:t> </w:t>
      </w:r>
      <w:r>
        <w:rPr/>
        <w:t>售、技术及行政等日常事务，</w:t>
      </w:r>
      <w:r>
        <w:rPr>
          <w:rFonts w:ascii="Arial" w:hAnsi="Arial" w:cs="Arial" w:eastAsia="Arial" w:hint="default"/>
        </w:rPr>
        <w:t>2014</w:t>
      </w:r>
      <w:r>
        <w:rPr>
          <w:rFonts w:ascii="Arial" w:hAnsi="Arial" w:cs="Arial" w:eastAsia="Arial" w:hint="default"/>
          <w:spacing w:val="-8"/>
        </w:rPr>
        <w:t> </w:t>
      </w:r>
      <w:r>
        <w:rPr/>
        <w:t>年</w:t>
      </w:r>
      <w:r>
        <w:rPr>
          <w:spacing w:val="-52"/>
        </w:rPr>
        <w:t> </w:t>
      </w:r>
      <w:r>
        <w:rPr>
          <w:rFonts w:ascii="Arial" w:hAnsi="Arial" w:cs="Arial" w:eastAsia="Arial" w:hint="default"/>
        </w:rPr>
        <w:t>6</w:t>
      </w:r>
      <w:r>
        <w:rPr>
          <w:rFonts w:ascii="Arial" w:hAnsi="Arial" w:cs="Arial" w:eastAsia="Arial" w:hint="default"/>
          <w:spacing w:val="-7"/>
        </w:rPr>
        <w:t> </w:t>
      </w:r>
      <w:r>
        <w:rPr/>
        <w:t>月加入安诺其，担任总经理助理一职。现任公司财务总监。</w:t>
      </w:r>
    </w:p>
    <w:p>
      <w:pPr>
        <w:spacing w:after="0" w:line="386" w:lineRule="auto"/>
        <w:jc w:val="both"/>
        <w:sectPr>
          <w:footerReference w:type="default" r:id="rId18"/>
          <w:pgSz w:w="11900" w:h="16840"/>
          <w:pgMar w:footer="984" w:header="742" w:top="1060" w:bottom="1180" w:left="980" w:right="920"/>
          <w:pgNumType w:start="58"/>
        </w:sectPr>
      </w:pPr>
    </w:p>
    <w:p>
      <w:pPr>
        <w:spacing w:line="240" w:lineRule="auto" w:before="0"/>
        <w:rPr>
          <w:rFonts w:ascii="宋体" w:hAnsi="宋体" w:cs="宋体" w:eastAsia="宋体" w:hint="default"/>
          <w:sz w:val="20"/>
          <w:szCs w:val="20"/>
        </w:rPr>
      </w:pPr>
    </w:p>
    <w:p>
      <w:pPr>
        <w:pStyle w:val="Heading4"/>
        <w:spacing w:line="240" w:lineRule="auto" w:before="115"/>
        <w:ind w:left="575" w:right="0"/>
        <w:jc w:val="left"/>
        <w:rPr>
          <w:b w:val="0"/>
          <w:bCs w:val="0"/>
        </w:rPr>
      </w:pPr>
      <w:r>
        <w:rPr/>
        <w:t>在股东单位任职情况</w:t>
      </w:r>
      <w:r>
        <w:rPr>
          <w:b w:val="0"/>
          <w:bCs w:val="0"/>
        </w:rPr>
      </w:r>
    </w:p>
    <w:p>
      <w:pPr>
        <w:pStyle w:val="BodyText"/>
        <w:spacing w:line="240" w:lineRule="auto" w:before="167"/>
        <w:ind w:left="575" w:right="0"/>
        <w:jc w:val="left"/>
      </w:pPr>
      <w:r>
        <w:rPr/>
        <w:t>√ 适用 □</w:t>
      </w:r>
      <w:r>
        <w:rPr>
          <w:spacing w:val="3"/>
        </w:rPr>
        <w:t> </w:t>
      </w:r>
      <w:r>
        <w:rPr/>
        <w:t>不适用</w:t>
      </w:r>
    </w:p>
    <w:p>
      <w:pPr>
        <w:spacing w:line="240" w:lineRule="auto" w:before="11"/>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1200"/>
        <w:gridCol w:w="3192"/>
        <w:gridCol w:w="1061"/>
        <w:gridCol w:w="1195"/>
        <w:gridCol w:w="1334"/>
        <w:gridCol w:w="1584"/>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6"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1" w:right="74"/>
              <w:jc w:val="left"/>
              <w:rPr>
                <w:rFonts w:ascii="宋体" w:hAnsi="宋体" w:cs="宋体" w:eastAsia="宋体" w:hint="default"/>
                <w:sz w:val="18"/>
                <w:szCs w:val="18"/>
              </w:rPr>
            </w:pPr>
            <w:r>
              <w:rPr>
                <w:rFonts w:ascii="宋体" w:hAnsi="宋体" w:cs="宋体" w:eastAsia="宋体" w:hint="default"/>
                <w:spacing w:val="-2"/>
                <w:sz w:val="18"/>
                <w:szCs w:val="18"/>
              </w:rPr>
              <w:t>在股东单位</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31" w:right="65" w:hanging="269"/>
              <w:jc w:val="left"/>
              <w:rPr>
                <w:rFonts w:ascii="宋体" w:hAnsi="宋体" w:cs="宋体" w:eastAsia="宋体" w:hint="default"/>
                <w:sz w:val="18"/>
                <w:szCs w:val="18"/>
              </w:rPr>
            </w:pPr>
            <w:r>
              <w:rPr>
                <w:rFonts w:ascii="宋体" w:hAnsi="宋体" w:cs="宋体" w:eastAsia="宋体" w:hint="default"/>
                <w:spacing w:val="-2"/>
                <w:sz w:val="18"/>
                <w:szCs w:val="18"/>
              </w:rPr>
              <w:t>在股东单位是否领</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取报酬津贴</w:t>
            </w:r>
          </w:p>
        </w:tc>
      </w:tr>
      <w:tr>
        <w:trPr>
          <w:trHeight w:val="71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东营安诺其纺织材料有限公司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烟台安诺其纺织材料有限公司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浙江安诺其助剂有限公司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耿毅英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浙江安诺其助剂有限公司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江苏安诺其化工有限公司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徐长进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江苏安诺其化工有限公司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01</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陈昌文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江苏安诺其化工有限公司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01</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烟台安诺其精细化工有限公司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王敬敏</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烟台安诺其精细化工有限公司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79"/>
              <w:jc w:val="left"/>
              <w:rPr>
                <w:rFonts w:ascii="宋体" w:hAnsi="宋体" w:cs="宋体" w:eastAsia="宋体" w:hint="default"/>
                <w:sz w:val="18"/>
                <w:szCs w:val="18"/>
              </w:rPr>
            </w:pPr>
            <w:r>
              <w:rPr>
                <w:rFonts w:ascii="宋体" w:hAnsi="宋体" w:cs="宋体" w:eastAsia="宋体" w:hint="default"/>
                <w:spacing w:val="-2"/>
                <w:sz w:val="18"/>
                <w:szCs w:val="18"/>
              </w:rPr>
              <w:t>在股东单位任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职情况的说明</w:t>
            </w:r>
          </w:p>
        </w:tc>
        <w:tc>
          <w:tcPr>
            <w:tcW w:w="8366" w:type="dxa"/>
            <w:gridSpan w:val="5"/>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50"/>
              <w:jc w:val="left"/>
              <w:rPr>
                <w:rFonts w:ascii="宋体" w:hAnsi="宋体" w:cs="宋体" w:eastAsia="宋体" w:hint="default"/>
                <w:sz w:val="18"/>
                <w:szCs w:val="18"/>
              </w:rPr>
            </w:pPr>
            <w:r>
              <w:rPr>
                <w:rFonts w:ascii="宋体" w:hAnsi="宋体" w:cs="宋体" w:eastAsia="宋体" w:hint="default"/>
                <w:spacing w:val="-3"/>
                <w:sz w:val="18"/>
                <w:szCs w:val="18"/>
              </w:rPr>
              <w:t>纪立军为本公司控股股东及实际控制人，耿毅英为本公司监事会主席，徐长进、王敬敏为本公司董事兼副</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3"/>
                <w:sz w:val="18"/>
                <w:szCs w:val="18"/>
              </w:rPr>
              <w:t>总经理，陈昌文为本公司董事会秘书。</w:t>
            </w:r>
          </w:p>
        </w:tc>
      </w:tr>
    </w:tbl>
    <w:p>
      <w:pPr>
        <w:pStyle w:val="Heading4"/>
        <w:spacing w:line="240" w:lineRule="auto"/>
        <w:ind w:left="575" w:right="0"/>
        <w:jc w:val="left"/>
        <w:rPr>
          <w:b w:val="0"/>
          <w:bCs w:val="0"/>
        </w:rPr>
      </w:pPr>
      <w:r>
        <w:rPr/>
        <w:t>在其他单位任职情况</w:t>
      </w:r>
      <w:r>
        <w:rPr>
          <w:b w:val="0"/>
          <w:bCs w:val="0"/>
        </w:rPr>
      </w:r>
    </w:p>
    <w:p>
      <w:pPr>
        <w:pStyle w:val="BodyText"/>
        <w:spacing w:line="240" w:lineRule="auto" w:before="171"/>
        <w:ind w:left="575" w:right="0"/>
        <w:jc w:val="left"/>
      </w:pPr>
      <w:r>
        <w:rPr/>
        <w:t>√ 适用 □</w:t>
      </w:r>
      <w:r>
        <w:rPr>
          <w:spacing w:val="3"/>
        </w:rPr>
        <w:t> </w:t>
      </w:r>
      <w:r>
        <w:rPr/>
        <w:t>不适用</w:t>
      </w:r>
    </w:p>
    <w:p>
      <w:pPr>
        <w:spacing w:line="240" w:lineRule="auto" w:before="6"/>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1200"/>
        <w:gridCol w:w="3192"/>
        <w:gridCol w:w="1061"/>
        <w:gridCol w:w="1195"/>
        <w:gridCol w:w="1325"/>
        <w:gridCol w:w="1594"/>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6"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76" w:right="70"/>
              <w:jc w:val="left"/>
              <w:rPr>
                <w:rFonts w:ascii="宋体" w:hAnsi="宋体" w:cs="宋体" w:eastAsia="宋体" w:hint="default"/>
                <w:sz w:val="18"/>
                <w:szCs w:val="18"/>
              </w:rPr>
            </w:pPr>
            <w:r>
              <w:rPr>
                <w:rFonts w:ascii="宋体" w:hAnsi="宋体" w:cs="宋体" w:eastAsia="宋体" w:hint="default"/>
                <w:spacing w:val="-2"/>
                <w:sz w:val="18"/>
                <w:szCs w:val="18"/>
              </w:rPr>
              <w:t>在其他单位</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340" w:right="65" w:hanging="269"/>
              <w:jc w:val="left"/>
              <w:rPr>
                <w:rFonts w:ascii="宋体" w:hAnsi="宋体" w:cs="宋体" w:eastAsia="宋体" w:hint="default"/>
                <w:sz w:val="18"/>
                <w:szCs w:val="18"/>
              </w:rPr>
            </w:pPr>
            <w:r>
              <w:rPr>
                <w:rFonts w:ascii="宋体" w:hAnsi="宋体" w:cs="宋体" w:eastAsia="宋体" w:hint="default"/>
                <w:spacing w:val="-2"/>
                <w:sz w:val="18"/>
                <w:szCs w:val="18"/>
              </w:rPr>
              <w:t>在其他单位是否领</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取报酬津贴</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上海诺毅投资管理有限公司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爱博诺德（北京）医疗科技有限公司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朱震宇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上海宏大东亚会计师事务所</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主任会计师</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张惠强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北京嘉惠盈投资管理中心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执行合伙人</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张惠强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天津松江股份有限公司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顾洪锤</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北京市君泽君律师事务所上海分所</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14"/>
                <w:sz w:val="18"/>
                <w:szCs w:val="18"/>
              </w:rPr>
              <w:t>律师，合伙人</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79"/>
              <w:jc w:val="left"/>
              <w:rPr>
                <w:rFonts w:ascii="宋体" w:hAnsi="宋体" w:cs="宋体" w:eastAsia="宋体" w:hint="default"/>
                <w:sz w:val="18"/>
                <w:szCs w:val="18"/>
              </w:rPr>
            </w:pPr>
            <w:r>
              <w:rPr>
                <w:rFonts w:ascii="宋体" w:hAnsi="宋体" w:cs="宋体" w:eastAsia="宋体" w:hint="default"/>
                <w:spacing w:val="-2"/>
                <w:sz w:val="18"/>
                <w:szCs w:val="18"/>
              </w:rPr>
              <w:t>在其他单位任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职情况的说明</w:t>
            </w:r>
          </w:p>
        </w:tc>
        <w:tc>
          <w:tcPr>
            <w:tcW w:w="83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纪立军为本公司控股股东及实际控制人，朱震宇、张惠强、顾洪锤为本公司独立董事。</w:t>
            </w:r>
          </w:p>
        </w:tc>
      </w:tr>
    </w:tbl>
    <w:p>
      <w:pPr>
        <w:spacing w:after="0" w:line="240" w:lineRule="auto"/>
        <w:jc w:val="left"/>
        <w:rPr>
          <w:rFonts w:ascii="宋体" w:hAnsi="宋体" w:cs="宋体" w:eastAsia="宋体" w:hint="default"/>
          <w:sz w:val="18"/>
          <w:szCs w:val="18"/>
        </w:rPr>
        <w:sectPr>
          <w:pgSz w:w="11900" w:h="16840"/>
          <w:pgMar w:header="742" w:footer="984" w:top="1060" w:bottom="1180" w:left="980" w:right="980"/>
        </w:sectPr>
      </w:pPr>
    </w:p>
    <w:p>
      <w:pPr>
        <w:spacing w:line="240" w:lineRule="auto" w:before="10"/>
        <w:rPr>
          <w:rFonts w:ascii="宋体" w:hAnsi="宋体" w:cs="宋体" w:eastAsia="宋体" w:hint="default"/>
          <w:sz w:val="23"/>
          <w:szCs w:val="23"/>
        </w:rPr>
      </w:pPr>
    </w:p>
    <w:p>
      <w:pPr>
        <w:pStyle w:val="Heading3"/>
        <w:spacing w:line="367" w:lineRule="exact"/>
        <w:ind w:right="0"/>
        <w:jc w:val="left"/>
        <w:rPr>
          <w:b w:val="0"/>
          <w:bCs w:val="0"/>
        </w:rPr>
      </w:pPr>
      <w:r>
        <w:rPr/>
        <w:t>三、董事、监事、高级管理人员报酬情况</w:t>
      </w:r>
      <w:r>
        <w:rPr>
          <w:b w:val="0"/>
          <w:bCs w:val="0"/>
        </w:rPr>
      </w:r>
    </w:p>
    <w:p>
      <w:pPr>
        <w:spacing w:line="240" w:lineRule="auto" w:before="0"/>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262"/>
        <w:gridCol w:w="5304"/>
      </w:tblGrid>
      <w:tr>
        <w:trPr>
          <w:trHeight w:val="357" w:hRule="exact"/>
        </w:trPr>
        <w:tc>
          <w:tcPr>
            <w:tcW w:w="4262" w:type="dxa"/>
            <w:tcBorders>
              <w:top w:val="single" w:sz="4" w:space="0" w:color="000000"/>
              <w:left w:val="single" w:sz="4" w:space="0" w:color="000000"/>
              <w:bottom w:val="nil" w:sz="6" w:space="0" w:color="auto"/>
              <w:right w:val="single" w:sz="4" w:space="0" w:color="000000"/>
            </w:tcBorders>
            <w:shd w:val="clear" w:color="auto" w:fill="D2D2D2"/>
          </w:tcPr>
          <w:p>
            <w:pPr/>
          </w:p>
        </w:tc>
        <w:tc>
          <w:tcPr>
            <w:tcW w:w="53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pacing w:val="-3"/>
                <w:sz w:val="18"/>
                <w:szCs w:val="18"/>
              </w:rPr>
              <w:t>公司董事、监事报酬由股东大会决定，高级管理人员报酬由董事会</w:t>
            </w:r>
          </w:p>
        </w:tc>
      </w:tr>
      <w:tr>
        <w:trPr>
          <w:trHeight w:val="624" w:hRule="exact"/>
        </w:trPr>
        <w:tc>
          <w:tcPr>
            <w:tcW w:w="42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left"/>
              <w:rPr>
                <w:rFonts w:ascii="Microsoft JhengHei" w:hAnsi="Microsoft JhengHei" w:cs="Microsoft JhengHei" w:eastAsia="Microsoft JhengHei" w:hint="default"/>
                <w:b/>
                <w:bCs/>
                <w:sz w:val="9"/>
                <w:szCs w:val="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董事、监事、高级管理人员报酬的决策程序</w:t>
            </w:r>
          </w:p>
        </w:tc>
        <w:tc>
          <w:tcPr>
            <w:tcW w:w="5304"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19" w:right="50"/>
              <w:jc w:val="left"/>
              <w:rPr>
                <w:rFonts w:ascii="宋体" w:hAnsi="宋体" w:cs="宋体" w:eastAsia="宋体" w:hint="default"/>
                <w:sz w:val="18"/>
                <w:szCs w:val="18"/>
              </w:rPr>
            </w:pPr>
            <w:r>
              <w:rPr>
                <w:rFonts w:ascii="宋体" w:hAnsi="宋体" w:cs="宋体" w:eastAsia="宋体" w:hint="default"/>
                <w:spacing w:val="-3"/>
                <w:sz w:val="18"/>
                <w:szCs w:val="18"/>
              </w:rPr>
              <w:t>决定；在公司承担职务的董事、监事、高级管理人员报酬由公司支</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宋体" w:hAnsi="宋体" w:cs="宋体" w:eastAsia="宋体" w:hint="default"/>
                <w:spacing w:val="-3"/>
                <w:sz w:val="18"/>
                <w:szCs w:val="18"/>
              </w:rPr>
              <w:t>付，董事、监事不另外支付津贴。独立董事津贴依据股东大会决议</w:t>
            </w:r>
          </w:p>
        </w:tc>
      </w:tr>
      <w:tr>
        <w:trPr>
          <w:trHeight w:val="358" w:hRule="exact"/>
        </w:trPr>
        <w:tc>
          <w:tcPr>
            <w:tcW w:w="4262" w:type="dxa"/>
            <w:tcBorders>
              <w:top w:val="nil" w:sz="6" w:space="0" w:color="auto"/>
              <w:left w:val="single" w:sz="4" w:space="0" w:color="000000"/>
              <w:bottom w:val="single" w:sz="4" w:space="0" w:color="000000"/>
              <w:right w:val="single" w:sz="4" w:space="0" w:color="000000"/>
            </w:tcBorders>
            <w:shd w:val="clear" w:color="auto" w:fill="D2D2D2"/>
          </w:tcPr>
          <w:p>
            <w:pPr/>
          </w:p>
        </w:tc>
        <w:tc>
          <w:tcPr>
            <w:tcW w:w="53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19" w:right="0"/>
              <w:jc w:val="left"/>
              <w:rPr>
                <w:rFonts w:ascii="宋体" w:hAnsi="宋体" w:cs="宋体" w:eastAsia="宋体" w:hint="default"/>
                <w:sz w:val="18"/>
                <w:szCs w:val="18"/>
              </w:rPr>
            </w:pPr>
            <w:r>
              <w:rPr>
                <w:rFonts w:ascii="宋体" w:hAnsi="宋体" w:cs="宋体" w:eastAsia="宋体" w:hint="default"/>
                <w:spacing w:val="-3"/>
                <w:sz w:val="18"/>
                <w:szCs w:val="18"/>
              </w:rPr>
              <w:t>支付，独立董事会务费据实报销。</w:t>
            </w:r>
          </w:p>
        </w:tc>
      </w:tr>
      <w:tr>
        <w:trPr>
          <w:trHeight w:val="357" w:hRule="exact"/>
        </w:trPr>
        <w:tc>
          <w:tcPr>
            <w:tcW w:w="4262" w:type="dxa"/>
            <w:tcBorders>
              <w:top w:val="single" w:sz="4" w:space="0" w:color="000000"/>
              <w:left w:val="single" w:sz="4" w:space="0" w:color="000000"/>
              <w:bottom w:val="nil" w:sz="6" w:space="0" w:color="auto"/>
              <w:right w:val="single" w:sz="4" w:space="0" w:color="000000"/>
            </w:tcBorders>
            <w:shd w:val="clear" w:color="auto" w:fill="D2D2D2"/>
          </w:tcPr>
          <w:p>
            <w:pPr/>
          </w:p>
        </w:tc>
        <w:tc>
          <w:tcPr>
            <w:tcW w:w="53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19" w:right="0"/>
              <w:jc w:val="left"/>
              <w:rPr>
                <w:rFonts w:ascii="宋体" w:hAnsi="宋体" w:cs="宋体" w:eastAsia="宋体" w:hint="default"/>
                <w:sz w:val="18"/>
                <w:szCs w:val="18"/>
              </w:rPr>
            </w:pPr>
            <w:r>
              <w:rPr>
                <w:rFonts w:ascii="宋体" w:hAnsi="宋体" w:cs="宋体" w:eastAsia="宋体" w:hint="default"/>
                <w:spacing w:val="-3"/>
                <w:sz w:val="18"/>
                <w:szCs w:val="18"/>
              </w:rPr>
              <w:t>董事、监事和高级管理人员的报酬按照公司董事会《薪酬与考核委</w:t>
            </w:r>
          </w:p>
        </w:tc>
      </w:tr>
      <w:tr>
        <w:trPr>
          <w:trHeight w:val="314" w:hRule="exact"/>
        </w:trPr>
        <w:tc>
          <w:tcPr>
            <w:tcW w:w="42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pacing w:val="-3"/>
                <w:sz w:val="18"/>
                <w:szCs w:val="18"/>
              </w:rPr>
              <w:t>董事、监事、高级管理人员报酬确定依据</w:t>
            </w:r>
          </w:p>
        </w:tc>
        <w:tc>
          <w:tcPr>
            <w:tcW w:w="530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19" w:right="0"/>
              <w:jc w:val="left"/>
              <w:rPr>
                <w:rFonts w:ascii="宋体" w:hAnsi="宋体" w:cs="宋体" w:eastAsia="宋体" w:hint="default"/>
                <w:sz w:val="18"/>
                <w:szCs w:val="18"/>
              </w:rPr>
            </w:pPr>
            <w:r>
              <w:rPr>
                <w:rFonts w:ascii="宋体" w:hAnsi="宋体" w:cs="宋体" w:eastAsia="宋体" w:hint="default"/>
                <w:spacing w:val="-3"/>
                <w:sz w:val="18"/>
                <w:szCs w:val="18"/>
              </w:rPr>
              <w:t>员会实施细则》等规定，结合其年度绩效、工作能力、岗位职责等</w:t>
            </w:r>
          </w:p>
        </w:tc>
      </w:tr>
      <w:tr>
        <w:trPr>
          <w:trHeight w:val="351" w:hRule="exact"/>
        </w:trPr>
        <w:tc>
          <w:tcPr>
            <w:tcW w:w="4262" w:type="dxa"/>
            <w:tcBorders>
              <w:top w:val="nil" w:sz="6" w:space="0" w:color="auto"/>
              <w:left w:val="single" w:sz="4" w:space="0" w:color="000000"/>
              <w:bottom w:val="single" w:sz="4" w:space="0" w:color="000000"/>
              <w:right w:val="single" w:sz="4" w:space="0" w:color="000000"/>
            </w:tcBorders>
            <w:shd w:val="clear" w:color="auto" w:fill="D2D2D2"/>
          </w:tcPr>
          <w:p>
            <w:pPr/>
          </w:p>
        </w:tc>
        <w:tc>
          <w:tcPr>
            <w:tcW w:w="53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z w:val="18"/>
                <w:szCs w:val="18"/>
              </w:rPr>
              <w:t>考核确定并发放。</w:t>
            </w:r>
          </w:p>
        </w:tc>
      </w:tr>
      <w:tr>
        <w:trPr>
          <w:trHeight w:val="715" w:hRule="exact"/>
        </w:trPr>
        <w:tc>
          <w:tcPr>
            <w:tcW w:w="4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董事、监事和高级管理人员报酬的实际支付情况</w:t>
            </w:r>
          </w:p>
        </w:tc>
        <w:tc>
          <w:tcPr>
            <w:tcW w:w="530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19" w:right="17"/>
              <w:jc w:val="left"/>
              <w:rPr>
                <w:rFonts w:ascii="宋体" w:hAnsi="宋体" w:cs="宋体" w:eastAsia="宋体" w:hint="default"/>
                <w:sz w:val="18"/>
                <w:szCs w:val="18"/>
              </w:rPr>
            </w:pPr>
            <w:r>
              <w:rPr>
                <w:rFonts w:ascii="宋体" w:hAnsi="宋体" w:cs="宋体" w:eastAsia="宋体" w:hint="default"/>
                <w:sz w:val="18"/>
                <w:szCs w:val="18"/>
              </w:rPr>
              <w:t>公司 </w:t>
            </w:r>
            <w:r>
              <w:rPr>
                <w:rFonts w:ascii="Times New Roman" w:hAnsi="Times New Roman" w:cs="Times New Roman" w:eastAsia="Times New Roman" w:hint="default"/>
                <w:sz w:val="18"/>
                <w:szCs w:val="18"/>
              </w:rPr>
              <w:t>2014 </w:t>
            </w:r>
            <w:r>
              <w:rPr>
                <w:rFonts w:ascii="宋体" w:hAnsi="宋体" w:cs="宋体" w:eastAsia="宋体" w:hint="default"/>
                <w:spacing w:val="-3"/>
                <w:sz w:val="18"/>
                <w:szCs w:val="18"/>
              </w:rPr>
              <w:t>年度董事、监事、高级管理人员共 </w:t>
            </w:r>
            <w:r>
              <w:rPr>
                <w:rFonts w:ascii="Times New Roman" w:hAnsi="Times New Roman" w:cs="Times New Roman" w:eastAsia="Times New Roman" w:hint="default"/>
                <w:sz w:val="18"/>
                <w:szCs w:val="18"/>
              </w:rPr>
              <w:t>22 </w:t>
            </w:r>
            <w:r>
              <w:rPr>
                <w:rFonts w:ascii="宋体" w:hAnsi="宋体" w:cs="宋体" w:eastAsia="宋体" w:hint="default"/>
                <w:spacing w:val="-3"/>
                <w:sz w:val="18"/>
                <w:szCs w:val="18"/>
              </w:rPr>
              <w:t>人（其中包括第二</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7"/>
                <w:w w:val="101"/>
                <w:sz w:val="18"/>
                <w:szCs w:val="18"/>
              </w:rPr>
              <w:t>届董事会、第三届董事会人员），</w:t>
            </w:r>
            <w:r>
              <w:rPr>
                <w:rFonts w:ascii="Times New Roman" w:hAnsi="Times New Roman" w:cs="Times New Roman" w:eastAsia="Times New Roman" w:hint="default"/>
                <w:spacing w:val="-7"/>
                <w:w w:val="101"/>
                <w:sz w:val="18"/>
                <w:szCs w:val="18"/>
              </w:rPr>
              <w:t>2014</w:t>
            </w:r>
            <w:r>
              <w:rPr>
                <w:rFonts w:ascii="Times New Roman" w:hAnsi="Times New Roman" w:cs="Times New Roman" w:eastAsia="Times New Roman" w:hint="default"/>
                <w:spacing w:val="1"/>
                <w:w w:val="101"/>
                <w:sz w:val="18"/>
                <w:szCs w:val="18"/>
              </w:rPr>
              <w:t> </w:t>
            </w:r>
            <w:r>
              <w:rPr>
                <w:rFonts w:ascii="宋体" w:hAnsi="宋体" w:cs="宋体" w:eastAsia="宋体" w:hint="default"/>
                <w:spacing w:val="-2"/>
                <w:w w:val="101"/>
                <w:sz w:val="18"/>
                <w:szCs w:val="18"/>
              </w:rPr>
              <w:t>年实际支付</w:t>
            </w:r>
            <w:r>
              <w:rPr>
                <w:rFonts w:ascii="宋体" w:hAnsi="宋体" w:cs="宋体" w:eastAsia="宋体" w:hint="default"/>
                <w:spacing w:val="-44"/>
                <w:w w:val="101"/>
                <w:sz w:val="18"/>
                <w:szCs w:val="18"/>
              </w:rPr>
              <w:t> </w:t>
            </w:r>
            <w:r>
              <w:rPr>
                <w:rFonts w:ascii="Times New Roman" w:hAnsi="Times New Roman" w:cs="Times New Roman" w:eastAsia="Times New Roman" w:hint="default"/>
                <w:spacing w:val="-2"/>
                <w:w w:val="101"/>
                <w:sz w:val="18"/>
                <w:szCs w:val="18"/>
              </w:rPr>
              <w:t>362.15</w:t>
            </w:r>
            <w:r>
              <w:rPr>
                <w:rFonts w:ascii="Times New Roman" w:hAnsi="Times New Roman" w:cs="Times New Roman" w:eastAsia="Times New Roman" w:hint="default"/>
                <w:spacing w:val="1"/>
                <w:w w:val="101"/>
                <w:sz w:val="18"/>
                <w:szCs w:val="18"/>
              </w:rPr>
              <w:t> </w:t>
            </w:r>
            <w:r>
              <w:rPr>
                <w:rFonts w:ascii="宋体" w:hAnsi="宋体" w:cs="宋体" w:eastAsia="宋体" w:hint="default"/>
                <w:spacing w:val="-4"/>
                <w:w w:val="101"/>
                <w:sz w:val="18"/>
                <w:szCs w:val="18"/>
              </w:rPr>
              <w:t>万元。</w:t>
            </w:r>
            <w:r>
              <w:rPr>
                <w:rFonts w:ascii="宋体" w:hAnsi="宋体" w:cs="宋体" w:eastAsia="宋体" w:hint="default"/>
                <w:spacing w:val="-4"/>
                <w:sz w:val="18"/>
                <w:szCs w:val="18"/>
              </w:rPr>
            </w:r>
          </w:p>
        </w:tc>
      </w:tr>
    </w:tbl>
    <w:p>
      <w:pPr>
        <w:pStyle w:val="Heading4"/>
        <w:spacing w:line="240" w:lineRule="auto"/>
        <w:ind w:left="575" w:right="0"/>
        <w:jc w:val="left"/>
        <w:rPr>
          <w:b w:val="0"/>
          <w:bCs w:val="0"/>
        </w:rPr>
      </w:pPr>
      <w:r>
        <w:rPr/>
        <w:t>公司报告期内董事、监事和高级管理人员报酬情况</w:t>
      </w:r>
      <w:r>
        <w:rPr>
          <w:b w:val="0"/>
          <w:bCs w:val="0"/>
        </w:rPr>
      </w:r>
    </w:p>
    <w:p>
      <w:pPr>
        <w:spacing w:line="240" w:lineRule="auto" w:before="8"/>
        <w:rPr>
          <w:rFonts w:ascii="Microsoft JhengHei" w:hAnsi="Microsoft JhengHei" w:cs="Microsoft JhengHei" w:eastAsia="Microsoft JhengHei" w:hint="default"/>
          <w:b/>
          <w:bCs/>
          <w:sz w:val="6"/>
          <w:szCs w:val="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95"/>
        <w:gridCol w:w="1195"/>
        <w:gridCol w:w="1200"/>
        <w:gridCol w:w="1195"/>
        <w:gridCol w:w="1195"/>
        <w:gridCol w:w="1195"/>
        <w:gridCol w:w="1195"/>
        <w:gridCol w:w="1195"/>
      </w:tblGrid>
      <w:tr>
        <w:trPr>
          <w:trHeight w:val="715"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职务</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30" w:right="46" w:hanging="178"/>
              <w:jc w:val="left"/>
              <w:rPr>
                <w:rFonts w:ascii="宋体" w:hAnsi="宋体" w:cs="宋体" w:eastAsia="宋体" w:hint="default"/>
                <w:sz w:val="18"/>
                <w:szCs w:val="18"/>
              </w:rPr>
            </w:pPr>
            <w:r>
              <w:rPr>
                <w:rFonts w:ascii="宋体" w:hAnsi="宋体" w:cs="宋体" w:eastAsia="宋体" w:hint="default"/>
                <w:spacing w:val="-2"/>
                <w:sz w:val="18"/>
                <w:szCs w:val="18"/>
              </w:rPr>
              <w:t>从公司获得的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52" w:right="46"/>
              <w:jc w:val="left"/>
              <w:rPr>
                <w:rFonts w:ascii="宋体" w:hAnsi="宋体" w:cs="宋体" w:eastAsia="宋体" w:hint="default"/>
                <w:sz w:val="18"/>
                <w:szCs w:val="18"/>
              </w:rPr>
            </w:pPr>
            <w:r>
              <w:rPr>
                <w:rFonts w:ascii="宋体" w:hAnsi="宋体" w:cs="宋体" w:eastAsia="宋体" w:hint="default"/>
                <w:spacing w:val="-2"/>
                <w:sz w:val="18"/>
                <w:szCs w:val="18"/>
              </w:rPr>
              <w:t>从股东单位获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30" w:right="46" w:hanging="178"/>
              <w:jc w:val="left"/>
              <w:rPr>
                <w:rFonts w:ascii="宋体" w:hAnsi="宋体" w:cs="宋体" w:eastAsia="宋体" w:hint="default"/>
                <w:sz w:val="18"/>
                <w:szCs w:val="18"/>
              </w:rPr>
            </w:pPr>
            <w:r>
              <w:rPr>
                <w:rFonts w:ascii="宋体" w:hAnsi="宋体" w:cs="宋体" w:eastAsia="宋体" w:hint="default"/>
                <w:spacing w:val="-2"/>
                <w:sz w:val="18"/>
                <w:szCs w:val="18"/>
              </w:rPr>
              <w:t>报告期末实际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所得报酬</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36</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汤晓飞</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34.7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34.7</w:t>
            </w:r>
          </w:p>
        </w:tc>
      </w:tr>
      <w:tr>
        <w:trPr>
          <w:trHeight w:val="398"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王敬敏</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29.58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29.58</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徐长进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40</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臧少玉</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5"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王宏道</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4"/>
              <w:jc w:val="left"/>
              <w:rPr>
                <w:rFonts w:ascii="宋体" w:hAnsi="宋体" w:cs="宋体" w:eastAsia="宋体" w:hint="default"/>
                <w:sz w:val="18"/>
                <w:szCs w:val="18"/>
              </w:rPr>
            </w:pPr>
            <w:r>
              <w:rPr>
                <w:rFonts w:ascii="宋体" w:hAnsi="宋体" w:cs="宋体" w:eastAsia="宋体" w:hint="default"/>
                <w:spacing w:val="-2"/>
                <w:sz w:val="18"/>
                <w:szCs w:val="18"/>
              </w:rPr>
              <w:t>原董事、副总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经理</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22.44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22.44</w:t>
            </w:r>
          </w:p>
        </w:tc>
      </w:tr>
      <w:tr>
        <w:trPr>
          <w:trHeight w:val="398"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马立群</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延元起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原副总经理</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马成斌</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原副总经理</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21.24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21.24</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郑强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原财务总监</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25.12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25.12</w:t>
            </w:r>
          </w:p>
        </w:tc>
      </w:tr>
      <w:tr>
        <w:trPr>
          <w:trHeight w:val="398"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田利明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3.5</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尚建平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3.5</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朱震宇</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张惠强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2.5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2.5</w:t>
            </w:r>
          </w:p>
        </w:tc>
      </w:tr>
      <w:tr>
        <w:trPr>
          <w:trHeight w:val="398"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顾洪锤</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2.5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耿毅英</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26.7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26.7</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鲁珊</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8.2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8.2</w:t>
            </w:r>
          </w:p>
        </w:tc>
      </w:tr>
      <w:tr>
        <w:trPr>
          <w:trHeight w:val="398"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缪融</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28.53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28.53</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杨好伟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原监事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25.7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25.7</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金银姬</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原监事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95"/>
        <w:gridCol w:w="1195"/>
        <w:gridCol w:w="1200"/>
        <w:gridCol w:w="1195"/>
        <w:gridCol w:w="1195"/>
        <w:gridCol w:w="1195"/>
        <w:gridCol w:w="1195"/>
        <w:gridCol w:w="1195"/>
      </w:tblGrid>
      <w:tr>
        <w:trPr>
          <w:trHeight w:val="403"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陈昌文</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35</w:t>
            </w:r>
          </w:p>
        </w:tc>
      </w:tr>
      <w:tr>
        <w:trPr>
          <w:trHeight w:val="398"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陆荣</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10.94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10.94</w:t>
            </w: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362.15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362.15</w:t>
            </w:r>
          </w:p>
        </w:tc>
      </w:tr>
    </w:tbl>
    <w:p>
      <w:pPr>
        <w:pStyle w:val="Heading4"/>
        <w:spacing w:line="240" w:lineRule="auto"/>
        <w:ind w:left="575" w:right="0"/>
        <w:jc w:val="left"/>
        <w:rPr>
          <w:b w:val="0"/>
          <w:bCs w:val="0"/>
        </w:rPr>
      </w:pPr>
      <w:r>
        <w:rPr/>
        <w:t>公司董事、监事、高级管理人员报告期内被授予的股权激励情况</w:t>
      </w:r>
      <w:r>
        <w:rPr>
          <w:b w:val="0"/>
          <w:bCs w:val="0"/>
        </w:rPr>
      </w:r>
    </w:p>
    <w:p>
      <w:pPr>
        <w:pStyle w:val="BodyText"/>
        <w:spacing w:line="240" w:lineRule="auto" w:before="171"/>
        <w:ind w:left="575" w:right="0"/>
        <w:jc w:val="left"/>
      </w:pPr>
      <w:r>
        <w:rPr/>
        <w:t>√ 适用 □</w:t>
      </w:r>
      <w:r>
        <w:rPr>
          <w:spacing w:val="3"/>
        </w:rPr>
        <w:t> </w:t>
      </w:r>
      <w:r>
        <w:rPr/>
        <w:t>不适用</w:t>
      </w:r>
    </w:p>
    <w:p>
      <w:pPr>
        <w:spacing w:line="240" w:lineRule="auto" w:before="6"/>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1066"/>
        <w:gridCol w:w="1061"/>
        <w:gridCol w:w="1066"/>
        <w:gridCol w:w="1061"/>
        <w:gridCol w:w="1066"/>
        <w:gridCol w:w="1061"/>
        <w:gridCol w:w="1066"/>
        <w:gridCol w:w="1061"/>
        <w:gridCol w:w="1066"/>
      </w:tblGrid>
      <w:tr>
        <w:trPr>
          <w:trHeight w:val="1339"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center"/>
              <w:rPr>
                <w:rFonts w:ascii="宋体" w:hAnsi="宋体" w:cs="宋体" w:eastAsia="宋体" w:hint="default"/>
                <w:sz w:val="18"/>
                <w:szCs w:val="18"/>
              </w:rPr>
            </w:pPr>
            <w:r>
              <w:rPr>
                <w:rFonts w:ascii="宋体" w:hAnsi="宋体" w:cs="宋体" w:eastAsia="宋体" w:hint="default"/>
                <w:spacing w:val="-2"/>
                <w:sz w:val="18"/>
                <w:szCs w:val="18"/>
              </w:rPr>
              <w:t>报告期内可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行权的期权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0"/>
              <w:jc w:val="center"/>
              <w:rPr>
                <w:rFonts w:ascii="宋体" w:hAnsi="宋体" w:cs="宋体" w:eastAsia="宋体" w:hint="default"/>
                <w:sz w:val="18"/>
                <w:szCs w:val="18"/>
              </w:rPr>
            </w:pPr>
            <w:r>
              <w:rPr>
                <w:rFonts w:ascii="宋体" w:hAnsi="宋体" w:cs="宋体" w:eastAsia="宋体" w:hint="default"/>
                <w:spacing w:val="-2"/>
                <w:sz w:val="18"/>
                <w:szCs w:val="18"/>
              </w:rPr>
              <w:t>报告期内已</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行权的期权</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 w:right="17" w:firstLine="52"/>
              <w:jc w:val="both"/>
              <w:rPr>
                <w:rFonts w:ascii="宋体" w:hAnsi="宋体" w:cs="宋体" w:eastAsia="宋体" w:hint="default"/>
                <w:sz w:val="18"/>
                <w:szCs w:val="18"/>
              </w:rPr>
            </w:pPr>
            <w:r>
              <w:rPr>
                <w:rFonts w:ascii="宋体" w:hAnsi="宋体" w:cs="宋体" w:eastAsia="宋体" w:hint="default"/>
                <w:sz w:val="18"/>
                <w:szCs w:val="18"/>
              </w:rPr>
              <w:t>报告期内已</w:t>
            </w:r>
            <w:r>
              <w:rPr>
                <w:rFonts w:ascii="宋体" w:hAnsi="宋体" w:cs="宋体" w:eastAsia="宋体" w:hint="default"/>
                <w:w w:val="101"/>
                <w:sz w:val="18"/>
                <w:szCs w:val="18"/>
              </w:rPr>
              <w:t> </w:t>
            </w:r>
            <w:r>
              <w:rPr>
                <w:rFonts w:ascii="宋体" w:hAnsi="宋体" w:cs="宋体" w:eastAsia="宋体" w:hint="default"/>
                <w:sz w:val="18"/>
                <w:szCs w:val="18"/>
              </w:rPr>
              <w:t>行权期限的</w:t>
            </w:r>
            <w:r>
              <w:rPr>
                <w:rFonts w:ascii="宋体" w:hAnsi="宋体" w:cs="宋体" w:eastAsia="宋体" w:hint="default"/>
                <w:w w:val="101"/>
                <w:sz w:val="18"/>
                <w:szCs w:val="18"/>
              </w:rPr>
              <w:t> </w:t>
            </w:r>
            <w:r>
              <w:rPr>
                <w:rFonts w:ascii="宋体" w:hAnsi="宋体" w:cs="宋体" w:eastAsia="宋体" w:hint="default"/>
                <w:spacing w:val="-14"/>
                <w:w w:val="101"/>
                <w:sz w:val="18"/>
                <w:szCs w:val="18"/>
              </w:rPr>
              <w:t>行权价格（元</w:t>
            </w:r>
            <w:r>
              <w:rPr>
                <w:rFonts w:ascii="宋体" w:hAnsi="宋体" w:cs="宋体" w:eastAsia="宋体" w:hint="default"/>
                <w:spacing w:val="-14"/>
                <w:sz w:val="18"/>
                <w:szCs w:val="18"/>
              </w:rPr>
            </w:r>
          </w:p>
          <w:p>
            <w:pPr>
              <w:pStyle w:val="TableParagraph"/>
              <w:spacing w:line="240" w:lineRule="auto" w:before="23"/>
              <w:ind w:left="3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7" w:right="46" w:firstLine="28"/>
              <w:jc w:val="both"/>
              <w:rPr>
                <w:rFonts w:ascii="宋体" w:hAnsi="宋体" w:cs="宋体" w:eastAsia="宋体" w:hint="default"/>
                <w:sz w:val="18"/>
                <w:szCs w:val="18"/>
              </w:rPr>
            </w:pPr>
            <w:r>
              <w:rPr>
                <w:rFonts w:ascii="宋体" w:hAnsi="宋体" w:cs="宋体" w:eastAsia="宋体" w:hint="default"/>
                <w:sz w:val="18"/>
                <w:szCs w:val="18"/>
              </w:rPr>
              <w:t>报告期末持</w:t>
            </w:r>
            <w:r>
              <w:rPr>
                <w:rFonts w:ascii="宋体" w:hAnsi="宋体" w:cs="宋体" w:eastAsia="宋体" w:hint="default"/>
                <w:w w:val="101"/>
                <w:sz w:val="18"/>
                <w:szCs w:val="18"/>
              </w:rPr>
              <w:t> </w:t>
            </w:r>
            <w:r>
              <w:rPr>
                <w:rFonts w:ascii="宋体" w:hAnsi="宋体" w:cs="宋体" w:eastAsia="宋体" w:hint="default"/>
                <w:sz w:val="18"/>
                <w:szCs w:val="18"/>
              </w:rPr>
              <w:t>有的股权市</w:t>
            </w:r>
            <w:r>
              <w:rPr>
                <w:rFonts w:ascii="宋体" w:hAnsi="宋体" w:cs="宋体" w:eastAsia="宋体" w:hint="default"/>
                <w:w w:val="101"/>
                <w:sz w:val="18"/>
                <w:szCs w:val="18"/>
              </w:rPr>
              <w:t> </w:t>
            </w:r>
            <w:r>
              <w:rPr>
                <w:rFonts w:ascii="宋体" w:hAnsi="宋体" w:cs="宋体" w:eastAsia="宋体" w:hint="default"/>
                <w:sz w:val="18"/>
                <w:szCs w:val="18"/>
              </w:rPr>
              <w:t>价（元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center"/>
              <w:rPr>
                <w:rFonts w:ascii="宋体" w:hAnsi="宋体" w:cs="宋体" w:eastAsia="宋体" w:hint="default"/>
                <w:sz w:val="18"/>
                <w:szCs w:val="18"/>
              </w:rPr>
            </w:pPr>
            <w:r>
              <w:rPr>
                <w:rFonts w:ascii="宋体" w:hAnsi="宋体" w:cs="宋体" w:eastAsia="宋体" w:hint="default"/>
                <w:spacing w:val="-2"/>
                <w:sz w:val="18"/>
                <w:szCs w:val="18"/>
              </w:rPr>
              <w:t>报告期新授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予限制性股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票数量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2" w:right="74"/>
              <w:jc w:val="left"/>
              <w:rPr>
                <w:rFonts w:ascii="宋体" w:hAnsi="宋体" w:cs="宋体" w:eastAsia="宋体" w:hint="default"/>
                <w:sz w:val="18"/>
                <w:szCs w:val="18"/>
              </w:rPr>
            </w:pPr>
            <w:r>
              <w:rPr>
                <w:rFonts w:ascii="宋体" w:hAnsi="宋体" w:cs="宋体" w:eastAsia="宋体" w:hint="default"/>
                <w:spacing w:val="-2"/>
                <w:sz w:val="18"/>
                <w:szCs w:val="18"/>
              </w:rPr>
              <w:t>限制性股票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的授予价格</w:t>
            </w:r>
          </w:p>
          <w:p>
            <w:pPr>
              <w:pStyle w:val="TableParagraph"/>
              <w:spacing w:line="240" w:lineRule="auto" w:before="23"/>
              <w:ind w:left="134"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center"/>
              <w:rPr>
                <w:rFonts w:ascii="宋体" w:hAnsi="宋体" w:cs="宋体" w:eastAsia="宋体" w:hint="default"/>
                <w:sz w:val="18"/>
                <w:szCs w:val="18"/>
              </w:rPr>
            </w:pPr>
            <w:r>
              <w:rPr>
                <w:rFonts w:ascii="宋体" w:hAnsi="宋体" w:cs="宋体" w:eastAsia="宋体" w:hint="default"/>
                <w:spacing w:val="-2"/>
                <w:sz w:val="18"/>
                <w:szCs w:val="18"/>
              </w:rPr>
              <w:t>报告期行权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的限制性股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票数量</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徐长进</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108,000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5.915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9.46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320,000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3.06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陈昌文</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84,000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5.915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9.46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3.06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郑强</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原财务总监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48,000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5.915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9.46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3.06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汤晓飞</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48,000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5.915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9.46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3.06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陆荣</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9.46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5.07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0"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288,000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890,000</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0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line="240" w:lineRule="auto" w:before="12"/>
        <w:rPr>
          <w:rFonts w:ascii="宋体" w:hAnsi="宋体" w:cs="宋体" w:eastAsia="宋体" w:hint="default"/>
          <w:sz w:val="17"/>
          <w:szCs w:val="17"/>
        </w:rPr>
      </w:pPr>
    </w:p>
    <w:p>
      <w:pPr>
        <w:pStyle w:val="Heading3"/>
        <w:spacing w:line="367" w:lineRule="exact"/>
        <w:ind w:right="0"/>
        <w:jc w:val="left"/>
        <w:rPr>
          <w:b w:val="0"/>
          <w:bCs w:val="0"/>
        </w:rPr>
      </w:pPr>
      <w:r>
        <w:rPr/>
        <w:t>四、公司董事、监事、高级管理人员变动情况</w:t>
      </w:r>
      <w:r>
        <w:rPr>
          <w:b w:val="0"/>
          <w:bCs w:val="0"/>
        </w:rPr>
      </w:r>
    </w:p>
    <w:p>
      <w:pPr>
        <w:spacing w:line="240" w:lineRule="auto" w:before="0"/>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330"/>
        <w:gridCol w:w="1334"/>
        <w:gridCol w:w="1325"/>
        <w:gridCol w:w="1334"/>
        <w:gridCol w:w="4243"/>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姓名</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日期</w:t>
            </w:r>
          </w:p>
        </w:tc>
        <w:tc>
          <w:tcPr>
            <w:tcW w:w="4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金银姬</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个人身体原因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鲁珊</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3"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19" w:right="113"/>
              <w:jc w:val="left"/>
              <w:rPr>
                <w:rFonts w:ascii="宋体" w:hAnsi="宋体" w:cs="宋体" w:eastAsia="宋体" w:hint="default"/>
                <w:sz w:val="18"/>
                <w:szCs w:val="18"/>
              </w:rPr>
            </w:pPr>
            <w:r>
              <w:rPr>
                <w:rFonts w:ascii="宋体" w:hAnsi="宋体" w:cs="宋体" w:eastAsia="宋体" w:hint="default"/>
                <w:sz w:val="18"/>
                <w:szCs w:val="18"/>
              </w:rPr>
              <w:t>公司 </w:t>
            </w:r>
            <w:r>
              <w:rPr>
                <w:rFonts w:ascii="Times New Roman" w:hAnsi="Times New Roman" w:cs="Times New Roman" w:eastAsia="Times New Roman" w:hint="default"/>
                <w:sz w:val="18"/>
                <w:szCs w:val="18"/>
              </w:rPr>
              <w:t>2014 </w:t>
            </w:r>
            <w:r>
              <w:rPr>
                <w:rFonts w:ascii="宋体" w:hAnsi="宋体" w:cs="宋体" w:eastAsia="宋体" w:hint="default"/>
                <w:spacing w:val="-3"/>
                <w:sz w:val="18"/>
                <w:szCs w:val="18"/>
              </w:rPr>
              <w:t>年第一次职工代表大会被选举为公司第二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届监事会职工监事</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臧少玉</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04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pacing w:val="-3"/>
                <w:sz w:val="18"/>
                <w:szCs w:val="18"/>
              </w:rPr>
              <w:t>公司第二届董事会任期届满离任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王宏道</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副总经理兼董事</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pacing w:val="-3"/>
                <w:sz w:val="18"/>
                <w:szCs w:val="18"/>
              </w:rPr>
              <w:t>公司第二届董事会任期届满离任</w:t>
            </w:r>
          </w:p>
        </w:tc>
      </w:tr>
      <w:tr>
        <w:trPr>
          <w:trHeight w:val="71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马立群</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pacing w:val="-3"/>
                <w:sz w:val="18"/>
                <w:szCs w:val="18"/>
              </w:rPr>
              <w:t>公司第二届董事会任期届满离任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尚建平</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04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pacing w:val="-3"/>
                <w:sz w:val="18"/>
                <w:szCs w:val="18"/>
              </w:rPr>
              <w:t>公司第二届董事会任期届满离任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田利明</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04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pacing w:val="-3"/>
                <w:sz w:val="18"/>
                <w:szCs w:val="18"/>
              </w:rPr>
              <w:t>公司第二届董事会任期届满离任</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杨好伟</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pacing w:val="-3"/>
                <w:sz w:val="18"/>
                <w:szCs w:val="18"/>
              </w:rPr>
              <w:t>公司第二届监事会任期届满离任</w:t>
            </w:r>
          </w:p>
        </w:tc>
      </w:tr>
      <w:tr>
        <w:trPr>
          <w:trHeight w:val="71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延元起</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pacing w:val="-3"/>
                <w:sz w:val="18"/>
                <w:szCs w:val="18"/>
              </w:rPr>
              <w:t>公司第二届董事会任期届满离任</w:t>
            </w:r>
          </w:p>
        </w:tc>
      </w:tr>
    </w:tbl>
    <w:p>
      <w:pPr>
        <w:spacing w:after="0" w:line="240" w:lineRule="auto"/>
        <w:jc w:val="left"/>
        <w:rPr>
          <w:rFonts w:ascii="宋体" w:hAnsi="宋体" w:cs="宋体" w:eastAsia="宋体" w:hint="default"/>
          <w:sz w:val="18"/>
          <w:szCs w:val="18"/>
        </w:rPr>
        <w:sectPr>
          <w:pgSz w:w="11900" w:h="16840"/>
          <w:pgMar w:header="742" w:footer="984" w:top="1060" w:bottom="1180" w:left="980" w:right="980"/>
        </w:sectPr>
      </w:pPr>
    </w:p>
    <w:p>
      <w:pPr>
        <w:spacing w:line="240" w:lineRule="auto" w:before="12"/>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1330"/>
        <w:gridCol w:w="1334"/>
        <w:gridCol w:w="1325"/>
        <w:gridCol w:w="1334"/>
        <w:gridCol w:w="4243"/>
      </w:tblGrid>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马成斌</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pacing w:val="-3"/>
                <w:sz w:val="18"/>
                <w:szCs w:val="18"/>
              </w:rPr>
              <w:t>公司第二届董事会任期届满离任</w:t>
            </w:r>
          </w:p>
        </w:tc>
      </w:tr>
      <w:tr>
        <w:trPr>
          <w:trHeight w:val="71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郑强</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pacing w:val="-3"/>
                <w:sz w:val="18"/>
                <w:szCs w:val="18"/>
              </w:rPr>
              <w:t>公司第二届董事会任期届满离任</w:t>
            </w:r>
          </w:p>
        </w:tc>
      </w:tr>
      <w:tr>
        <w:trPr>
          <w:trHeight w:val="1027"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徐长进</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董事兼副总经理</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04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19"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年第一次临时股东大会被选举为公司第三届</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董事会非独立董事；公司第三届董事会第一次会议被</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聘任为公司副总经理</w:t>
            </w:r>
          </w:p>
        </w:tc>
      </w:tr>
      <w:tr>
        <w:trPr>
          <w:trHeight w:val="1027"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王敬敏</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董事兼副总经理</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04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19" w:right="17"/>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年第一次临时股东大会被选举为公司第三届</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董事会非独立董事；公司第三届董事会第一次会议被</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聘任为公司副总经理</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汤晓飞</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9" w:right="17"/>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年第一次临时股东大会被选举为公司第三届</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董事会非独立董事</w:t>
            </w:r>
          </w:p>
        </w:tc>
      </w:tr>
      <w:tr>
        <w:trPr>
          <w:trHeight w:val="71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顾洪锤</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9" w:right="17"/>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年第一次临时股东大会被选举为公司第三届</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董事会独立董事</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张惠强</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04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3"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19" w:right="17"/>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年第一次临时股东大会被选举为公司第三届</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董事会独立董事</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陆荣</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04</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pacing w:val="-3"/>
                <w:sz w:val="18"/>
                <w:szCs w:val="18"/>
              </w:rPr>
              <w:t>公司第三届董事会第一次会议被聘任为财务总监</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缪融</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424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9" w:right="17"/>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年第一次临时股东大会被选举为公司第三届</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监事会监事</w:t>
            </w:r>
          </w:p>
        </w:tc>
      </w:tr>
    </w:tbl>
    <w:p>
      <w:pPr>
        <w:spacing w:line="240" w:lineRule="auto" w:before="5"/>
        <w:rPr>
          <w:rFonts w:ascii="Microsoft JhengHei" w:hAnsi="Microsoft JhengHei" w:cs="Microsoft JhengHei" w:eastAsia="Microsoft JhengHei" w:hint="default"/>
          <w:b/>
          <w:bCs/>
          <w:sz w:val="13"/>
          <w:szCs w:val="13"/>
        </w:rPr>
      </w:pPr>
    </w:p>
    <w:p>
      <w:pPr>
        <w:pStyle w:val="Heading3"/>
        <w:spacing w:line="367" w:lineRule="exact"/>
        <w:ind w:right="0"/>
        <w:jc w:val="left"/>
        <w:rPr>
          <w:b w:val="0"/>
          <w:bCs w:val="0"/>
        </w:rPr>
      </w:pPr>
      <w:r>
        <w:rPr/>
        <w:t>五、报告期核心技术团队或关键技术人员变动情况（非董事、监事、高级管理人员）</w:t>
      </w:r>
      <w:r>
        <w:rPr>
          <w:b w:val="0"/>
          <w:bCs w:val="0"/>
        </w:rPr>
      </w:r>
    </w:p>
    <w:p>
      <w:pPr>
        <w:spacing w:line="240" w:lineRule="auto" w:before="15"/>
        <w:rPr>
          <w:rFonts w:ascii="Microsoft JhengHei" w:hAnsi="Microsoft JhengHei" w:cs="Microsoft JhengHei" w:eastAsia="Microsoft JhengHei" w:hint="default"/>
          <w:b/>
          <w:bCs/>
          <w:sz w:val="21"/>
          <w:szCs w:val="21"/>
        </w:rPr>
      </w:pPr>
    </w:p>
    <w:p>
      <w:pPr>
        <w:pStyle w:val="BodyText"/>
        <w:spacing w:line="240" w:lineRule="auto"/>
        <w:ind w:left="661" w:right="0"/>
        <w:jc w:val="left"/>
      </w:pPr>
      <w:r>
        <w:rPr/>
        <w:t>报告期内，公司核心技术团队或关键技术人员（非董事、监事、高级管理人员）没有发生变动。</w:t>
      </w:r>
    </w:p>
    <w:p>
      <w:pPr>
        <w:spacing w:line="240" w:lineRule="auto" w:before="9"/>
        <w:rPr>
          <w:rFonts w:ascii="宋体" w:hAnsi="宋体" w:cs="宋体" w:eastAsia="宋体" w:hint="default"/>
          <w:sz w:val="23"/>
          <w:szCs w:val="23"/>
        </w:rPr>
      </w:pPr>
    </w:p>
    <w:p>
      <w:pPr>
        <w:pStyle w:val="Heading3"/>
        <w:spacing w:line="240" w:lineRule="auto"/>
        <w:ind w:right="0"/>
        <w:jc w:val="left"/>
        <w:rPr>
          <w:b w:val="0"/>
          <w:bCs w:val="0"/>
        </w:rPr>
      </w:pPr>
      <w:r>
        <w:rPr/>
        <w:t>六、公司员工情况</w:t>
      </w:r>
      <w:r>
        <w:rPr>
          <w:b w:val="0"/>
          <w:bCs w:val="0"/>
        </w:rPr>
      </w:r>
    </w:p>
    <w:p>
      <w:pPr>
        <w:spacing w:line="240" w:lineRule="auto" w:before="15"/>
        <w:rPr>
          <w:rFonts w:ascii="Microsoft JhengHei" w:hAnsi="Microsoft JhengHei" w:cs="Microsoft JhengHei" w:eastAsia="Microsoft JhengHei" w:hint="default"/>
          <w:b/>
          <w:bCs/>
          <w:sz w:val="21"/>
          <w:szCs w:val="21"/>
        </w:rPr>
      </w:pPr>
    </w:p>
    <w:p>
      <w:pPr>
        <w:pStyle w:val="BodyText"/>
        <w:spacing w:line="240" w:lineRule="auto"/>
        <w:ind w:left="575" w:right="0"/>
        <w:jc w:val="left"/>
      </w:pPr>
      <w:r>
        <w:rPr>
          <w:w w:val="100"/>
        </w:rPr>
        <w:t>截止</w:t>
      </w:r>
      <w:r>
        <w:rPr>
          <w:spacing w:val="-53"/>
        </w:rPr>
        <w:t> </w:t>
      </w:r>
      <w:r>
        <w:rPr>
          <w:rFonts w:ascii="Arial" w:hAnsi="Arial" w:cs="Arial" w:eastAsia="Arial" w:hint="default"/>
          <w:spacing w:val="-3"/>
          <w:w w:val="100"/>
        </w:rPr>
        <w:t>201</w:t>
      </w:r>
      <w:r>
        <w:rPr>
          <w:rFonts w:ascii="Arial" w:hAnsi="Arial" w:cs="Arial" w:eastAsia="Arial" w:hint="default"/>
          <w:w w:val="100"/>
        </w:rPr>
        <w:t>4</w:t>
      </w:r>
      <w:r>
        <w:rPr>
          <w:rFonts w:ascii="Arial" w:hAnsi="Arial" w:cs="Arial" w:eastAsia="Arial" w:hint="default"/>
          <w:spacing w:val="-9"/>
        </w:rPr>
        <w:t> </w:t>
      </w:r>
      <w:r>
        <w:rPr>
          <w:w w:val="100"/>
        </w:rPr>
        <w:t>年</w:t>
      </w:r>
      <w:r>
        <w:rPr>
          <w:spacing w:val="-53"/>
        </w:rPr>
        <w:t> </w:t>
      </w:r>
      <w:r>
        <w:rPr>
          <w:rFonts w:ascii="Arial" w:hAnsi="Arial" w:cs="Arial" w:eastAsia="Arial" w:hint="default"/>
          <w:spacing w:val="-3"/>
          <w:w w:val="100"/>
        </w:rPr>
        <w:t>1</w:t>
      </w:r>
      <w:r>
        <w:rPr>
          <w:rFonts w:ascii="Arial" w:hAnsi="Arial" w:cs="Arial" w:eastAsia="Arial" w:hint="default"/>
          <w:w w:val="100"/>
        </w:rPr>
        <w:t>2</w:t>
      </w:r>
      <w:r>
        <w:rPr>
          <w:rFonts w:ascii="Arial" w:hAnsi="Arial" w:cs="Arial" w:eastAsia="Arial" w:hint="default"/>
          <w:spacing w:val="-8"/>
        </w:rPr>
        <w:t> </w:t>
      </w:r>
      <w:r>
        <w:rPr>
          <w:w w:val="100"/>
        </w:rPr>
        <w:t>月</w:t>
      </w:r>
      <w:r>
        <w:rPr>
          <w:spacing w:val="-53"/>
        </w:rPr>
        <w:t> </w:t>
      </w:r>
      <w:r>
        <w:rPr>
          <w:rFonts w:ascii="Arial" w:hAnsi="Arial" w:cs="Arial" w:eastAsia="Arial" w:hint="default"/>
          <w:spacing w:val="-3"/>
          <w:w w:val="100"/>
        </w:rPr>
        <w:t>3</w:t>
      </w:r>
      <w:r>
        <w:rPr>
          <w:rFonts w:ascii="Arial" w:hAnsi="Arial" w:cs="Arial" w:eastAsia="Arial" w:hint="default"/>
          <w:w w:val="100"/>
        </w:rPr>
        <w:t>1</w:t>
      </w:r>
      <w:r>
        <w:rPr>
          <w:rFonts w:ascii="Arial" w:hAnsi="Arial" w:cs="Arial" w:eastAsia="Arial" w:hint="default"/>
          <w:spacing w:val="-8"/>
        </w:rPr>
        <w:t> </w:t>
      </w:r>
      <w:r>
        <w:rPr>
          <w:w w:val="100"/>
        </w:rPr>
        <w:t>日，公司共有在册员工</w:t>
      </w:r>
      <w:r>
        <w:rPr>
          <w:spacing w:val="-52"/>
        </w:rPr>
        <w:t> </w:t>
      </w:r>
      <w:r>
        <w:rPr>
          <w:rFonts w:ascii="Arial" w:hAnsi="Arial" w:cs="Arial" w:eastAsia="Arial" w:hint="default"/>
          <w:spacing w:val="-3"/>
          <w:w w:val="100"/>
        </w:rPr>
        <w:t>71</w:t>
      </w:r>
      <w:r>
        <w:rPr>
          <w:rFonts w:ascii="Arial" w:hAnsi="Arial" w:cs="Arial" w:eastAsia="Arial" w:hint="default"/>
          <w:w w:val="100"/>
        </w:rPr>
        <w:t>8</w:t>
      </w:r>
      <w:r>
        <w:rPr>
          <w:rFonts w:ascii="Arial" w:hAnsi="Arial" w:cs="Arial" w:eastAsia="Arial" w:hint="default"/>
        </w:rPr>
        <w:t> </w:t>
      </w:r>
      <w:r>
        <w:rPr>
          <w:rFonts w:ascii="Arial" w:hAnsi="Arial" w:cs="Arial" w:eastAsia="Arial" w:hint="default"/>
          <w:spacing w:val="-14"/>
        </w:rPr>
        <w:t> </w:t>
      </w:r>
      <w:r>
        <w:rPr>
          <w:spacing w:val="-5"/>
          <w:w w:val="100"/>
        </w:rPr>
        <w:t>人</w:t>
      </w:r>
      <w:r>
        <w:rPr>
          <w:w w:val="100"/>
        </w:rPr>
        <w:t>（含子公司</w:t>
      </w:r>
      <w:r>
        <w:rPr>
          <w:spacing w:val="-111"/>
          <w:w w:val="100"/>
        </w:rPr>
        <w:t>）</w:t>
      </w:r>
      <w:r>
        <w:rPr>
          <w:spacing w:val="-1"/>
          <w:w w:val="100"/>
        </w:rPr>
        <w:t>，</w:t>
      </w:r>
      <w:r>
        <w:rPr>
          <w:w w:val="100"/>
        </w:rPr>
        <w:t>具体</w:t>
      </w:r>
      <w:r>
        <w:rPr>
          <w:spacing w:val="-5"/>
          <w:w w:val="100"/>
        </w:rPr>
        <w:t>构</w:t>
      </w:r>
      <w:r>
        <w:rPr>
          <w:w w:val="100"/>
        </w:rPr>
        <w:t>成情况</w:t>
      </w:r>
      <w:r>
        <w:rPr>
          <w:spacing w:val="-5"/>
          <w:w w:val="100"/>
        </w:rPr>
        <w:t>如</w:t>
      </w:r>
      <w:r>
        <w:rPr>
          <w:w w:val="100"/>
        </w:rPr>
        <w:t>下：</w:t>
      </w:r>
    </w:p>
    <w:p>
      <w:pPr>
        <w:pStyle w:val="Heading4"/>
        <w:spacing w:line="240" w:lineRule="auto" w:before="109"/>
        <w:ind w:left="575" w:right="0"/>
        <w:jc w:val="left"/>
        <w:rPr>
          <w:b w:val="0"/>
          <w:bCs w:val="0"/>
        </w:rPr>
      </w:pPr>
      <w:r>
        <w:rPr/>
        <w:t>（一）按专业结构划分</w:t>
      </w:r>
      <w:r>
        <w:rPr>
          <w:b w:val="0"/>
          <w:bCs w:val="0"/>
        </w:rPr>
      </w:r>
    </w:p>
    <w:p>
      <w:pPr>
        <w:spacing w:line="240" w:lineRule="auto" w:before="1"/>
        <w:rPr>
          <w:rFonts w:ascii="Microsoft JhengHei" w:hAnsi="Microsoft JhengHei" w:cs="Microsoft JhengHei" w:eastAsia="Microsoft JhengHei" w:hint="default"/>
          <w:b/>
          <w:bCs/>
          <w:sz w:val="6"/>
          <w:szCs w:val="6"/>
        </w:rPr>
      </w:pPr>
    </w:p>
    <w:tbl>
      <w:tblPr>
        <w:tblW w:w="0" w:type="auto"/>
        <w:jc w:val="left"/>
        <w:tblInd w:w="123" w:type="dxa"/>
        <w:tblLayout w:type="fixed"/>
        <w:tblCellMar>
          <w:top w:w="0" w:type="dxa"/>
          <w:left w:w="0" w:type="dxa"/>
          <w:bottom w:w="0" w:type="dxa"/>
          <w:right w:w="0" w:type="dxa"/>
        </w:tblCellMar>
        <w:tblLook w:val="01E0"/>
      </w:tblPr>
      <w:tblGrid>
        <w:gridCol w:w="3223"/>
        <w:gridCol w:w="3221"/>
        <w:gridCol w:w="3223"/>
      </w:tblGrid>
      <w:tr>
        <w:trPr>
          <w:trHeight w:val="353" w:hRule="exact"/>
        </w:trPr>
        <w:tc>
          <w:tcPr>
            <w:tcW w:w="3223" w:type="dxa"/>
            <w:tcBorders>
              <w:top w:val="single" w:sz="12" w:space="0" w:color="000000"/>
              <w:left w:val="single" w:sz="12" w:space="0" w:color="000000"/>
              <w:bottom w:val="single" w:sz="6" w:space="0" w:color="000000"/>
              <w:right w:val="single" w:sz="6" w:space="0" w:color="000000"/>
            </w:tcBorders>
            <w:shd w:val="clear" w:color="auto" w:fill="D8D8D8"/>
          </w:tcPr>
          <w:p>
            <w:pPr>
              <w:pStyle w:val="TableParagraph"/>
              <w:spacing w:line="276" w:lineRule="exact"/>
              <w:ind w:right="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专业结构</w:t>
            </w:r>
            <w:r>
              <w:rPr>
                <w:rFonts w:ascii="Microsoft JhengHei" w:hAnsi="Microsoft JhengHei" w:cs="Microsoft JhengHei" w:eastAsia="Microsoft JhengHei" w:hint="default"/>
                <w:sz w:val="18"/>
                <w:szCs w:val="18"/>
              </w:rPr>
            </w:r>
          </w:p>
        </w:tc>
        <w:tc>
          <w:tcPr>
            <w:tcW w:w="3221" w:type="dxa"/>
            <w:tcBorders>
              <w:top w:val="single" w:sz="12" w:space="0" w:color="000000"/>
              <w:left w:val="single" w:sz="6" w:space="0" w:color="000000"/>
              <w:bottom w:val="single" w:sz="6" w:space="0" w:color="000000"/>
              <w:right w:val="single" w:sz="6" w:space="0" w:color="000000"/>
            </w:tcBorders>
            <w:shd w:val="clear" w:color="auto" w:fill="D8D8D8"/>
          </w:tcPr>
          <w:p>
            <w:pPr>
              <w:pStyle w:val="TableParagraph"/>
              <w:spacing w:line="276" w:lineRule="exact"/>
              <w:ind w:right="1418"/>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人数</w:t>
            </w:r>
            <w:r>
              <w:rPr>
                <w:rFonts w:ascii="Microsoft JhengHei" w:hAnsi="Microsoft JhengHei" w:cs="Microsoft JhengHei" w:eastAsia="Microsoft JhengHei" w:hint="default"/>
                <w:sz w:val="18"/>
                <w:szCs w:val="18"/>
              </w:rPr>
            </w:r>
          </w:p>
        </w:tc>
        <w:tc>
          <w:tcPr>
            <w:tcW w:w="3223" w:type="dxa"/>
            <w:tcBorders>
              <w:top w:val="single" w:sz="12" w:space="0" w:color="000000"/>
              <w:left w:val="single" w:sz="6" w:space="0" w:color="000000"/>
              <w:bottom w:val="single" w:sz="6" w:space="0" w:color="000000"/>
              <w:right w:val="single" w:sz="12" w:space="0" w:color="000000"/>
            </w:tcBorders>
            <w:shd w:val="clear" w:color="auto" w:fill="D8D8D8"/>
          </w:tcPr>
          <w:p>
            <w:pPr>
              <w:pStyle w:val="TableParagraph"/>
              <w:spacing w:line="276" w:lineRule="exact"/>
              <w:ind w:right="1"/>
              <w:jc w:val="center"/>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占员工总数的比例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27" w:hRule="exact"/>
        </w:trPr>
        <w:tc>
          <w:tcPr>
            <w:tcW w:w="322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462"/>
              <w:jc w:val="right"/>
              <w:rPr>
                <w:rFonts w:ascii="Times New Roman" w:hAnsi="Times New Roman" w:cs="Times New Roman" w:eastAsia="Times New Roman" w:hint="default"/>
                <w:sz w:val="18"/>
                <w:szCs w:val="18"/>
              </w:rPr>
            </w:pPr>
            <w:r>
              <w:rPr>
                <w:rFonts w:ascii="Times New Roman"/>
                <w:sz w:val="18"/>
              </w:rPr>
              <w:t>134</w:t>
            </w:r>
          </w:p>
        </w:tc>
        <w:tc>
          <w:tcPr>
            <w:tcW w:w="32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18.67%</w:t>
            </w:r>
          </w:p>
        </w:tc>
      </w:tr>
      <w:tr>
        <w:trPr>
          <w:trHeight w:val="427" w:hRule="exact"/>
        </w:trPr>
        <w:tc>
          <w:tcPr>
            <w:tcW w:w="322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510"/>
              <w:jc w:val="right"/>
              <w:rPr>
                <w:rFonts w:ascii="Times New Roman" w:hAnsi="Times New Roman" w:cs="Times New Roman" w:eastAsia="Times New Roman" w:hint="default"/>
                <w:sz w:val="18"/>
                <w:szCs w:val="18"/>
              </w:rPr>
            </w:pPr>
            <w:r>
              <w:rPr>
                <w:rFonts w:ascii="Times New Roman"/>
                <w:sz w:val="18"/>
              </w:rPr>
              <w:t>84</w:t>
            </w:r>
          </w:p>
        </w:tc>
        <w:tc>
          <w:tcPr>
            <w:tcW w:w="32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11.70%</w:t>
            </w:r>
          </w:p>
        </w:tc>
      </w:tr>
      <w:tr>
        <w:trPr>
          <w:trHeight w:val="427" w:hRule="exact"/>
        </w:trPr>
        <w:tc>
          <w:tcPr>
            <w:tcW w:w="322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510"/>
              <w:jc w:val="right"/>
              <w:rPr>
                <w:rFonts w:ascii="Times New Roman" w:hAnsi="Times New Roman" w:cs="Times New Roman" w:eastAsia="Times New Roman" w:hint="default"/>
                <w:sz w:val="18"/>
                <w:szCs w:val="18"/>
              </w:rPr>
            </w:pPr>
            <w:r>
              <w:rPr>
                <w:rFonts w:ascii="Times New Roman"/>
                <w:sz w:val="18"/>
              </w:rPr>
              <w:t>22</w:t>
            </w:r>
          </w:p>
        </w:tc>
        <w:tc>
          <w:tcPr>
            <w:tcW w:w="32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3.06%</w:t>
            </w:r>
          </w:p>
        </w:tc>
      </w:tr>
      <w:tr>
        <w:trPr>
          <w:trHeight w:val="427" w:hRule="exact"/>
        </w:trPr>
        <w:tc>
          <w:tcPr>
            <w:tcW w:w="322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管理人员</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510"/>
              <w:jc w:val="right"/>
              <w:rPr>
                <w:rFonts w:ascii="Times New Roman" w:hAnsi="Times New Roman" w:cs="Times New Roman" w:eastAsia="Times New Roman" w:hint="default"/>
                <w:sz w:val="18"/>
                <w:szCs w:val="18"/>
              </w:rPr>
            </w:pPr>
            <w:r>
              <w:rPr>
                <w:rFonts w:ascii="Times New Roman"/>
                <w:sz w:val="18"/>
              </w:rPr>
              <w:t>97</w:t>
            </w:r>
          </w:p>
        </w:tc>
        <w:tc>
          <w:tcPr>
            <w:tcW w:w="32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13.51%</w:t>
            </w:r>
          </w:p>
        </w:tc>
      </w:tr>
      <w:tr>
        <w:trPr>
          <w:trHeight w:val="427" w:hRule="exact"/>
        </w:trPr>
        <w:tc>
          <w:tcPr>
            <w:tcW w:w="322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462"/>
              <w:jc w:val="right"/>
              <w:rPr>
                <w:rFonts w:ascii="Times New Roman" w:hAnsi="Times New Roman" w:cs="Times New Roman" w:eastAsia="Times New Roman" w:hint="default"/>
                <w:sz w:val="18"/>
                <w:szCs w:val="18"/>
              </w:rPr>
            </w:pPr>
            <w:r>
              <w:rPr>
                <w:rFonts w:ascii="Times New Roman"/>
                <w:sz w:val="18"/>
              </w:rPr>
              <w:t>381</w:t>
            </w:r>
          </w:p>
        </w:tc>
        <w:tc>
          <w:tcPr>
            <w:tcW w:w="32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53.06%</w:t>
            </w:r>
          </w:p>
        </w:tc>
      </w:tr>
      <w:tr>
        <w:trPr>
          <w:trHeight w:val="434" w:hRule="exact"/>
        </w:trPr>
        <w:tc>
          <w:tcPr>
            <w:tcW w:w="322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
              <w:ind w:right="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32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0"/>
              <w:ind w:right="1462"/>
              <w:jc w:val="right"/>
              <w:rPr>
                <w:rFonts w:ascii="Times New Roman" w:hAnsi="Times New Roman" w:cs="Times New Roman" w:eastAsia="Times New Roman" w:hint="default"/>
                <w:sz w:val="18"/>
                <w:szCs w:val="18"/>
              </w:rPr>
            </w:pPr>
            <w:r>
              <w:rPr>
                <w:rFonts w:ascii="Times New Roman"/>
                <w:b/>
                <w:sz w:val="18"/>
              </w:rPr>
              <w:t>718</w:t>
            </w:r>
            <w:r>
              <w:rPr>
                <w:rFonts w:ascii="Times New Roman"/>
                <w:sz w:val="18"/>
              </w:rPr>
            </w:r>
          </w:p>
        </w:tc>
        <w:tc>
          <w:tcPr>
            <w:tcW w:w="322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0"/>
              <w:ind w:right="0"/>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00" w:h="16840"/>
          <w:pgMar w:header="742" w:footer="984" w:top="1060" w:bottom="1180" w:left="980" w:right="980"/>
        </w:sectPr>
      </w:pPr>
    </w:p>
    <w:p>
      <w:pPr>
        <w:spacing w:line="240" w:lineRule="auto" w:before="7"/>
        <w:rPr>
          <w:rFonts w:ascii="Microsoft JhengHei" w:hAnsi="Microsoft JhengHei" w:cs="Microsoft JhengHei" w:eastAsia="Microsoft JhengHei" w:hint="default"/>
          <w:b/>
          <w:bCs/>
          <w:sz w:val="23"/>
          <w:szCs w:val="23"/>
        </w:rPr>
      </w:pPr>
    </w:p>
    <w:p>
      <w:pPr>
        <w:pStyle w:val="Heading4"/>
        <w:spacing w:line="335" w:lineRule="exact"/>
        <w:ind w:left="575" w:right="0"/>
        <w:jc w:val="left"/>
        <w:rPr>
          <w:b w:val="0"/>
          <w:bCs w:val="0"/>
        </w:rPr>
      </w:pPr>
      <w:r>
        <w:rPr/>
        <w:t>（二）按学历划分</w:t>
      </w:r>
      <w:r>
        <w:rPr>
          <w:b w:val="0"/>
          <w:bCs w:val="0"/>
        </w:rPr>
      </w:r>
    </w:p>
    <w:p>
      <w:pPr>
        <w:spacing w:line="240" w:lineRule="auto" w:before="13"/>
        <w:rPr>
          <w:rFonts w:ascii="Microsoft JhengHei" w:hAnsi="Microsoft JhengHei" w:cs="Microsoft JhengHei" w:eastAsia="Microsoft JhengHei" w:hint="default"/>
          <w:b/>
          <w:bCs/>
          <w:sz w:val="5"/>
          <w:szCs w:val="5"/>
        </w:rPr>
      </w:pPr>
    </w:p>
    <w:tbl>
      <w:tblPr>
        <w:tblW w:w="0" w:type="auto"/>
        <w:jc w:val="left"/>
        <w:tblInd w:w="123" w:type="dxa"/>
        <w:tblLayout w:type="fixed"/>
        <w:tblCellMar>
          <w:top w:w="0" w:type="dxa"/>
          <w:left w:w="0" w:type="dxa"/>
          <w:bottom w:w="0" w:type="dxa"/>
          <w:right w:w="0" w:type="dxa"/>
        </w:tblCellMar>
        <w:tblLook w:val="01E0"/>
      </w:tblPr>
      <w:tblGrid>
        <w:gridCol w:w="3223"/>
        <w:gridCol w:w="3221"/>
        <w:gridCol w:w="3223"/>
      </w:tblGrid>
      <w:tr>
        <w:trPr>
          <w:trHeight w:val="351" w:hRule="exact"/>
        </w:trPr>
        <w:tc>
          <w:tcPr>
            <w:tcW w:w="3223" w:type="dxa"/>
            <w:tcBorders>
              <w:top w:val="single" w:sz="12" w:space="0" w:color="000000"/>
              <w:left w:val="single" w:sz="12" w:space="0" w:color="000000"/>
              <w:bottom w:val="single" w:sz="6" w:space="0" w:color="000000"/>
              <w:right w:val="single" w:sz="6" w:space="0" w:color="000000"/>
            </w:tcBorders>
            <w:shd w:val="clear" w:color="auto" w:fill="D8D8D8"/>
          </w:tcPr>
          <w:p>
            <w:pPr>
              <w:pStyle w:val="TableParagraph"/>
              <w:spacing w:line="276" w:lineRule="exact"/>
              <w:ind w:right="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学历</w:t>
            </w:r>
            <w:r>
              <w:rPr>
                <w:rFonts w:ascii="Microsoft JhengHei" w:hAnsi="Microsoft JhengHei" w:cs="Microsoft JhengHei" w:eastAsia="Microsoft JhengHei" w:hint="default"/>
                <w:sz w:val="18"/>
                <w:szCs w:val="18"/>
              </w:rPr>
            </w:r>
          </w:p>
        </w:tc>
        <w:tc>
          <w:tcPr>
            <w:tcW w:w="3221" w:type="dxa"/>
            <w:tcBorders>
              <w:top w:val="single" w:sz="12" w:space="0" w:color="000000"/>
              <w:left w:val="single" w:sz="6" w:space="0" w:color="000000"/>
              <w:bottom w:val="single" w:sz="6" w:space="0" w:color="000000"/>
              <w:right w:val="single" w:sz="6" w:space="0" w:color="000000"/>
            </w:tcBorders>
            <w:shd w:val="clear" w:color="auto" w:fill="D8D8D8"/>
          </w:tcPr>
          <w:p>
            <w:pPr>
              <w:pStyle w:val="TableParagraph"/>
              <w:spacing w:line="276" w:lineRule="exact"/>
              <w:ind w:right="1418"/>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人数</w:t>
            </w:r>
            <w:r>
              <w:rPr>
                <w:rFonts w:ascii="Microsoft JhengHei" w:hAnsi="Microsoft JhengHei" w:cs="Microsoft JhengHei" w:eastAsia="Microsoft JhengHei" w:hint="default"/>
                <w:sz w:val="18"/>
                <w:szCs w:val="18"/>
              </w:rPr>
            </w:r>
          </w:p>
        </w:tc>
        <w:tc>
          <w:tcPr>
            <w:tcW w:w="3223" w:type="dxa"/>
            <w:tcBorders>
              <w:top w:val="single" w:sz="12" w:space="0" w:color="000000"/>
              <w:left w:val="single" w:sz="6" w:space="0" w:color="000000"/>
              <w:bottom w:val="single" w:sz="6" w:space="0" w:color="000000"/>
              <w:right w:val="single" w:sz="12" w:space="0" w:color="000000"/>
            </w:tcBorders>
            <w:shd w:val="clear" w:color="auto" w:fill="D8D8D8"/>
          </w:tcPr>
          <w:p>
            <w:pPr>
              <w:pStyle w:val="TableParagraph"/>
              <w:spacing w:line="276" w:lineRule="exact"/>
              <w:ind w:right="1"/>
              <w:jc w:val="center"/>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占员工总数的比例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34" w:hRule="exact"/>
        </w:trPr>
        <w:tc>
          <w:tcPr>
            <w:tcW w:w="3223"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pacing w:val="-3"/>
                <w:sz w:val="18"/>
                <w:szCs w:val="18"/>
              </w:rPr>
              <w:t>硕士及以上学历</w:t>
            </w:r>
          </w:p>
        </w:tc>
        <w:tc>
          <w:tcPr>
            <w:tcW w:w="3221"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105"/>
              <w:ind w:right="1510"/>
              <w:jc w:val="right"/>
              <w:rPr>
                <w:rFonts w:ascii="Times New Roman" w:hAnsi="Times New Roman" w:cs="Times New Roman" w:eastAsia="Times New Roman" w:hint="default"/>
                <w:sz w:val="18"/>
                <w:szCs w:val="18"/>
              </w:rPr>
            </w:pPr>
            <w:r>
              <w:rPr>
                <w:rFonts w:ascii="Times New Roman"/>
                <w:sz w:val="18"/>
              </w:rPr>
              <w:t>19</w:t>
            </w:r>
          </w:p>
        </w:tc>
        <w:tc>
          <w:tcPr>
            <w:tcW w:w="3223" w:type="dxa"/>
            <w:tcBorders>
              <w:top w:val="single" w:sz="11" w:space="0" w:color="000000"/>
              <w:left w:val="single" w:sz="6" w:space="0" w:color="000000"/>
              <w:bottom w:val="single" w:sz="6" w:space="0" w:color="000000"/>
              <w:right w:val="single" w:sz="12" w:space="0" w:color="000000"/>
            </w:tcBorders>
          </w:tcPr>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2.65%</w:t>
            </w:r>
          </w:p>
        </w:tc>
      </w:tr>
      <w:tr>
        <w:trPr>
          <w:trHeight w:val="427" w:hRule="exact"/>
        </w:trPr>
        <w:tc>
          <w:tcPr>
            <w:tcW w:w="322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大学学历</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462"/>
              <w:jc w:val="right"/>
              <w:rPr>
                <w:rFonts w:ascii="Times New Roman" w:hAnsi="Times New Roman" w:cs="Times New Roman" w:eastAsia="Times New Roman" w:hint="default"/>
                <w:sz w:val="18"/>
                <w:szCs w:val="18"/>
              </w:rPr>
            </w:pPr>
            <w:r>
              <w:rPr>
                <w:rFonts w:ascii="Times New Roman"/>
                <w:sz w:val="18"/>
              </w:rPr>
              <w:t>104</w:t>
            </w:r>
          </w:p>
        </w:tc>
        <w:tc>
          <w:tcPr>
            <w:tcW w:w="32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14.48%</w:t>
            </w:r>
          </w:p>
        </w:tc>
      </w:tr>
      <w:tr>
        <w:trPr>
          <w:trHeight w:val="427" w:hRule="exact"/>
        </w:trPr>
        <w:tc>
          <w:tcPr>
            <w:tcW w:w="322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大专学历</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462"/>
              <w:jc w:val="right"/>
              <w:rPr>
                <w:rFonts w:ascii="Times New Roman" w:hAnsi="Times New Roman" w:cs="Times New Roman" w:eastAsia="Times New Roman" w:hint="default"/>
                <w:sz w:val="18"/>
                <w:szCs w:val="18"/>
              </w:rPr>
            </w:pPr>
            <w:r>
              <w:rPr>
                <w:rFonts w:ascii="Times New Roman"/>
                <w:sz w:val="18"/>
              </w:rPr>
              <w:t>136</w:t>
            </w:r>
          </w:p>
        </w:tc>
        <w:tc>
          <w:tcPr>
            <w:tcW w:w="32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18.94%</w:t>
            </w:r>
          </w:p>
        </w:tc>
      </w:tr>
      <w:tr>
        <w:trPr>
          <w:trHeight w:val="427" w:hRule="exact"/>
        </w:trPr>
        <w:tc>
          <w:tcPr>
            <w:tcW w:w="322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大专以下学历</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462"/>
              <w:jc w:val="right"/>
              <w:rPr>
                <w:rFonts w:ascii="Times New Roman" w:hAnsi="Times New Roman" w:cs="Times New Roman" w:eastAsia="Times New Roman" w:hint="default"/>
                <w:sz w:val="18"/>
                <w:szCs w:val="18"/>
              </w:rPr>
            </w:pPr>
            <w:r>
              <w:rPr>
                <w:rFonts w:ascii="Times New Roman"/>
                <w:sz w:val="18"/>
              </w:rPr>
              <w:t>459</w:t>
            </w:r>
          </w:p>
        </w:tc>
        <w:tc>
          <w:tcPr>
            <w:tcW w:w="32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63.93%</w:t>
            </w:r>
          </w:p>
        </w:tc>
      </w:tr>
      <w:tr>
        <w:trPr>
          <w:trHeight w:val="434" w:hRule="exact"/>
        </w:trPr>
        <w:tc>
          <w:tcPr>
            <w:tcW w:w="322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
              <w:ind w:right="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32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0"/>
              <w:ind w:right="1462"/>
              <w:jc w:val="right"/>
              <w:rPr>
                <w:rFonts w:ascii="Times New Roman" w:hAnsi="Times New Roman" w:cs="Times New Roman" w:eastAsia="Times New Roman" w:hint="default"/>
                <w:sz w:val="18"/>
                <w:szCs w:val="18"/>
              </w:rPr>
            </w:pPr>
            <w:r>
              <w:rPr>
                <w:rFonts w:ascii="Times New Roman"/>
                <w:b/>
                <w:sz w:val="18"/>
              </w:rPr>
              <w:t>718</w:t>
            </w:r>
            <w:r>
              <w:rPr>
                <w:rFonts w:ascii="Times New Roman"/>
                <w:sz w:val="18"/>
              </w:rPr>
            </w:r>
          </w:p>
        </w:tc>
        <w:tc>
          <w:tcPr>
            <w:tcW w:w="322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0"/>
              <w:ind w:right="0"/>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r>
    </w:tbl>
    <w:p>
      <w:pPr>
        <w:pStyle w:val="Heading4"/>
        <w:spacing w:line="240" w:lineRule="auto"/>
        <w:ind w:left="575" w:right="0"/>
        <w:jc w:val="left"/>
        <w:rPr>
          <w:b w:val="0"/>
          <w:bCs w:val="0"/>
        </w:rPr>
      </w:pPr>
      <w:r>
        <w:rPr/>
        <w:t>（三）按年龄划分</w:t>
      </w:r>
      <w:r>
        <w:rPr>
          <w:b w:val="0"/>
          <w:bCs w:val="0"/>
        </w:rPr>
      </w:r>
    </w:p>
    <w:p>
      <w:pPr>
        <w:spacing w:line="240" w:lineRule="auto" w:before="13"/>
        <w:rPr>
          <w:rFonts w:ascii="Microsoft JhengHei" w:hAnsi="Microsoft JhengHei" w:cs="Microsoft JhengHei" w:eastAsia="Microsoft JhengHei" w:hint="default"/>
          <w:b/>
          <w:bCs/>
          <w:sz w:val="5"/>
          <w:szCs w:val="5"/>
        </w:rPr>
      </w:pPr>
    </w:p>
    <w:tbl>
      <w:tblPr>
        <w:tblW w:w="0" w:type="auto"/>
        <w:jc w:val="left"/>
        <w:tblInd w:w="123" w:type="dxa"/>
        <w:tblLayout w:type="fixed"/>
        <w:tblCellMar>
          <w:top w:w="0" w:type="dxa"/>
          <w:left w:w="0" w:type="dxa"/>
          <w:bottom w:w="0" w:type="dxa"/>
          <w:right w:w="0" w:type="dxa"/>
        </w:tblCellMar>
        <w:tblLook w:val="01E0"/>
      </w:tblPr>
      <w:tblGrid>
        <w:gridCol w:w="3223"/>
        <w:gridCol w:w="3221"/>
        <w:gridCol w:w="3223"/>
      </w:tblGrid>
      <w:tr>
        <w:trPr>
          <w:trHeight w:val="358" w:hRule="exact"/>
        </w:trPr>
        <w:tc>
          <w:tcPr>
            <w:tcW w:w="3223" w:type="dxa"/>
            <w:tcBorders>
              <w:top w:val="single" w:sz="12" w:space="0" w:color="000000"/>
              <w:left w:val="single" w:sz="12" w:space="0" w:color="000000"/>
              <w:bottom w:val="single" w:sz="6" w:space="0" w:color="000000"/>
              <w:right w:val="single" w:sz="6" w:space="0" w:color="000000"/>
            </w:tcBorders>
            <w:shd w:val="clear" w:color="auto" w:fill="D8D8D8"/>
          </w:tcPr>
          <w:p>
            <w:pPr>
              <w:pStyle w:val="TableParagraph"/>
              <w:spacing w:line="276" w:lineRule="exact"/>
              <w:ind w:left="123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年龄区间</w:t>
            </w:r>
            <w:r>
              <w:rPr>
                <w:rFonts w:ascii="Microsoft JhengHei" w:hAnsi="Microsoft JhengHei" w:cs="Microsoft JhengHei" w:eastAsia="Microsoft JhengHei" w:hint="default"/>
                <w:sz w:val="18"/>
                <w:szCs w:val="18"/>
              </w:rPr>
            </w:r>
          </w:p>
        </w:tc>
        <w:tc>
          <w:tcPr>
            <w:tcW w:w="3221" w:type="dxa"/>
            <w:tcBorders>
              <w:top w:val="single" w:sz="12" w:space="0" w:color="000000"/>
              <w:left w:val="single" w:sz="6" w:space="0" w:color="000000"/>
              <w:bottom w:val="single" w:sz="6" w:space="0" w:color="000000"/>
              <w:right w:val="single" w:sz="6" w:space="0" w:color="000000"/>
            </w:tcBorders>
            <w:shd w:val="clear" w:color="auto" w:fill="D8D8D8"/>
          </w:tcPr>
          <w:p>
            <w:pPr>
              <w:pStyle w:val="TableParagraph"/>
              <w:spacing w:line="276" w:lineRule="exact"/>
              <w:ind w:right="1418"/>
              <w:jc w:val="righ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人数</w:t>
            </w:r>
            <w:r>
              <w:rPr>
                <w:rFonts w:ascii="Microsoft JhengHei" w:hAnsi="Microsoft JhengHei" w:cs="Microsoft JhengHei" w:eastAsia="Microsoft JhengHei" w:hint="default"/>
                <w:sz w:val="18"/>
                <w:szCs w:val="18"/>
              </w:rPr>
            </w:r>
          </w:p>
        </w:tc>
        <w:tc>
          <w:tcPr>
            <w:tcW w:w="3223" w:type="dxa"/>
            <w:tcBorders>
              <w:top w:val="single" w:sz="12" w:space="0" w:color="000000"/>
              <w:left w:val="single" w:sz="6" w:space="0" w:color="000000"/>
              <w:bottom w:val="single" w:sz="6" w:space="0" w:color="000000"/>
              <w:right w:val="single" w:sz="12" w:space="0" w:color="000000"/>
            </w:tcBorders>
            <w:shd w:val="clear" w:color="auto" w:fill="D8D8D8"/>
          </w:tcPr>
          <w:p>
            <w:pPr>
              <w:pStyle w:val="TableParagraph"/>
              <w:spacing w:line="276" w:lineRule="exact"/>
              <w:ind w:right="1"/>
              <w:jc w:val="center"/>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占员工总数的比例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27" w:hRule="exact"/>
        </w:trPr>
        <w:tc>
          <w:tcPr>
            <w:tcW w:w="3223"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1"/>
              <w:ind w:left="12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岁以下</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462"/>
              <w:jc w:val="right"/>
              <w:rPr>
                <w:rFonts w:ascii="Times New Roman" w:hAnsi="Times New Roman" w:cs="Times New Roman" w:eastAsia="Times New Roman" w:hint="default"/>
                <w:sz w:val="18"/>
                <w:szCs w:val="18"/>
              </w:rPr>
            </w:pPr>
            <w:r>
              <w:rPr>
                <w:rFonts w:ascii="Times New Roman"/>
                <w:sz w:val="18"/>
              </w:rPr>
              <w:t>191</w:t>
            </w:r>
          </w:p>
        </w:tc>
        <w:tc>
          <w:tcPr>
            <w:tcW w:w="32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26.60%</w:t>
            </w:r>
          </w:p>
        </w:tc>
      </w:tr>
      <w:tr>
        <w:trPr>
          <w:trHeight w:val="427" w:hRule="exact"/>
        </w:trPr>
        <w:tc>
          <w:tcPr>
            <w:tcW w:w="322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12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31-40</w:t>
            </w:r>
            <w:r>
              <w:rPr>
                <w:rFonts w:ascii="宋体" w:hAnsi="宋体" w:cs="宋体" w:eastAsia="宋体" w:hint="default"/>
                <w:sz w:val="18"/>
                <w:szCs w:val="18"/>
              </w:rPr>
              <w:t>岁</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462"/>
              <w:jc w:val="right"/>
              <w:rPr>
                <w:rFonts w:ascii="Times New Roman" w:hAnsi="Times New Roman" w:cs="Times New Roman" w:eastAsia="Times New Roman" w:hint="default"/>
                <w:sz w:val="18"/>
                <w:szCs w:val="18"/>
              </w:rPr>
            </w:pPr>
            <w:r>
              <w:rPr>
                <w:rFonts w:ascii="Times New Roman"/>
                <w:sz w:val="18"/>
              </w:rPr>
              <w:t>222</w:t>
            </w:r>
          </w:p>
        </w:tc>
        <w:tc>
          <w:tcPr>
            <w:tcW w:w="32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30.92%</w:t>
            </w:r>
          </w:p>
        </w:tc>
      </w:tr>
      <w:tr>
        <w:trPr>
          <w:trHeight w:val="427" w:hRule="exact"/>
        </w:trPr>
        <w:tc>
          <w:tcPr>
            <w:tcW w:w="322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12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41-50</w:t>
            </w:r>
            <w:r>
              <w:rPr>
                <w:rFonts w:ascii="宋体" w:hAnsi="宋体" w:cs="宋体" w:eastAsia="宋体" w:hint="default"/>
                <w:sz w:val="18"/>
                <w:szCs w:val="18"/>
              </w:rPr>
              <w:t>岁</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462"/>
              <w:jc w:val="right"/>
              <w:rPr>
                <w:rFonts w:ascii="Times New Roman" w:hAnsi="Times New Roman" w:cs="Times New Roman" w:eastAsia="Times New Roman" w:hint="default"/>
                <w:sz w:val="18"/>
                <w:szCs w:val="18"/>
              </w:rPr>
            </w:pPr>
            <w:r>
              <w:rPr>
                <w:rFonts w:ascii="Times New Roman"/>
                <w:sz w:val="18"/>
              </w:rPr>
              <w:t>226</w:t>
            </w:r>
          </w:p>
        </w:tc>
        <w:tc>
          <w:tcPr>
            <w:tcW w:w="32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31.48%</w:t>
            </w:r>
          </w:p>
        </w:tc>
      </w:tr>
      <w:tr>
        <w:trPr>
          <w:trHeight w:val="427" w:hRule="exact"/>
        </w:trPr>
        <w:tc>
          <w:tcPr>
            <w:tcW w:w="322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left="12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岁以上</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510"/>
              <w:jc w:val="right"/>
              <w:rPr>
                <w:rFonts w:ascii="Times New Roman" w:hAnsi="Times New Roman" w:cs="Times New Roman" w:eastAsia="Times New Roman" w:hint="default"/>
                <w:sz w:val="18"/>
                <w:szCs w:val="18"/>
              </w:rPr>
            </w:pPr>
            <w:r>
              <w:rPr>
                <w:rFonts w:ascii="Times New Roman"/>
                <w:sz w:val="18"/>
              </w:rPr>
              <w:t>79</w:t>
            </w:r>
          </w:p>
        </w:tc>
        <w:tc>
          <w:tcPr>
            <w:tcW w:w="32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11.00%</w:t>
            </w:r>
          </w:p>
        </w:tc>
      </w:tr>
      <w:tr>
        <w:trPr>
          <w:trHeight w:val="434" w:hRule="exact"/>
        </w:trPr>
        <w:tc>
          <w:tcPr>
            <w:tcW w:w="322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
              <w:ind w:right="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32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0"/>
              <w:ind w:right="1462"/>
              <w:jc w:val="right"/>
              <w:rPr>
                <w:rFonts w:ascii="Times New Roman" w:hAnsi="Times New Roman" w:cs="Times New Roman" w:eastAsia="Times New Roman" w:hint="default"/>
                <w:sz w:val="18"/>
                <w:szCs w:val="18"/>
              </w:rPr>
            </w:pPr>
            <w:r>
              <w:rPr>
                <w:rFonts w:ascii="Times New Roman"/>
                <w:b/>
                <w:sz w:val="18"/>
              </w:rPr>
              <w:t>718</w:t>
            </w:r>
            <w:r>
              <w:rPr>
                <w:rFonts w:ascii="Times New Roman"/>
                <w:sz w:val="18"/>
              </w:rPr>
            </w:r>
          </w:p>
        </w:tc>
        <w:tc>
          <w:tcPr>
            <w:tcW w:w="322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0"/>
              <w:ind w:right="0"/>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r>
    </w:tbl>
    <w:p>
      <w:pPr>
        <w:pStyle w:val="BodyText"/>
        <w:spacing w:line="408" w:lineRule="auto" w:before="66"/>
        <w:ind w:right="142" w:firstLine="422"/>
        <w:jc w:val="both"/>
      </w:pPr>
      <w:r>
        <w:rPr>
          <w:spacing w:val="-7"/>
          <w:w w:val="100"/>
        </w:rPr>
        <w:t>根据《劳动法》、《劳动合同法》等有关法律法规规定，本公司实行全员劳动合同制。公司已根据国家</w:t>
      </w:r>
      <w:r>
        <w:rPr>
          <w:w w:val="100"/>
        </w:rPr>
        <w:t> </w:t>
      </w:r>
      <w:r>
        <w:rPr>
          <w:spacing w:val="-2"/>
        </w:rPr>
        <w:t>和地方政府的有关规定，为员工办理了基本养老、医疗、失业、工伤等社会保险和住房公积金。截止报告</w:t>
      </w:r>
      <w:r>
        <w:rPr>
          <w:spacing w:val="-41"/>
        </w:rPr>
        <w:t> </w:t>
      </w:r>
      <w:r>
        <w:rPr>
          <w:spacing w:val="-41"/>
        </w:rPr>
      </w:r>
      <w:r>
        <w:rPr/>
        <w:t>期末，公司没有需要承担费用的离退休职工。</w:t>
      </w:r>
    </w:p>
    <w:p>
      <w:pPr>
        <w:spacing w:after="0" w:line="408" w:lineRule="auto"/>
        <w:jc w:val="both"/>
        <w:sectPr>
          <w:pgSz w:w="11900" w:h="16840"/>
          <w:pgMar w:header="742" w:footer="984"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1"/>
        <w:spacing w:line="458" w:lineRule="exact"/>
        <w:ind w:left="3581" w:right="3664"/>
        <w:jc w:val="center"/>
        <w:rPr>
          <w:b w:val="0"/>
          <w:bCs w:val="0"/>
        </w:rPr>
      </w:pPr>
      <w:bookmarkStart w:name="_TOC_250002" w:id="8"/>
      <w:r>
        <w:rPr/>
        <w:t>第八节 </w:t>
      </w:r>
      <w:r>
        <w:rPr>
          <w:spacing w:val="8"/>
        </w:rPr>
        <w:t> </w:t>
      </w:r>
      <w:r>
        <w:rPr/>
        <w:t>公司治理</w:t>
      </w:r>
      <w:bookmarkEnd w:id="8"/>
      <w:r>
        <w:rPr>
          <w:b w:val="0"/>
          <w:bCs w:val="0"/>
        </w:rPr>
      </w:r>
    </w:p>
    <w:p>
      <w:pPr>
        <w:spacing w:line="240" w:lineRule="auto" w:before="15"/>
        <w:rPr>
          <w:rFonts w:ascii="Microsoft JhengHei" w:hAnsi="Microsoft JhengHei" w:cs="Microsoft JhengHei" w:eastAsia="Microsoft JhengHei" w:hint="default"/>
          <w:b/>
          <w:bCs/>
          <w:sz w:val="24"/>
          <w:szCs w:val="24"/>
        </w:rPr>
      </w:pPr>
    </w:p>
    <w:p>
      <w:pPr>
        <w:pStyle w:val="Heading3"/>
        <w:spacing w:line="367" w:lineRule="exact"/>
        <w:ind w:right="0"/>
        <w:jc w:val="both"/>
        <w:rPr>
          <w:b w:val="0"/>
          <w:bCs w:val="0"/>
        </w:rPr>
      </w:pPr>
      <w:r>
        <w:rPr/>
        <w:t>一、公司治理的基本状况</w:t>
      </w:r>
      <w:r>
        <w:rPr>
          <w:b w:val="0"/>
          <w:bCs w:val="0"/>
        </w:rPr>
      </w:r>
    </w:p>
    <w:p>
      <w:pPr>
        <w:spacing w:line="240" w:lineRule="auto" w:before="2"/>
        <w:rPr>
          <w:rFonts w:ascii="Microsoft JhengHei" w:hAnsi="Microsoft JhengHei" w:cs="Microsoft JhengHei" w:eastAsia="Microsoft JhengHei" w:hint="default"/>
          <w:b/>
          <w:bCs/>
          <w:sz w:val="22"/>
          <w:szCs w:val="22"/>
        </w:rPr>
      </w:pPr>
    </w:p>
    <w:p>
      <w:pPr>
        <w:pStyle w:val="BodyText"/>
        <w:spacing w:line="408" w:lineRule="auto"/>
        <w:ind w:right="111" w:firstLine="422"/>
        <w:jc w:val="left"/>
      </w:pPr>
      <w:r>
        <w:rPr>
          <w:spacing w:val="-16"/>
          <w:w w:val="100"/>
        </w:rPr>
        <w:t>报告期内，公司严格按照《公司法》、《证券法》、《上市公司治理准则》、《深圳证券交易所创业板股票</w:t>
      </w:r>
      <w:r>
        <w:rPr>
          <w:w w:val="100"/>
        </w:rPr>
        <w:t> </w:t>
      </w:r>
      <w:r>
        <w:rPr>
          <w:spacing w:val="-7"/>
          <w:w w:val="100"/>
        </w:rPr>
        <w:t>上市规则》、《深圳证券交易所创业板上市公司规范运作指引》等法律、法规和中国证监会有关法律法规等</w:t>
      </w:r>
      <w:r>
        <w:rPr>
          <w:spacing w:val="-65"/>
          <w:w w:val="100"/>
        </w:rPr>
        <w:t> </w:t>
      </w:r>
      <w:r>
        <w:rPr>
          <w:spacing w:val="-65"/>
          <w:w w:val="100"/>
        </w:rPr>
      </w:r>
      <w:r>
        <w:rPr>
          <w:spacing w:val="-4"/>
        </w:rPr>
        <w:t>的要求，不断完善公司的法人治理结构，建立健全公司内部管理和控制制度，持续深入开展公司治理活动，</w:t>
      </w:r>
      <w:r>
        <w:rPr>
          <w:spacing w:val="-49"/>
        </w:rPr>
        <w:t> </w:t>
      </w:r>
      <w:r>
        <w:rPr>
          <w:spacing w:val="-49"/>
        </w:rPr>
      </w:r>
      <w:r>
        <w:rPr>
          <w:spacing w:val="-2"/>
        </w:rPr>
        <w:t>促进了公司规范运作，提高了公司治理水平。截至报告期末，公司治理的实际状况符合《上市公司治理准</w:t>
      </w:r>
      <w:r>
        <w:rPr>
          <w:spacing w:val="-35"/>
        </w:rPr>
        <w:t> </w:t>
      </w:r>
      <w:r>
        <w:rPr>
          <w:spacing w:val="-35"/>
        </w:rPr>
      </w:r>
      <w:r>
        <w:rPr/>
        <w:t>则》和《深圳证券交易所创业板上市公司规范运作指引》的要求。</w:t>
      </w:r>
    </w:p>
    <w:p>
      <w:pPr>
        <w:spacing w:line="342" w:lineRule="exact" w:before="0"/>
        <w:ind w:left="152" w:right="111" w:firstLine="422"/>
        <w:jc w:val="left"/>
        <w:rPr>
          <w:rFonts w:ascii="宋体" w:hAnsi="宋体" w:cs="宋体" w:eastAsia="宋体" w:hint="default"/>
          <w:sz w:val="21"/>
          <w:szCs w:val="21"/>
        </w:rPr>
      </w:pPr>
      <w:r>
        <w:rPr>
          <w:rFonts w:ascii="Microsoft JhengHei" w:hAnsi="Microsoft JhengHei" w:cs="Microsoft JhengHei" w:eastAsia="Microsoft JhengHei" w:hint="default"/>
          <w:b/>
          <w:bCs/>
          <w:w w:val="100"/>
          <w:sz w:val="21"/>
          <w:szCs w:val="21"/>
        </w:rPr>
        <w:t>（一</w:t>
      </w:r>
      <w:r>
        <w:rPr>
          <w:rFonts w:ascii="Microsoft JhengHei" w:hAnsi="Microsoft JhengHei" w:cs="Microsoft JhengHei" w:eastAsia="Microsoft JhengHei" w:hint="default"/>
          <w:b/>
          <w:bCs/>
          <w:spacing w:val="-5"/>
          <w:w w:val="100"/>
          <w:sz w:val="21"/>
          <w:szCs w:val="21"/>
        </w:rPr>
        <w:t>）</w:t>
      </w:r>
      <w:r>
        <w:rPr>
          <w:rFonts w:ascii="Microsoft JhengHei" w:hAnsi="Microsoft JhengHei" w:cs="Microsoft JhengHei" w:eastAsia="Microsoft JhengHei" w:hint="default"/>
          <w:b/>
          <w:bCs/>
          <w:w w:val="100"/>
          <w:sz w:val="21"/>
          <w:szCs w:val="21"/>
        </w:rPr>
        <w:t>关于股东与股东</w:t>
      </w:r>
      <w:r>
        <w:rPr>
          <w:rFonts w:ascii="Microsoft JhengHei" w:hAnsi="Microsoft JhengHei" w:cs="Microsoft JhengHei" w:eastAsia="Microsoft JhengHei" w:hint="default"/>
          <w:b/>
          <w:bCs/>
          <w:spacing w:val="-5"/>
          <w:w w:val="100"/>
          <w:sz w:val="21"/>
          <w:szCs w:val="21"/>
        </w:rPr>
        <w:t>大</w:t>
      </w:r>
      <w:r>
        <w:rPr>
          <w:rFonts w:ascii="Microsoft JhengHei" w:hAnsi="Microsoft JhengHei" w:cs="Microsoft JhengHei" w:eastAsia="Microsoft JhengHei" w:hint="default"/>
          <w:b/>
          <w:bCs/>
          <w:w w:val="100"/>
          <w:sz w:val="21"/>
          <w:szCs w:val="21"/>
        </w:rPr>
        <w:t>会</w:t>
      </w:r>
      <w:r>
        <w:rPr>
          <w:rFonts w:ascii="Microsoft JhengHei" w:hAnsi="Microsoft JhengHei" w:cs="Microsoft JhengHei" w:eastAsia="Microsoft JhengHei" w:hint="default"/>
          <w:b/>
          <w:bCs/>
          <w:spacing w:val="-5"/>
          <w:w w:val="100"/>
          <w:sz w:val="21"/>
          <w:szCs w:val="21"/>
        </w:rPr>
        <w:t>：</w:t>
      </w:r>
      <w:r>
        <w:rPr>
          <w:rFonts w:ascii="宋体" w:hAnsi="宋体" w:cs="宋体" w:eastAsia="宋体" w:hint="default"/>
          <w:spacing w:val="-5"/>
          <w:w w:val="100"/>
          <w:sz w:val="21"/>
          <w:szCs w:val="21"/>
        </w:rPr>
        <w:t>公</w:t>
      </w:r>
      <w:r>
        <w:rPr>
          <w:rFonts w:ascii="宋体" w:hAnsi="宋体" w:cs="宋体" w:eastAsia="宋体" w:hint="default"/>
          <w:w w:val="100"/>
          <w:sz w:val="21"/>
          <w:szCs w:val="21"/>
        </w:rPr>
        <w:t>司严格</w:t>
      </w:r>
      <w:r>
        <w:rPr>
          <w:rFonts w:ascii="宋体" w:hAnsi="宋体" w:cs="宋体" w:eastAsia="宋体" w:hint="default"/>
          <w:spacing w:val="-5"/>
          <w:w w:val="100"/>
          <w:sz w:val="21"/>
          <w:szCs w:val="21"/>
        </w:rPr>
        <w:t>按照《</w:t>
      </w:r>
      <w:r>
        <w:rPr>
          <w:rFonts w:ascii="宋体" w:hAnsi="宋体" w:cs="宋体" w:eastAsia="宋体" w:hint="default"/>
          <w:w w:val="100"/>
          <w:sz w:val="21"/>
          <w:szCs w:val="21"/>
        </w:rPr>
        <w:t>上市</w:t>
      </w:r>
      <w:r>
        <w:rPr>
          <w:rFonts w:ascii="宋体" w:hAnsi="宋体" w:cs="宋体" w:eastAsia="宋体" w:hint="default"/>
          <w:spacing w:val="-5"/>
          <w:w w:val="100"/>
          <w:sz w:val="21"/>
          <w:szCs w:val="21"/>
        </w:rPr>
        <w:t>公</w:t>
      </w:r>
      <w:r>
        <w:rPr>
          <w:rFonts w:ascii="宋体" w:hAnsi="宋体" w:cs="宋体" w:eastAsia="宋体" w:hint="default"/>
          <w:w w:val="100"/>
          <w:sz w:val="21"/>
          <w:szCs w:val="21"/>
        </w:rPr>
        <w:t>司股东大</w:t>
      </w:r>
      <w:r>
        <w:rPr>
          <w:rFonts w:ascii="宋体" w:hAnsi="宋体" w:cs="宋体" w:eastAsia="宋体" w:hint="default"/>
          <w:spacing w:val="-5"/>
          <w:w w:val="100"/>
          <w:sz w:val="21"/>
          <w:szCs w:val="21"/>
        </w:rPr>
        <w:t>会</w:t>
      </w:r>
      <w:r>
        <w:rPr>
          <w:rFonts w:ascii="宋体" w:hAnsi="宋体" w:cs="宋体" w:eastAsia="宋体" w:hint="default"/>
          <w:w w:val="100"/>
          <w:sz w:val="21"/>
          <w:szCs w:val="21"/>
        </w:rPr>
        <w:t>规则</w:t>
      </w:r>
      <w:r>
        <w:rPr>
          <w:rFonts w:ascii="宋体" w:hAnsi="宋体" w:cs="宋体" w:eastAsia="宋体" w:hint="default"/>
          <w:spacing w:val="-106"/>
          <w:w w:val="100"/>
          <w:sz w:val="21"/>
          <w:szCs w:val="21"/>
        </w:rPr>
        <w:t>》</w:t>
      </w:r>
      <w:r>
        <w:rPr>
          <w:rFonts w:ascii="宋体" w:hAnsi="宋体" w:cs="宋体" w:eastAsia="宋体" w:hint="default"/>
          <w:spacing w:val="-116"/>
          <w:w w:val="100"/>
          <w:sz w:val="21"/>
          <w:szCs w:val="21"/>
        </w:rPr>
        <w:t>、</w:t>
      </w:r>
      <w:r>
        <w:rPr>
          <w:rFonts w:ascii="宋体" w:hAnsi="宋体" w:cs="宋体" w:eastAsia="宋体" w:hint="default"/>
          <w:spacing w:val="-1"/>
          <w:w w:val="100"/>
          <w:sz w:val="21"/>
          <w:szCs w:val="21"/>
        </w:rPr>
        <w:t>《</w:t>
      </w:r>
      <w:r>
        <w:rPr>
          <w:rFonts w:ascii="宋体" w:hAnsi="宋体" w:cs="宋体" w:eastAsia="宋体" w:hint="default"/>
          <w:w w:val="100"/>
          <w:sz w:val="21"/>
          <w:szCs w:val="21"/>
        </w:rPr>
        <w:t>公司</w:t>
      </w:r>
      <w:r>
        <w:rPr>
          <w:rFonts w:ascii="宋体" w:hAnsi="宋体" w:cs="宋体" w:eastAsia="宋体" w:hint="default"/>
          <w:spacing w:val="-5"/>
          <w:w w:val="100"/>
          <w:sz w:val="21"/>
          <w:szCs w:val="21"/>
        </w:rPr>
        <w:t>章</w:t>
      </w:r>
      <w:r>
        <w:rPr>
          <w:rFonts w:ascii="宋体" w:hAnsi="宋体" w:cs="宋体" w:eastAsia="宋体" w:hint="default"/>
          <w:w w:val="100"/>
          <w:sz w:val="21"/>
          <w:szCs w:val="21"/>
        </w:rPr>
        <w:t>程</w:t>
      </w:r>
      <w:r>
        <w:rPr>
          <w:rFonts w:ascii="宋体" w:hAnsi="宋体" w:cs="宋体" w:eastAsia="宋体" w:hint="default"/>
          <w:spacing w:val="-106"/>
          <w:w w:val="100"/>
          <w:sz w:val="21"/>
          <w:szCs w:val="21"/>
        </w:rPr>
        <w:t>》</w:t>
      </w:r>
      <w:r>
        <w:rPr>
          <w:rFonts w:ascii="宋体" w:hAnsi="宋体" w:cs="宋体" w:eastAsia="宋体" w:hint="default"/>
          <w:spacing w:val="-116"/>
          <w:w w:val="100"/>
          <w:sz w:val="21"/>
          <w:szCs w:val="21"/>
        </w:rPr>
        <w:t>、</w:t>
      </w:r>
      <w:r>
        <w:rPr>
          <w:rFonts w:ascii="宋体" w:hAnsi="宋体" w:cs="宋体" w:eastAsia="宋体" w:hint="default"/>
          <w:spacing w:val="-1"/>
          <w:w w:val="100"/>
          <w:sz w:val="21"/>
          <w:szCs w:val="21"/>
        </w:rPr>
        <w:t>《</w:t>
      </w:r>
      <w:r>
        <w:rPr>
          <w:rFonts w:ascii="宋体" w:hAnsi="宋体" w:cs="宋体" w:eastAsia="宋体" w:hint="default"/>
          <w:w w:val="100"/>
          <w:sz w:val="21"/>
          <w:szCs w:val="21"/>
        </w:rPr>
        <w:t>股东</w:t>
      </w:r>
      <w:r>
        <w:rPr>
          <w:rFonts w:ascii="宋体" w:hAnsi="宋体" w:cs="宋体" w:eastAsia="宋体" w:hint="default"/>
          <w:spacing w:val="-5"/>
          <w:w w:val="100"/>
          <w:sz w:val="21"/>
          <w:szCs w:val="21"/>
        </w:rPr>
        <w:t>大</w:t>
      </w:r>
      <w:r>
        <w:rPr>
          <w:rFonts w:ascii="宋体" w:hAnsi="宋体" w:cs="宋体" w:eastAsia="宋体" w:hint="default"/>
          <w:w w:val="100"/>
          <w:sz w:val="21"/>
          <w:szCs w:val="21"/>
        </w:rPr>
        <w:t>会议事</w:t>
      </w:r>
    </w:p>
    <w:p>
      <w:pPr>
        <w:pStyle w:val="BodyText"/>
        <w:spacing w:line="405" w:lineRule="auto" w:before="171"/>
        <w:ind w:right="226"/>
        <w:jc w:val="both"/>
      </w:pPr>
      <w:r>
        <w:rPr>
          <w:spacing w:val="-2"/>
        </w:rPr>
        <w:t>规则》等规定和要求，规范地召集、召开股东大会，平等对待所有股东，并尽可能为股东参加股东大会提</w:t>
      </w:r>
      <w:r>
        <w:rPr>
          <w:spacing w:val="-40"/>
        </w:rPr>
        <w:t> </w:t>
      </w:r>
      <w:r>
        <w:rPr>
          <w:spacing w:val="-40"/>
        </w:rPr>
      </w:r>
      <w:r>
        <w:rPr/>
        <w:t>供便利，使其充分行使股东权利。</w:t>
      </w:r>
    </w:p>
    <w:p>
      <w:pPr>
        <w:spacing w:line="349" w:lineRule="exact" w:before="0"/>
        <w:ind w:left="152" w:right="111" w:firstLine="42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（二）关于公司与控股股东：</w:t>
      </w:r>
      <w:r>
        <w:rPr>
          <w:rFonts w:ascii="宋体" w:hAnsi="宋体" w:cs="宋体" w:eastAsia="宋体" w:hint="default"/>
          <w:sz w:val="21"/>
          <w:szCs w:val="21"/>
        </w:rPr>
        <w:t>公司控股股东严格规范自己的行为，没有超越股东大会直接或间接干预</w:t>
      </w:r>
    </w:p>
    <w:p>
      <w:pPr>
        <w:pStyle w:val="BodyText"/>
        <w:spacing w:line="410" w:lineRule="auto" w:before="167"/>
        <w:ind w:right="226"/>
        <w:jc w:val="both"/>
      </w:pPr>
      <w:r>
        <w:rPr>
          <w:spacing w:val="-2"/>
        </w:rPr>
        <w:t>公司的决策和经营活动。公司拥有独立完整的业务和自主经营能力，在业务、人员、资产、机构、财务上</w:t>
      </w:r>
      <w:r>
        <w:rPr>
          <w:spacing w:val="-40"/>
        </w:rPr>
        <w:t> </w:t>
      </w:r>
      <w:r>
        <w:rPr>
          <w:spacing w:val="-40"/>
        </w:rPr>
      </w:r>
      <w:r>
        <w:rPr/>
        <w:t>独立于控股股东，公司董事会、监事会和内部机构独立运作。</w:t>
      </w:r>
    </w:p>
    <w:p>
      <w:pPr>
        <w:spacing w:line="340" w:lineRule="exact" w:before="0"/>
        <w:ind w:left="152" w:right="111" w:firstLine="422"/>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（三）关于董事和董事会：</w:t>
      </w:r>
      <w:r>
        <w:rPr>
          <w:rFonts w:ascii="宋体" w:hAnsi="宋体" w:cs="宋体" w:eastAsia="宋体" w:hint="default"/>
          <w:sz w:val="21"/>
          <w:szCs w:val="21"/>
        </w:rPr>
        <w:t>公司董事会设董事</w:t>
      </w:r>
      <w:r>
        <w:rPr>
          <w:rFonts w:ascii="宋体" w:hAnsi="宋体" w:cs="宋体" w:eastAsia="宋体" w:hint="default"/>
          <w:spacing w:val="-46"/>
          <w:sz w:val="21"/>
          <w:szCs w:val="21"/>
        </w:rPr>
        <w:t> </w:t>
      </w:r>
      <w:r>
        <w:rPr>
          <w:rFonts w:ascii="Arial" w:hAnsi="Arial" w:cs="Arial" w:eastAsia="Arial" w:hint="default"/>
          <w:sz w:val="21"/>
          <w:szCs w:val="21"/>
        </w:rPr>
        <w:t>7</w:t>
      </w:r>
      <w:r>
        <w:rPr>
          <w:rFonts w:ascii="Arial" w:hAnsi="Arial" w:cs="Arial" w:eastAsia="Arial" w:hint="default"/>
          <w:spacing w:val="-1"/>
          <w:sz w:val="21"/>
          <w:szCs w:val="21"/>
        </w:rPr>
        <w:t> </w:t>
      </w:r>
      <w:r>
        <w:rPr>
          <w:rFonts w:ascii="宋体" w:hAnsi="宋体" w:cs="宋体" w:eastAsia="宋体" w:hint="default"/>
          <w:spacing w:val="-4"/>
          <w:sz w:val="21"/>
          <w:szCs w:val="21"/>
        </w:rPr>
        <w:t>名，其中独立董事</w:t>
      </w:r>
      <w:r>
        <w:rPr>
          <w:rFonts w:ascii="宋体" w:hAnsi="宋体" w:cs="宋体" w:eastAsia="宋体" w:hint="default"/>
          <w:spacing w:val="-46"/>
          <w:sz w:val="21"/>
          <w:szCs w:val="21"/>
        </w:rPr>
        <w:t> </w:t>
      </w:r>
      <w:r>
        <w:rPr>
          <w:rFonts w:ascii="Arial" w:hAnsi="Arial" w:cs="Arial" w:eastAsia="Arial" w:hint="default"/>
          <w:sz w:val="21"/>
          <w:szCs w:val="21"/>
        </w:rPr>
        <w:t>3</w:t>
      </w:r>
      <w:r>
        <w:rPr>
          <w:rFonts w:ascii="Arial" w:hAnsi="Arial" w:cs="Arial" w:eastAsia="Arial" w:hint="default"/>
          <w:spacing w:val="-1"/>
          <w:sz w:val="21"/>
          <w:szCs w:val="21"/>
        </w:rPr>
        <w:t> </w:t>
      </w:r>
      <w:r>
        <w:rPr>
          <w:rFonts w:ascii="宋体" w:hAnsi="宋体" w:cs="宋体" w:eastAsia="宋体" w:hint="default"/>
          <w:spacing w:val="-3"/>
          <w:sz w:val="21"/>
          <w:szCs w:val="21"/>
        </w:rPr>
        <w:t>名，董事会的人数及人员构成符</w:t>
      </w:r>
    </w:p>
    <w:p>
      <w:pPr>
        <w:pStyle w:val="BodyText"/>
        <w:spacing w:line="408" w:lineRule="auto" w:before="171"/>
        <w:ind w:right="222"/>
        <w:jc w:val="both"/>
      </w:pPr>
      <w:r>
        <w:rPr>
          <w:spacing w:val="-11"/>
          <w:w w:val="100"/>
        </w:rPr>
        <w:t>合法律、法规和《公司章程》的要求。各位董事能够依据《董事会议事规则》、《独立董事制度》、《深圳证</w:t>
      </w:r>
      <w:r>
        <w:rPr>
          <w:spacing w:val="-84"/>
          <w:w w:val="100"/>
        </w:rPr>
        <w:t> </w:t>
      </w:r>
      <w:r>
        <w:rPr>
          <w:spacing w:val="-84"/>
          <w:w w:val="100"/>
        </w:rPr>
      </w:r>
      <w:r>
        <w:rPr>
          <w:spacing w:val="-2"/>
        </w:rPr>
        <w:t>券交易所创业板上市公司规范运作指引》等开展工作，出席董事会和股东大会，勤勉尽责地履行职责和义</w:t>
      </w:r>
      <w:r>
        <w:rPr>
          <w:spacing w:val="-35"/>
        </w:rPr>
        <w:t> </w:t>
      </w:r>
      <w:r>
        <w:rPr>
          <w:spacing w:val="-35"/>
        </w:rPr>
      </w:r>
      <w:r>
        <w:rPr/>
        <w:t>务，同时积极参加相关培训，熟悉相关法律法规。</w:t>
      </w:r>
    </w:p>
    <w:p>
      <w:pPr>
        <w:spacing w:line="342" w:lineRule="exact" w:before="0"/>
        <w:ind w:left="575" w:right="111"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（四）关于监事和监事会：</w:t>
      </w:r>
      <w:r>
        <w:rPr>
          <w:rFonts w:ascii="宋体" w:hAnsi="宋体" w:cs="宋体" w:eastAsia="宋体" w:hint="default"/>
          <w:sz w:val="21"/>
          <w:szCs w:val="21"/>
        </w:rPr>
        <w:t>公司监事会设监事</w:t>
      </w:r>
      <w:r>
        <w:rPr>
          <w:rFonts w:ascii="宋体" w:hAnsi="宋体" w:cs="宋体" w:eastAsia="宋体" w:hint="default"/>
          <w:spacing w:val="-46"/>
          <w:sz w:val="21"/>
          <w:szCs w:val="21"/>
        </w:rPr>
        <w:t> </w:t>
      </w:r>
      <w:r>
        <w:rPr>
          <w:rFonts w:ascii="Arial" w:hAnsi="Arial" w:cs="Arial" w:eastAsia="Arial" w:hint="default"/>
          <w:sz w:val="21"/>
          <w:szCs w:val="21"/>
        </w:rPr>
        <w:t>3</w:t>
      </w:r>
      <w:r>
        <w:rPr>
          <w:rFonts w:ascii="Arial" w:hAnsi="Arial" w:cs="Arial" w:eastAsia="Arial" w:hint="default"/>
          <w:spacing w:val="-1"/>
          <w:sz w:val="21"/>
          <w:szCs w:val="21"/>
        </w:rPr>
        <w:t> </w:t>
      </w:r>
      <w:r>
        <w:rPr>
          <w:rFonts w:ascii="宋体" w:hAnsi="宋体" w:cs="宋体" w:eastAsia="宋体" w:hint="default"/>
          <w:spacing w:val="-4"/>
          <w:sz w:val="21"/>
          <w:szCs w:val="21"/>
        </w:rPr>
        <w:t>名，其中职工监事</w:t>
      </w:r>
      <w:r>
        <w:rPr>
          <w:rFonts w:ascii="宋体" w:hAnsi="宋体" w:cs="宋体" w:eastAsia="宋体" w:hint="default"/>
          <w:spacing w:val="-46"/>
          <w:sz w:val="21"/>
          <w:szCs w:val="21"/>
        </w:rPr>
        <w:t> </w:t>
      </w:r>
      <w:r>
        <w:rPr>
          <w:rFonts w:ascii="Arial" w:hAnsi="Arial" w:cs="Arial" w:eastAsia="Arial" w:hint="default"/>
          <w:sz w:val="21"/>
          <w:szCs w:val="21"/>
        </w:rPr>
        <w:t>1</w:t>
      </w:r>
      <w:r>
        <w:rPr>
          <w:rFonts w:ascii="Arial" w:hAnsi="Arial" w:cs="Arial" w:eastAsia="Arial" w:hint="default"/>
          <w:spacing w:val="-1"/>
          <w:sz w:val="21"/>
          <w:szCs w:val="21"/>
        </w:rPr>
        <w:t> </w:t>
      </w:r>
      <w:r>
        <w:rPr>
          <w:rFonts w:ascii="宋体" w:hAnsi="宋体" w:cs="宋体" w:eastAsia="宋体" w:hint="default"/>
          <w:spacing w:val="-3"/>
          <w:sz w:val="21"/>
          <w:szCs w:val="21"/>
        </w:rPr>
        <w:t>名，监事会的人数和构成符合法</w:t>
      </w:r>
    </w:p>
    <w:p>
      <w:pPr>
        <w:pStyle w:val="BodyText"/>
        <w:spacing w:line="405" w:lineRule="auto" w:before="171"/>
        <w:ind w:right="111"/>
        <w:jc w:val="left"/>
      </w:pPr>
      <w:r>
        <w:rPr>
          <w:spacing w:val="-4"/>
        </w:rPr>
        <w:t>律、法规的要求。各位监事能够按照《监事会议事规则》的要求，认真履行自己的职责，对公司重大事项、</w:t>
      </w:r>
      <w:r>
        <w:rPr>
          <w:spacing w:val="-46"/>
        </w:rPr>
        <w:t> </w:t>
      </w:r>
      <w:r>
        <w:rPr>
          <w:spacing w:val="-46"/>
        </w:rPr>
      </w:r>
      <w:r>
        <w:rPr/>
        <w:t>关联交易、财务状况以及董事、高管人员履行职责的合法合规性进行监督。</w:t>
      </w:r>
    </w:p>
    <w:p>
      <w:pPr>
        <w:spacing w:line="349" w:lineRule="exact" w:before="0"/>
        <w:ind w:left="575" w:right="111" w:firstLine="0"/>
        <w:jc w:val="left"/>
        <w:rPr>
          <w:rFonts w:ascii="宋体" w:hAnsi="宋体" w:cs="宋体" w:eastAsia="宋体" w:hint="default"/>
          <w:sz w:val="21"/>
          <w:szCs w:val="21"/>
        </w:rPr>
      </w:pPr>
      <w:r>
        <w:rPr>
          <w:rFonts w:ascii="Microsoft JhengHei" w:hAnsi="Microsoft JhengHei" w:cs="Microsoft JhengHei" w:eastAsia="Microsoft JhengHei" w:hint="default"/>
          <w:b/>
          <w:bCs/>
          <w:sz w:val="21"/>
          <w:szCs w:val="21"/>
        </w:rPr>
        <w:t>（五）关于绩效评价与激励约束机制：</w:t>
      </w:r>
      <w:r>
        <w:rPr>
          <w:rFonts w:ascii="宋体" w:hAnsi="宋体" w:cs="宋体" w:eastAsia="宋体" w:hint="default"/>
          <w:sz w:val="21"/>
          <w:szCs w:val="21"/>
        </w:rPr>
        <w:t>公司正逐步建立和完善公正、透明的高级管理人员的绩效考核</w:t>
      </w:r>
    </w:p>
    <w:p>
      <w:pPr>
        <w:pStyle w:val="BodyText"/>
        <w:spacing w:line="240" w:lineRule="auto" w:before="167"/>
        <w:ind w:right="0"/>
        <w:jc w:val="both"/>
      </w:pPr>
      <w:r>
        <w:rPr/>
        <w:t>标准和激励约束机制。高级管理人员的聘任公开、透明，符合法律、法规的规定。</w:t>
      </w:r>
    </w:p>
    <w:p>
      <w:pPr>
        <w:pStyle w:val="BodyText"/>
        <w:spacing w:line="350" w:lineRule="auto" w:before="128"/>
        <w:ind w:right="111" w:firstLine="422"/>
        <w:jc w:val="left"/>
      </w:pPr>
      <w:r>
        <w:rPr>
          <w:rFonts w:ascii="Microsoft JhengHei" w:hAnsi="Microsoft JhengHei" w:cs="Microsoft JhengHei" w:eastAsia="Microsoft JhengHei" w:hint="default"/>
          <w:b/>
          <w:bCs/>
          <w:spacing w:val="-7"/>
          <w:w w:val="100"/>
        </w:rPr>
        <w:t>（六）关于信息披露与透明度：</w:t>
      </w:r>
      <w:r>
        <w:rPr>
          <w:spacing w:val="-7"/>
          <w:w w:val="100"/>
        </w:rPr>
        <w:t>公司严格按照有关法律法规以及《信息披露制度》、《投资者关系管理</w:t>
      </w:r>
      <w:r>
        <w:rPr>
          <w:w w:val="100"/>
        </w:rPr>
        <w:t> </w:t>
      </w:r>
      <w:r>
        <w:rPr>
          <w:spacing w:val="-2"/>
        </w:rPr>
        <w:t>制度》等的要求，真实、准确、及时、公平、完整地披露有关信息；并指定公司董事会秘书负责信息披露</w:t>
      </w:r>
    </w:p>
    <w:p>
      <w:pPr>
        <w:pStyle w:val="BodyText"/>
        <w:spacing w:line="398" w:lineRule="auto" w:before="99"/>
        <w:ind w:right="222"/>
        <w:jc w:val="both"/>
      </w:pPr>
      <w:r>
        <w:rPr>
          <w:spacing w:val="-3"/>
        </w:rPr>
        <w:t>工作，协调公司与投资者的关系</w:t>
      </w:r>
      <w:r>
        <w:rPr>
          <w:rFonts w:ascii="Arial" w:hAnsi="Arial" w:cs="Arial" w:eastAsia="Arial" w:hint="default"/>
          <w:spacing w:val="-3"/>
        </w:rPr>
        <w:t>,</w:t>
      </w:r>
      <w:r>
        <w:rPr>
          <w:spacing w:val="-3"/>
        </w:rPr>
        <w:t>接待股东来访，回答投资者咨询，向投资者提供公司已披露的资料；并指</w:t>
      </w:r>
      <w:r>
        <w:rPr>
          <w:spacing w:val="-48"/>
        </w:rPr>
        <w:t> </w:t>
      </w:r>
      <w:r>
        <w:rPr>
          <w:spacing w:val="-48"/>
        </w:rPr>
      </w:r>
      <w:r>
        <w:rPr>
          <w:spacing w:val="-7"/>
          <w:w w:val="100"/>
        </w:rPr>
        <w:t>定《证券时报》、《中国证券报》和中国证监会指定的创业板信息披露网站为公司信息披露的指定报纸和网</w:t>
      </w:r>
      <w:r>
        <w:rPr>
          <w:spacing w:val="-65"/>
          <w:w w:val="100"/>
        </w:rPr>
        <w:t> </w:t>
      </w:r>
      <w:r>
        <w:rPr>
          <w:spacing w:val="-65"/>
          <w:w w:val="100"/>
        </w:rPr>
      </w:r>
      <w:r>
        <w:rPr/>
        <w:t>站，确保公司所有股东能够以平等的机会获得信息。</w:t>
      </w:r>
    </w:p>
    <w:p>
      <w:pPr>
        <w:spacing w:after="0" w:line="398" w:lineRule="auto"/>
        <w:jc w:val="both"/>
        <w:sectPr>
          <w:pgSz w:w="11900" w:h="16840"/>
          <w:pgMar w:header="742" w:footer="984" w:top="1060" w:bottom="1180" w:left="980" w:right="900"/>
        </w:sectPr>
      </w:pPr>
    </w:p>
    <w:p>
      <w:pPr>
        <w:spacing w:line="240" w:lineRule="auto" w:before="0"/>
        <w:rPr>
          <w:rFonts w:ascii="宋体" w:hAnsi="宋体" w:cs="宋体" w:eastAsia="宋体" w:hint="default"/>
          <w:sz w:val="20"/>
          <w:szCs w:val="20"/>
        </w:rPr>
      </w:pPr>
    </w:p>
    <w:p>
      <w:pPr>
        <w:pStyle w:val="BodyText"/>
        <w:spacing w:line="350" w:lineRule="auto" w:before="115"/>
        <w:ind w:right="0" w:firstLine="422"/>
        <w:jc w:val="left"/>
      </w:pPr>
      <w:r>
        <w:rPr>
          <w:rFonts w:ascii="Microsoft JhengHei" w:hAnsi="Microsoft JhengHei" w:cs="Microsoft JhengHei" w:eastAsia="Microsoft JhengHei" w:hint="default"/>
          <w:b/>
          <w:bCs/>
          <w:spacing w:val="-2"/>
        </w:rPr>
        <w:t>（七）关于相关利益者：</w:t>
      </w:r>
      <w:r>
        <w:rPr>
          <w:spacing w:val="-2"/>
        </w:rPr>
        <w:t>公司充分尊重和维护相关利益者的合法权益，实现股东、员工、社会等各方</w:t>
      </w:r>
      <w:r>
        <w:rPr>
          <w:w w:val="100"/>
        </w:rPr>
        <w:t> </w:t>
      </w:r>
      <w:r>
        <w:rPr/>
        <w:t>利益的协调平衡，共同推动公司持续、健康的发展。</w:t>
      </w:r>
    </w:p>
    <w:p>
      <w:pPr>
        <w:pStyle w:val="Heading4"/>
        <w:spacing w:line="240" w:lineRule="auto" w:before="32"/>
        <w:ind w:left="575" w:right="0"/>
        <w:jc w:val="left"/>
        <w:rPr>
          <w:b w:val="0"/>
          <w:bCs w:val="0"/>
        </w:rPr>
      </w:pPr>
      <w:r>
        <w:rPr/>
        <w:t>公司治理与《公司法》和中国证监会相关规定的要求是否存在差异</w:t>
      </w:r>
      <w:r>
        <w:rPr>
          <w:b w:val="0"/>
          <w:bCs w:val="0"/>
        </w:rPr>
      </w:r>
    </w:p>
    <w:p>
      <w:pPr>
        <w:pStyle w:val="BodyText"/>
        <w:spacing w:line="240" w:lineRule="auto" w:before="167"/>
        <w:ind w:left="575" w:right="0"/>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40"/>
        </w:rPr>
        <w:t> </w:t>
      </w:r>
      <w:r>
        <w:rPr/>
        <w:t>否</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t>二、报告期内召开的年度股东大会和临时股东大会的有关情况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390"/>
        <w:gridCol w:w="2395"/>
        <w:gridCol w:w="2390"/>
        <w:gridCol w:w="2390"/>
      </w:tblGrid>
      <w:tr>
        <w:trPr>
          <w:trHeight w:val="715"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823"/>
              <w:jc w:val="right"/>
              <w:rPr>
                <w:rFonts w:ascii="宋体" w:hAnsi="宋体" w:cs="宋体" w:eastAsia="宋体" w:hint="default"/>
                <w:sz w:val="18"/>
                <w:szCs w:val="18"/>
              </w:rPr>
            </w:pPr>
            <w:r>
              <w:rPr>
                <w:rFonts w:ascii="宋体" w:hAnsi="宋体" w:cs="宋体" w:eastAsia="宋体" w:hint="default"/>
                <w:spacing w:val="-2"/>
                <w:sz w:val="18"/>
                <w:szCs w:val="18"/>
              </w:rPr>
              <w:t>会议届次</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921" w:right="103" w:hanging="812"/>
              <w:jc w:val="left"/>
              <w:rPr>
                <w:rFonts w:ascii="宋体" w:hAnsi="宋体" w:cs="宋体" w:eastAsia="宋体" w:hint="default"/>
                <w:sz w:val="18"/>
                <w:szCs w:val="18"/>
              </w:rPr>
            </w:pPr>
            <w:r>
              <w:rPr>
                <w:rFonts w:ascii="宋体" w:hAnsi="宋体" w:cs="宋体" w:eastAsia="宋体" w:hint="default"/>
                <w:spacing w:val="-3"/>
                <w:sz w:val="18"/>
                <w:szCs w:val="18"/>
              </w:rPr>
              <w:t>会议决议刊登的指定网站查</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询索引</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99" w:right="103" w:hanging="989"/>
              <w:jc w:val="left"/>
              <w:rPr>
                <w:rFonts w:ascii="宋体" w:hAnsi="宋体" w:cs="宋体" w:eastAsia="宋体" w:hint="default"/>
                <w:sz w:val="18"/>
                <w:szCs w:val="18"/>
              </w:rPr>
            </w:pPr>
            <w:r>
              <w:rPr>
                <w:rFonts w:ascii="宋体" w:hAnsi="宋体" w:cs="宋体" w:eastAsia="宋体" w:hint="default"/>
                <w:spacing w:val="-3"/>
                <w:sz w:val="18"/>
                <w:szCs w:val="18"/>
              </w:rPr>
              <w:t>会议决议刊登的信息披露日</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期</w:t>
            </w: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pacing w:val="-3"/>
                <w:sz w:val="18"/>
                <w:szCs w:val="18"/>
              </w:rPr>
              <w:t>年度股东大会</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3" w:right="0"/>
              <w:jc w:val="left"/>
              <w:rPr>
                <w:rFonts w:ascii="Times New Roman" w:hAnsi="Times New Roman" w:cs="Times New Roman" w:eastAsia="Times New Roman" w:hint="default"/>
                <w:sz w:val="18"/>
                <w:szCs w:val="18"/>
              </w:rPr>
            </w:pPr>
            <w:hyperlink r:id="rId11">
              <w:r>
                <w:rPr>
                  <w:rFonts w:ascii="Times New Roman"/>
                  <w:spacing w:val="-3"/>
                  <w:sz w:val="18"/>
                </w:rPr>
                <w:t>www.cninfo.com.cn</w:t>
              </w:r>
            </w:hyperlink>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bl>
    <w:p>
      <w:pPr>
        <w:spacing w:line="240" w:lineRule="auto" w:before="8"/>
        <w:rPr>
          <w:rFonts w:ascii="Microsoft JhengHei" w:hAnsi="Microsoft JhengHei" w:cs="Microsoft JhengHei" w:eastAsia="Microsoft JhengHei" w:hint="default"/>
          <w:b/>
          <w:bCs/>
          <w:sz w:val="14"/>
          <w:szCs w:val="14"/>
        </w:rPr>
      </w:pPr>
    </w:p>
    <w:p>
      <w:pPr>
        <w:pStyle w:val="Heading4"/>
        <w:spacing w:line="335" w:lineRule="exact"/>
        <w:ind w:right="0"/>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390"/>
        <w:gridCol w:w="2395"/>
        <w:gridCol w:w="2390"/>
        <w:gridCol w:w="2390"/>
      </w:tblGrid>
      <w:tr>
        <w:trPr>
          <w:trHeight w:val="715"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921" w:right="103" w:hanging="812"/>
              <w:jc w:val="left"/>
              <w:rPr>
                <w:rFonts w:ascii="宋体" w:hAnsi="宋体" w:cs="宋体" w:eastAsia="宋体" w:hint="default"/>
                <w:sz w:val="18"/>
                <w:szCs w:val="18"/>
              </w:rPr>
            </w:pPr>
            <w:r>
              <w:rPr>
                <w:rFonts w:ascii="宋体" w:hAnsi="宋体" w:cs="宋体" w:eastAsia="宋体" w:hint="default"/>
                <w:spacing w:val="-3"/>
                <w:sz w:val="18"/>
                <w:szCs w:val="18"/>
              </w:rPr>
              <w:t>会议决议刊登的指定网站查</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询索引</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99" w:right="103" w:hanging="989"/>
              <w:jc w:val="left"/>
              <w:rPr>
                <w:rFonts w:ascii="宋体" w:hAnsi="宋体" w:cs="宋体" w:eastAsia="宋体" w:hint="default"/>
                <w:sz w:val="18"/>
                <w:szCs w:val="18"/>
              </w:rPr>
            </w:pPr>
            <w:r>
              <w:rPr>
                <w:rFonts w:ascii="宋体" w:hAnsi="宋体" w:cs="宋体" w:eastAsia="宋体" w:hint="default"/>
                <w:spacing w:val="-3"/>
                <w:sz w:val="18"/>
                <w:szCs w:val="18"/>
              </w:rPr>
              <w:t>会议决议刊登的信息披露日</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期</w:t>
            </w:r>
          </w:p>
        </w:tc>
      </w:tr>
      <w:tr>
        <w:trPr>
          <w:trHeight w:val="710"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1"/>
                <w:sz w:val="18"/>
                <w:szCs w:val="18"/>
              </w:rPr>
              <w:t> </w:t>
            </w:r>
            <w:r>
              <w:rPr>
                <w:rFonts w:ascii="宋体" w:hAnsi="宋体" w:cs="宋体" w:eastAsia="宋体" w:hint="default"/>
                <w:spacing w:val="-3"/>
                <w:sz w:val="18"/>
                <w:szCs w:val="18"/>
              </w:rPr>
              <w:t>年第一次临时股东大会</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3" w:right="0"/>
              <w:jc w:val="left"/>
              <w:rPr>
                <w:rFonts w:ascii="Times New Roman" w:hAnsi="Times New Roman" w:cs="Times New Roman" w:eastAsia="Times New Roman" w:hint="default"/>
                <w:sz w:val="18"/>
                <w:szCs w:val="18"/>
              </w:rPr>
            </w:pPr>
            <w:hyperlink r:id="rId11">
              <w:r>
                <w:rPr>
                  <w:rFonts w:ascii="Times New Roman"/>
                  <w:spacing w:val="-3"/>
                  <w:sz w:val="18"/>
                </w:rPr>
                <w:t>www.cninfo.com.cn</w:t>
              </w:r>
            </w:hyperlink>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bl>
    <w:p>
      <w:pPr>
        <w:spacing w:line="240" w:lineRule="auto" w:before="5"/>
        <w:rPr>
          <w:rFonts w:ascii="Microsoft JhengHei" w:hAnsi="Microsoft JhengHei" w:cs="Microsoft JhengHei" w:eastAsia="Microsoft JhengHei" w:hint="default"/>
          <w:b/>
          <w:bCs/>
          <w:sz w:val="13"/>
          <w:szCs w:val="13"/>
        </w:rPr>
      </w:pPr>
    </w:p>
    <w:p>
      <w:pPr>
        <w:pStyle w:val="Heading3"/>
        <w:spacing w:line="367" w:lineRule="exact"/>
        <w:ind w:right="0"/>
        <w:jc w:val="left"/>
        <w:rPr>
          <w:b w:val="0"/>
          <w:bCs w:val="0"/>
        </w:rPr>
      </w:pPr>
      <w:r>
        <w:rPr/>
        <w:t>三、报告期董事会召开情况</w:t>
      </w:r>
      <w:r>
        <w:rPr>
          <w:b w:val="0"/>
          <w:bCs w:val="0"/>
        </w:rPr>
      </w:r>
    </w:p>
    <w:p>
      <w:pPr>
        <w:spacing w:line="240" w:lineRule="auto" w:before="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390"/>
        <w:gridCol w:w="2395"/>
        <w:gridCol w:w="2390"/>
        <w:gridCol w:w="2390"/>
      </w:tblGrid>
      <w:tr>
        <w:trPr>
          <w:trHeight w:val="710"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921" w:right="103" w:hanging="812"/>
              <w:jc w:val="left"/>
              <w:rPr>
                <w:rFonts w:ascii="宋体" w:hAnsi="宋体" w:cs="宋体" w:eastAsia="宋体" w:hint="default"/>
                <w:sz w:val="18"/>
                <w:szCs w:val="18"/>
              </w:rPr>
            </w:pPr>
            <w:r>
              <w:rPr>
                <w:rFonts w:ascii="宋体" w:hAnsi="宋体" w:cs="宋体" w:eastAsia="宋体" w:hint="default"/>
                <w:spacing w:val="-3"/>
                <w:sz w:val="18"/>
                <w:szCs w:val="18"/>
              </w:rPr>
              <w:t>会议决议刊登的指定网站查</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询索引</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99" w:right="103" w:hanging="989"/>
              <w:jc w:val="left"/>
              <w:rPr>
                <w:rFonts w:ascii="宋体" w:hAnsi="宋体" w:cs="宋体" w:eastAsia="宋体" w:hint="default"/>
                <w:sz w:val="18"/>
                <w:szCs w:val="18"/>
              </w:rPr>
            </w:pPr>
            <w:r>
              <w:rPr>
                <w:rFonts w:ascii="宋体" w:hAnsi="宋体" w:cs="宋体" w:eastAsia="宋体" w:hint="default"/>
                <w:spacing w:val="-3"/>
                <w:sz w:val="18"/>
                <w:szCs w:val="18"/>
              </w:rPr>
              <w:t>会议决议刊登的信息披露日</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期</w:t>
            </w: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第二届董事会第十八次会议</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23"/>
              <w:ind w:left="23" w:right="0"/>
              <w:jc w:val="left"/>
              <w:rPr>
                <w:rFonts w:ascii="Times New Roman" w:hAnsi="Times New Roman" w:cs="Times New Roman" w:eastAsia="Times New Roman" w:hint="default"/>
                <w:sz w:val="18"/>
                <w:szCs w:val="18"/>
              </w:rPr>
            </w:pPr>
            <w:hyperlink r:id="rId11">
              <w:r>
                <w:rPr>
                  <w:rFonts w:ascii="Times New Roman"/>
                  <w:spacing w:val="-3"/>
                  <w:sz w:val="18"/>
                </w:rPr>
                <w:t>www.cninfo.com.cn</w:t>
              </w:r>
            </w:hyperlink>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第二届董事会第十九次会议</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23"/>
              <w:ind w:left="23" w:right="0"/>
              <w:jc w:val="left"/>
              <w:rPr>
                <w:rFonts w:ascii="Times New Roman" w:hAnsi="Times New Roman" w:cs="Times New Roman" w:eastAsia="Times New Roman" w:hint="default"/>
                <w:sz w:val="18"/>
                <w:szCs w:val="18"/>
              </w:rPr>
            </w:pPr>
            <w:hyperlink r:id="rId11">
              <w:r>
                <w:rPr>
                  <w:rFonts w:ascii="Times New Roman"/>
                  <w:spacing w:val="-3"/>
                  <w:sz w:val="18"/>
                </w:rPr>
                <w:t>www.cninfo.com.cn</w:t>
              </w:r>
            </w:hyperlink>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第二届董事会第二十次会议</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3" w:right="0"/>
              <w:jc w:val="left"/>
              <w:rPr>
                <w:rFonts w:ascii="Times New Roman" w:hAnsi="Times New Roman" w:cs="Times New Roman" w:eastAsia="Times New Roman" w:hint="default"/>
                <w:sz w:val="18"/>
                <w:szCs w:val="18"/>
              </w:rPr>
            </w:pPr>
            <w:hyperlink r:id="rId11">
              <w:r>
                <w:rPr>
                  <w:rFonts w:ascii="Times New Roman"/>
                  <w:spacing w:val="-3"/>
                  <w:sz w:val="18"/>
                </w:rPr>
                <w:t>www.cninfo.com.cn</w:t>
              </w:r>
            </w:hyperlink>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710"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第二届董事会第二十一次会</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议</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3" w:right="0"/>
              <w:jc w:val="left"/>
              <w:rPr>
                <w:rFonts w:ascii="Times New Roman" w:hAnsi="Times New Roman" w:cs="Times New Roman" w:eastAsia="Times New Roman" w:hint="default"/>
                <w:sz w:val="18"/>
                <w:szCs w:val="18"/>
              </w:rPr>
            </w:pPr>
            <w:hyperlink r:id="rId11">
              <w:r>
                <w:rPr>
                  <w:rFonts w:ascii="Times New Roman"/>
                  <w:spacing w:val="-3"/>
                  <w:sz w:val="18"/>
                </w:rPr>
                <w:t>www.cninfo.com.cn</w:t>
              </w:r>
            </w:hyperlink>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第二届董事会第二十二次会</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议</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23"/>
              <w:ind w:left="23" w:right="0"/>
              <w:jc w:val="left"/>
              <w:rPr>
                <w:rFonts w:ascii="Times New Roman" w:hAnsi="Times New Roman" w:cs="Times New Roman" w:eastAsia="Times New Roman" w:hint="default"/>
                <w:sz w:val="18"/>
                <w:szCs w:val="18"/>
              </w:rPr>
            </w:pPr>
            <w:hyperlink r:id="rId11">
              <w:r>
                <w:rPr>
                  <w:rFonts w:ascii="Times New Roman"/>
                  <w:spacing w:val="-3"/>
                  <w:sz w:val="18"/>
                </w:rPr>
                <w:t>www.cninfo.com.cn</w:t>
              </w:r>
            </w:hyperlink>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第三届董事会第一次会议</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23"/>
              <w:ind w:left="23" w:right="0"/>
              <w:jc w:val="left"/>
              <w:rPr>
                <w:rFonts w:ascii="Times New Roman" w:hAnsi="Times New Roman" w:cs="Times New Roman" w:eastAsia="Times New Roman" w:hint="default"/>
                <w:sz w:val="18"/>
                <w:szCs w:val="18"/>
              </w:rPr>
            </w:pPr>
            <w:hyperlink r:id="rId11">
              <w:r>
                <w:rPr>
                  <w:rFonts w:ascii="Times New Roman"/>
                  <w:spacing w:val="-3"/>
                  <w:sz w:val="18"/>
                </w:rPr>
                <w:t>www.cninfo.com.cn</w:t>
              </w:r>
            </w:hyperlink>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第三届董事会第二次会议</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3" w:right="0"/>
              <w:jc w:val="left"/>
              <w:rPr>
                <w:rFonts w:ascii="Times New Roman" w:hAnsi="Times New Roman" w:cs="Times New Roman" w:eastAsia="Times New Roman" w:hint="default"/>
                <w:sz w:val="18"/>
                <w:szCs w:val="18"/>
              </w:rPr>
            </w:pPr>
            <w:hyperlink r:id="rId11">
              <w:r>
                <w:rPr>
                  <w:rFonts w:ascii="Times New Roman"/>
                  <w:spacing w:val="-3"/>
                  <w:sz w:val="18"/>
                </w:rPr>
                <w:t>www.cninfo.com.cn</w:t>
              </w:r>
            </w:hyperlink>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00" w:h="16840"/>
          <w:pgMar w:header="742" w:footer="984" w:top="1060" w:bottom="1180" w:left="980" w:right="980"/>
        </w:sectPr>
      </w:pPr>
    </w:p>
    <w:p>
      <w:pPr>
        <w:spacing w:line="240" w:lineRule="auto" w:before="12"/>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2390"/>
        <w:gridCol w:w="2395"/>
        <w:gridCol w:w="2390"/>
        <w:gridCol w:w="2390"/>
      </w:tblGrid>
      <w:tr>
        <w:trPr>
          <w:trHeight w:val="715"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第三届董事会第三次会议</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18"/>
              <w:ind w:left="23" w:right="0"/>
              <w:jc w:val="left"/>
              <w:rPr>
                <w:rFonts w:ascii="Times New Roman" w:hAnsi="Times New Roman" w:cs="Times New Roman" w:eastAsia="Times New Roman" w:hint="default"/>
                <w:sz w:val="18"/>
                <w:szCs w:val="18"/>
              </w:rPr>
            </w:pPr>
            <w:hyperlink r:id="rId11">
              <w:r>
                <w:rPr>
                  <w:rFonts w:ascii="Times New Roman"/>
                  <w:spacing w:val="-3"/>
                  <w:sz w:val="18"/>
                </w:rPr>
                <w:t>www.cninfo.com.cn</w:t>
              </w:r>
            </w:hyperlink>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bl>
    <w:p>
      <w:pPr>
        <w:spacing w:line="240" w:lineRule="auto" w:before="5"/>
        <w:rPr>
          <w:rFonts w:ascii="Microsoft JhengHei" w:hAnsi="Microsoft JhengHei" w:cs="Microsoft JhengHei" w:eastAsia="Microsoft JhengHei" w:hint="default"/>
          <w:b/>
          <w:bCs/>
          <w:sz w:val="13"/>
          <w:szCs w:val="13"/>
        </w:rPr>
      </w:pPr>
    </w:p>
    <w:p>
      <w:pPr>
        <w:pStyle w:val="Heading3"/>
        <w:spacing w:line="367" w:lineRule="exact"/>
        <w:ind w:right="111"/>
        <w:jc w:val="left"/>
        <w:rPr>
          <w:b w:val="0"/>
          <w:bCs w:val="0"/>
        </w:rPr>
      </w:pPr>
      <w:r>
        <w:rPr/>
        <w:t>四、年度报告重大差错责任追究制度的建立与执行情况</w:t>
      </w:r>
      <w:r>
        <w:rPr>
          <w:b w:val="0"/>
          <w:bCs w:val="0"/>
        </w:rPr>
      </w:r>
    </w:p>
    <w:p>
      <w:pPr>
        <w:spacing w:line="240" w:lineRule="auto" w:before="15"/>
        <w:rPr>
          <w:rFonts w:ascii="Microsoft JhengHei" w:hAnsi="Microsoft JhengHei" w:cs="Microsoft JhengHei" w:eastAsia="Microsoft JhengHei" w:hint="default"/>
          <w:b/>
          <w:bCs/>
          <w:sz w:val="21"/>
          <w:szCs w:val="21"/>
        </w:rPr>
      </w:pPr>
    </w:p>
    <w:p>
      <w:pPr>
        <w:pStyle w:val="BodyText"/>
        <w:spacing w:line="400" w:lineRule="auto"/>
        <w:ind w:right="112" w:firstLine="422"/>
        <w:jc w:val="left"/>
      </w:pPr>
      <w:r>
        <w:rPr>
          <w:spacing w:val="-13"/>
          <w:w w:val="100"/>
        </w:rPr>
        <w:t>公司严格按照《公司法》、《上市公司信息披露管理办法》、《深圳证券交易所创业板股票上市交易规则》</w:t>
      </w:r>
      <w:r>
        <w:rPr>
          <w:w w:val="100"/>
        </w:rPr>
        <w:t> </w:t>
      </w:r>
      <w:r>
        <w:rPr>
          <w:spacing w:val="-12"/>
          <w:w w:val="100"/>
        </w:rPr>
        <w:t>等相关法律法规的规定，规范运作。公司经</w:t>
      </w:r>
      <w:r>
        <w:rPr>
          <w:spacing w:val="-52"/>
          <w:w w:val="100"/>
        </w:rPr>
        <w:t> </w:t>
      </w:r>
      <w:r>
        <w:rPr>
          <w:rFonts w:ascii="Arial" w:hAnsi="Arial" w:cs="Arial" w:eastAsia="Arial" w:hint="default"/>
          <w:spacing w:val="-6"/>
          <w:w w:val="100"/>
        </w:rPr>
        <w:t>2011</w:t>
      </w:r>
      <w:r>
        <w:rPr>
          <w:rFonts w:ascii="Arial" w:hAnsi="Arial" w:cs="Arial" w:eastAsia="Arial" w:hint="default"/>
          <w:spacing w:val="-8"/>
          <w:w w:val="100"/>
        </w:rPr>
        <w:t> </w:t>
      </w:r>
      <w:r>
        <w:rPr>
          <w:w w:val="100"/>
        </w:rPr>
        <w:t>年</w:t>
      </w:r>
      <w:r>
        <w:rPr>
          <w:spacing w:val="-52"/>
          <w:w w:val="100"/>
        </w:rPr>
        <w:t> </w:t>
      </w:r>
      <w:r>
        <w:rPr>
          <w:rFonts w:ascii="Arial" w:hAnsi="Arial" w:cs="Arial" w:eastAsia="Arial" w:hint="default"/>
          <w:w w:val="100"/>
        </w:rPr>
        <w:t>3</w:t>
      </w:r>
      <w:r>
        <w:rPr>
          <w:rFonts w:ascii="Arial" w:hAnsi="Arial" w:cs="Arial" w:eastAsia="Arial" w:hint="default"/>
          <w:spacing w:val="-12"/>
          <w:w w:val="100"/>
        </w:rPr>
        <w:t> </w:t>
      </w:r>
      <w:r>
        <w:rPr>
          <w:w w:val="100"/>
        </w:rPr>
        <w:t>月</w:t>
      </w:r>
      <w:r>
        <w:rPr>
          <w:spacing w:val="-52"/>
          <w:w w:val="100"/>
        </w:rPr>
        <w:t> </w:t>
      </w:r>
      <w:r>
        <w:rPr>
          <w:rFonts w:ascii="Arial" w:hAnsi="Arial" w:cs="Arial" w:eastAsia="Arial" w:hint="default"/>
          <w:spacing w:val="-2"/>
          <w:w w:val="100"/>
        </w:rPr>
        <w:t>28</w:t>
      </w:r>
      <w:r>
        <w:rPr>
          <w:rFonts w:ascii="Arial" w:hAnsi="Arial" w:cs="Arial" w:eastAsia="Arial" w:hint="default"/>
          <w:spacing w:val="-7"/>
          <w:w w:val="100"/>
        </w:rPr>
        <w:t> </w:t>
      </w:r>
      <w:r>
        <w:rPr>
          <w:spacing w:val="-6"/>
          <w:w w:val="100"/>
        </w:rPr>
        <w:t>日第一届董事会第二十一次会议审议通过了《上</w:t>
      </w:r>
      <w:r>
        <w:rPr>
          <w:spacing w:val="-101"/>
          <w:w w:val="100"/>
        </w:rPr>
        <w:t> </w:t>
      </w:r>
      <w:r>
        <w:rPr>
          <w:spacing w:val="-101"/>
          <w:w w:val="100"/>
        </w:rPr>
      </w:r>
      <w:r>
        <w:rPr>
          <w:spacing w:val="-2"/>
          <w:w w:val="100"/>
        </w:rPr>
        <w:t>海安诺其纺织化工股份有限公司年报信息重大差错责任追究制度》，对年报编制和披露的每一环节都进行</w:t>
      </w:r>
      <w:r>
        <w:rPr>
          <w:spacing w:val="-98"/>
          <w:w w:val="100"/>
        </w:rPr>
        <w:t> </w:t>
      </w:r>
      <w:r>
        <w:rPr>
          <w:spacing w:val="-98"/>
          <w:w w:val="100"/>
        </w:rPr>
      </w:r>
      <w:r>
        <w:rPr/>
        <w:t>规定，明确了参与编制和披露工作人员各自的责任。</w:t>
      </w:r>
      <w:r>
        <w:rPr>
          <w:rFonts w:ascii="Arial" w:hAnsi="Arial" w:cs="Arial" w:eastAsia="Arial" w:hint="default"/>
        </w:rPr>
        <w:t>2014 </w:t>
      </w:r>
      <w:r>
        <w:rPr/>
        <w:t>年，制度得到有效执行，对提高公司信息披露</w:t>
      </w:r>
      <w:r>
        <w:rPr>
          <w:spacing w:val="-86"/>
        </w:rPr>
        <w:t> </w:t>
      </w:r>
      <w:r>
        <w:rPr/>
        <w:t>质量起到了非常重大的作用。报告期内，公司未发生重大会计差错更正、重大遗漏信息补充以及业绩预告</w:t>
      </w:r>
      <w:r>
        <w:rPr>
          <w:w w:val="100"/>
        </w:rPr>
        <w:t> </w:t>
      </w:r>
      <w:r>
        <w:rPr/>
        <w:t>修正等情况。</w:t>
      </w:r>
    </w:p>
    <w:p>
      <w:pPr>
        <w:pStyle w:val="Heading3"/>
        <w:spacing w:line="240" w:lineRule="auto" w:before="164"/>
        <w:ind w:right="111"/>
        <w:jc w:val="left"/>
        <w:rPr>
          <w:b w:val="0"/>
          <w:bCs w:val="0"/>
        </w:rPr>
      </w:pPr>
      <w:r>
        <w:rPr/>
        <w:t>五、监事会工作情况</w:t>
      </w:r>
      <w:r>
        <w:rPr>
          <w:b w:val="0"/>
          <w:bCs w:val="0"/>
        </w:rPr>
      </w:r>
    </w:p>
    <w:p>
      <w:pPr>
        <w:spacing w:line="240" w:lineRule="auto" w:before="17"/>
        <w:rPr>
          <w:rFonts w:ascii="Microsoft JhengHei" w:hAnsi="Microsoft JhengHei" w:cs="Microsoft JhengHei" w:eastAsia="Microsoft JhengHei" w:hint="default"/>
          <w:b/>
          <w:bCs/>
          <w:sz w:val="17"/>
          <w:szCs w:val="17"/>
        </w:rPr>
      </w:pPr>
    </w:p>
    <w:p>
      <w:pPr>
        <w:pStyle w:val="Heading4"/>
        <w:spacing w:line="240" w:lineRule="auto"/>
        <w:ind w:left="575" w:right="111"/>
        <w:jc w:val="left"/>
        <w:rPr>
          <w:b w:val="0"/>
          <w:bCs w:val="0"/>
        </w:rPr>
      </w:pPr>
      <w:r>
        <w:rPr/>
        <w:t>监事会在报告期内的监督活动是否发现公司存在风险</w:t>
      </w:r>
      <w:r>
        <w:rPr>
          <w:b w:val="0"/>
          <w:bCs w:val="0"/>
        </w:rPr>
      </w:r>
    </w:p>
    <w:p>
      <w:pPr>
        <w:pStyle w:val="BodyText"/>
        <w:spacing w:line="405" w:lineRule="auto" w:before="171"/>
        <w:ind w:left="575" w:right="4453"/>
        <w:jc w:val="left"/>
      </w:pPr>
      <w:r>
        <w:rPr/>
        <w:t>□ 是 √ 否</w:t>
      </w:r>
      <w:r>
        <w:rPr>
          <w:spacing w:val="-101"/>
        </w:rPr>
        <w:t> </w:t>
      </w:r>
      <w:r>
        <w:rPr>
          <w:spacing w:val="-101"/>
        </w:rPr>
      </w:r>
      <w:r>
        <w:rPr>
          <w:spacing w:val="-2"/>
        </w:rPr>
        <w:t>公司监事会对报告期内的监督事项无异议。</w:t>
      </w:r>
    </w:p>
    <w:p>
      <w:pPr>
        <w:spacing w:after="0" w:line="405" w:lineRule="auto"/>
        <w:jc w:val="left"/>
        <w:sectPr>
          <w:pgSz w:w="11900" w:h="16840"/>
          <w:pgMar w:header="742" w:footer="984" w:top="1060" w:bottom="118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458" w:lineRule="exact"/>
        <w:ind w:right="144"/>
        <w:jc w:val="center"/>
        <w:rPr>
          <w:b w:val="0"/>
          <w:bCs w:val="0"/>
        </w:rPr>
      </w:pPr>
      <w:bookmarkStart w:name="_TOC_250001" w:id="9"/>
      <w:r>
        <w:rPr/>
        <w:t>第九节 </w:t>
      </w:r>
      <w:r>
        <w:rPr>
          <w:spacing w:val="8"/>
        </w:rPr>
        <w:t> </w:t>
      </w:r>
      <w:r>
        <w:rPr/>
        <w:t>财务报告</w:t>
      </w:r>
      <w:bookmarkEnd w:id="9"/>
      <w:r>
        <w:rPr>
          <w:b w:val="0"/>
          <w:bCs w:val="0"/>
        </w:rPr>
      </w:r>
    </w:p>
    <w:p>
      <w:pPr>
        <w:spacing w:line="240" w:lineRule="auto" w:before="3"/>
        <w:rPr>
          <w:rFonts w:ascii="Microsoft JhengHei" w:hAnsi="Microsoft JhengHei" w:cs="Microsoft JhengHei" w:eastAsia="Microsoft JhengHei" w:hint="default"/>
          <w:b/>
          <w:bCs/>
          <w:sz w:val="25"/>
          <w:szCs w:val="25"/>
        </w:rPr>
      </w:pPr>
    </w:p>
    <w:p>
      <w:pPr>
        <w:pStyle w:val="Heading3"/>
        <w:spacing w:line="367" w:lineRule="exact"/>
        <w:ind w:right="0"/>
        <w:jc w:val="left"/>
        <w:rPr>
          <w:b w:val="0"/>
          <w:bCs w:val="0"/>
        </w:rPr>
      </w:pPr>
      <w:r>
        <w:rPr/>
        <w:t>一、审计报告</w:t>
      </w:r>
      <w:r>
        <w:rPr>
          <w:b w:val="0"/>
          <w:bCs w:val="0"/>
        </w:rPr>
      </w:r>
    </w:p>
    <w:p>
      <w:pPr>
        <w:spacing w:line="240" w:lineRule="auto" w:before="5"/>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1"/>
        <w:gridCol w:w="4786"/>
      </w:tblGrid>
      <w:tr>
        <w:trPr>
          <w:trHeight w:val="398"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标准无保留审计意见</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众华会计师事务所（特殊普通合伙）</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众会字（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398"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注册会计师姓名</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陆士敏、蒯薏苡</w:t>
            </w:r>
          </w:p>
        </w:tc>
      </w:tr>
    </w:tbl>
    <w:p>
      <w:pPr>
        <w:pStyle w:val="BodyText"/>
        <w:spacing w:line="240" w:lineRule="auto" w:before="66"/>
        <w:ind w:left="141" w:right="141"/>
        <w:jc w:val="center"/>
      </w:pPr>
      <w:r>
        <w:rPr/>
        <w:t>审计报告正文</w:t>
      </w:r>
    </w:p>
    <w:p>
      <w:pPr>
        <w:spacing w:line="240" w:lineRule="auto" w:before="2"/>
        <w:rPr>
          <w:rFonts w:ascii="宋体" w:hAnsi="宋体" w:cs="宋体" w:eastAsia="宋体" w:hint="default"/>
          <w:sz w:val="12"/>
          <w:szCs w:val="12"/>
        </w:rPr>
      </w:pPr>
    </w:p>
    <w:p>
      <w:pPr>
        <w:pStyle w:val="BodyText"/>
        <w:spacing w:line="405" w:lineRule="auto" w:before="36"/>
        <w:ind w:left="575" w:right="0" w:hanging="423"/>
        <w:jc w:val="left"/>
      </w:pPr>
      <w:r>
        <w:rPr/>
        <w:t>上海安诺其集团股份有限公司全体股东：</w:t>
      </w:r>
      <w:r>
        <w:rPr>
          <w:w w:val="100"/>
        </w:rPr>
        <w:t> </w:t>
      </w:r>
      <w:r>
        <w:rPr>
          <w:spacing w:val="-2"/>
        </w:rPr>
        <w:t>我们审计了后附的上海安诺其集团股份有限公司（以下简称上海安诺其股份）合并及公司财务报表，</w:t>
      </w:r>
    </w:p>
    <w:p>
      <w:pPr>
        <w:pStyle w:val="BodyText"/>
        <w:spacing w:line="386" w:lineRule="auto" w:before="50"/>
        <w:ind w:right="0"/>
        <w:jc w:val="left"/>
      </w:pPr>
      <w:r>
        <w:rPr/>
        <w:t>包括</w:t>
      </w:r>
      <w:r>
        <w:rPr>
          <w:spacing w:val="-37"/>
        </w:rPr>
        <w:t> </w:t>
      </w:r>
      <w:r>
        <w:rPr>
          <w:rFonts w:ascii="Arial" w:hAnsi="Arial" w:cs="Arial" w:eastAsia="Arial" w:hint="default"/>
          <w:spacing w:val="-3"/>
        </w:rPr>
        <w:t>2014</w:t>
      </w:r>
      <w:r>
        <w:rPr>
          <w:rFonts w:ascii="Arial" w:hAnsi="Arial" w:cs="Arial" w:eastAsia="Arial" w:hint="default"/>
          <w:spacing w:val="7"/>
        </w:rPr>
        <w:t> </w:t>
      </w:r>
      <w:r>
        <w:rPr/>
        <w:t>年</w:t>
      </w:r>
      <w:r>
        <w:rPr>
          <w:spacing w:val="-37"/>
        </w:rPr>
        <w:t> </w:t>
      </w:r>
      <w:r>
        <w:rPr>
          <w:rFonts w:ascii="Arial" w:hAnsi="Arial" w:cs="Arial" w:eastAsia="Arial" w:hint="default"/>
        </w:rPr>
        <w:t>12</w:t>
      </w:r>
      <w:r>
        <w:rPr>
          <w:rFonts w:ascii="Arial" w:hAnsi="Arial" w:cs="Arial" w:eastAsia="Arial" w:hint="default"/>
          <w:spacing w:val="7"/>
        </w:rPr>
        <w:t> </w:t>
      </w:r>
      <w:r>
        <w:rPr/>
        <w:t>月</w:t>
      </w:r>
      <w:r>
        <w:rPr>
          <w:spacing w:val="-37"/>
        </w:rPr>
        <w:t> </w:t>
      </w:r>
      <w:r>
        <w:rPr>
          <w:rFonts w:ascii="Arial" w:hAnsi="Arial" w:cs="Arial" w:eastAsia="Arial" w:hint="default"/>
        </w:rPr>
        <w:t>31</w:t>
      </w:r>
      <w:r>
        <w:rPr>
          <w:rFonts w:ascii="Arial" w:hAnsi="Arial" w:cs="Arial" w:eastAsia="Arial" w:hint="default"/>
          <w:spacing w:val="7"/>
        </w:rPr>
        <w:t> </w:t>
      </w:r>
      <w:r>
        <w:rPr/>
        <w:t>日的合并及公司资产负债表，</w:t>
      </w:r>
      <w:r>
        <w:rPr>
          <w:rFonts w:ascii="Arial" w:hAnsi="Arial" w:cs="Arial" w:eastAsia="Arial" w:hint="default"/>
        </w:rPr>
        <w:t>2014</w:t>
      </w:r>
      <w:r>
        <w:rPr>
          <w:rFonts w:ascii="Arial" w:hAnsi="Arial" w:cs="Arial" w:eastAsia="Arial" w:hint="default"/>
          <w:spacing w:val="7"/>
        </w:rPr>
        <w:t> </w:t>
      </w:r>
      <w:r>
        <w:rPr/>
        <w:t>年度的合并及公司利润表、合并及公司现金流</w:t>
      </w:r>
      <w:r>
        <w:rPr>
          <w:w w:val="100"/>
        </w:rPr>
        <w:t> </w:t>
      </w:r>
      <w:r>
        <w:rPr/>
        <w:t>量表、合并股东权益变动表及公司股东权益变动表以及财务报表附注。</w:t>
      </w:r>
    </w:p>
    <w:p>
      <w:pPr>
        <w:pStyle w:val="BodyText"/>
        <w:spacing w:line="405" w:lineRule="auto" w:before="67"/>
        <w:ind w:left="575" w:right="0"/>
        <w:jc w:val="left"/>
      </w:pPr>
      <w:r>
        <w:rPr/>
        <w:t>一、管理层对合并及公司财务报表的责任</w:t>
      </w:r>
      <w:r>
        <w:rPr>
          <w:w w:val="100"/>
        </w:rPr>
        <w:t> </w:t>
      </w:r>
      <w:r>
        <w:rPr>
          <w:spacing w:val="-5"/>
          <w:w w:val="100"/>
        </w:rPr>
        <w:t>编制和公允列报财务报表是上海安诺其股份管理层的责任，这种责任包括：（</w:t>
      </w:r>
      <w:r>
        <w:rPr>
          <w:rFonts w:ascii="Arial" w:hAnsi="Arial" w:cs="Arial" w:eastAsia="Arial" w:hint="default"/>
          <w:spacing w:val="-5"/>
          <w:w w:val="100"/>
        </w:rPr>
        <w:t>1</w:t>
      </w:r>
      <w:r>
        <w:rPr>
          <w:spacing w:val="-5"/>
          <w:w w:val="100"/>
        </w:rPr>
        <w:t>）按照企业会计准则的</w:t>
      </w:r>
    </w:p>
    <w:p>
      <w:pPr>
        <w:pStyle w:val="BodyText"/>
        <w:spacing w:line="386" w:lineRule="auto" w:before="18"/>
        <w:ind w:right="0"/>
        <w:jc w:val="left"/>
      </w:pPr>
      <w:r>
        <w:rPr>
          <w:spacing w:val="-5"/>
          <w:w w:val="100"/>
        </w:rPr>
        <w:t>规定编制财务报表，并使其实现公允反映；（</w:t>
      </w:r>
      <w:r>
        <w:rPr>
          <w:rFonts w:ascii="Arial" w:hAnsi="Arial" w:cs="Arial" w:eastAsia="Arial" w:hint="default"/>
          <w:spacing w:val="-5"/>
          <w:w w:val="100"/>
        </w:rPr>
        <w:t>2</w:t>
      </w:r>
      <w:r>
        <w:rPr>
          <w:spacing w:val="-5"/>
          <w:w w:val="100"/>
        </w:rPr>
        <w:t>）设计、执行和维护必要的内部控制，以使财务报表不存在</w:t>
      </w:r>
      <w:r>
        <w:rPr>
          <w:spacing w:val="-70"/>
          <w:w w:val="100"/>
        </w:rPr>
        <w:t> </w:t>
      </w:r>
      <w:r>
        <w:rPr>
          <w:spacing w:val="-70"/>
          <w:w w:val="100"/>
        </w:rPr>
      </w:r>
      <w:r>
        <w:rPr/>
        <w:t>由于舞弊或错误导致的重大错报。</w:t>
      </w:r>
    </w:p>
    <w:p>
      <w:pPr>
        <w:pStyle w:val="BodyText"/>
        <w:spacing w:line="405" w:lineRule="auto" w:before="67"/>
        <w:ind w:left="575" w:right="0"/>
        <w:jc w:val="left"/>
      </w:pPr>
      <w:r>
        <w:rPr/>
        <w:t>二、注册会计师的责任</w:t>
      </w:r>
      <w:r>
        <w:rPr>
          <w:w w:val="100"/>
        </w:rPr>
        <w:t> </w:t>
      </w:r>
      <w:r>
        <w:rPr>
          <w:spacing w:val="-2"/>
        </w:rPr>
        <w:t>我们的责任是在执行审计工作的基础上对财务报表发表审计意见。我们按照中国注册会计师审计准则</w:t>
      </w:r>
    </w:p>
    <w:p>
      <w:pPr>
        <w:pStyle w:val="BodyText"/>
        <w:spacing w:line="405" w:lineRule="auto" w:before="50"/>
        <w:ind w:right="0"/>
        <w:jc w:val="left"/>
      </w:pPr>
      <w:r>
        <w:rPr>
          <w:spacing w:val="-2"/>
        </w:rPr>
        <w:t>的规定执行了审计工作。中国注册会计师审计准则要求我们遵守中国注册会计师职业道德守则，计划和执</w:t>
      </w:r>
      <w:r>
        <w:rPr>
          <w:spacing w:val="-35"/>
        </w:rPr>
        <w:t> </w:t>
      </w:r>
      <w:r>
        <w:rPr>
          <w:spacing w:val="-35"/>
        </w:rPr>
      </w:r>
      <w:r>
        <w:rPr/>
        <w:t>行审计工作以对财务报表是否不存在重大错报获取合理保证。</w:t>
      </w:r>
    </w:p>
    <w:p>
      <w:pPr>
        <w:pStyle w:val="BodyText"/>
        <w:spacing w:line="408" w:lineRule="auto" w:before="50"/>
        <w:ind w:right="142" w:firstLine="422"/>
        <w:jc w:val="both"/>
      </w:pPr>
      <w:r>
        <w:rPr>
          <w:spacing w:val="-2"/>
        </w:rPr>
        <w:t>审计工作涉及实施审计程序，以获取有关财务报表金额和披露的审计证据。选择的审计程序取决于注</w:t>
      </w:r>
      <w:r>
        <w:rPr>
          <w:w w:val="100"/>
        </w:rPr>
        <w:t> </w:t>
      </w:r>
      <w:r>
        <w:rPr>
          <w:spacing w:val="-2"/>
        </w:rPr>
        <w:t>册会计师的判断，包括对由于舞弊或错误导致的财务报表重大错报风险的评估。在进行风险评估时，注册</w:t>
      </w:r>
      <w:r>
        <w:rPr>
          <w:spacing w:val="-35"/>
        </w:rPr>
        <w:t> </w:t>
      </w:r>
      <w:r>
        <w:rPr>
          <w:spacing w:val="-35"/>
        </w:rPr>
      </w:r>
      <w:r>
        <w:rPr>
          <w:spacing w:val="-2"/>
        </w:rPr>
        <w:t>会计师考虑与财务报表编制和公允列报相关的内部控制，以设计恰当的审计程序，但目的并非对内部控制</w:t>
      </w:r>
      <w:r>
        <w:rPr>
          <w:spacing w:val="-35"/>
        </w:rPr>
        <w:t> </w:t>
      </w:r>
      <w:r>
        <w:rPr>
          <w:spacing w:val="-35"/>
        </w:rPr>
      </w:r>
      <w:r>
        <w:rPr>
          <w:spacing w:val="-2"/>
        </w:rPr>
        <w:t>的有效性发表意见。审计工作还包括评价管理层选用会计政策的恰当性和作出会计估计的合理性，以及评</w:t>
      </w:r>
      <w:r>
        <w:rPr>
          <w:spacing w:val="-35"/>
        </w:rPr>
        <w:t> </w:t>
      </w:r>
      <w:r>
        <w:rPr>
          <w:spacing w:val="-35"/>
        </w:rPr>
      </w:r>
      <w:r>
        <w:rPr/>
        <w:t>价财务报表的总体列报。</w:t>
      </w:r>
    </w:p>
    <w:p>
      <w:pPr>
        <w:pStyle w:val="BodyText"/>
        <w:spacing w:line="410" w:lineRule="auto" w:before="43"/>
        <w:ind w:left="575" w:right="1568"/>
        <w:jc w:val="left"/>
      </w:pPr>
      <w:r>
        <w:rPr>
          <w:spacing w:val="-2"/>
        </w:rPr>
        <w:t>我们相信，我们获取的审计证据是充分、适当的，为发表审计意见提供了基础。</w:t>
      </w:r>
      <w:r>
        <w:rPr>
          <w:spacing w:val="-35"/>
        </w:rPr>
        <w:t> </w:t>
      </w:r>
      <w:r>
        <w:rPr>
          <w:spacing w:val="-35"/>
        </w:rPr>
      </w:r>
      <w:r>
        <w:rPr/>
        <w:t>三、审计意见</w:t>
      </w:r>
    </w:p>
    <w:p>
      <w:pPr>
        <w:pStyle w:val="BodyText"/>
        <w:spacing w:line="240" w:lineRule="auto" w:before="41"/>
        <w:ind w:left="575" w:right="0"/>
        <w:jc w:val="left"/>
      </w:pPr>
      <w:r>
        <w:rPr/>
        <w:t>我们认为，上海安诺其股份财务报表在所有重大方面按照企业会计准则的规定编制，公允反映了上海</w:t>
      </w:r>
    </w:p>
    <w:p>
      <w:pPr>
        <w:spacing w:after="0" w:line="240" w:lineRule="auto"/>
        <w:jc w:val="left"/>
        <w:sectPr>
          <w:pgSz w:w="11900" w:h="16840"/>
          <w:pgMar w:header="742" w:footer="984" w:top="1060" w:bottom="118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86" w:lineRule="auto"/>
        <w:ind w:right="0"/>
        <w:jc w:val="left"/>
      </w:pPr>
      <w:r>
        <w:rPr/>
        <w:t>安诺其股份</w:t>
      </w:r>
      <w:r>
        <w:rPr>
          <w:spacing w:val="-45"/>
        </w:rPr>
        <w:t> </w:t>
      </w:r>
      <w:r>
        <w:rPr>
          <w:rFonts w:ascii="Arial" w:hAnsi="Arial" w:cs="Arial" w:eastAsia="Arial" w:hint="default"/>
          <w:spacing w:val="-3"/>
        </w:rPr>
        <w:t>2014</w:t>
      </w:r>
      <w:r>
        <w:rPr>
          <w:rFonts w:ascii="Arial" w:hAnsi="Arial" w:cs="Arial" w:eastAsia="Arial" w:hint="default"/>
          <w:spacing w:val="-1"/>
        </w:rPr>
        <w:t> </w:t>
      </w:r>
      <w:r>
        <w:rPr/>
        <w:t>年</w:t>
      </w:r>
      <w:r>
        <w:rPr>
          <w:spacing w:val="-45"/>
        </w:rPr>
        <w:t> </w:t>
      </w:r>
      <w:r>
        <w:rPr>
          <w:rFonts w:ascii="Arial" w:hAnsi="Arial" w:cs="Arial" w:eastAsia="Arial" w:hint="default"/>
        </w:rPr>
        <w:t>12</w:t>
      </w:r>
      <w:r>
        <w:rPr>
          <w:rFonts w:ascii="Arial" w:hAnsi="Arial" w:cs="Arial" w:eastAsia="Arial" w:hint="default"/>
          <w:spacing w:val="-1"/>
        </w:rPr>
        <w:t> </w:t>
      </w:r>
      <w:r>
        <w:rPr/>
        <w:t>月</w:t>
      </w:r>
      <w:r>
        <w:rPr>
          <w:spacing w:val="-45"/>
        </w:rPr>
        <w:t> </w:t>
      </w:r>
      <w:r>
        <w:rPr>
          <w:rFonts w:ascii="Arial" w:hAnsi="Arial" w:cs="Arial" w:eastAsia="Arial" w:hint="default"/>
        </w:rPr>
        <w:t>31 </w:t>
      </w:r>
      <w:r>
        <w:rPr/>
        <w:t>日的合并及公司财务状况以及</w:t>
      </w:r>
      <w:r>
        <w:rPr>
          <w:spacing w:val="-45"/>
        </w:rPr>
        <w:t> </w:t>
      </w:r>
      <w:r>
        <w:rPr>
          <w:rFonts w:ascii="Arial" w:hAnsi="Arial" w:cs="Arial" w:eastAsia="Arial" w:hint="default"/>
          <w:spacing w:val="-3"/>
        </w:rPr>
        <w:t>2014</w:t>
      </w:r>
      <w:r>
        <w:rPr>
          <w:rFonts w:ascii="Arial" w:hAnsi="Arial" w:cs="Arial" w:eastAsia="Arial" w:hint="default"/>
          <w:spacing w:val="-1"/>
        </w:rPr>
        <w:t> </w:t>
      </w:r>
      <w:r>
        <w:rPr/>
        <w:t>年度的合并及公司经营成果和合并及公</w:t>
      </w:r>
      <w:r>
        <w:rPr>
          <w:w w:val="100"/>
        </w:rPr>
        <w:t> </w:t>
      </w:r>
      <w:r>
        <w:rPr/>
        <w:t>司现金流量。</w:t>
      </w:r>
    </w:p>
    <w:p>
      <w:pPr>
        <w:spacing w:line="240" w:lineRule="auto" w:before="12"/>
        <w:rPr>
          <w:rFonts w:ascii="宋体" w:hAnsi="宋体" w:cs="宋体" w:eastAsia="宋体" w:hint="default"/>
          <w:sz w:val="13"/>
          <w:szCs w:val="13"/>
        </w:rPr>
      </w:pPr>
    </w:p>
    <w:p>
      <w:pPr>
        <w:pStyle w:val="Heading3"/>
        <w:spacing w:line="240" w:lineRule="auto"/>
        <w:ind w:right="0"/>
        <w:jc w:val="left"/>
        <w:rPr>
          <w:b w:val="0"/>
          <w:bCs w:val="0"/>
        </w:rPr>
      </w:pPr>
      <w:r>
        <w:rPr/>
        <w:t>二、财务报表</w:t>
      </w:r>
      <w:r>
        <w:rPr>
          <w:b w:val="0"/>
          <w:bCs w:val="0"/>
        </w:rPr>
      </w:r>
    </w:p>
    <w:p>
      <w:pPr>
        <w:spacing w:line="240" w:lineRule="auto" w:before="15"/>
        <w:rPr>
          <w:rFonts w:ascii="Microsoft JhengHei" w:hAnsi="Microsoft JhengHei" w:cs="Microsoft JhengHei" w:eastAsia="Microsoft JhengHei" w:hint="default"/>
          <w:b/>
          <w:bCs/>
          <w:sz w:val="21"/>
          <w:szCs w:val="21"/>
        </w:rPr>
      </w:pPr>
    </w:p>
    <w:p>
      <w:pPr>
        <w:pStyle w:val="BodyText"/>
        <w:spacing w:line="240" w:lineRule="auto"/>
        <w:ind w:left="575" w:right="0"/>
        <w:jc w:val="left"/>
      </w:pPr>
      <w:r>
        <w:rPr/>
        <w:t>财务附注中报表的单位为：人民币元</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编制单位：上海安诺其集团股份有限公司</w:t>
      </w:r>
    </w:p>
    <w:p>
      <w:pPr>
        <w:spacing w:before="115"/>
        <w:ind w:left="0" w:right="146"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298"/>
      </w:tblGrid>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120,457,682.88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197,993,891.93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期损益的金融资产</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121,277,300.19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61,851,797.84</w:t>
            </w: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146,246,853.40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137,652,594.98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29,882,606.87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25,663,332.37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382,794.97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4,792,402.13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7,517,985.81</w:t>
            </w: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194,219,342.33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156,171,223.40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616,876,187.80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587,233,621.30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发放贷款及垫款</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2" w:footer="984"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298"/>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223,057,708.08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215,165,239.52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113,620,874.61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25,814,118.12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1,378,872.38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783,355.07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33,901,473.84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25,470,548.57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9,889,158.17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9,889,158.17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116,666.76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3,398,989.52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2,652,402.66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24,810,276.00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23,000,000.00</w:t>
            </w: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410,057,352.60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302,891,488.87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1,026,933,540.40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890,125,110.17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25,000,000.00</w:t>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38"/>
              <w:jc w:val="righ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期损益的金融负债</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22,000,000.00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33,459,504.63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47,495,856.83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7,280,297.69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2,544,071.73</w:t>
            </w: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38"/>
              <w:jc w:val="righ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10,546,137.56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4,156,576.87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4,457,977.86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-2,506,719.98</w:t>
            </w:r>
          </w:p>
        </w:tc>
      </w:tr>
    </w:tbl>
    <w:p>
      <w:pPr>
        <w:spacing w:after="0" w:line="240" w:lineRule="auto"/>
        <w:jc w:val="right"/>
        <w:rPr>
          <w:rFonts w:ascii="Times New Roman" w:hAnsi="Times New Roman" w:cs="Times New Roman" w:eastAsia="Times New Roman" w:hint="default"/>
          <w:sz w:val="18"/>
          <w:szCs w:val="18"/>
        </w:rPr>
        <w:sectPr>
          <w:pgSz w:w="11900" w:h="16840"/>
          <w:pgMar w:header="742" w:footer="984"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298"/>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26,169,793.59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10,358,985.72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128,913,711.33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87,048,771.17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2,513,122.92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2,664,576.50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2,513,122.92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2,664,576.50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131,426,834.25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89,713,347.67</w:t>
            </w: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329,162,000.00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163,566,000.00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343,386,410.61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494,511,110.61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8,053,356.00</w:t>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2" w:footer="984"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6"/>
        <w:gridCol w:w="3302"/>
        <w:gridCol w:w="3298"/>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20,572,016.30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14,740,519.31</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194,800,164.08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116,116,818.36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879,867,234.99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788,934,448.28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15,639,471.16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11,477,314.22</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895,506,706.15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800,411,762.50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1,026,933,540.40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890,125,110.17</w:t>
            </w:r>
          </w:p>
        </w:tc>
      </w:tr>
    </w:tbl>
    <w:p>
      <w:pPr>
        <w:spacing w:line="240" w:lineRule="auto" w:before="2"/>
        <w:rPr>
          <w:rFonts w:ascii="Times New Roman" w:hAnsi="Times New Roman" w:cs="Times New Roman" w:eastAsia="Times New Roman" w:hint="default"/>
          <w:sz w:val="23"/>
          <w:szCs w:val="23"/>
        </w:rPr>
      </w:pPr>
    </w:p>
    <w:p>
      <w:pPr>
        <w:tabs>
          <w:tab w:pos="3513" w:val="left" w:leader="none"/>
          <w:tab w:pos="7564" w:val="left" w:leader="none"/>
        </w:tabs>
        <w:spacing w:before="46"/>
        <w:ind w:left="0" w:right="238" w:firstLine="0"/>
        <w:jc w:val="right"/>
        <w:rPr>
          <w:rFonts w:ascii="宋体" w:hAnsi="宋体" w:cs="宋体" w:eastAsia="宋体" w:hint="default"/>
          <w:sz w:val="18"/>
          <w:szCs w:val="18"/>
        </w:rPr>
      </w:pPr>
      <w:r>
        <w:rPr>
          <w:rFonts w:ascii="宋体" w:hAnsi="宋体" w:cs="宋体" w:eastAsia="宋体" w:hint="default"/>
          <w:spacing w:val="-3"/>
          <w:sz w:val="18"/>
          <w:szCs w:val="18"/>
        </w:rPr>
        <w:t>法定代表人：纪立军</w:t>
        <w:tab/>
        <w:t>主管会计工作负责人：陆荣</w:t>
        <w:tab/>
        <w:t>会计机构负责人：王迎辉</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0" w:right="146"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298"/>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45,105,956.94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100,192,262.18</w:t>
            </w:r>
          </w:p>
        </w:tc>
      </w:tr>
      <w:tr>
        <w:trPr>
          <w:trHeight w:val="71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期损益的金融资产</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59,692,550.37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27,901,471.00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93,672,981.36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71,144,185.30</w:t>
            </w: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35,182.58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8,987,302.65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3,541,368.90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352,733.33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119,277,162.61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55,505,963.28</w:t>
            </w: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30,657,502.95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43,348,745.40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351,982,705.71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307,432,663.14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493,366,246.00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431,366,246.00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2" w:footer="984"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298"/>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31,914,809.68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33,058,271.38</w:t>
            </w: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86,133.63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47,435.90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938,677.10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264,748.88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1,080,792.32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788,139.86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527,386,658.73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465,524,842.02</w:t>
            </w: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879,369,364.44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772,957,505.16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25,000,000.00</w:t>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期损益的金融负债</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33,052,424.76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20,038,838.03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5,270,964.50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685,668.27</w:t>
            </w: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6,418,903.75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2,796,765.86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2,303,125.70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-5,954,769.47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11,575,885.20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8,019,255.80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83,621,303.91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25,585,758.49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2" w:footer="984"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298"/>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83,621,303.91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25,585,758.49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329,162,000.00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163,566,000.00</w:t>
            </w: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346,265,853.47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497,390,553.47</w:t>
            </w: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8,053,356.00</w:t>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20,572,016.30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14,740,519.31</w:t>
            </w: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107,801,546.76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71,674,673.89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795,748,060.53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747,371,746.67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879,369,364.44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772,957,505.16</w:t>
            </w:r>
          </w:p>
        </w:tc>
      </w:tr>
    </w:tbl>
    <w:p>
      <w:pPr>
        <w:spacing w:line="240" w:lineRule="auto" w:before="10"/>
        <w:rPr>
          <w:rFonts w:ascii="Times New Roman" w:hAnsi="Times New Roman" w:cs="Times New Roman" w:eastAsia="Times New Roman" w:hint="default"/>
          <w:sz w:val="21"/>
          <w:szCs w:val="21"/>
        </w:rPr>
      </w:pPr>
    </w:p>
    <w:p>
      <w:pPr>
        <w:pStyle w:val="Heading4"/>
        <w:spacing w:line="335" w:lineRule="exact"/>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060"/>
        <w:gridCol w:w="3221"/>
        <w:gridCol w:w="3274"/>
      </w:tblGrid>
      <w:tr>
        <w:trPr>
          <w:trHeight w:val="398"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一、营业总收入</w:t>
            </w:r>
          </w:p>
        </w:tc>
        <w:tc>
          <w:tcPr>
            <w:tcW w:w="322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746,362,290.97</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506,744,128.60</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其中：营业收入</w:t>
            </w:r>
          </w:p>
        </w:tc>
        <w:tc>
          <w:tcPr>
            <w:tcW w:w="322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746,362,290.97</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506,744,128.60</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221" w:type="dxa"/>
            <w:tcBorders>
              <w:top w:val="single" w:sz="4" w:space="0" w:color="000000"/>
              <w:left w:val="single" w:sz="8" w:space="0" w:color="D2D2D2"/>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已赚保费</w:t>
            </w:r>
          </w:p>
        </w:tc>
        <w:tc>
          <w:tcPr>
            <w:tcW w:w="3221" w:type="dxa"/>
            <w:tcBorders>
              <w:top w:val="single" w:sz="4" w:space="0" w:color="000000"/>
              <w:left w:val="single" w:sz="8" w:space="0" w:color="D2D2D2"/>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手续费及佣金收入</w:t>
            </w:r>
          </w:p>
        </w:tc>
        <w:tc>
          <w:tcPr>
            <w:tcW w:w="3221" w:type="dxa"/>
            <w:tcBorders>
              <w:top w:val="single" w:sz="4" w:space="0" w:color="000000"/>
              <w:left w:val="single" w:sz="8" w:space="0" w:color="D2D2D2"/>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二、营业总成本</w:t>
            </w:r>
          </w:p>
        </w:tc>
        <w:tc>
          <w:tcPr>
            <w:tcW w:w="322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619,934,361.36</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447,285,213.72</w:t>
            </w:r>
          </w:p>
        </w:tc>
      </w:tr>
    </w:tbl>
    <w:p>
      <w:pPr>
        <w:spacing w:after="0" w:line="240" w:lineRule="auto"/>
        <w:jc w:val="right"/>
        <w:rPr>
          <w:rFonts w:ascii="Times New Roman" w:hAnsi="Times New Roman" w:cs="Times New Roman" w:eastAsia="Times New Roman" w:hint="default"/>
          <w:sz w:val="18"/>
          <w:szCs w:val="18"/>
        </w:rPr>
        <w:sectPr>
          <w:pgSz w:w="11900" w:h="16840"/>
          <w:pgMar w:header="742" w:footer="984"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0.960007pt;margin-top:440.359985pt;width:158.9pt;height:20.9pt;mso-position-horizontal-relative:page;mso-position-vertical-relative:page;z-index:-880912" coordorigin="4219,8807" coordsize="3178,418">
            <v:group style="position:absolute;left:4231;top:8819;width:2;height:394" coordorigin="4231,8819" coordsize="2,394">
              <v:shape style="position:absolute;left:4231;top:8819;width:2;height:394" coordorigin="4231,8819" coordsize="0,394" path="m4231,8819l4231,9213e" filled="false" stroked="true" strokeweight="1.2pt" strokecolor="#ffffff">
                <v:path arrowok="t"/>
              </v:shape>
            </v:group>
            <v:group style="position:absolute;left:4243;top:8819;width:3154;height:394" coordorigin="4243,8819" coordsize="3154,394">
              <v:shape style="position:absolute;left:4243;top:8819;width:3154;height:394" coordorigin="4243,8819" coordsize="3154,394" path="m4243,9213l7397,9213,7397,8819,4243,8819,4243,9213xe" filled="true" fillcolor="#ffffff" stroked="false">
                <v:path arrowok="t"/>
                <v:fill type="solid"/>
              </v:shape>
            </v:group>
            <w10:wrap type="none"/>
          </v:group>
        </w:pict>
      </w:r>
      <w:r>
        <w:rPr/>
        <w:pict>
          <v:group style="position:absolute;margin-left:210.960007pt;margin-top:561.080017pt;width:158.9pt;height:20.65pt;mso-position-horizontal-relative:page;mso-position-vertical-relative:page;z-index:-880888" coordorigin="4219,11222" coordsize="3178,413">
            <v:group style="position:absolute;left:4231;top:11234;width:2;height:389" coordorigin="4231,11234" coordsize="2,389">
              <v:shape style="position:absolute;left:4231;top:11234;width:2;height:389" coordorigin="4231,11234" coordsize="0,389" path="m4231,11234l4231,11622e" filled="false" stroked="true" strokeweight="1.2pt" strokecolor="#ffffff">
                <v:path arrowok="t"/>
              </v:shape>
            </v:group>
            <v:group style="position:absolute;left:4243;top:11229;width:3154;height:394" coordorigin="4243,11229" coordsize="3154,394">
              <v:shape style="position:absolute;left:4243;top:11229;width:3154;height:394" coordorigin="4243,11229" coordsize="3154,394" path="m4243,11622l7397,11622,7397,11229,4243,11229,4243,11622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2"/>
        <w:gridCol w:w="3211"/>
        <w:gridCol w:w="3274"/>
      </w:tblGrid>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其中：营业成本</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492,713,924.11</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351,687,576.53</w:t>
            </w:r>
          </w:p>
        </w:tc>
      </w:tr>
      <w:tr>
        <w:trPr>
          <w:trHeight w:val="398"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利息支出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手续费及佣金支出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赔付支出净额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61"/>
              <w:jc w:val="right"/>
              <w:rPr>
                <w:rFonts w:ascii="宋体" w:hAnsi="宋体" w:cs="宋体" w:eastAsia="宋体" w:hint="default"/>
                <w:sz w:val="18"/>
                <w:szCs w:val="18"/>
              </w:rPr>
            </w:pPr>
            <w:r>
              <w:rPr>
                <w:rFonts w:ascii="宋体" w:hAnsi="宋体" w:cs="宋体" w:eastAsia="宋体" w:hint="default"/>
                <w:spacing w:val="-3"/>
                <w:sz w:val="18"/>
                <w:szCs w:val="18"/>
              </w:rPr>
              <w:t>提取保险合同准备金净额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保单红利支出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分保费用</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营业税金及附加</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1,811,074.01</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1,193,455.73</w:t>
            </w:r>
          </w:p>
        </w:tc>
      </w:tr>
      <w:tr>
        <w:trPr>
          <w:trHeight w:val="398"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销售费用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51,659,845.68</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40,150,696.52</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管理费用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70,303,716.98</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51,737,220.23</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财务费用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-952,930.24</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-3,454,767.75</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资产减值损失</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4,398,730.82</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5,971,032.46</w:t>
            </w:r>
          </w:p>
        </w:tc>
      </w:tr>
      <w:tr>
        <w:trPr>
          <w:trHeight w:val="710"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加：公允价值变动收益（损失以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7" w:firstLine="720"/>
              <w:jc w:val="left"/>
              <w:rPr>
                <w:rFonts w:ascii="宋体" w:hAnsi="宋体" w:cs="宋体" w:eastAsia="宋体" w:hint="default"/>
                <w:sz w:val="18"/>
                <w:szCs w:val="18"/>
              </w:rPr>
            </w:pPr>
            <w:r>
              <w:rPr>
                <w:rFonts w:ascii="宋体" w:hAnsi="宋体" w:cs="宋体" w:eastAsia="宋体" w:hint="default"/>
                <w:spacing w:val="-5"/>
                <w:sz w:val="18"/>
                <w:szCs w:val="18"/>
              </w:rPr>
              <w:t>其中：对联营企业和合营企业</w:t>
            </w:r>
            <w:r>
              <w:rPr>
                <w:rFonts w:ascii="宋体" w:hAnsi="宋体" w:cs="宋体" w:eastAsia="宋体" w:hint="default"/>
                <w:w w:val="101"/>
                <w:sz w:val="18"/>
                <w:szCs w:val="18"/>
              </w:rPr>
              <w:t> </w:t>
            </w:r>
            <w:r>
              <w:rPr>
                <w:rFonts w:ascii="宋体" w:hAnsi="宋体" w:cs="宋体" w:eastAsia="宋体" w:hint="default"/>
                <w:sz w:val="18"/>
                <w:szCs w:val="18"/>
              </w:rPr>
              <w:t>的投资收益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22"/>
              <w:jc w:val="right"/>
              <w:rPr>
                <w:rFonts w:ascii="宋体" w:hAnsi="宋体" w:cs="宋体" w:eastAsia="宋体" w:hint="default"/>
                <w:sz w:val="18"/>
                <w:szCs w:val="18"/>
              </w:rPr>
            </w:pPr>
            <w:r>
              <w:rPr>
                <w:rFonts w:ascii="宋体" w:hAnsi="宋体" w:cs="宋体" w:eastAsia="宋体" w:hint="default"/>
                <w:spacing w:val="-3"/>
                <w:sz w:val="18"/>
                <w:szCs w:val="18"/>
              </w:rPr>
              <w:t>汇兑收益（损失以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4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三、营业利润（亏损以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126,427,929.61</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59,458,914.88</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5,687,885.96</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4,926,112.77</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61"/>
              <w:jc w:val="right"/>
              <w:rPr>
                <w:rFonts w:ascii="宋体" w:hAnsi="宋体" w:cs="宋体" w:eastAsia="宋体" w:hint="default"/>
                <w:sz w:val="18"/>
                <w:szCs w:val="18"/>
              </w:rPr>
            </w:pPr>
            <w:r>
              <w:rPr>
                <w:rFonts w:ascii="宋体" w:hAnsi="宋体" w:cs="宋体" w:eastAsia="宋体" w:hint="default"/>
                <w:spacing w:val="-3"/>
                <w:sz w:val="18"/>
                <w:szCs w:val="18"/>
              </w:rPr>
              <w:t>其中：非流动资产处置利得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145,740.14</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201,535.59</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1,262,601.54</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3,018,014.60</w:t>
            </w:r>
          </w:p>
        </w:tc>
      </w:tr>
      <w:tr>
        <w:trPr>
          <w:trHeight w:val="398"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61"/>
              <w:jc w:val="right"/>
              <w:rPr>
                <w:rFonts w:ascii="宋体" w:hAnsi="宋体" w:cs="宋体" w:eastAsia="宋体" w:hint="default"/>
                <w:sz w:val="18"/>
                <w:szCs w:val="18"/>
              </w:rPr>
            </w:pPr>
            <w:r>
              <w:rPr>
                <w:rFonts w:ascii="宋体" w:hAnsi="宋体" w:cs="宋体" w:eastAsia="宋体" w:hint="default"/>
                <w:spacing w:val="-3"/>
                <w:sz w:val="18"/>
                <w:szCs w:val="18"/>
              </w:rPr>
              <w:t>其中：非流动资产处置损失</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707,583.63</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1,275,956.35</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tabs>
                <w:tab w:pos="2049" w:val="left" w:leader="none"/>
              </w:tabs>
              <w:spacing w:line="240" w:lineRule="auto" w:before="53"/>
              <w:ind w:left="-1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130,853,214.03</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61,367,013.05</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25,819,614.38</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12,939,932.92</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105,033,599.65</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48,427,080.13</w:t>
            </w:r>
          </w:p>
        </w:tc>
      </w:tr>
      <w:tr>
        <w:trPr>
          <w:trHeight w:val="398"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归属于母公司所有者的净利润</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100,871,442.71</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47,726,565.71</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4,162,156.94</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700,514.42</w:t>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六、其他综合收益的税后净额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61" w:firstLine="182"/>
              <w:jc w:val="left"/>
              <w:rPr>
                <w:rFonts w:ascii="宋体" w:hAnsi="宋体" w:cs="宋体" w:eastAsia="宋体" w:hint="default"/>
                <w:sz w:val="18"/>
                <w:szCs w:val="18"/>
              </w:rPr>
            </w:pPr>
            <w:r>
              <w:rPr>
                <w:rFonts w:ascii="宋体" w:hAnsi="宋体" w:cs="宋体" w:eastAsia="宋体" w:hint="default"/>
                <w:spacing w:val="-3"/>
                <w:sz w:val="18"/>
                <w:szCs w:val="18"/>
              </w:rPr>
              <w:t>归属母公司所有者的其他综合收益</w:t>
            </w:r>
            <w:r>
              <w:rPr>
                <w:rFonts w:ascii="宋体" w:hAnsi="宋体" w:cs="宋体" w:eastAsia="宋体" w:hint="default"/>
                <w:w w:val="101"/>
                <w:sz w:val="18"/>
                <w:szCs w:val="18"/>
              </w:rPr>
              <w:t> </w:t>
            </w:r>
            <w:r>
              <w:rPr>
                <w:rFonts w:ascii="宋体" w:hAnsi="宋体" w:cs="宋体" w:eastAsia="宋体" w:hint="default"/>
                <w:sz w:val="18"/>
                <w:szCs w:val="18"/>
              </w:rPr>
              <w:t>的税后净额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firstLine="345"/>
              <w:jc w:val="left"/>
              <w:rPr>
                <w:rFonts w:ascii="宋体" w:hAnsi="宋体" w:cs="宋体" w:eastAsia="宋体" w:hint="default"/>
                <w:sz w:val="18"/>
                <w:szCs w:val="18"/>
              </w:rPr>
            </w:pPr>
            <w:r>
              <w:rPr>
                <w:rFonts w:ascii="宋体" w:hAnsi="宋体" w:cs="宋体" w:eastAsia="宋体" w:hint="default"/>
                <w:spacing w:val="-4"/>
                <w:sz w:val="18"/>
                <w:szCs w:val="18"/>
              </w:rPr>
              <w:t>（一）以后不能重分类进损益的其</w:t>
            </w:r>
            <w:r>
              <w:rPr>
                <w:rFonts w:ascii="宋体" w:hAnsi="宋体" w:cs="宋体" w:eastAsia="宋体" w:hint="default"/>
                <w:w w:val="101"/>
                <w:sz w:val="18"/>
                <w:szCs w:val="18"/>
              </w:rPr>
              <w:t> </w:t>
            </w:r>
            <w:r>
              <w:rPr>
                <w:rFonts w:ascii="宋体" w:hAnsi="宋体" w:cs="宋体" w:eastAsia="宋体" w:hint="default"/>
                <w:sz w:val="18"/>
                <w:szCs w:val="18"/>
              </w:rPr>
              <w:t>他综合收益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2" w:footer="984"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60"/>
        <w:gridCol w:w="3221"/>
        <w:gridCol w:w="3274"/>
      </w:tblGrid>
      <w:tr>
        <w:trPr>
          <w:trHeight w:val="715"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17"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重新计量设定受益计划净</w:t>
            </w:r>
            <w:r>
              <w:rPr>
                <w:rFonts w:ascii="宋体" w:hAnsi="宋体" w:cs="宋体" w:eastAsia="宋体" w:hint="default"/>
                <w:w w:val="101"/>
                <w:sz w:val="18"/>
                <w:szCs w:val="18"/>
              </w:rPr>
              <w:t> </w:t>
            </w:r>
            <w:r>
              <w:rPr>
                <w:rFonts w:ascii="宋体" w:hAnsi="宋体" w:cs="宋体" w:eastAsia="宋体" w:hint="default"/>
                <w:spacing w:val="-3"/>
                <w:sz w:val="18"/>
                <w:szCs w:val="18"/>
              </w:rPr>
              <w:t>负债或净资产的变动</w:t>
            </w:r>
          </w:p>
        </w:tc>
        <w:tc>
          <w:tcPr>
            <w:tcW w:w="3221" w:type="dxa"/>
            <w:tcBorders>
              <w:top w:val="single" w:sz="4" w:space="0" w:color="000000"/>
              <w:left w:val="single" w:sz="8" w:space="0" w:color="D2D2D2"/>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17"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权益法下在被投资单位不</w:t>
            </w:r>
            <w:r>
              <w:rPr>
                <w:rFonts w:ascii="宋体" w:hAnsi="宋体" w:cs="宋体" w:eastAsia="宋体" w:hint="default"/>
                <w:w w:val="101"/>
                <w:sz w:val="18"/>
                <w:szCs w:val="18"/>
              </w:rPr>
              <w:t> </w:t>
            </w:r>
            <w:r>
              <w:rPr>
                <w:rFonts w:ascii="宋体" w:hAnsi="宋体" w:cs="宋体" w:eastAsia="宋体" w:hint="default"/>
                <w:spacing w:val="-3"/>
                <w:sz w:val="18"/>
                <w:szCs w:val="18"/>
              </w:rPr>
              <w:t>能重分类进损益的其他综合收益中享</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有的份额</w:t>
            </w:r>
          </w:p>
        </w:tc>
        <w:tc>
          <w:tcPr>
            <w:tcW w:w="3221" w:type="dxa"/>
            <w:tcBorders>
              <w:top w:val="single" w:sz="4" w:space="0" w:color="000000"/>
              <w:left w:val="single" w:sz="8" w:space="0" w:color="D2D2D2"/>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7" w:firstLine="345"/>
              <w:jc w:val="left"/>
              <w:rPr>
                <w:rFonts w:ascii="宋体" w:hAnsi="宋体" w:cs="宋体" w:eastAsia="宋体" w:hint="default"/>
                <w:sz w:val="18"/>
                <w:szCs w:val="18"/>
              </w:rPr>
            </w:pPr>
            <w:r>
              <w:rPr>
                <w:rFonts w:ascii="宋体" w:hAnsi="宋体" w:cs="宋体" w:eastAsia="宋体" w:hint="default"/>
                <w:spacing w:val="-4"/>
                <w:sz w:val="18"/>
                <w:szCs w:val="18"/>
              </w:rPr>
              <w:t>（二）以后将重分类进损益的其他</w:t>
            </w:r>
            <w:r>
              <w:rPr>
                <w:rFonts w:ascii="宋体" w:hAnsi="宋体" w:cs="宋体" w:eastAsia="宋体" w:hint="default"/>
                <w:w w:val="101"/>
                <w:sz w:val="18"/>
                <w:szCs w:val="18"/>
              </w:rPr>
              <w:t> </w:t>
            </w:r>
            <w:r>
              <w:rPr>
                <w:rFonts w:ascii="宋体" w:hAnsi="宋体" w:cs="宋体" w:eastAsia="宋体" w:hint="default"/>
                <w:sz w:val="18"/>
                <w:szCs w:val="18"/>
              </w:rPr>
              <w:t>综合收益</w:t>
            </w:r>
          </w:p>
        </w:tc>
        <w:tc>
          <w:tcPr>
            <w:tcW w:w="3221" w:type="dxa"/>
            <w:tcBorders>
              <w:top w:val="single" w:sz="4" w:space="0" w:color="000000"/>
              <w:left w:val="single" w:sz="8" w:space="0" w:color="D2D2D2"/>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1" w:right="17"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权益法下在被投资单位以</w:t>
            </w:r>
            <w:r>
              <w:rPr>
                <w:rFonts w:ascii="宋体" w:hAnsi="宋体" w:cs="宋体" w:eastAsia="宋体" w:hint="default"/>
                <w:w w:val="101"/>
                <w:sz w:val="18"/>
                <w:szCs w:val="18"/>
              </w:rPr>
              <w:t> </w:t>
            </w:r>
            <w:r>
              <w:rPr>
                <w:rFonts w:ascii="宋体" w:hAnsi="宋体" w:cs="宋体" w:eastAsia="宋体" w:hint="default"/>
                <w:spacing w:val="-3"/>
                <w:sz w:val="18"/>
                <w:szCs w:val="18"/>
              </w:rPr>
              <w:t>后将重分类进损益的其他综合收益中</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享有的份额</w:t>
            </w:r>
          </w:p>
        </w:tc>
        <w:tc>
          <w:tcPr>
            <w:tcW w:w="3221" w:type="dxa"/>
            <w:tcBorders>
              <w:top w:val="single" w:sz="4" w:space="0" w:color="000000"/>
              <w:left w:val="single" w:sz="8" w:space="0" w:color="D2D2D2"/>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1" w:type="dxa"/>
            <w:tcBorders>
              <w:top w:val="single" w:sz="4" w:space="0" w:color="000000"/>
              <w:left w:val="single" w:sz="8" w:space="0" w:color="D2D2D2"/>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17"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持有至到期投资重分类为</w:t>
            </w:r>
            <w:r>
              <w:rPr>
                <w:rFonts w:ascii="宋体" w:hAnsi="宋体" w:cs="宋体" w:eastAsia="宋体" w:hint="default"/>
                <w:w w:val="101"/>
                <w:sz w:val="18"/>
                <w:szCs w:val="18"/>
              </w:rPr>
              <w:t> </w:t>
            </w:r>
            <w:r>
              <w:rPr>
                <w:rFonts w:ascii="宋体" w:hAnsi="宋体" w:cs="宋体" w:eastAsia="宋体" w:hint="default"/>
                <w:sz w:val="18"/>
                <w:szCs w:val="18"/>
              </w:rPr>
              <w:t>可供出售金融资产损益</w:t>
            </w:r>
          </w:p>
        </w:tc>
        <w:tc>
          <w:tcPr>
            <w:tcW w:w="3221" w:type="dxa"/>
            <w:tcBorders>
              <w:top w:val="single" w:sz="4" w:space="0" w:color="000000"/>
              <w:left w:val="single" w:sz="8" w:space="0" w:color="D2D2D2"/>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现金流量套期损益的有效</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1" w:type="dxa"/>
            <w:tcBorders>
              <w:top w:val="single" w:sz="4" w:space="0" w:color="000000"/>
              <w:left w:val="single" w:sz="8" w:space="0" w:color="D2D2D2"/>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94"/>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外币财务报表折算差额</w:t>
            </w:r>
          </w:p>
        </w:tc>
        <w:tc>
          <w:tcPr>
            <w:tcW w:w="3221" w:type="dxa"/>
            <w:tcBorders>
              <w:top w:val="single" w:sz="4" w:space="0" w:color="000000"/>
              <w:left w:val="single" w:sz="8" w:space="0" w:color="D2D2D2"/>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1" w:type="dxa"/>
            <w:tcBorders>
              <w:top w:val="single" w:sz="4" w:space="0" w:color="000000"/>
              <w:left w:val="single" w:sz="8" w:space="0" w:color="D2D2D2"/>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51" w:firstLine="182"/>
              <w:jc w:val="left"/>
              <w:rPr>
                <w:rFonts w:ascii="宋体" w:hAnsi="宋体" w:cs="宋体" w:eastAsia="宋体" w:hint="default"/>
                <w:sz w:val="18"/>
                <w:szCs w:val="18"/>
              </w:rPr>
            </w:pPr>
            <w:r>
              <w:rPr>
                <w:rFonts w:ascii="宋体" w:hAnsi="宋体" w:cs="宋体" w:eastAsia="宋体" w:hint="default"/>
                <w:spacing w:val="-3"/>
                <w:sz w:val="18"/>
                <w:szCs w:val="18"/>
              </w:rPr>
              <w:t>归属于少数股东的其他综合收益的</w:t>
            </w:r>
            <w:r>
              <w:rPr>
                <w:rFonts w:ascii="宋体" w:hAnsi="宋体" w:cs="宋体" w:eastAsia="宋体" w:hint="default"/>
                <w:w w:val="101"/>
                <w:sz w:val="18"/>
                <w:szCs w:val="18"/>
              </w:rPr>
              <w:t> </w:t>
            </w:r>
            <w:r>
              <w:rPr>
                <w:rFonts w:ascii="宋体" w:hAnsi="宋体" w:cs="宋体" w:eastAsia="宋体" w:hint="default"/>
                <w:sz w:val="18"/>
                <w:szCs w:val="18"/>
              </w:rPr>
              <w:t>税后净额</w:t>
            </w:r>
          </w:p>
        </w:tc>
        <w:tc>
          <w:tcPr>
            <w:tcW w:w="3221" w:type="dxa"/>
            <w:tcBorders>
              <w:top w:val="single" w:sz="4" w:space="0" w:color="000000"/>
              <w:left w:val="single" w:sz="8" w:space="0" w:color="D2D2D2"/>
              <w:bottom w:val="single" w:sz="4" w:space="0" w:color="000000"/>
              <w:right w:val="single" w:sz="4" w:space="0" w:color="000000"/>
            </w:tcBorders>
          </w:tcPr>
          <w:p>
            <w:pPr/>
          </w:p>
        </w:tc>
        <w:tc>
          <w:tcPr>
            <w:tcW w:w="32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105,033,599.65</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48,427,080.13</w:t>
            </w:r>
          </w:p>
        </w:tc>
      </w:tr>
      <w:tr>
        <w:trPr>
          <w:trHeight w:val="715"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51" w:firstLine="36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归属于母公司所有者的综合收益</w:t>
            </w:r>
            <w:r>
              <w:rPr>
                <w:rFonts w:ascii="宋体" w:hAnsi="宋体" w:cs="宋体" w:eastAsia="宋体" w:hint="default"/>
                <w:w w:val="101"/>
                <w:sz w:val="18"/>
                <w:szCs w:val="18"/>
              </w:rPr>
              <w:t> </w:t>
            </w:r>
            <w:r>
              <w:rPr>
                <w:rFonts w:ascii="宋体" w:hAnsi="宋体" w:cs="宋体" w:eastAsia="宋体" w:hint="default"/>
                <w:sz w:val="18"/>
                <w:szCs w:val="18"/>
              </w:rPr>
              <w:t>总额</w:t>
            </w:r>
          </w:p>
        </w:tc>
        <w:tc>
          <w:tcPr>
            <w:tcW w:w="322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100,871,442.71</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47,726,565.71</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51"/>
              <w:jc w:val="right"/>
              <w:rPr>
                <w:rFonts w:ascii="宋体" w:hAnsi="宋体" w:cs="宋体" w:eastAsia="宋体" w:hint="default"/>
                <w:sz w:val="18"/>
                <w:szCs w:val="18"/>
              </w:rPr>
            </w:pPr>
            <w:r>
              <w:rPr>
                <w:rFonts w:ascii="宋体" w:hAnsi="宋体" w:cs="宋体" w:eastAsia="宋体" w:hint="default"/>
                <w:spacing w:val="-3"/>
                <w:sz w:val="18"/>
                <w:szCs w:val="18"/>
              </w:rPr>
              <w:t>归属于少数股东的综合收益总额</w:t>
            </w:r>
          </w:p>
        </w:tc>
        <w:tc>
          <w:tcPr>
            <w:tcW w:w="322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4,162,156.94</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700,514.42</w:t>
            </w:r>
          </w:p>
        </w:tc>
      </w:tr>
      <w:tr>
        <w:trPr>
          <w:trHeight w:val="398"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八、每股收益：</w:t>
            </w:r>
          </w:p>
        </w:tc>
        <w:tc>
          <w:tcPr>
            <w:tcW w:w="32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22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0.31</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0.15</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22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0.31</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0.15</w:t>
            </w:r>
          </w:p>
        </w:tc>
      </w:tr>
    </w:tbl>
    <w:p>
      <w:pPr>
        <w:tabs>
          <w:tab w:pos="3666" w:val="left" w:leader="none"/>
          <w:tab w:pos="7717" w:val="left" w:leader="none"/>
        </w:tabs>
        <w:spacing w:line="592" w:lineRule="auto" w:before="53"/>
        <w:ind w:left="152" w:right="238" w:firstLine="0"/>
        <w:jc w:val="left"/>
        <w:rPr>
          <w:rFonts w:ascii="宋体" w:hAnsi="宋体" w:cs="宋体" w:eastAsia="宋体" w:hint="default"/>
          <w:sz w:val="18"/>
          <w:szCs w:val="18"/>
        </w:rPr>
      </w:pPr>
      <w:r>
        <w:rPr>
          <w:rFonts w:ascii="宋体" w:hAnsi="宋体" w:cs="宋体" w:eastAsia="宋体" w:hint="default"/>
          <w:spacing w:val="-3"/>
          <w:sz w:val="18"/>
          <w:szCs w:val="18"/>
        </w:rPr>
        <w:t>本期发生同一控制下企业合并的，被合并方在合并前实现的净利润为：</w:t>
      </w:r>
      <w:r>
        <w:rPr>
          <w:rFonts w:ascii="Times New Roman" w:hAnsi="Times New Roman" w:cs="Times New Roman" w:eastAsia="Times New Roman" w:hint="default"/>
          <w:spacing w:val="-3"/>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w:t>
      </w:r>
      <w:r>
        <w:rPr>
          <w:rFonts w:ascii="宋体" w:hAnsi="宋体" w:cs="宋体" w:eastAsia="宋体" w:hint="default"/>
          <w:spacing w:val="-76"/>
          <w:sz w:val="18"/>
          <w:szCs w:val="18"/>
        </w:rPr>
        <w:t> </w:t>
      </w:r>
      <w:r>
        <w:rPr>
          <w:rFonts w:ascii="宋体" w:hAnsi="宋体" w:cs="宋体" w:eastAsia="宋体" w:hint="default"/>
          <w:spacing w:val="-3"/>
          <w:sz w:val="18"/>
          <w:szCs w:val="18"/>
        </w:rPr>
        <w:t>法定代表人：纪立军</w:t>
        <w:tab/>
        <w:t>主管会计工作负责人：陆荣</w:t>
        <w:tab/>
        <w:t>会计机构负责人：王迎辉</w:t>
      </w:r>
    </w:p>
    <w:p>
      <w:pPr>
        <w:pStyle w:val="Heading4"/>
        <w:spacing w:line="240" w:lineRule="auto" w:before="12"/>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0" w:right="146"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298"/>
      </w:tblGrid>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457,236,652.79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256,794,973.86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310,120,798.22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180,463,091.76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营业税金及附加</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1,161,471.20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798,931.26</w:t>
            </w:r>
          </w:p>
        </w:tc>
      </w:tr>
    </w:tbl>
    <w:p>
      <w:pPr>
        <w:spacing w:after="0" w:line="240" w:lineRule="auto"/>
        <w:jc w:val="right"/>
        <w:rPr>
          <w:rFonts w:ascii="Times New Roman" w:hAnsi="Times New Roman" w:cs="Times New Roman" w:eastAsia="Times New Roman" w:hint="default"/>
          <w:sz w:val="18"/>
          <w:szCs w:val="18"/>
        </w:rPr>
        <w:sectPr>
          <w:pgSz w:w="11900" w:h="16840"/>
          <w:pgMar w:header="742" w:footer="984"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6"/>
        <w:gridCol w:w="3302"/>
        <w:gridCol w:w="3298"/>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36,754,786.53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25,338,611.78</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47,273,017.78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30,230,457.36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-3,540,767.24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-3,439,992.40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2,735,896.32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1,878,771.58</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加：公允价值变动收益（损失以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6"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w:t>
            </w:r>
            <w:r>
              <w:rPr>
                <w:rFonts w:ascii="宋体" w:hAnsi="宋体" w:cs="宋体" w:eastAsia="宋体" w:hint="default"/>
                <w:w w:val="101"/>
                <w:sz w:val="18"/>
                <w:szCs w:val="18"/>
              </w:rPr>
              <w:t> </w:t>
            </w:r>
            <w:r>
              <w:rPr>
                <w:rFonts w:ascii="宋体" w:hAnsi="宋体" w:cs="宋体" w:eastAsia="宋体" w:hint="default"/>
                <w:sz w:val="18"/>
                <w:szCs w:val="18"/>
              </w:rPr>
              <w:t>业的投资收益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二、营业利润（亏损以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62,731,449.98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21,525,102.52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5,135,713.43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4,289,251.59</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其中：非流动资产处置利得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53,879.93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201,535.59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406,418.53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1,473,774.10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其中：非流动资产处置损失</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951.63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8,649.10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65"/>
              <w:jc w:val="left"/>
              <w:rPr>
                <w:rFonts w:ascii="宋体" w:hAnsi="宋体" w:cs="宋体" w:eastAsia="宋体" w:hint="default"/>
                <w:sz w:val="18"/>
                <w:szCs w:val="18"/>
              </w:rPr>
            </w:pPr>
            <w:r>
              <w:rPr>
                <w:rFonts w:ascii="宋体" w:hAnsi="宋体" w:cs="宋体" w:eastAsia="宋体" w:hint="default"/>
                <w:spacing w:val="-3"/>
                <w:sz w:val="18"/>
                <w:szCs w:val="18"/>
              </w:rPr>
              <w:t>三、利润总额（亏损总额以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r>
              <w:rPr>
                <w:rFonts w:ascii="宋体" w:hAnsi="宋体" w:cs="宋体" w:eastAsia="宋体" w:hint="default"/>
                <w:spacing w:val="-37"/>
                <w:sz w:val="18"/>
                <w:szCs w:val="18"/>
              </w:rPr>
              <w:t> </w:t>
            </w:r>
            <w:r>
              <w:rPr>
                <w:rFonts w:ascii="宋体" w:hAnsi="宋体" w:cs="宋体" w:eastAsia="宋体" w:hint="default"/>
                <w:sz w:val="18"/>
                <w:szCs w:val="18"/>
              </w:rPr>
              <w:t>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67,460,744.88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24,340,580.01</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9,145,775.02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3,810,886.10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四、净利润（净亏损以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58,314,969.86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20,529,693.91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五、其他综合收益的税后净额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（一）以后不能重分类进损益的</w:t>
            </w:r>
            <w:r>
              <w:rPr>
                <w:rFonts w:ascii="宋体" w:hAnsi="宋体" w:cs="宋体" w:eastAsia="宋体" w:hint="default"/>
                <w:w w:val="101"/>
                <w:sz w:val="18"/>
                <w:szCs w:val="18"/>
              </w:rPr>
              <w:t> </w:t>
            </w:r>
            <w:r>
              <w:rPr>
                <w:rFonts w:ascii="宋体" w:hAnsi="宋体" w:cs="宋体" w:eastAsia="宋体" w:hint="default"/>
                <w:sz w:val="18"/>
                <w:szCs w:val="18"/>
              </w:rPr>
              <w:t>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8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重新计量设定受益计划</w:t>
            </w:r>
            <w:r>
              <w:rPr>
                <w:rFonts w:ascii="宋体" w:hAnsi="宋体" w:cs="宋体" w:eastAsia="宋体" w:hint="default"/>
                <w:w w:val="101"/>
                <w:sz w:val="18"/>
                <w:szCs w:val="18"/>
              </w:rPr>
              <w:t> </w:t>
            </w:r>
            <w:r>
              <w:rPr>
                <w:rFonts w:ascii="宋体" w:hAnsi="宋体" w:cs="宋体" w:eastAsia="宋体" w:hint="default"/>
                <w:sz w:val="18"/>
                <w:szCs w:val="18"/>
              </w:rPr>
              <w:t>净负债或净资产的变动</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46" w:firstLine="902"/>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w:t>
            </w:r>
            <w:r>
              <w:rPr>
                <w:rFonts w:ascii="宋体" w:hAnsi="宋体" w:cs="宋体" w:eastAsia="宋体" w:hint="default"/>
                <w:w w:val="101"/>
                <w:sz w:val="18"/>
                <w:szCs w:val="18"/>
              </w:rPr>
              <w:t> </w:t>
            </w:r>
            <w:r>
              <w:rPr>
                <w:rFonts w:ascii="宋体" w:hAnsi="宋体" w:cs="宋体" w:eastAsia="宋体" w:hint="default"/>
                <w:spacing w:val="-3"/>
                <w:sz w:val="18"/>
                <w:szCs w:val="18"/>
              </w:rPr>
              <w:t>不能重分类进损益的其他综合收益中</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享有的份额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（二）以后将重分类进损益的其</w:t>
            </w:r>
            <w:r>
              <w:rPr>
                <w:rFonts w:ascii="宋体" w:hAnsi="宋体" w:cs="宋体" w:eastAsia="宋体" w:hint="default"/>
                <w:w w:val="101"/>
                <w:sz w:val="18"/>
                <w:szCs w:val="18"/>
              </w:rPr>
              <w:t> </w:t>
            </w:r>
            <w:r>
              <w:rPr>
                <w:rFonts w:ascii="宋体" w:hAnsi="宋体" w:cs="宋体" w:eastAsia="宋体" w:hint="default"/>
                <w:sz w:val="18"/>
                <w:szCs w:val="18"/>
              </w:rPr>
              <w:t>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46" w:firstLine="90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w:t>
            </w:r>
            <w:r>
              <w:rPr>
                <w:rFonts w:ascii="宋体" w:hAnsi="宋体" w:cs="宋体" w:eastAsia="宋体" w:hint="default"/>
                <w:w w:val="101"/>
                <w:sz w:val="18"/>
                <w:szCs w:val="18"/>
              </w:rPr>
              <w:t> </w:t>
            </w:r>
            <w:r>
              <w:rPr>
                <w:rFonts w:ascii="宋体" w:hAnsi="宋体" w:cs="宋体" w:eastAsia="宋体" w:hint="default"/>
                <w:spacing w:val="-3"/>
                <w:sz w:val="18"/>
                <w:szCs w:val="18"/>
              </w:rPr>
              <w:t>以后将重分类进损益的其他综合收益</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中享有的份额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8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可供出售金融资产公允</w:t>
            </w:r>
            <w:r>
              <w:rPr>
                <w:rFonts w:ascii="宋体" w:hAnsi="宋体" w:cs="宋体" w:eastAsia="宋体" w:hint="default"/>
                <w:w w:val="101"/>
                <w:sz w:val="18"/>
                <w:szCs w:val="18"/>
              </w:rPr>
              <w:t> </w:t>
            </w:r>
            <w:r>
              <w:rPr>
                <w:rFonts w:ascii="宋体" w:hAnsi="宋体" w:cs="宋体" w:eastAsia="宋体" w:hint="default"/>
                <w:sz w:val="18"/>
                <w:szCs w:val="18"/>
              </w:rPr>
              <w:t>价值变动损益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8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持有至到期投资重分类</w:t>
            </w:r>
            <w:r>
              <w:rPr>
                <w:rFonts w:ascii="宋体" w:hAnsi="宋体" w:cs="宋体" w:eastAsia="宋体" w:hint="default"/>
                <w:w w:val="101"/>
                <w:sz w:val="18"/>
                <w:szCs w:val="18"/>
              </w:rPr>
              <w:t> </w:t>
            </w:r>
            <w:r>
              <w:rPr>
                <w:rFonts w:ascii="宋体" w:hAnsi="宋体" w:cs="宋体" w:eastAsia="宋体" w:hint="default"/>
                <w:spacing w:val="-3"/>
                <w:sz w:val="18"/>
                <w:szCs w:val="18"/>
              </w:rPr>
              <w:t>为可供出售金融资产损益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89"/>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现金流量套期损益的有</w:t>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2" w:footer="984"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298"/>
      </w:tblGrid>
      <w:tr>
        <w:trPr>
          <w:trHeight w:val="360"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58,314,969.86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20,529,693.91</w:t>
            </w:r>
          </w:p>
        </w:tc>
      </w:tr>
      <w:tr>
        <w:trPr>
          <w:trHeight w:val="39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312" w:type="dxa"/>
            <w:tcBorders>
              <w:top w:val="single" w:sz="4" w:space="0" w:color="000000"/>
              <w:left w:val="single" w:sz="8"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335" w:lineRule="exact"/>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54"/>
        <w:gridCol w:w="3314"/>
        <w:gridCol w:w="3298"/>
      </w:tblGrid>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pacing w:val="-3"/>
                <w:sz w:val="18"/>
                <w:szCs w:val="18"/>
              </w:rPr>
              <w:t>上期金额发生额</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321,757,066.09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179,207,329.94</w:t>
            </w: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客户存款和同业存放款项净增加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向中央银行借款净增加额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向其他金融机构拆入资金净增加</w:t>
            </w:r>
          </w:p>
          <w:p>
            <w:pPr>
              <w:pStyle w:val="TableParagraph"/>
              <w:spacing w:line="240" w:lineRule="auto" w:before="81"/>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收到原保险合同保费取得的现金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收到再保险业务现金净额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保户储金及投资款净增加额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处置以公允价值计量且其变动计</w:t>
            </w:r>
            <w:r>
              <w:rPr>
                <w:rFonts w:ascii="宋体" w:hAnsi="宋体" w:cs="宋体" w:eastAsia="宋体" w:hint="default"/>
                <w:w w:val="101"/>
                <w:sz w:val="18"/>
                <w:szCs w:val="18"/>
              </w:rPr>
              <w:t> </w:t>
            </w:r>
            <w:r>
              <w:rPr>
                <w:rFonts w:ascii="宋体" w:hAnsi="宋体" w:cs="宋体" w:eastAsia="宋体" w:hint="default"/>
                <w:spacing w:val="-3"/>
                <w:sz w:val="18"/>
                <w:szCs w:val="18"/>
              </w:rPr>
              <w:t>入当期损益的金融资产净增加额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收取利息、手续费及佣金的现金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188,897.00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6,310,765.21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9,176,003.30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328,067,831.30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188,572,230.24</w:t>
            </w: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153,306,650.95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87,118,136.04</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客户贷款及垫款净增加额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存放中央银行和同业款项净增加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支付原保险合同赔付款项的现金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支付利息、手续费及佣金的现金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2" w:footer="984"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54"/>
        <w:gridCol w:w="3314"/>
        <w:gridCol w:w="3298"/>
      </w:tblGrid>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支付保单红利的现金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55,510,980.57</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39,415,329.02</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57,353,250.01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30,455,381.26</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61,850,177.12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58,496,907.37</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328,021,058.65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215,485,753.69</w:t>
            </w: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46,772.65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-26,913,523.45</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长期资产收回的现金净额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417,026.00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329,800.00</w:t>
            </w: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66,114,560.08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135,932,867.21</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66,531,586.08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136,262,667.21</w:t>
            </w:r>
          </w:p>
        </w:tc>
      </w:tr>
      <w:tr>
        <w:trPr>
          <w:trHeight w:val="710"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34"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97,488,262.72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43,006,398.05</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34"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1,050,000.00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23,021,754.82</w:t>
            </w: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98,538,262.72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126,028,152.87</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-32,006,676.64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10,234,514.34</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11,230,050.00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25,315,520.00</w:t>
            </w: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34"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其中：子公司吸收少数股东投资</w:t>
            </w:r>
            <w:r>
              <w:rPr>
                <w:rFonts w:ascii="宋体" w:hAnsi="宋体" w:cs="宋体" w:eastAsia="宋体" w:hint="default"/>
                <w:w w:val="101"/>
                <w:sz w:val="18"/>
                <w:szCs w:val="18"/>
              </w:rPr>
              <w:t> </w:t>
            </w:r>
            <w:r>
              <w:rPr>
                <w:rFonts w:ascii="宋体" w:hAnsi="宋体" w:cs="宋体" w:eastAsia="宋体" w:hint="default"/>
                <w:sz w:val="18"/>
                <w:szCs w:val="18"/>
              </w:rPr>
              <w:t>收到的现金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6,245,000.00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25,000,000.00</w:t>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发行债券收到的现金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36,230,050.00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25,315,520.00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9,000,000.00</w:t>
            </w: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34"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16,964,488.89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12,969,988.89</w:t>
            </w:r>
          </w:p>
        </w:tc>
      </w:tr>
    </w:tbl>
    <w:p>
      <w:pPr>
        <w:spacing w:after="0" w:line="240" w:lineRule="auto"/>
        <w:jc w:val="right"/>
        <w:rPr>
          <w:rFonts w:ascii="Times New Roman" w:hAnsi="Times New Roman" w:cs="Times New Roman" w:eastAsia="Times New Roman" w:hint="default"/>
          <w:sz w:val="18"/>
          <w:szCs w:val="18"/>
        </w:rPr>
        <w:sectPr>
          <w:pgSz w:w="11900" w:h="16840"/>
          <w:pgMar w:header="742" w:footer="984"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54"/>
        <w:gridCol w:w="3314"/>
        <w:gridCol w:w="3298"/>
      </w:tblGrid>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34"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其中：子公司支付给少数股东的</w:t>
            </w:r>
            <w:r>
              <w:rPr>
                <w:rFonts w:ascii="宋体" w:hAnsi="宋体" w:cs="宋体" w:eastAsia="宋体" w:hint="default"/>
                <w:w w:val="101"/>
                <w:sz w:val="18"/>
                <w:szCs w:val="18"/>
              </w:rPr>
              <w:t> </w:t>
            </w:r>
            <w:r>
              <w:rPr>
                <w:rFonts w:ascii="宋体" w:hAnsi="宋体" w:cs="宋体" w:eastAsia="宋体" w:hint="default"/>
                <w:sz w:val="18"/>
                <w:szCs w:val="18"/>
              </w:rPr>
              <w:t>股利、利润</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16,964,488.89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21,969,988.89</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19,265,561.11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3,345,531.11</w:t>
            </w: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34"/>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影响</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228,133.83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-445,401.69</w:t>
            </w: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-12,466,209.05</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-13,778,879.69</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127,823,891.93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141,602,771.62</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115,357,682.88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127,823,891.93</w:t>
            </w:r>
          </w:p>
        </w:tc>
      </w:tr>
    </w:tbl>
    <w:p>
      <w:pPr>
        <w:spacing w:line="240" w:lineRule="auto" w:before="10"/>
        <w:rPr>
          <w:rFonts w:ascii="Times New Roman" w:hAnsi="Times New Roman" w:cs="Times New Roman" w:eastAsia="Times New Roman" w:hint="default"/>
          <w:sz w:val="21"/>
          <w:szCs w:val="21"/>
        </w:rPr>
      </w:pPr>
    </w:p>
    <w:p>
      <w:pPr>
        <w:pStyle w:val="Heading4"/>
        <w:spacing w:line="335" w:lineRule="exact"/>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54"/>
        <w:gridCol w:w="3314"/>
        <w:gridCol w:w="3298"/>
      </w:tblGrid>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196,824,019.23</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102,391,272.66</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188,897.00</w:t>
            </w: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6,874,584.59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15,348,670.79</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203,698,603.82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117,928,840.45</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56,544,987.01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48,042,530.88</w:t>
            </w: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27,595,025.09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21,499,346.15</w:t>
            </w: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28,679,189.18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18,876,629.83</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100,326,685.38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36,146,450.84</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213,145,886.66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124,564,957.70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-9,447,282.84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-6,636,117.25</w:t>
            </w: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39,655,000.00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长期资产收回的现金净额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85,000.00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244,000.00</w:t>
            </w:r>
          </w:p>
        </w:tc>
      </w:tr>
      <w:tr>
        <w:trPr>
          <w:trHeight w:val="710"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60,792,073.41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122,496,280.56</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60,877,073.41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162,395,280.56</w:t>
            </w:r>
          </w:p>
        </w:tc>
      </w:tr>
    </w:tbl>
    <w:p>
      <w:pPr>
        <w:spacing w:after="0" w:line="240" w:lineRule="auto"/>
        <w:jc w:val="right"/>
        <w:rPr>
          <w:rFonts w:ascii="Times New Roman" w:hAnsi="Times New Roman" w:cs="Times New Roman" w:eastAsia="Times New Roman" w:hint="default"/>
          <w:sz w:val="18"/>
          <w:szCs w:val="18"/>
        </w:rPr>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954"/>
        <w:gridCol w:w="3314"/>
        <w:gridCol w:w="3298"/>
      </w:tblGrid>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34"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2,731,656.92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971,704.69</w:t>
            </w: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62,000,000.00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113,910,000.00</w:t>
            </w:r>
          </w:p>
        </w:tc>
      </w:tr>
      <w:tr>
        <w:trPr>
          <w:trHeight w:val="715"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34"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1,050,000.00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22,586,189.84</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65,781,656.92</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197,467,894.53</w:t>
            </w: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-4,904,583.51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-35,072,613.97</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11,230,050.00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19,070,520.00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25,000,000.00</w:t>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发行债券收到的现金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36,230,050.00</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19,070,520.00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34"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16,964,488.89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12,840,000.00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16,964,488.89</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12,840,000.00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19,265,561.11</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6,230,520.00</w:t>
            </w:r>
          </w:p>
        </w:tc>
      </w:tr>
      <w:tr>
        <w:trPr>
          <w:trHeight w:val="710"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34"/>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影响</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4,913,694.76</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-35,478,211.22</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40,192,262.18</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75,670,473.40</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45,105,956.94</w:t>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40,192,262.18</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46"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40"/>
        <w:gridCol w:w="574"/>
        <w:gridCol w:w="516"/>
        <w:gridCol w:w="533"/>
        <w:gridCol w:w="533"/>
        <w:gridCol w:w="662"/>
        <w:gridCol w:w="662"/>
        <w:gridCol w:w="667"/>
        <w:gridCol w:w="667"/>
        <w:gridCol w:w="662"/>
        <w:gridCol w:w="662"/>
        <w:gridCol w:w="667"/>
        <w:gridCol w:w="662"/>
        <w:gridCol w:w="650"/>
      </w:tblGrid>
      <w:tr>
        <w:trPr>
          <w:trHeight w:val="401" w:hRule="exact"/>
        </w:trPr>
        <w:tc>
          <w:tcPr>
            <w:tcW w:w="1440" w:type="dxa"/>
            <w:vMerge w:val="restart"/>
            <w:tcBorders>
              <w:top w:val="single" w:sz="4" w:space="0" w:color="000000"/>
              <w:left w:val="single" w:sz="4" w:space="0" w:color="000000"/>
              <w:right w:val="single" w:sz="4" w:space="0" w:color="000000"/>
            </w:tcBorders>
            <w:shd w:val="clear" w:color="auto" w:fill="D2D2D2"/>
          </w:tcPr>
          <w:p>
            <w:pPr/>
          </w:p>
        </w:tc>
        <w:tc>
          <w:tcPr>
            <w:tcW w:w="8119"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47" w:hRule="exact"/>
        </w:trPr>
        <w:tc>
          <w:tcPr>
            <w:tcW w:w="1440" w:type="dxa"/>
            <w:vMerge/>
            <w:tcBorders>
              <w:left w:val="single" w:sz="4" w:space="0" w:color="000000"/>
              <w:right w:val="single" w:sz="4" w:space="0" w:color="000000"/>
            </w:tcBorders>
            <w:shd w:val="clear" w:color="auto" w:fill="D2D2D2"/>
          </w:tcPr>
          <w:p>
            <w:pPr/>
          </w:p>
        </w:tc>
        <w:tc>
          <w:tcPr>
            <w:tcW w:w="6806"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662" w:type="dxa"/>
            <w:vMerge w:val="restart"/>
            <w:tcBorders>
              <w:top w:val="single" w:sz="4" w:space="0" w:color="000000"/>
              <w:left w:val="single" w:sz="4" w:space="0" w:color="000000"/>
              <w:right w:val="single" w:sz="4" w:space="0" w:color="000000"/>
            </w:tcBorders>
            <w:shd w:val="clear" w:color="auto" w:fill="D2D2D2"/>
          </w:tcPr>
          <w:p>
            <w:pPr/>
          </w:p>
        </w:tc>
        <w:tc>
          <w:tcPr>
            <w:tcW w:w="65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4" w:hRule="exact"/>
        </w:trPr>
        <w:tc>
          <w:tcPr>
            <w:tcW w:w="1440" w:type="dxa"/>
            <w:vMerge/>
            <w:tcBorders>
              <w:left w:val="single" w:sz="4" w:space="0" w:color="000000"/>
              <w:bottom w:val="nil" w:sz="6" w:space="0" w:color="auto"/>
              <w:right w:val="single" w:sz="4" w:space="0" w:color="000000"/>
            </w:tcBorders>
            <w:shd w:val="clear" w:color="auto" w:fill="D2D2D2"/>
          </w:tcPr>
          <w:p>
            <w:pPr/>
          </w:p>
        </w:tc>
        <w:tc>
          <w:tcPr>
            <w:tcW w:w="6806" w:type="dxa"/>
            <w:gridSpan w:val="11"/>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5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57" w:right="38"/>
              <w:jc w:val="center"/>
              <w:rPr>
                <w:rFonts w:ascii="宋体" w:hAnsi="宋体" w:cs="宋体" w:eastAsia="宋体" w:hint="default"/>
                <w:sz w:val="18"/>
                <w:szCs w:val="18"/>
              </w:rPr>
            </w:pPr>
            <w:r>
              <w:rPr>
                <w:rFonts w:ascii="宋体" w:hAnsi="宋体" w:cs="宋体" w:eastAsia="宋体" w:hint="default"/>
                <w:spacing w:val="-2"/>
                <w:sz w:val="18"/>
                <w:szCs w:val="18"/>
              </w:rPr>
              <w:t>所有者</w:t>
            </w:r>
            <w:r>
              <w:rPr>
                <w:rFonts w:ascii="宋体" w:hAnsi="宋体" w:cs="宋体" w:eastAsia="宋体" w:hint="default"/>
                <w:w w:val="101"/>
                <w:sz w:val="18"/>
                <w:szCs w:val="18"/>
              </w:rPr>
              <w:t> </w:t>
            </w:r>
            <w:r>
              <w:rPr>
                <w:rFonts w:ascii="宋体" w:hAnsi="宋体" w:cs="宋体" w:eastAsia="宋体" w:hint="default"/>
                <w:spacing w:val="-2"/>
                <w:sz w:val="18"/>
                <w:szCs w:val="18"/>
              </w:rPr>
              <w:t>权益合</w:t>
            </w:r>
            <w:r>
              <w:rPr>
                <w:rFonts w:ascii="宋体" w:hAnsi="宋体" w:cs="宋体" w:eastAsia="宋体" w:hint="default"/>
                <w:w w:val="101"/>
                <w:sz w:val="18"/>
                <w:szCs w:val="18"/>
              </w:rPr>
              <w:t> </w:t>
            </w:r>
            <w:r>
              <w:rPr>
                <w:rFonts w:ascii="宋体" w:hAnsi="宋体" w:cs="宋体" w:eastAsia="宋体" w:hint="default"/>
                <w:sz w:val="18"/>
                <w:szCs w:val="18"/>
              </w:rPr>
              <w:t>计</w:t>
            </w:r>
          </w:p>
        </w:tc>
      </w:tr>
      <w:tr>
        <w:trPr>
          <w:trHeight w:val="197" w:hRule="exact"/>
        </w:trPr>
        <w:tc>
          <w:tcPr>
            <w:tcW w:w="14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7" w:type="dxa"/>
            <w:tcBorders>
              <w:top w:val="single" w:sz="4" w:space="0" w:color="000000"/>
              <w:left w:val="single" w:sz="4" w:space="0" w:color="000000"/>
              <w:bottom w:val="nil" w:sz="6" w:space="0" w:color="auto"/>
              <w:right w:val="single" w:sz="4" w:space="0" w:color="000000"/>
            </w:tcBorders>
            <w:shd w:val="clear" w:color="auto" w:fill="D2D2D2"/>
          </w:tcPr>
          <w:p>
            <w:pPr/>
          </w:p>
        </w:tc>
        <w:tc>
          <w:tcPr>
            <w:tcW w:w="667"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7"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7" w:right="50"/>
              <w:jc w:val="left"/>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东权益</w:t>
            </w:r>
          </w:p>
        </w:tc>
        <w:tc>
          <w:tcPr>
            <w:tcW w:w="650" w:type="dxa"/>
            <w:vMerge/>
            <w:tcBorders>
              <w:left w:val="single" w:sz="4" w:space="0" w:color="000000"/>
              <w:right w:val="single" w:sz="4" w:space="0" w:color="000000"/>
            </w:tcBorders>
            <w:shd w:val="clear" w:color="auto" w:fill="D2D2D2"/>
          </w:tcPr>
          <w:p>
            <w:pPr/>
          </w:p>
        </w:tc>
      </w:tr>
      <w:tr>
        <w:trPr>
          <w:trHeight w:val="179" w:hRule="exact"/>
        </w:trPr>
        <w:tc>
          <w:tcPr>
            <w:tcW w:w="1440"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82" w:type="dxa"/>
            <w:gridSpan w:val="3"/>
            <w:vMerge/>
            <w:tcBorders>
              <w:left w:val="single" w:sz="4" w:space="0" w:color="000000"/>
              <w:bottom w:val="single" w:sz="4" w:space="0" w:color="000000"/>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230" w:right="55" w:hanging="178"/>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143" w:right="50" w:hanging="87"/>
              <w:jc w:val="left"/>
              <w:rPr>
                <w:rFonts w:ascii="宋体" w:hAnsi="宋体" w:cs="宋体" w:eastAsia="宋体" w:hint="default"/>
                <w:sz w:val="18"/>
                <w:szCs w:val="18"/>
              </w:rPr>
            </w:pPr>
            <w:r>
              <w:rPr>
                <w:rFonts w:ascii="宋体" w:hAnsi="宋体" w:cs="宋体" w:eastAsia="宋体" w:hint="default"/>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667"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57" w:right="55"/>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p>
        </w:tc>
        <w:tc>
          <w:tcPr>
            <w:tcW w:w="667"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235" w:right="55" w:hanging="178"/>
              <w:jc w:val="left"/>
              <w:rPr>
                <w:rFonts w:ascii="宋体" w:hAnsi="宋体" w:cs="宋体" w:eastAsia="宋体" w:hint="default"/>
                <w:sz w:val="18"/>
                <w:szCs w:val="18"/>
              </w:rPr>
            </w:pPr>
            <w:r>
              <w:rPr>
                <w:rFonts w:ascii="宋体" w:hAnsi="宋体" w:cs="宋体" w:eastAsia="宋体" w:hint="default"/>
                <w:sz w:val="18"/>
                <w:szCs w:val="18"/>
              </w:rPr>
              <w:t>专项储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w:t>
            </w: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230" w:right="55" w:hanging="178"/>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57" w:right="50"/>
              <w:jc w:val="left"/>
              <w:rPr>
                <w:rFonts w:ascii="宋体" w:hAnsi="宋体" w:cs="宋体" w:eastAsia="宋体" w:hint="default"/>
                <w:sz w:val="18"/>
                <w:szCs w:val="18"/>
              </w:rPr>
            </w:pPr>
            <w:r>
              <w:rPr>
                <w:rFonts w:ascii="宋体" w:hAnsi="宋体" w:cs="宋体" w:eastAsia="宋体" w:hint="default"/>
                <w:sz w:val="18"/>
                <w:szCs w:val="18"/>
              </w:rPr>
              <w:t>一般风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险准备</w:t>
            </w:r>
          </w:p>
        </w:tc>
        <w:tc>
          <w:tcPr>
            <w:tcW w:w="667"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143" w:right="55" w:hanging="87"/>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662" w:type="dxa"/>
            <w:vMerge/>
            <w:tcBorders>
              <w:left w:val="single" w:sz="4" w:space="0" w:color="000000"/>
              <w:right w:val="single" w:sz="4" w:space="0" w:color="000000"/>
            </w:tcBorders>
            <w:shd w:val="clear" w:color="auto" w:fill="D2D2D2"/>
          </w:tcPr>
          <w:p>
            <w:pPr/>
          </w:p>
        </w:tc>
        <w:tc>
          <w:tcPr>
            <w:tcW w:w="650" w:type="dxa"/>
            <w:vMerge/>
            <w:tcBorders>
              <w:left w:val="single" w:sz="4" w:space="0" w:color="000000"/>
              <w:right w:val="single" w:sz="4" w:space="0" w:color="000000"/>
            </w:tcBorders>
            <w:shd w:val="clear" w:color="auto" w:fill="D2D2D2"/>
          </w:tcPr>
          <w:p>
            <w:pPr/>
          </w:p>
        </w:tc>
      </w:tr>
      <w:tr>
        <w:trPr>
          <w:trHeight w:val="185" w:hRule="exact"/>
        </w:trPr>
        <w:tc>
          <w:tcPr>
            <w:tcW w:w="1440"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8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156" w:right="70" w:hanging="87"/>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167" w:right="74" w:hanging="87"/>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5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50" w:type="dxa"/>
            <w:vMerge/>
            <w:tcBorders>
              <w:left w:val="single" w:sz="4" w:space="0" w:color="000000"/>
              <w:right w:val="single" w:sz="4" w:space="0" w:color="000000"/>
            </w:tcBorders>
            <w:shd w:val="clear" w:color="auto" w:fill="D2D2D2"/>
          </w:tcPr>
          <w:p>
            <w:pPr/>
          </w:p>
        </w:tc>
      </w:tr>
      <w:tr>
        <w:trPr>
          <w:trHeight w:val="163" w:hRule="exact"/>
        </w:trPr>
        <w:tc>
          <w:tcPr>
            <w:tcW w:w="1440"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16" w:type="dxa"/>
            <w:vMerge/>
            <w:tcBorders>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7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50" w:type="dxa"/>
            <w:vMerge/>
            <w:tcBorders>
              <w:left w:val="single" w:sz="4" w:space="0" w:color="000000"/>
              <w:right w:val="single" w:sz="4" w:space="0" w:color="000000"/>
            </w:tcBorders>
            <w:shd w:val="clear" w:color="auto" w:fill="D2D2D2"/>
          </w:tcPr>
          <w:p>
            <w:pPr/>
          </w:p>
        </w:tc>
      </w:tr>
      <w:tr>
        <w:trPr>
          <w:trHeight w:val="155" w:hRule="exact"/>
        </w:trPr>
        <w:tc>
          <w:tcPr>
            <w:tcW w:w="1440"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16" w:type="dxa"/>
            <w:vMerge/>
            <w:tcBorders>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7" w:type="dxa"/>
            <w:vMerge/>
            <w:tcBorders>
              <w:left w:val="single" w:sz="4" w:space="0" w:color="000000"/>
              <w:bottom w:val="nil" w:sz="6" w:space="0" w:color="auto"/>
              <w:right w:val="single" w:sz="4" w:space="0" w:color="000000"/>
            </w:tcBorders>
            <w:shd w:val="clear" w:color="auto" w:fill="D2D2D2"/>
          </w:tcPr>
          <w:p>
            <w:pPr/>
          </w:p>
        </w:tc>
        <w:tc>
          <w:tcPr>
            <w:tcW w:w="667"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7" w:type="dxa"/>
            <w:vMerge/>
            <w:tcBorders>
              <w:left w:val="single" w:sz="4" w:space="0" w:color="000000"/>
              <w:bottom w:val="nil" w:sz="6" w:space="0" w:color="auto"/>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
        </w:tc>
        <w:tc>
          <w:tcPr>
            <w:tcW w:w="650" w:type="dxa"/>
            <w:vMerge/>
            <w:tcBorders>
              <w:left w:val="single" w:sz="4" w:space="0" w:color="000000"/>
              <w:bottom w:val="nil" w:sz="6" w:space="0" w:color="auto"/>
              <w:right w:val="single" w:sz="4" w:space="0" w:color="000000"/>
            </w:tcBorders>
            <w:shd w:val="clear" w:color="auto" w:fill="D2D2D2"/>
          </w:tcPr>
          <w:p>
            <w:pPr/>
          </w:p>
        </w:tc>
      </w:tr>
      <w:tr>
        <w:trPr>
          <w:trHeight w:val="238"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16"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7" w:type="dxa"/>
            <w:tcBorders>
              <w:top w:val="nil" w:sz="6" w:space="0" w:color="auto"/>
              <w:left w:val="single" w:sz="4" w:space="0" w:color="000000"/>
              <w:bottom w:val="single" w:sz="4" w:space="0" w:color="000000"/>
              <w:right w:val="single" w:sz="4" w:space="0" w:color="000000"/>
            </w:tcBorders>
            <w:shd w:val="clear" w:color="auto" w:fill="D2D2D2"/>
          </w:tcPr>
          <w:p>
            <w:pPr/>
          </w:p>
        </w:tc>
        <w:tc>
          <w:tcPr>
            <w:tcW w:w="667"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7"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5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39" w:hRule="exact"/>
        </w:trPr>
        <w:tc>
          <w:tcPr>
            <w:tcW w:w="1440"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10" w:space="0" w:color="D2D2D2"/>
              <w:right w:val="single" w:sz="4" w:space="0" w:color="000000"/>
            </w:tcBorders>
          </w:tcPr>
          <w:p>
            <w:pPr>
              <w:pStyle w:val="TableParagraph"/>
              <w:spacing w:line="240" w:lineRule="auto" w:before="96"/>
              <w:ind w:left="21" w:right="0"/>
              <w:jc w:val="left"/>
              <w:rPr>
                <w:rFonts w:ascii="Times New Roman" w:hAnsi="Times New Roman" w:cs="Times New Roman" w:eastAsia="Times New Roman" w:hint="default"/>
                <w:sz w:val="18"/>
                <w:szCs w:val="18"/>
              </w:rPr>
            </w:pPr>
            <w:r>
              <w:rPr>
                <w:rFonts w:ascii="Times New Roman"/>
                <w:sz w:val="18"/>
              </w:rPr>
              <w:t>163,56</w:t>
            </w:r>
          </w:p>
          <w:p>
            <w:pPr>
              <w:pStyle w:val="TableParagraph"/>
              <w:spacing w:line="240" w:lineRule="auto" w:before="100"/>
              <w:ind w:left="64" w:right="0"/>
              <w:jc w:val="left"/>
              <w:rPr>
                <w:rFonts w:ascii="Times New Roman" w:hAnsi="Times New Roman" w:cs="Times New Roman" w:eastAsia="Times New Roman" w:hint="default"/>
                <w:sz w:val="18"/>
                <w:szCs w:val="18"/>
              </w:rPr>
            </w:pPr>
            <w:r>
              <w:rPr>
                <w:rFonts w:ascii="Times New Roman"/>
                <w:sz w:val="18"/>
              </w:rPr>
              <w:t>6,000.</w:t>
            </w:r>
          </w:p>
        </w:tc>
        <w:tc>
          <w:tcPr>
            <w:tcW w:w="516"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494,511</w:t>
            </w:r>
          </w:p>
        </w:tc>
        <w:tc>
          <w:tcPr>
            <w:tcW w:w="662"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14,740,</w:t>
            </w:r>
          </w:p>
        </w:tc>
        <w:tc>
          <w:tcPr>
            <w:tcW w:w="662"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pacing w:val="-3"/>
                <w:sz w:val="18"/>
              </w:rPr>
              <w:t>116,116</w:t>
            </w: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11,477,</w:t>
            </w:r>
          </w:p>
        </w:tc>
        <w:tc>
          <w:tcPr>
            <w:tcW w:w="65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pacing w:val="-2"/>
                <w:sz w:val="18"/>
              </w:rPr>
              <w:t>800,411</w:t>
            </w:r>
          </w:p>
        </w:tc>
      </w:tr>
      <w:tr>
        <w:trPr>
          <w:trHeight w:val="388" w:hRule="exact"/>
        </w:trPr>
        <w:tc>
          <w:tcPr>
            <w:tcW w:w="14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0"/>
                <w:sz w:val="18"/>
                <w:szCs w:val="18"/>
              </w:rPr>
              <w:t>一、上年期末余额</w:t>
            </w:r>
          </w:p>
        </w:tc>
        <w:tc>
          <w:tcPr>
            <w:tcW w:w="574" w:type="dxa"/>
            <w:vMerge/>
            <w:tcBorders>
              <w:left w:val="single" w:sz="10" w:space="0" w:color="D2D2D2"/>
              <w:right w:val="single" w:sz="4" w:space="0" w:color="000000"/>
            </w:tcBorders>
          </w:tcPr>
          <w:p>
            <w:pPr/>
          </w:p>
        </w:tc>
        <w:tc>
          <w:tcPr>
            <w:tcW w:w="516"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50" w:type="dxa"/>
            <w:vMerge/>
            <w:tcBorders>
              <w:left w:val="single" w:sz="4" w:space="0" w:color="000000"/>
              <w:right w:val="single" w:sz="4" w:space="0" w:color="000000"/>
            </w:tcBorders>
          </w:tcPr>
          <w:p>
            <w:pPr/>
          </w:p>
        </w:tc>
      </w:tr>
      <w:tr>
        <w:trPr>
          <w:trHeight w:val="144" w:hRule="exact"/>
        </w:trPr>
        <w:tc>
          <w:tcPr>
            <w:tcW w:w="1440"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10" w:space="0" w:color="D2D2D2"/>
              <w:bottom w:val="single" w:sz="4" w:space="0" w:color="000000"/>
              <w:right w:val="single" w:sz="4" w:space="0" w:color="000000"/>
            </w:tcBorders>
          </w:tcPr>
          <w:p>
            <w:pPr/>
          </w:p>
        </w:tc>
        <w:tc>
          <w:tcPr>
            <w:tcW w:w="516"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50" w:type="dxa"/>
            <w:vMerge/>
            <w:tcBorders>
              <w:left w:val="single" w:sz="4" w:space="0" w:color="000000"/>
              <w:bottom w:val="single" w:sz="4" w:space="0" w:color="000000"/>
              <w:right w:val="single" w:sz="4" w:space="0" w:color="000000"/>
            </w:tcBorders>
          </w:tcPr>
          <w:p>
            <w:pPr/>
          </w:p>
        </w:tc>
      </w:tr>
    </w:tbl>
    <w:p>
      <w:pPr>
        <w:spacing w:after="0"/>
        <w:sectPr>
          <w:pgSz w:w="11900" w:h="16840"/>
          <w:pgMar w:header="742" w:footer="984"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40"/>
        <w:gridCol w:w="562"/>
        <w:gridCol w:w="528"/>
        <w:gridCol w:w="533"/>
        <w:gridCol w:w="533"/>
        <w:gridCol w:w="662"/>
        <w:gridCol w:w="662"/>
        <w:gridCol w:w="667"/>
        <w:gridCol w:w="667"/>
        <w:gridCol w:w="662"/>
        <w:gridCol w:w="662"/>
        <w:gridCol w:w="667"/>
        <w:gridCol w:w="662"/>
        <w:gridCol w:w="662"/>
      </w:tblGrid>
      <w:tr>
        <w:trPr>
          <w:trHeight w:val="360"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6"/>
              <w:jc w:val="right"/>
              <w:rPr>
                <w:rFonts w:ascii="Times New Roman" w:hAnsi="Times New Roman" w:cs="Times New Roman" w:eastAsia="Times New Roman" w:hint="default"/>
                <w:sz w:val="18"/>
                <w:szCs w:val="18"/>
              </w:rPr>
            </w:pPr>
            <w:r>
              <w:rPr>
                <w:rFonts w:ascii="Times New Roman"/>
                <w:sz w:val="18"/>
              </w:rPr>
              <w:t>00</w:t>
            </w: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3"/>
              <w:jc w:val="right"/>
              <w:rPr>
                <w:rFonts w:ascii="Times New Roman" w:hAnsi="Times New Roman" w:cs="Times New Roman" w:eastAsia="Times New Roman" w:hint="default"/>
                <w:sz w:val="18"/>
                <w:szCs w:val="18"/>
              </w:rPr>
            </w:pPr>
            <w:r>
              <w:rPr>
                <w:rFonts w:ascii="Times New Roman"/>
                <w:spacing w:val="-2"/>
                <w:sz w:val="18"/>
              </w:rPr>
              <w:t>,110.61</w:t>
            </w: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29" w:right="0"/>
              <w:jc w:val="left"/>
              <w:rPr>
                <w:rFonts w:ascii="Times New Roman" w:hAnsi="Times New Roman" w:cs="Times New Roman" w:eastAsia="Times New Roman" w:hint="default"/>
                <w:sz w:val="18"/>
                <w:szCs w:val="18"/>
              </w:rPr>
            </w:pPr>
            <w:r>
              <w:rPr>
                <w:rFonts w:ascii="Times New Roman"/>
                <w:sz w:val="18"/>
              </w:rPr>
              <w:t>519.31</w:t>
            </w: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91" w:right="0"/>
              <w:jc w:val="left"/>
              <w:rPr>
                <w:rFonts w:ascii="Times New Roman" w:hAnsi="Times New Roman" w:cs="Times New Roman" w:eastAsia="Times New Roman" w:hint="default"/>
                <w:sz w:val="18"/>
                <w:szCs w:val="18"/>
              </w:rPr>
            </w:pPr>
            <w:r>
              <w:rPr>
                <w:rFonts w:ascii="Times New Roman"/>
                <w:sz w:val="18"/>
              </w:rPr>
              <w:t>,818.36</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34" w:right="0"/>
              <w:jc w:val="left"/>
              <w:rPr>
                <w:rFonts w:ascii="Times New Roman" w:hAnsi="Times New Roman" w:cs="Times New Roman" w:eastAsia="Times New Roman" w:hint="default"/>
                <w:sz w:val="18"/>
                <w:szCs w:val="18"/>
              </w:rPr>
            </w:pPr>
            <w:r>
              <w:rPr>
                <w:rFonts w:ascii="Times New Roman"/>
                <w:sz w:val="18"/>
              </w:rPr>
              <w:t>314.22</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6" w:right="0"/>
              <w:jc w:val="left"/>
              <w:rPr>
                <w:rFonts w:ascii="Times New Roman" w:hAnsi="Times New Roman" w:cs="Times New Roman" w:eastAsia="Times New Roman" w:hint="default"/>
                <w:sz w:val="18"/>
                <w:szCs w:val="18"/>
              </w:rPr>
            </w:pPr>
            <w:r>
              <w:rPr>
                <w:rFonts w:ascii="Times New Roman"/>
                <w:sz w:val="18"/>
              </w:rPr>
              <w:t>,762.50</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7" w:firstLine="360"/>
              <w:jc w:val="left"/>
              <w:rPr>
                <w:rFonts w:ascii="宋体" w:hAnsi="宋体" w:cs="宋体" w:eastAsia="宋体" w:hint="default"/>
                <w:sz w:val="18"/>
                <w:szCs w:val="18"/>
              </w:rPr>
            </w:pPr>
            <w:r>
              <w:rPr>
                <w:rFonts w:ascii="宋体" w:hAnsi="宋体" w:cs="宋体" w:eastAsia="宋体" w:hint="default"/>
                <w:spacing w:val="-12"/>
                <w:sz w:val="18"/>
                <w:szCs w:val="18"/>
              </w:rPr>
              <w:t>加：会计政策</w:t>
            </w:r>
            <w:r>
              <w:rPr>
                <w:rFonts w:ascii="宋体" w:hAnsi="宋体" w:cs="宋体" w:eastAsia="宋体" w:hint="default"/>
                <w:w w:val="101"/>
                <w:sz w:val="18"/>
                <w:szCs w:val="18"/>
              </w:rPr>
              <w:t> </w:t>
            </w: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42" w:firstLine="720"/>
              <w:jc w:val="left"/>
              <w:rPr>
                <w:rFonts w:ascii="宋体" w:hAnsi="宋体" w:cs="宋体" w:eastAsia="宋体" w:hint="default"/>
                <w:sz w:val="18"/>
                <w:szCs w:val="18"/>
              </w:rPr>
            </w:pPr>
            <w:r>
              <w:rPr>
                <w:rFonts w:ascii="宋体" w:hAnsi="宋体" w:cs="宋体" w:eastAsia="宋体" w:hint="default"/>
                <w:sz w:val="18"/>
                <w:szCs w:val="18"/>
              </w:rPr>
              <w:t>同一控</w:t>
            </w:r>
            <w:r>
              <w:rPr>
                <w:rFonts w:ascii="宋体" w:hAnsi="宋体" w:cs="宋体" w:eastAsia="宋体" w:hint="default"/>
                <w:w w:val="101"/>
                <w:sz w:val="18"/>
                <w:szCs w:val="18"/>
              </w:rPr>
              <w:t> </w:t>
            </w:r>
            <w:r>
              <w:rPr>
                <w:rFonts w:ascii="宋体" w:hAnsi="宋体" w:cs="宋体" w:eastAsia="宋体" w:hint="default"/>
                <w:sz w:val="18"/>
                <w:szCs w:val="18"/>
              </w:rPr>
              <w:t>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pacing w:val="-10"/>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163,56</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10"/>
              <w:ind w:left="340" w:right="0"/>
              <w:jc w:val="left"/>
              <w:rPr>
                <w:rFonts w:ascii="Times New Roman" w:hAnsi="Times New Roman" w:cs="Times New Roman" w:eastAsia="Times New Roman" w:hint="default"/>
                <w:sz w:val="18"/>
                <w:szCs w:val="18"/>
              </w:rPr>
            </w:pPr>
            <w:r>
              <w:rPr>
                <w:rFonts w:ascii="Times New Roman"/>
                <w:sz w:val="18"/>
              </w:rPr>
              <w:t>00</w:t>
            </w: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494,511</w:t>
            </w:r>
          </w:p>
          <w:p>
            <w:pPr>
              <w:pStyle w:val="TableParagraph"/>
              <w:spacing w:line="240" w:lineRule="auto" w:before="110"/>
              <w:ind w:left="91" w:right="0"/>
              <w:jc w:val="left"/>
              <w:rPr>
                <w:rFonts w:ascii="Times New Roman" w:hAnsi="Times New Roman" w:cs="Times New Roman" w:eastAsia="Times New Roman" w:hint="default"/>
                <w:sz w:val="18"/>
                <w:szCs w:val="18"/>
              </w:rPr>
            </w:pPr>
            <w:r>
              <w:rPr>
                <w:rFonts w:ascii="Times New Roman"/>
                <w:sz w:val="18"/>
              </w:rPr>
              <w:t>,110.61</w:t>
            </w: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14,740,</w:t>
            </w:r>
          </w:p>
          <w:p>
            <w:pPr>
              <w:pStyle w:val="TableParagraph"/>
              <w:spacing w:line="240" w:lineRule="auto" w:before="110"/>
              <w:ind w:left="129" w:right="0"/>
              <w:jc w:val="left"/>
              <w:rPr>
                <w:rFonts w:ascii="Times New Roman" w:hAnsi="Times New Roman" w:cs="Times New Roman" w:eastAsia="Times New Roman" w:hint="default"/>
                <w:sz w:val="18"/>
                <w:szCs w:val="18"/>
              </w:rPr>
            </w:pPr>
            <w:r>
              <w:rPr>
                <w:rFonts w:ascii="Times New Roman"/>
                <w:sz w:val="18"/>
              </w:rPr>
              <w:t>519.31</w:t>
            </w: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pacing w:val="-3"/>
                <w:sz w:val="18"/>
              </w:rPr>
              <w:t>116,116</w:t>
            </w:r>
          </w:p>
          <w:p>
            <w:pPr>
              <w:pStyle w:val="TableParagraph"/>
              <w:spacing w:line="240" w:lineRule="auto" w:before="110"/>
              <w:ind w:left="91" w:right="0"/>
              <w:jc w:val="left"/>
              <w:rPr>
                <w:rFonts w:ascii="Times New Roman" w:hAnsi="Times New Roman" w:cs="Times New Roman" w:eastAsia="Times New Roman" w:hint="default"/>
                <w:sz w:val="18"/>
                <w:szCs w:val="18"/>
              </w:rPr>
            </w:pPr>
            <w:r>
              <w:rPr>
                <w:rFonts w:ascii="Times New Roman"/>
                <w:sz w:val="18"/>
              </w:rPr>
              <w:t>,818.36</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11,477,</w:t>
            </w:r>
          </w:p>
          <w:p>
            <w:pPr>
              <w:pStyle w:val="TableParagraph"/>
              <w:spacing w:line="240" w:lineRule="auto" w:before="110"/>
              <w:ind w:left="134" w:right="0"/>
              <w:jc w:val="left"/>
              <w:rPr>
                <w:rFonts w:ascii="Times New Roman" w:hAnsi="Times New Roman" w:cs="Times New Roman" w:eastAsia="Times New Roman" w:hint="default"/>
                <w:sz w:val="18"/>
                <w:szCs w:val="18"/>
              </w:rPr>
            </w:pPr>
            <w:r>
              <w:rPr>
                <w:rFonts w:ascii="Times New Roman"/>
                <w:sz w:val="18"/>
              </w:rPr>
              <w:t>314.22</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800,411</w:t>
            </w:r>
          </w:p>
          <w:p>
            <w:pPr>
              <w:pStyle w:val="TableParagraph"/>
              <w:spacing w:line="240" w:lineRule="auto" w:before="110"/>
              <w:ind w:left="86" w:right="0"/>
              <w:jc w:val="left"/>
              <w:rPr>
                <w:rFonts w:ascii="Times New Roman" w:hAnsi="Times New Roman" w:cs="Times New Roman" w:eastAsia="Times New Roman" w:hint="default"/>
                <w:sz w:val="18"/>
                <w:szCs w:val="18"/>
              </w:rPr>
            </w:pPr>
            <w:r>
              <w:rPr>
                <w:rFonts w:ascii="Times New Roman"/>
                <w:sz w:val="18"/>
              </w:rPr>
              <w:t>,762.50</w:t>
            </w: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both"/>
              <w:rPr>
                <w:rFonts w:ascii="宋体" w:hAnsi="宋体" w:cs="宋体" w:eastAsia="宋体" w:hint="default"/>
                <w:sz w:val="18"/>
                <w:szCs w:val="18"/>
              </w:rPr>
            </w:pPr>
            <w:r>
              <w:rPr>
                <w:rFonts w:ascii="宋体" w:hAnsi="宋体" w:cs="宋体" w:eastAsia="宋体" w:hint="default"/>
                <w:spacing w:val="-10"/>
                <w:sz w:val="18"/>
                <w:szCs w:val="18"/>
              </w:rPr>
              <w:t>三、本期增减变动</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6"/>
                <w:sz w:val="18"/>
                <w:szCs w:val="18"/>
              </w:rPr>
              <w:t>金额（减少以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165,59</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10"/>
              <w:ind w:left="340" w:right="0"/>
              <w:jc w:val="left"/>
              <w:rPr>
                <w:rFonts w:ascii="Times New Roman" w:hAnsi="Times New Roman" w:cs="Times New Roman" w:eastAsia="Times New Roman" w:hint="default"/>
                <w:sz w:val="18"/>
                <w:szCs w:val="18"/>
              </w:rPr>
            </w:pPr>
            <w:r>
              <w:rPr>
                <w:rFonts w:ascii="Times New Roman"/>
                <w:sz w:val="18"/>
              </w:rPr>
              <w:t>00</w:t>
            </w: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-151,12</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4,700.0</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8,053,3</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56.00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5,831,4</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96.99</w:t>
            </w: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78,683,</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345.72</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4,162,1</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56.94</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95,094,</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943.65</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10"/>
                <w:sz w:val="18"/>
                <w:szCs w:val="18"/>
              </w:rPr>
              <w:t>（一）综合收益总</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100,871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,442.71</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center"/>
              <w:rPr>
                <w:rFonts w:ascii="Times New Roman" w:hAnsi="Times New Roman" w:cs="Times New Roman" w:eastAsia="Times New Roman" w:hint="default"/>
                <w:sz w:val="18"/>
                <w:szCs w:val="18"/>
              </w:rPr>
            </w:pPr>
            <w:r>
              <w:rPr>
                <w:rFonts w:ascii="Times New Roman"/>
                <w:sz w:val="18"/>
              </w:rPr>
              <w:t>4,162,1</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56.94</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105,033</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,599.65</w:t>
            </w:r>
          </w:p>
        </w:tc>
      </w:tr>
      <w:tr>
        <w:trPr>
          <w:trHeight w:val="710"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10"/>
                <w:sz w:val="18"/>
                <w:szCs w:val="18"/>
              </w:rPr>
              <w:t>（二）所有者投入</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2,030,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000.00</w:t>
            </w: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12,441,</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300.00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center"/>
              <w:rPr>
                <w:rFonts w:ascii="Times New Roman" w:hAnsi="Times New Roman" w:cs="Times New Roman" w:eastAsia="Times New Roman" w:hint="default"/>
                <w:sz w:val="18"/>
                <w:szCs w:val="18"/>
              </w:rPr>
            </w:pPr>
            <w:r>
              <w:rPr>
                <w:rFonts w:ascii="Times New Roman"/>
                <w:sz w:val="18"/>
              </w:rPr>
              <w:t>8,053,3</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56.00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center"/>
              <w:rPr>
                <w:rFonts w:ascii="Times New Roman" w:hAnsi="Times New Roman" w:cs="Times New Roman" w:eastAsia="Times New Roman" w:hint="default"/>
                <w:sz w:val="18"/>
                <w:szCs w:val="18"/>
              </w:rPr>
            </w:pPr>
            <w:r>
              <w:rPr>
                <w:rFonts w:ascii="Times New Roman"/>
                <w:sz w:val="18"/>
              </w:rPr>
              <w:t>6,417,9</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44.00</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5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．股东投入的普</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2,030,</w:t>
            </w:r>
          </w:p>
          <w:p>
            <w:pPr>
              <w:pStyle w:val="TableParagraph"/>
              <w:spacing w:line="240" w:lineRule="auto" w:before="110"/>
              <w:ind w:left="24" w:right="0"/>
              <w:jc w:val="left"/>
              <w:rPr>
                <w:rFonts w:ascii="Times New Roman" w:hAnsi="Times New Roman" w:cs="Times New Roman" w:eastAsia="Times New Roman" w:hint="default"/>
                <w:sz w:val="18"/>
                <w:szCs w:val="18"/>
              </w:rPr>
            </w:pPr>
            <w:r>
              <w:rPr>
                <w:rFonts w:ascii="Times New Roman"/>
                <w:sz w:val="18"/>
              </w:rPr>
              <w:t>000.00</w:t>
            </w: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center"/>
              <w:rPr>
                <w:rFonts w:ascii="Times New Roman" w:hAnsi="Times New Roman" w:cs="Times New Roman" w:eastAsia="Times New Roman" w:hint="default"/>
                <w:sz w:val="18"/>
                <w:szCs w:val="18"/>
              </w:rPr>
            </w:pPr>
            <w:r>
              <w:rPr>
                <w:rFonts w:ascii="Times New Roman"/>
                <w:sz w:val="18"/>
              </w:rPr>
              <w:t>9,200,0</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50.00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center"/>
              <w:rPr>
                <w:rFonts w:ascii="Times New Roman" w:hAnsi="Times New Roman" w:cs="Times New Roman" w:eastAsia="Times New Roman" w:hint="default"/>
                <w:sz w:val="18"/>
                <w:szCs w:val="18"/>
              </w:rPr>
            </w:pPr>
            <w:r>
              <w:rPr>
                <w:rFonts w:ascii="Times New Roman"/>
                <w:sz w:val="18"/>
              </w:rPr>
              <w:t>8,053,3</w:t>
            </w:r>
          </w:p>
          <w:p>
            <w:pPr>
              <w:pStyle w:val="TableParagraph"/>
              <w:spacing w:line="240" w:lineRule="auto" w:before="110"/>
              <w:ind w:left="206" w:right="0"/>
              <w:jc w:val="center"/>
              <w:rPr>
                <w:rFonts w:ascii="Times New Roman" w:hAnsi="Times New Roman" w:cs="Times New Roman" w:eastAsia="Times New Roman" w:hint="default"/>
                <w:sz w:val="18"/>
                <w:szCs w:val="18"/>
              </w:rPr>
            </w:pPr>
            <w:r>
              <w:rPr>
                <w:rFonts w:ascii="Times New Roman"/>
                <w:sz w:val="18"/>
              </w:rPr>
              <w:t>56.00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center"/>
              <w:rPr>
                <w:rFonts w:ascii="Times New Roman" w:hAnsi="Times New Roman" w:cs="Times New Roman" w:eastAsia="Times New Roman" w:hint="default"/>
                <w:sz w:val="18"/>
                <w:szCs w:val="18"/>
              </w:rPr>
            </w:pPr>
            <w:r>
              <w:rPr>
                <w:rFonts w:ascii="Times New Roman"/>
                <w:sz w:val="18"/>
              </w:rPr>
              <w:t>3,176,6</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94.00</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5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．其他权益工具</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5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所有者权益的金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3,241,2</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50.00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3,241,2</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50.00</w:t>
            </w:r>
          </w:p>
        </w:tc>
      </w:tr>
      <w:tr>
        <w:trPr>
          <w:trHeight w:val="398"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center"/>
              <w:rPr>
                <w:rFonts w:ascii="Times New Roman" w:hAnsi="Times New Roman" w:cs="Times New Roman" w:eastAsia="Times New Roman" w:hint="default"/>
                <w:sz w:val="18"/>
                <w:szCs w:val="18"/>
              </w:rPr>
            </w:pPr>
            <w:r>
              <w:rPr>
                <w:rFonts w:ascii="Times New Roman"/>
                <w:sz w:val="18"/>
              </w:rPr>
              <w:t>5,831,4</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96.99</w:t>
            </w: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 w:right="0"/>
              <w:jc w:val="center"/>
              <w:rPr>
                <w:rFonts w:ascii="Times New Roman" w:hAnsi="Times New Roman" w:cs="Times New Roman" w:eastAsia="Times New Roman" w:hint="default"/>
                <w:sz w:val="18"/>
                <w:szCs w:val="18"/>
              </w:rPr>
            </w:pPr>
            <w:r>
              <w:rPr>
                <w:rFonts w:ascii="Times New Roman"/>
                <w:sz w:val="18"/>
              </w:rPr>
              <w:t>-22,188,</w:t>
            </w:r>
          </w:p>
          <w:p>
            <w:pPr>
              <w:pStyle w:val="TableParagraph"/>
              <w:spacing w:line="240" w:lineRule="auto" w:before="110"/>
              <w:ind w:left="110" w:right="0"/>
              <w:jc w:val="center"/>
              <w:rPr>
                <w:rFonts w:ascii="Times New Roman" w:hAnsi="Times New Roman" w:cs="Times New Roman" w:eastAsia="Times New Roman" w:hint="default"/>
                <w:sz w:val="18"/>
                <w:szCs w:val="18"/>
              </w:rPr>
            </w:pPr>
            <w:r>
              <w:rPr>
                <w:rFonts w:ascii="Times New Roman"/>
                <w:sz w:val="18"/>
              </w:rPr>
              <w:t>096.99</w:t>
            </w: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-16,356,</w:t>
            </w:r>
          </w:p>
          <w:p>
            <w:pPr>
              <w:pStyle w:val="TableParagraph"/>
              <w:spacing w:line="240" w:lineRule="auto" w:before="110"/>
              <w:ind w:left="105" w:right="0"/>
              <w:jc w:val="center"/>
              <w:rPr>
                <w:rFonts w:ascii="Times New Roman" w:hAnsi="Times New Roman" w:cs="Times New Roman" w:eastAsia="Times New Roman" w:hint="default"/>
                <w:sz w:val="18"/>
                <w:szCs w:val="18"/>
              </w:rPr>
            </w:pPr>
            <w:r>
              <w:rPr>
                <w:rFonts w:ascii="Times New Roman"/>
                <w:sz w:val="18"/>
              </w:rPr>
              <w:t>600.00</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center"/>
              <w:rPr>
                <w:rFonts w:ascii="Times New Roman" w:hAnsi="Times New Roman" w:cs="Times New Roman" w:eastAsia="Times New Roman" w:hint="default"/>
                <w:sz w:val="18"/>
                <w:szCs w:val="18"/>
              </w:rPr>
            </w:pPr>
            <w:r>
              <w:rPr>
                <w:rFonts w:ascii="Times New Roman"/>
                <w:sz w:val="18"/>
              </w:rPr>
              <w:t>5,831,4</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96.99</w:t>
            </w: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 w:right="0"/>
              <w:jc w:val="center"/>
              <w:rPr>
                <w:rFonts w:ascii="Times New Roman" w:hAnsi="Times New Roman" w:cs="Times New Roman" w:eastAsia="Times New Roman" w:hint="default"/>
                <w:sz w:val="18"/>
                <w:szCs w:val="18"/>
              </w:rPr>
            </w:pPr>
            <w:r>
              <w:rPr>
                <w:rFonts w:ascii="Times New Roman"/>
                <w:sz w:val="18"/>
              </w:rPr>
              <w:t>-5,831,4</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96.99</w:t>
            </w: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5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．提取一般风险</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5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．对所有者（或</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 w:right="0"/>
              <w:jc w:val="center"/>
              <w:rPr>
                <w:rFonts w:ascii="Times New Roman" w:hAnsi="Times New Roman" w:cs="Times New Roman" w:eastAsia="Times New Roman" w:hint="default"/>
                <w:sz w:val="18"/>
                <w:szCs w:val="18"/>
              </w:rPr>
            </w:pPr>
            <w:r>
              <w:rPr>
                <w:rFonts w:ascii="Times New Roman"/>
                <w:sz w:val="18"/>
              </w:rPr>
              <w:t>-16,356,</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600.00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-16,356,</w:t>
            </w:r>
          </w:p>
          <w:p>
            <w:pPr>
              <w:pStyle w:val="TableParagraph"/>
              <w:spacing w:line="240" w:lineRule="auto" w:before="105"/>
              <w:ind w:left="105" w:right="0"/>
              <w:jc w:val="center"/>
              <w:rPr>
                <w:rFonts w:ascii="Times New Roman" w:hAnsi="Times New Roman" w:cs="Times New Roman" w:eastAsia="Times New Roman" w:hint="default"/>
                <w:sz w:val="18"/>
                <w:szCs w:val="18"/>
              </w:rPr>
            </w:pPr>
            <w:r>
              <w:rPr>
                <w:rFonts w:ascii="Times New Roman"/>
                <w:sz w:val="18"/>
              </w:rPr>
              <w:t>600.00</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10"/>
                <w:sz w:val="18"/>
                <w:szCs w:val="18"/>
              </w:rPr>
              <w:t>（四）所有者权益</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163,56</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10"/>
              <w:ind w:left="340" w:right="0"/>
              <w:jc w:val="left"/>
              <w:rPr>
                <w:rFonts w:ascii="Times New Roman" w:hAnsi="Times New Roman" w:cs="Times New Roman" w:eastAsia="Times New Roman" w:hint="default"/>
                <w:sz w:val="18"/>
                <w:szCs w:val="18"/>
              </w:rPr>
            </w:pPr>
            <w:r>
              <w:rPr>
                <w:rFonts w:ascii="Times New Roman"/>
                <w:sz w:val="18"/>
              </w:rPr>
              <w:t>00</w:t>
            </w: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-163,56</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6,000.0</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
              <w:jc w:val="right"/>
              <w:rPr>
                <w:rFonts w:ascii="Times New Roman" w:hAnsi="Times New Roman" w:cs="Times New Roman" w:eastAsia="Times New Roman" w:hint="default"/>
                <w:sz w:val="18"/>
                <w:szCs w:val="18"/>
              </w:rPr>
            </w:pPr>
            <w:r>
              <w:rPr>
                <w:rFonts w:ascii="Times New Roman"/>
                <w:spacing w:val="-1"/>
                <w:sz w:val="18"/>
              </w:rPr>
              <w:t>163,56</w:t>
            </w: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7"/>
              <w:jc w:val="right"/>
              <w:rPr>
                <w:rFonts w:ascii="Times New Roman" w:hAnsi="Times New Roman" w:cs="Times New Roman" w:eastAsia="Times New Roman" w:hint="default"/>
                <w:sz w:val="18"/>
                <w:szCs w:val="18"/>
              </w:rPr>
            </w:pPr>
            <w:r>
              <w:rPr>
                <w:rFonts w:ascii="Times New Roman"/>
                <w:spacing w:val="-1"/>
                <w:sz w:val="18"/>
              </w:rPr>
              <w:t>-163,56</w:t>
            </w: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2" w:footer="984"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40"/>
        <w:gridCol w:w="562"/>
        <w:gridCol w:w="528"/>
        <w:gridCol w:w="533"/>
        <w:gridCol w:w="533"/>
        <w:gridCol w:w="662"/>
        <w:gridCol w:w="662"/>
        <w:gridCol w:w="667"/>
        <w:gridCol w:w="667"/>
        <w:gridCol w:w="662"/>
        <w:gridCol w:w="662"/>
        <w:gridCol w:w="667"/>
        <w:gridCol w:w="662"/>
        <w:gridCol w:w="662"/>
      </w:tblGrid>
      <w:tr>
        <w:trPr>
          <w:trHeight w:val="672"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pacing w:val="-3"/>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1"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10"/>
              <w:ind w:left="340" w:right="0"/>
              <w:jc w:val="left"/>
              <w:rPr>
                <w:rFonts w:ascii="Times New Roman" w:hAnsi="Times New Roman" w:cs="Times New Roman" w:eastAsia="Times New Roman" w:hint="default"/>
                <w:sz w:val="18"/>
                <w:szCs w:val="18"/>
              </w:rPr>
            </w:pPr>
            <w:r>
              <w:rPr>
                <w:rFonts w:ascii="Times New Roman"/>
                <w:sz w:val="18"/>
              </w:rPr>
              <w:t>00</w:t>
            </w: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pacing w:val="-1"/>
                <w:sz w:val="18"/>
              </w:rPr>
              <w:t>6,000.0</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5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．盈余公积转增</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5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pacing w:val="-10"/>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329,16</w:t>
            </w:r>
          </w:p>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10"/>
              <w:ind w:left="340" w:right="0"/>
              <w:jc w:val="left"/>
              <w:rPr>
                <w:rFonts w:ascii="Times New Roman" w:hAnsi="Times New Roman" w:cs="Times New Roman" w:eastAsia="Times New Roman" w:hint="default"/>
                <w:sz w:val="18"/>
                <w:szCs w:val="18"/>
              </w:rPr>
            </w:pPr>
            <w:r>
              <w:rPr>
                <w:rFonts w:ascii="Times New Roman"/>
                <w:sz w:val="18"/>
              </w:rPr>
              <w:t>00</w:t>
            </w:r>
          </w:p>
        </w:tc>
        <w:tc>
          <w:tcPr>
            <w:tcW w:w="528"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343,386</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,410.61</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8,053,3</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56.00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20,572,</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016.30</w:t>
            </w: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194,800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,164.08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15,639,</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471.16</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895,506</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,706.15</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9"/>
        <w:ind w:left="0" w:right="146"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6"/>
        <w:gridCol w:w="559"/>
        <w:gridCol w:w="533"/>
        <w:gridCol w:w="533"/>
        <w:gridCol w:w="528"/>
        <w:gridCol w:w="667"/>
        <w:gridCol w:w="662"/>
        <w:gridCol w:w="667"/>
        <w:gridCol w:w="662"/>
        <w:gridCol w:w="667"/>
        <w:gridCol w:w="662"/>
        <w:gridCol w:w="677"/>
        <w:gridCol w:w="653"/>
        <w:gridCol w:w="662"/>
      </w:tblGrid>
      <w:tr>
        <w:trPr>
          <w:trHeight w:val="403"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813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45" w:hRule="exact"/>
        </w:trPr>
        <w:tc>
          <w:tcPr>
            <w:tcW w:w="1426" w:type="dxa"/>
            <w:vMerge/>
            <w:tcBorders>
              <w:left w:val="single" w:sz="4" w:space="0" w:color="000000"/>
              <w:right w:val="single" w:sz="4" w:space="0" w:color="000000"/>
            </w:tcBorders>
            <w:shd w:val="clear" w:color="auto" w:fill="D2D2D2"/>
          </w:tcPr>
          <w:p>
            <w:pPr/>
          </w:p>
        </w:tc>
        <w:tc>
          <w:tcPr>
            <w:tcW w:w="6818"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8"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6818" w:type="dxa"/>
            <w:gridSpan w:val="11"/>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57" w:right="50"/>
              <w:jc w:val="center"/>
              <w:rPr>
                <w:rFonts w:ascii="宋体" w:hAnsi="宋体" w:cs="宋体" w:eastAsia="宋体" w:hint="default"/>
                <w:sz w:val="18"/>
                <w:szCs w:val="18"/>
              </w:rPr>
            </w:pPr>
            <w:r>
              <w:rPr>
                <w:rFonts w:ascii="宋体" w:hAnsi="宋体" w:cs="宋体" w:eastAsia="宋体" w:hint="default"/>
                <w:spacing w:val="-2"/>
                <w:sz w:val="18"/>
                <w:szCs w:val="18"/>
              </w:rPr>
              <w:t>所有者</w:t>
            </w:r>
            <w:r>
              <w:rPr>
                <w:rFonts w:ascii="宋体" w:hAnsi="宋体" w:cs="宋体" w:eastAsia="宋体" w:hint="default"/>
                <w:w w:val="101"/>
                <w:sz w:val="18"/>
                <w:szCs w:val="18"/>
              </w:rPr>
              <w:t> </w:t>
            </w:r>
            <w:r>
              <w:rPr>
                <w:rFonts w:ascii="宋体" w:hAnsi="宋体" w:cs="宋体" w:eastAsia="宋体" w:hint="default"/>
                <w:spacing w:val="-2"/>
                <w:sz w:val="18"/>
                <w:szCs w:val="18"/>
              </w:rPr>
              <w:t>权益合</w:t>
            </w:r>
            <w:r>
              <w:rPr>
                <w:rFonts w:ascii="宋体" w:hAnsi="宋体" w:cs="宋体" w:eastAsia="宋体" w:hint="default"/>
                <w:w w:val="101"/>
                <w:sz w:val="18"/>
                <w:szCs w:val="18"/>
              </w:rPr>
              <w:t> </w:t>
            </w:r>
            <w:r>
              <w:rPr>
                <w:rFonts w:ascii="宋体" w:hAnsi="宋体" w:cs="宋体" w:eastAsia="宋体" w:hint="default"/>
                <w:sz w:val="18"/>
                <w:szCs w:val="18"/>
              </w:rPr>
              <w:t>计</w:t>
            </w:r>
          </w:p>
        </w:tc>
      </w:tr>
      <w:tr>
        <w:trPr>
          <w:trHeight w:val="197" w:hRule="exact"/>
        </w:trPr>
        <w:tc>
          <w:tcPr>
            <w:tcW w:w="1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59"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7"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7"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7"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49"/>
              <w:ind w:left="47" w:right="46" w:firstLine="4"/>
              <w:jc w:val="left"/>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w w:val="101"/>
                <w:sz w:val="18"/>
                <w:szCs w:val="18"/>
              </w:rPr>
              <w:t> </w:t>
            </w:r>
            <w:r>
              <w:rPr>
                <w:rFonts w:ascii="宋体" w:hAnsi="宋体" w:cs="宋体" w:eastAsia="宋体" w:hint="default"/>
                <w:sz w:val="18"/>
                <w:szCs w:val="18"/>
              </w:rPr>
              <w:t>东权益</w:t>
            </w:r>
          </w:p>
        </w:tc>
        <w:tc>
          <w:tcPr>
            <w:tcW w:w="662" w:type="dxa"/>
            <w:vMerge/>
            <w:tcBorders>
              <w:left w:val="single" w:sz="4" w:space="0" w:color="000000"/>
              <w:right w:val="single" w:sz="4" w:space="0" w:color="000000"/>
            </w:tcBorders>
            <w:shd w:val="clear" w:color="auto" w:fill="D2D2D2"/>
          </w:tcPr>
          <w:p>
            <w:pPr/>
          </w:p>
        </w:tc>
      </w:tr>
      <w:tr>
        <w:trPr>
          <w:trHeight w:val="175" w:hRule="exact"/>
        </w:trPr>
        <w:tc>
          <w:tcPr>
            <w:tcW w:w="1426" w:type="dxa"/>
            <w:vMerge/>
            <w:tcBorders>
              <w:left w:val="single" w:sz="4" w:space="0" w:color="000000"/>
              <w:bottom w:val="single" w:sz="21" w:space="0" w:color="FFFFFF"/>
              <w:right w:val="single" w:sz="4" w:space="0" w:color="000000"/>
            </w:tcBorders>
            <w:shd w:val="clear" w:color="auto" w:fill="D2D2D2"/>
          </w:tcPr>
          <w:p>
            <w:pPr/>
          </w:p>
        </w:tc>
        <w:tc>
          <w:tcPr>
            <w:tcW w:w="559" w:type="dxa"/>
            <w:vMerge/>
            <w:tcBorders>
              <w:left w:val="single" w:sz="4" w:space="0" w:color="000000"/>
              <w:bottom w:val="single" w:sz="21" w:space="0" w:color="FFFFFF"/>
              <w:right w:val="single" w:sz="4" w:space="0" w:color="000000"/>
            </w:tcBorders>
            <w:shd w:val="clear" w:color="auto" w:fill="D2D2D2"/>
          </w:tcPr>
          <w:p>
            <w:pPr/>
          </w:p>
        </w:tc>
        <w:tc>
          <w:tcPr>
            <w:tcW w:w="1594" w:type="dxa"/>
            <w:gridSpan w:val="3"/>
            <w:vMerge/>
            <w:tcBorders>
              <w:left w:val="single" w:sz="4" w:space="0" w:color="000000"/>
              <w:bottom w:val="single" w:sz="21" w:space="0" w:color="FFFFFF"/>
              <w:right w:val="single" w:sz="4" w:space="0" w:color="000000"/>
            </w:tcBorders>
            <w:shd w:val="clear" w:color="auto" w:fill="D2D2D2"/>
          </w:tcPr>
          <w:p>
            <w:pPr/>
          </w:p>
        </w:tc>
        <w:tc>
          <w:tcPr>
            <w:tcW w:w="66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235" w:right="55" w:hanging="178"/>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143" w:right="50" w:hanging="87"/>
              <w:jc w:val="left"/>
              <w:rPr>
                <w:rFonts w:ascii="宋体" w:hAnsi="宋体" w:cs="宋体" w:eastAsia="宋体" w:hint="default"/>
                <w:sz w:val="18"/>
                <w:szCs w:val="18"/>
              </w:rPr>
            </w:pPr>
            <w:r>
              <w:rPr>
                <w:rFonts w:ascii="宋体" w:hAnsi="宋体" w:cs="宋体" w:eastAsia="宋体" w:hint="default"/>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66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7" w:right="55"/>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235" w:right="50" w:hanging="178"/>
              <w:jc w:val="left"/>
              <w:rPr>
                <w:rFonts w:ascii="宋体" w:hAnsi="宋体" w:cs="宋体" w:eastAsia="宋体" w:hint="default"/>
                <w:sz w:val="18"/>
                <w:szCs w:val="18"/>
              </w:rPr>
            </w:pPr>
            <w:r>
              <w:rPr>
                <w:rFonts w:ascii="宋体" w:hAnsi="宋体" w:cs="宋体" w:eastAsia="宋体" w:hint="default"/>
                <w:sz w:val="18"/>
                <w:szCs w:val="18"/>
              </w:rPr>
              <w:t>专项储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w:t>
            </w:r>
          </w:p>
        </w:tc>
        <w:tc>
          <w:tcPr>
            <w:tcW w:w="66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235" w:right="55" w:hanging="178"/>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2" w:right="55"/>
              <w:jc w:val="left"/>
              <w:rPr>
                <w:rFonts w:ascii="宋体" w:hAnsi="宋体" w:cs="宋体" w:eastAsia="宋体" w:hint="default"/>
                <w:sz w:val="18"/>
                <w:szCs w:val="18"/>
              </w:rPr>
            </w:pPr>
            <w:r>
              <w:rPr>
                <w:rFonts w:ascii="宋体" w:hAnsi="宋体" w:cs="宋体" w:eastAsia="宋体" w:hint="default"/>
                <w:sz w:val="18"/>
                <w:szCs w:val="18"/>
              </w:rPr>
              <w:t>一般风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险准备</w:t>
            </w:r>
          </w:p>
        </w:tc>
        <w:tc>
          <w:tcPr>
            <w:tcW w:w="67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153" w:right="55" w:hanging="87"/>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653"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r>
      <w:tr>
        <w:trPr>
          <w:trHeight w:val="190" w:hRule="exact"/>
        </w:trPr>
        <w:tc>
          <w:tcPr>
            <w:tcW w:w="1426" w:type="dxa"/>
            <w:vMerge w:val="restart"/>
            <w:tcBorders>
              <w:top w:val="single" w:sz="21" w:space="0" w:color="FFFFFF"/>
              <w:left w:val="single" w:sz="4" w:space="0" w:color="000000"/>
              <w:right w:val="single" w:sz="4" w:space="0" w:color="000000"/>
            </w:tcBorders>
            <w:shd w:val="clear" w:color="auto" w:fill="D2D2D2"/>
          </w:tcPr>
          <w:p>
            <w:pPr/>
          </w:p>
        </w:tc>
        <w:tc>
          <w:tcPr>
            <w:tcW w:w="559" w:type="dxa"/>
            <w:vMerge w:val="restart"/>
            <w:tcBorders>
              <w:top w:val="single" w:sz="21" w:space="0" w:color="FFFFFF"/>
              <w:left w:val="single" w:sz="4" w:space="0" w:color="000000"/>
              <w:right w:val="single" w:sz="4" w:space="0" w:color="000000"/>
            </w:tcBorders>
            <w:shd w:val="clear" w:color="auto" w:fill="D2D2D2"/>
          </w:tcPr>
          <w:p>
            <w:pPr>
              <w:pStyle w:val="TableParagraph"/>
              <w:spacing w:line="240" w:lineRule="auto" w:before="10"/>
              <w:ind w:left="8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21" w:space="0" w:color="FFFFFF"/>
              <w:left w:val="single" w:sz="4" w:space="0" w:color="000000"/>
              <w:right w:val="single" w:sz="4" w:space="0" w:color="000000"/>
            </w:tcBorders>
            <w:shd w:val="clear" w:color="auto" w:fill="D2D2D2"/>
          </w:tcPr>
          <w:p>
            <w:pPr>
              <w:pStyle w:val="TableParagraph"/>
              <w:spacing w:line="316" w:lineRule="auto" w:before="63"/>
              <w:ind w:left="167" w:right="74" w:hanging="87"/>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533" w:type="dxa"/>
            <w:vMerge w:val="restart"/>
            <w:tcBorders>
              <w:top w:val="single" w:sz="21" w:space="0" w:color="FFFFFF"/>
              <w:left w:val="single" w:sz="4" w:space="0" w:color="000000"/>
              <w:right w:val="single" w:sz="4" w:space="0" w:color="000000"/>
            </w:tcBorders>
            <w:shd w:val="clear" w:color="auto" w:fill="D2D2D2"/>
          </w:tcPr>
          <w:p>
            <w:pPr>
              <w:pStyle w:val="TableParagraph"/>
              <w:spacing w:line="316" w:lineRule="auto" w:before="63"/>
              <w:ind w:left="167" w:right="74" w:hanging="87"/>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528" w:type="dxa"/>
            <w:tcBorders>
              <w:top w:val="single" w:sz="21" w:space="0" w:color="FFFFFF"/>
              <w:left w:val="single" w:sz="4" w:space="0" w:color="000000"/>
              <w:bottom w:val="nil" w:sz="6" w:space="0" w:color="auto"/>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r>
      <w:tr>
        <w:trPr>
          <w:trHeight w:val="164" w:hRule="exact"/>
        </w:trPr>
        <w:tc>
          <w:tcPr>
            <w:tcW w:w="1426" w:type="dxa"/>
            <w:vMerge/>
            <w:tcBorders>
              <w:left w:val="single" w:sz="4" w:space="0" w:color="000000"/>
              <w:right w:val="single" w:sz="4" w:space="0" w:color="000000"/>
            </w:tcBorders>
            <w:shd w:val="clear" w:color="auto" w:fill="D2D2D2"/>
          </w:tcPr>
          <w:p>
            <w:pPr/>
          </w:p>
        </w:tc>
        <w:tc>
          <w:tcPr>
            <w:tcW w:w="559"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7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7"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7"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r>
      <w:tr>
        <w:trPr>
          <w:trHeight w:val="155" w:hRule="exact"/>
        </w:trPr>
        <w:tc>
          <w:tcPr>
            <w:tcW w:w="1426" w:type="dxa"/>
            <w:vMerge/>
            <w:tcBorders>
              <w:left w:val="single" w:sz="4" w:space="0" w:color="000000"/>
              <w:right w:val="single" w:sz="4" w:space="0" w:color="000000"/>
            </w:tcBorders>
            <w:shd w:val="clear" w:color="auto" w:fill="D2D2D2"/>
          </w:tcPr>
          <w:p>
            <w:pPr/>
          </w:p>
        </w:tc>
        <w:tc>
          <w:tcPr>
            <w:tcW w:w="559" w:type="dxa"/>
            <w:vMerge w:val="restart"/>
            <w:tcBorders>
              <w:top w:val="nil" w:sz="6" w:space="0" w:color="auto"/>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28" w:type="dxa"/>
            <w:vMerge/>
            <w:tcBorders>
              <w:left w:val="single" w:sz="4" w:space="0" w:color="000000"/>
              <w:bottom w:val="nil" w:sz="6" w:space="0" w:color="auto"/>
              <w:right w:val="single" w:sz="4" w:space="0" w:color="000000"/>
            </w:tcBorders>
            <w:shd w:val="clear" w:color="auto" w:fill="D2D2D2"/>
          </w:tcPr>
          <w:p>
            <w:pPr/>
          </w:p>
        </w:tc>
        <w:tc>
          <w:tcPr>
            <w:tcW w:w="667"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7"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7"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r>
      <w:tr>
        <w:trPr>
          <w:trHeight w:val="233"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559"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5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67"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7"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7"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6"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59" w:type="dxa"/>
            <w:vMerge w:val="restart"/>
            <w:tcBorders>
              <w:top w:val="single" w:sz="4" w:space="0" w:color="000000"/>
              <w:left w:val="single" w:sz="8" w:space="0" w:color="D2D2D2"/>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160,50</w:t>
            </w:r>
          </w:p>
          <w:p>
            <w:pPr>
              <w:pStyle w:val="TableParagraph"/>
              <w:spacing w:line="240" w:lineRule="auto" w:before="105"/>
              <w:ind w:left="6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0"/>
              <w:ind w:left="338"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28"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476,801</w:t>
            </w:r>
          </w:p>
          <w:p>
            <w:pPr>
              <w:pStyle w:val="TableParagraph"/>
              <w:spacing w:line="240" w:lineRule="auto" w:before="110"/>
              <w:ind w:left="91" w:right="0"/>
              <w:jc w:val="left"/>
              <w:rPr>
                <w:rFonts w:ascii="Times New Roman" w:hAnsi="Times New Roman" w:cs="Times New Roman" w:eastAsia="Times New Roman" w:hint="default"/>
                <w:sz w:val="18"/>
                <w:szCs w:val="18"/>
              </w:rPr>
            </w:pPr>
            <w:r>
              <w:rPr>
                <w:rFonts w:ascii="Times New Roman"/>
                <w:sz w:val="18"/>
              </w:rPr>
              <w:t>,603.03</w:t>
            </w:r>
          </w:p>
        </w:tc>
        <w:tc>
          <w:tcPr>
            <w:tcW w:w="662"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12,687,</w:t>
            </w:r>
          </w:p>
          <w:p>
            <w:pPr>
              <w:pStyle w:val="TableParagraph"/>
              <w:spacing w:line="240" w:lineRule="auto" w:before="110"/>
              <w:ind w:left="134" w:right="0"/>
              <w:jc w:val="left"/>
              <w:rPr>
                <w:rFonts w:ascii="Times New Roman" w:hAnsi="Times New Roman" w:cs="Times New Roman" w:eastAsia="Times New Roman" w:hint="default"/>
                <w:sz w:val="18"/>
                <w:szCs w:val="18"/>
              </w:rPr>
            </w:pPr>
            <w:r>
              <w:rPr>
                <w:rFonts w:ascii="Times New Roman"/>
                <w:sz w:val="18"/>
              </w:rPr>
              <w:t>549.92</w:t>
            </w:r>
          </w:p>
        </w:tc>
        <w:tc>
          <w:tcPr>
            <w:tcW w:w="662" w:type="dxa"/>
            <w:vMerge w:val="restart"/>
            <w:tcBorders>
              <w:top w:val="single" w:sz="4" w:space="0" w:color="000000"/>
              <w:left w:val="single" w:sz="4" w:space="0" w:color="000000"/>
              <w:right w:val="single" w:sz="4" w:space="0" w:color="000000"/>
            </w:tcBorders>
          </w:tcPr>
          <w:p>
            <w:pP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83,283,</w:t>
            </w:r>
          </w:p>
          <w:p>
            <w:pPr>
              <w:pStyle w:val="TableParagraph"/>
              <w:spacing w:line="240" w:lineRule="auto" w:before="110"/>
              <w:ind w:left="148" w:right="0"/>
              <w:jc w:val="left"/>
              <w:rPr>
                <w:rFonts w:ascii="Times New Roman" w:hAnsi="Times New Roman" w:cs="Times New Roman" w:eastAsia="Times New Roman" w:hint="default"/>
                <w:sz w:val="18"/>
                <w:szCs w:val="18"/>
              </w:rPr>
            </w:pPr>
            <w:r>
              <w:rPr>
                <w:rFonts w:ascii="Times New Roman"/>
                <w:sz w:val="18"/>
              </w:rPr>
              <w:t>222.04</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2,746,4</w:t>
            </w:r>
          </w:p>
          <w:p>
            <w:pPr>
              <w:pStyle w:val="TableParagraph"/>
              <w:spacing w:line="240" w:lineRule="auto" w:before="110"/>
              <w:ind w:left="187" w:right="0"/>
              <w:jc w:val="center"/>
              <w:rPr>
                <w:rFonts w:ascii="Times New Roman" w:hAnsi="Times New Roman" w:cs="Times New Roman" w:eastAsia="Times New Roman" w:hint="default"/>
                <w:sz w:val="18"/>
                <w:szCs w:val="18"/>
              </w:rPr>
            </w:pPr>
            <w:r>
              <w:rPr>
                <w:rFonts w:ascii="Times New Roman"/>
                <w:sz w:val="18"/>
              </w:rPr>
              <w:t>33.58</w:t>
            </w: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736,018</w:t>
            </w:r>
          </w:p>
          <w:p>
            <w:pPr>
              <w:pStyle w:val="TableParagraph"/>
              <w:spacing w:line="240" w:lineRule="auto" w:before="110"/>
              <w:ind w:left="86" w:right="0"/>
              <w:jc w:val="left"/>
              <w:rPr>
                <w:rFonts w:ascii="Times New Roman" w:hAnsi="Times New Roman" w:cs="Times New Roman" w:eastAsia="Times New Roman" w:hint="default"/>
                <w:sz w:val="18"/>
                <w:szCs w:val="18"/>
              </w:rPr>
            </w:pPr>
            <w:r>
              <w:rPr>
                <w:rFonts w:ascii="Times New Roman"/>
                <w:sz w:val="18"/>
              </w:rPr>
              <w:t>,808.57</w:t>
            </w:r>
          </w:p>
        </w:tc>
      </w:tr>
      <w:tr>
        <w:trPr>
          <w:trHeight w:val="394"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right="14"/>
              <w:jc w:val="right"/>
              <w:rPr>
                <w:rFonts w:ascii="宋体" w:hAnsi="宋体" w:cs="宋体" w:eastAsia="宋体" w:hint="default"/>
                <w:sz w:val="18"/>
                <w:szCs w:val="18"/>
              </w:rPr>
            </w:pPr>
            <w:r>
              <w:rPr>
                <w:rFonts w:ascii="宋体" w:hAnsi="宋体" w:cs="宋体" w:eastAsia="宋体" w:hint="default"/>
                <w:spacing w:val="-10"/>
                <w:sz w:val="18"/>
                <w:szCs w:val="18"/>
              </w:rPr>
              <w:t>一、上年期末余额</w:t>
            </w:r>
          </w:p>
        </w:tc>
        <w:tc>
          <w:tcPr>
            <w:tcW w:w="559" w:type="dxa"/>
            <w:vMerge/>
            <w:tcBorders>
              <w:left w:val="single" w:sz="8"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528"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59" w:type="dxa"/>
            <w:vMerge/>
            <w:tcBorders>
              <w:left w:val="single" w:sz="8"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28"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4" w:firstLine="360"/>
              <w:jc w:val="left"/>
              <w:rPr>
                <w:rFonts w:ascii="宋体" w:hAnsi="宋体" w:cs="宋体" w:eastAsia="宋体" w:hint="default"/>
                <w:sz w:val="18"/>
                <w:szCs w:val="18"/>
              </w:rPr>
            </w:pPr>
            <w:r>
              <w:rPr>
                <w:rFonts w:ascii="宋体" w:hAnsi="宋体" w:cs="宋体" w:eastAsia="宋体" w:hint="default"/>
                <w:spacing w:val="-12"/>
                <w:sz w:val="18"/>
                <w:szCs w:val="18"/>
              </w:rPr>
              <w:t>加：会计政策</w:t>
            </w:r>
            <w:r>
              <w:rPr>
                <w:rFonts w:ascii="宋体" w:hAnsi="宋体" w:cs="宋体" w:eastAsia="宋体" w:hint="default"/>
                <w:w w:val="101"/>
                <w:sz w:val="18"/>
                <w:szCs w:val="18"/>
              </w:rPr>
              <w:t> </w:t>
            </w:r>
            <w:r>
              <w:rPr>
                <w:rFonts w:ascii="宋体" w:hAnsi="宋体" w:cs="宋体" w:eastAsia="宋体" w:hint="default"/>
                <w:sz w:val="18"/>
                <w:szCs w:val="18"/>
              </w:rPr>
              <w:t>变更</w:t>
            </w:r>
          </w:p>
        </w:tc>
        <w:tc>
          <w:tcPr>
            <w:tcW w:w="559" w:type="dxa"/>
            <w:tcBorders>
              <w:top w:val="single" w:sz="4" w:space="0" w:color="000000"/>
              <w:left w:val="single" w:sz="8"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59" w:type="dxa"/>
            <w:tcBorders>
              <w:top w:val="single" w:sz="4" w:space="0" w:color="000000"/>
              <w:left w:val="single" w:sz="8"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39" w:firstLine="720"/>
              <w:jc w:val="left"/>
              <w:rPr>
                <w:rFonts w:ascii="宋体" w:hAnsi="宋体" w:cs="宋体" w:eastAsia="宋体" w:hint="default"/>
                <w:sz w:val="18"/>
                <w:szCs w:val="18"/>
              </w:rPr>
            </w:pPr>
            <w:r>
              <w:rPr>
                <w:rFonts w:ascii="宋体" w:hAnsi="宋体" w:cs="宋体" w:eastAsia="宋体" w:hint="default"/>
                <w:sz w:val="18"/>
                <w:szCs w:val="18"/>
              </w:rPr>
              <w:t>同一控</w:t>
            </w:r>
            <w:r>
              <w:rPr>
                <w:rFonts w:ascii="宋体" w:hAnsi="宋体" w:cs="宋体" w:eastAsia="宋体" w:hint="default"/>
                <w:w w:val="101"/>
                <w:sz w:val="18"/>
                <w:szCs w:val="18"/>
              </w:rPr>
              <w:t> </w:t>
            </w:r>
            <w:r>
              <w:rPr>
                <w:rFonts w:ascii="宋体" w:hAnsi="宋体" w:cs="宋体" w:eastAsia="宋体" w:hint="default"/>
                <w:sz w:val="18"/>
                <w:szCs w:val="18"/>
              </w:rPr>
              <w:t>制下企业合并</w:t>
            </w:r>
          </w:p>
        </w:tc>
        <w:tc>
          <w:tcPr>
            <w:tcW w:w="559" w:type="dxa"/>
            <w:tcBorders>
              <w:top w:val="single" w:sz="4" w:space="0" w:color="000000"/>
              <w:left w:val="single" w:sz="8"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59" w:type="dxa"/>
            <w:tcBorders>
              <w:top w:val="single" w:sz="4" w:space="0" w:color="000000"/>
              <w:left w:val="single" w:sz="8"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59" w:type="dxa"/>
            <w:vMerge w:val="restart"/>
            <w:tcBorders>
              <w:top w:val="single" w:sz="4" w:space="0" w:color="000000"/>
              <w:left w:val="single" w:sz="8" w:space="0" w:color="D2D2D2"/>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160,50</w:t>
            </w:r>
          </w:p>
          <w:p>
            <w:pPr>
              <w:pStyle w:val="TableParagraph"/>
              <w:spacing w:line="240" w:lineRule="auto" w:before="105"/>
              <w:ind w:left="6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0"/>
              <w:ind w:left="338"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28"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476,801</w:t>
            </w:r>
          </w:p>
          <w:p>
            <w:pPr>
              <w:pStyle w:val="TableParagraph"/>
              <w:spacing w:line="240" w:lineRule="auto" w:before="110"/>
              <w:ind w:left="91" w:right="0"/>
              <w:jc w:val="left"/>
              <w:rPr>
                <w:rFonts w:ascii="Times New Roman" w:hAnsi="Times New Roman" w:cs="Times New Roman" w:eastAsia="Times New Roman" w:hint="default"/>
                <w:sz w:val="18"/>
                <w:szCs w:val="18"/>
              </w:rPr>
            </w:pPr>
            <w:r>
              <w:rPr>
                <w:rFonts w:ascii="Times New Roman"/>
                <w:sz w:val="18"/>
              </w:rPr>
              <w:t>,603.03</w:t>
            </w:r>
          </w:p>
        </w:tc>
        <w:tc>
          <w:tcPr>
            <w:tcW w:w="662"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12,687,</w:t>
            </w:r>
          </w:p>
          <w:p>
            <w:pPr>
              <w:pStyle w:val="TableParagraph"/>
              <w:spacing w:line="240" w:lineRule="auto" w:before="110"/>
              <w:ind w:left="134" w:right="0"/>
              <w:jc w:val="left"/>
              <w:rPr>
                <w:rFonts w:ascii="Times New Roman" w:hAnsi="Times New Roman" w:cs="Times New Roman" w:eastAsia="Times New Roman" w:hint="default"/>
                <w:sz w:val="18"/>
                <w:szCs w:val="18"/>
              </w:rPr>
            </w:pPr>
            <w:r>
              <w:rPr>
                <w:rFonts w:ascii="Times New Roman"/>
                <w:sz w:val="18"/>
              </w:rPr>
              <w:t>549.92</w:t>
            </w:r>
          </w:p>
        </w:tc>
        <w:tc>
          <w:tcPr>
            <w:tcW w:w="662" w:type="dxa"/>
            <w:vMerge w:val="restart"/>
            <w:tcBorders>
              <w:top w:val="single" w:sz="4" w:space="0" w:color="000000"/>
              <w:left w:val="single" w:sz="4" w:space="0" w:color="000000"/>
              <w:right w:val="single" w:sz="4" w:space="0" w:color="000000"/>
            </w:tcBorders>
          </w:tcPr>
          <w:p>
            <w:pP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83,283,</w:t>
            </w:r>
          </w:p>
          <w:p>
            <w:pPr>
              <w:pStyle w:val="TableParagraph"/>
              <w:spacing w:line="240" w:lineRule="auto" w:before="110"/>
              <w:ind w:left="148" w:right="0"/>
              <w:jc w:val="left"/>
              <w:rPr>
                <w:rFonts w:ascii="Times New Roman" w:hAnsi="Times New Roman" w:cs="Times New Roman" w:eastAsia="Times New Roman" w:hint="default"/>
                <w:sz w:val="18"/>
                <w:szCs w:val="18"/>
              </w:rPr>
            </w:pPr>
            <w:r>
              <w:rPr>
                <w:rFonts w:ascii="Times New Roman"/>
                <w:sz w:val="18"/>
              </w:rPr>
              <w:t>222.04</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2,746,4</w:t>
            </w:r>
          </w:p>
          <w:p>
            <w:pPr>
              <w:pStyle w:val="TableParagraph"/>
              <w:spacing w:line="240" w:lineRule="auto" w:before="110"/>
              <w:ind w:left="187" w:right="0"/>
              <w:jc w:val="center"/>
              <w:rPr>
                <w:rFonts w:ascii="Times New Roman" w:hAnsi="Times New Roman" w:cs="Times New Roman" w:eastAsia="Times New Roman" w:hint="default"/>
                <w:sz w:val="18"/>
                <w:szCs w:val="18"/>
              </w:rPr>
            </w:pPr>
            <w:r>
              <w:rPr>
                <w:rFonts w:ascii="Times New Roman"/>
                <w:sz w:val="18"/>
              </w:rPr>
              <w:t>33.58</w:t>
            </w: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736,018</w:t>
            </w:r>
          </w:p>
          <w:p>
            <w:pPr>
              <w:pStyle w:val="TableParagraph"/>
              <w:spacing w:line="240" w:lineRule="auto" w:before="110"/>
              <w:ind w:left="86" w:right="0"/>
              <w:jc w:val="left"/>
              <w:rPr>
                <w:rFonts w:ascii="Times New Roman" w:hAnsi="Times New Roman" w:cs="Times New Roman" w:eastAsia="Times New Roman" w:hint="default"/>
                <w:sz w:val="18"/>
                <w:szCs w:val="18"/>
              </w:rPr>
            </w:pPr>
            <w:r>
              <w:rPr>
                <w:rFonts w:ascii="Times New Roman"/>
                <w:sz w:val="18"/>
              </w:rPr>
              <w:t>,808.57</w:t>
            </w:r>
          </w:p>
        </w:tc>
      </w:tr>
      <w:tr>
        <w:trPr>
          <w:trHeight w:val="394"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14"/>
              <w:jc w:val="right"/>
              <w:rPr>
                <w:rFonts w:ascii="宋体" w:hAnsi="宋体" w:cs="宋体" w:eastAsia="宋体" w:hint="default"/>
                <w:sz w:val="18"/>
                <w:szCs w:val="18"/>
              </w:rPr>
            </w:pPr>
            <w:r>
              <w:rPr>
                <w:rFonts w:ascii="宋体" w:hAnsi="宋体" w:cs="宋体" w:eastAsia="宋体" w:hint="default"/>
                <w:spacing w:val="-10"/>
                <w:sz w:val="18"/>
                <w:szCs w:val="18"/>
              </w:rPr>
              <w:t>二、本年期初余额</w:t>
            </w:r>
          </w:p>
        </w:tc>
        <w:tc>
          <w:tcPr>
            <w:tcW w:w="559" w:type="dxa"/>
            <w:vMerge/>
            <w:tcBorders>
              <w:left w:val="single" w:sz="8"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528"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59" w:type="dxa"/>
            <w:vMerge/>
            <w:tcBorders>
              <w:left w:val="single" w:sz="8"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28"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r>
      <w:tr>
        <w:trPr>
          <w:trHeight w:val="1027"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14"/>
              <w:jc w:val="both"/>
              <w:rPr>
                <w:rFonts w:ascii="宋体" w:hAnsi="宋体" w:cs="宋体" w:eastAsia="宋体" w:hint="default"/>
                <w:sz w:val="18"/>
                <w:szCs w:val="18"/>
              </w:rPr>
            </w:pPr>
            <w:r>
              <w:rPr>
                <w:rFonts w:ascii="宋体" w:hAnsi="宋体" w:cs="宋体" w:eastAsia="宋体" w:hint="default"/>
                <w:spacing w:val="-10"/>
                <w:sz w:val="18"/>
                <w:szCs w:val="18"/>
              </w:rPr>
              <w:t>三、本期增减变动</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6"/>
                <w:sz w:val="18"/>
                <w:szCs w:val="18"/>
              </w:rPr>
              <w:t>金额（减少以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号填列）</w:t>
            </w:r>
          </w:p>
        </w:tc>
        <w:tc>
          <w:tcPr>
            <w:tcW w:w="559"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3,066,</w:t>
            </w:r>
          </w:p>
          <w:p>
            <w:pPr>
              <w:pStyle w:val="TableParagraph"/>
              <w:spacing w:line="240" w:lineRule="auto" w:before="105"/>
              <w:ind w:left="21" w:right="0"/>
              <w:jc w:val="left"/>
              <w:rPr>
                <w:rFonts w:ascii="Times New Roman" w:hAnsi="Times New Roman" w:cs="Times New Roman" w:eastAsia="Times New Roman" w:hint="default"/>
                <w:sz w:val="18"/>
                <w:szCs w:val="18"/>
              </w:rPr>
            </w:pPr>
            <w:r>
              <w:rPr>
                <w:rFonts w:ascii="Times New Roman"/>
                <w:sz w:val="18"/>
              </w:rPr>
              <w:t>000.00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17,709,</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507.58</w:t>
            </w: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2,052,9</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69.39</w:t>
            </w: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32,833,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596.32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8,730,8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80.64</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64,392,</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953.93</w:t>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14"/>
              <w:jc w:val="right"/>
              <w:rPr>
                <w:rFonts w:ascii="宋体" w:hAnsi="宋体" w:cs="宋体" w:eastAsia="宋体" w:hint="default"/>
                <w:sz w:val="18"/>
                <w:szCs w:val="18"/>
              </w:rPr>
            </w:pPr>
            <w:r>
              <w:rPr>
                <w:rFonts w:ascii="宋体" w:hAnsi="宋体" w:cs="宋体" w:eastAsia="宋体" w:hint="default"/>
                <w:spacing w:val="-10"/>
                <w:sz w:val="18"/>
                <w:szCs w:val="18"/>
              </w:rPr>
              <w:t>（一）综合收益总</w:t>
            </w:r>
          </w:p>
        </w:tc>
        <w:tc>
          <w:tcPr>
            <w:tcW w:w="559" w:type="dxa"/>
            <w:tcBorders>
              <w:top w:val="single" w:sz="4" w:space="0" w:color="000000"/>
              <w:left w:val="single" w:sz="8"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10" w:right="0"/>
              <w:jc w:val="left"/>
              <w:rPr>
                <w:rFonts w:ascii="Times New Roman" w:hAnsi="Times New Roman" w:cs="Times New Roman" w:eastAsia="Times New Roman" w:hint="default"/>
                <w:sz w:val="18"/>
                <w:szCs w:val="18"/>
              </w:rPr>
            </w:pPr>
            <w:r>
              <w:rPr>
                <w:rFonts w:ascii="Times New Roman"/>
                <w:sz w:val="18"/>
              </w:rPr>
              <w:t>47,726,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3" w:right="0"/>
              <w:jc w:val="left"/>
              <w:rPr>
                <w:rFonts w:ascii="Times New Roman" w:hAnsi="Times New Roman" w:cs="Times New Roman" w:eastAsia="Times New Roman" w:hint="default"/>
                <w:sz w:val="18"/>
                <w:szCs w:val="18"/>
              </w:rPr>
            </w:pPr>
            <w:r>
              <w:rPr>
                <w:rFonts w:ascii="Times New Roman"/>
                <w:sz w:val="18"/>
              </w:rPr>
              <w:t>700,514</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91" w:right="0"/>
              <w:jc w:val="left"/>
              <w:rPr>
                <w:rFonts w:ascii="Times New Roman" w:hAnsi="Times New Roman" w:cs="Times New Roman" w:eastAsia="Times New Roman" w:hint="default"/>
                <w:sz w:val="18"/>
                <w:szCs w:val="18"/>
              </w:rPr>
            </w:pPr>
            <w:r>
              <w:rPr>
                <w:rFonts w:ascii="Times New Roman"/>
                <w:sz w:val="18"/>
              </w:rPr>
              <w:t>48,427,</w:t>
            </w:r>
          </w:p>
        </w:tc>
      </w:tr>
    </w:tbl>
    <w:p>
      <w:pPr>
        <w:spacing w:after="0" w:line="240" w:lineRule="auto"/>
        <w:jc w:val="left"/>
        <w:rPr>
          <w:rFonts w:ascii="Times New Roman" w:hAnsi="Times New Roman" w:cs="Times New Roman" w:eastAsia="Times New Roman" w:hint="default"/>
          <w:sz w:val="18"/>
          <w:szCs w:val="18"/>
        </w:rPr>
        <w:sectPr>
          <w:pgSz w:w="11900" w:h="16840"/>
          <w:pgMar w:header="742" w:footer="984"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35"/>
        <w:gridCol w:w="562"/>
        <w:gridCol w:w="533"/>
        <w:gridCol w:w="533"/>
        <w:gridCol w:w="528"/>
        <w:gridCol w:w="667"/>
        <w:gridCol w:w="662"/>
        <w:gridCol w:w="667"/>
        <w:gridCol w:w="662"/>
        <w:gridCol w:w="667"/>
        <w:gridCol w:w="662"/>
        <w:gridCol w:w="677"/>
        <w:gridCol w:w="653"/>
        <w:gridCol w:w="662"/>
      </w:tblGrid>
      <w:tr>
        <w:trPr>
          <w:trHeight w:val="360" w:hRule="exact"/>
        </w:trPr>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48" w:right="0"/>
              <w:jc w:val="left"/>
              <w:rPr>
                <w:rFonts w:ascii="Times New Roman" w:hAnsi="Times New Roman" w:cs="Times New Roman" w:eastAsia="Times New Roman" w:hint="default"/>
                <w:sz w:val="18"/>
                <w:szCs w:val="18"/>
              </w:rPr>
            </w:pPr>
            <w:r>
              <w:rPr>
                <w:rFonts w:ascii="Times New Roman"/>
                <w:sz w:val="18"/>
              </w:rPr>
              <w:t>565.71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88" w:right="0"/>
              <w:jc w:val="left"/>
              <w:rPr>
                <w:rFonts w:ascii="Times New Roman" w:hAnsi="Times New Roman" w:cs="Times New Roman" w:eastAsia="Times New Roman" w:hint="default"/>
                <w:sz w:val="18"/>
                <w:szCs w:val="18"/>
              </w:rPr>
            </w:pPr>
            <w:r>
              <w:rPr>
                <w:rFonts w:ascii="Times New Roman"/>
                <w:sz w:val="18"/>
              </w:rPr>
              <w:t>.42</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29" w:right="0"/>
              <w:jc w:val="left"/>
              <w:rPr>
                <w:rFonts w:ascii="Times New Roman" w:hAnsi="Times New Roman" w:cs="Times New Roman" w:eastAsia="Times New Roman" w:hint="default"/>
                <w:sz w:val="18"/>
                <w:szCs w:val="18"/>
              </w:rPr>
            </w:pPr>
            <w:r>
              <w:rPr>
                <w:rFonts w:ascii="Times New Roman"/>
                <w:sz w:val="18"/>
              </w:rPr>
              <w:t>080.13</w:t>
            </w:r>
          </w:p>
        </w:tc>
      </w:tr>
      <w:tr>
        <w:trPr>
          <w:trHeight w:val="715" w:hRule="exact"/>
        </w:trPr>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2"/>
              <w:jc w:val="left"/>
              <w:rPr>
                <w:rFonts w:ascii="宋体" w:hAnsi="宋体" w:cs="宋体" w:eastAsia="宋体" w:hint="default"/>
                <w:sz w:val="18"/>
                <w:szCs w:val="18"/>
              </w:rPr>
            </w:pPr>
            <w:r>
              <w:rPr>
                <w:rFonts w:ascii="宋体" w:hAnsi="宋体" w:cs="宋体" w:eastAsia="宋体" w:hint="default"/>
                <w:spacing w:val="-10"/>
                <w:sz w:val="18"/>
                <w:szCs w:val="18"/>
              </w:rPr>
              <w:t>（二）所有者投入</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3,066,</w:t>
            </w:r>
          </w:p>
          <w:p>
            <w:pPr>
              <w:pStyle w:val="TableParagraph"/>
              <w:spacing w:line="240" w:lineRule="auto" w:before="110"/>
              <w:ind w:left="28" w:right="0"/>
              <w:jc w:val="left"/>
              <w:rPr>
                <w:rFonts w:ascii="Times New Roman" w:hAnsi="Times New Roman" w:cs="Times New Roman" w:eastAsia="Times New Roman" w:hint="default"/>
                <w:sz w:val="18"/>
                <w:szCs w:val="18"/>
              </w:rPr>
            </w:pPr>
            <w:r>
              <w:rPr>
                <w:rFonts w:ascii="Times New Roman"/>
                <w:sz w:val="18"/>
              </w:rPr>
              <w:t>000.00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6" w:right="0"/>
              <w:jc w:val="left"/>
              <w:rPr>
                <w:rFonts w:ascii="Times New Roman" w:hAnsi="Times New Roman" w:cs="Times New Roman" w:eastAsia="Times New Roman" w:hint="default"/>
                <w:sz w:val="18"/>
                <w:szCs w:val="18"/>
              </w:rPr>
            </w:pPr>
            <w:r>
              <w:rPr>
                <w:rFonts w:ascii="Times New Roman"/>
                <w:sz w:val="18"/>
              </w:rPr>
              <w:t>17,709,</w:t>
            </w:r>
          </w:p>
          <w:p>
            <w:pPr>
              <w:pStyle w:val="TableParagraph"/>
              <w:spacing w:line="240" w:lineRule="auto" w:before="110"/>
              <w:ind w:left="134" w:right="0"/>
              <w:jc w:val="left"/>
              <w:rPr>
                <w:rFonts w:ascii="Times New Roman" w:hAnsi="Times New Roman" w:cs="Times New Roman" w:eastAsia="Times New Roman" w:hint="default"/>
                <w:sz w:val="18"/>
                <w:szCs w:val="18"/>
              </w:rPr>
            </w:pPr>
            <w:r>
              <w:rPr>
                <w:rFonts w:ascii="Times New Roman"/>
                <w:sz w:val="18"/>
              </w:rPr>
              <w:t>507.58</w:t>
            </w: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center"/>
              <w:rPr>
                <w:rFonts w:ascii="Times New Roman" w:hAnsi="Times New Roman" w:cs="Times New Roman" w:eastAsia="Times New Roman" w:hint="default"/>
                <w:sz w:val="18"/>
                <w:szCs w:val="18"/>
              </w:rPr>
            </w:pPr>
            <w:r>
              <w:rPr>
                <w:rFonts w:ascii="Times New Roman"/>
                <w:sz w:val="18"/>
              </w:rPr>
              <w:t>8,030,3</w:t>
            </w:r>
          </w:p>
          <w:p>
            <w:pPr>
              <w:pStyle w:val="TableParagraph"/>
              <w:spacing w:line="240" w:lineRule="auto" w:before="110"/>
              <w:ind w:left="187" w:right="0"/>
              <w:jc w:val="center"/>
              <w:rPr>
                <w:rFonts w:ascii="Times New Roman" w:hAnsi="Times New Roman" w:cs="Times New Roman" w:eastAsia="Times New Roman" w:hint="default"/>
                <w:sz w:val="18"/>
                <w:szCs w:val="18"/>
              </w:rPr>
            </w:pPr>
            <w:r>
              <w:rPr>
                <w:rFonts w:ascii="Times New Roman"/>
                <w:sz w:val="18"/>
              </w:rPr>
              <w:t>66.22</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28,805,</w:t>
            </w:r>
          </w:p>
          <w:p>
            <w:pPr>
              <w:pStyle w:val="TableParagraph"/>
              <w:spacing w:line="240" w:lineRule="auto" w:before="110"/>
              <w:ind w:left="129" w:right="0"/>
              <w:jc w:val="left"/>
              <w:rPr>
                <w:rFonts w:ascii="Times New Roman" w:hAnsi="Times New Roman" w:cs="Times New Roman" w:eastAsia="Times New Roman" w:hint="default"/>
                <w:sz w:val="18"/>
                <w:szCs w:val="18"/>
              </w:rPr>
            </w:pPr>
            <w:r>
              <w:rPr>
                <w:rFonts w:ascii="Times New Roman"/>
                <w:sz w:val="18"/>
              </w:rPr>
              <w:t>873.80</w:t>
            </w:r>
          </w:p>
        </w:tc>
      </w:tr>
      <w:tr>
        <w:trPr>
          <w:trHeight w:val="715" w:hRule="exact"/>
        </w:trPr>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4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．股东投入的普</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3,066,</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000.00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6" w:right="0"/>
              <w:jc w:val="left"/>
              <w:rPr>
                <w:rFonts w:ascii="Times New Roman" w:hAnsi="Times New Roman" w:cs="Times New Roman" w:eastAsia="Times New Roman" w:hint="default"/>
                <w:sz w:val="18"/>
                <w:szCs w:val="18"/>
              </w:rPr>
            </w:pPr>
            <w:r>
              <w:rPr>
                <w:rFonts w:ascii="Times New Roman"/>
                <w:sz w:val="18"/>
              </w:rPr>
              <w:t>16,004,</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520.00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center"/>
              <w:rPr>
                <w:rFonts w:ascii="Times New Roman" w:hAnsi="Times New Roman" w:cs="Times New Roman" w:eastAsia="Times New Roman" w:hint="default"/>
                <w:sz w:val="18"/>
                <w:szCs w:val="18"/>
              </w:rPr>
            </w:pPr>
            <w:r>
              <w:rPr>
                <w:rFonts w:ascii="Times New Roman"/>
                <w:sz w:val="18"/>
              </w:rPr>
              <w:t>6,245,0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25,315,</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520.00</w:t>
            </w:r>
          </w:p>
        </w:tc>
      </w:tr>
      <w:tr>
        <w:trPr>
          <w:trHeight w:val="715" w:hRule="exact"/>
        </w:trPr>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4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．其他权益工具</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4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所有者权益的金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2,075,0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00.00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2,075,0</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00.00</w:t>
            </w:r>
          </w:p>
        </w:tc>
      </w:tr>
      <w:tr>
        <w:trPr>
          <w:trHeight w:val="715" w:hRule="exact"/>
        </w:trPr>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-370,01</w:t>
            </w:r>
          </w:p>
          <w:p>
            <w:pPr>
              <w:pStyle w:val="TableParagraph"/>
              <w:spacing w:line="240" w:lineRule="auto" w:before="110"/>
              <w:ind w:left="312" w:right="0"/>
              <w:jc w:val="left"/>
              <w:rPr>
                <w:rFonts w:ascii="Times New Roman" w:hAnsi="Times New Roman" w:cs="Times New Roman" w:eastAsia="Times New Roman" w:hint="default"/>
                <w:sz w:val="18"/>
                <w:szCs w:val="18"/>
              </w:rPr>
            </w:pPr>
            <w:r>
              <w:rPr>
                <w:rFonts w:ascii="Times New Roman"/>
                <w:sz w:val="18"/>
              </w:rPr>
              <w:t>2.42</w:t>
            </w: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center"/>
              <w:rPr>
                <w:rFonts w:ascii="Times New Roman" w:hAnsi="Times New Roman" w:cs="Times New Roman" w:eastAsia="Times New Roman" w:hint="default"/>
                <w:sz w:val="18"/>
                <w:szCs w:val="18"/>
              </w:rPr>
            </w:pPr>
            <w:r>
              <w:rPr>
                <w:rFonts w:ascii="Times New Roman"/>
                <w:sz w:val="18"/>
              </w:rPr>
              <w:t>1,785,3</w:t>
            </w:r>
          </w:p>
          <w:p>
            <w:pPr>
              <w:pStyle w:val="TableParagraph"/>
              <w:spacing w:line="240" w:lineRule="auto" w:before="110"/>
              <w:ind w:left="187" w:right="0"/>
              <w:jc w:val="center"/>
              <w:rPr>
                <w:rFonts w:ascii="Times New Roman" w:hAnsi="Times New Roman" w:cs="Times New Roman" w:eastAsia="Times New Roman" w:hint="default"/>
                <w:sz w:val="18"/>
                <w:szCs w:val="18"/>
              </w:rPr>
            </w:pPr>
            <w:r>
              <w:rPr>
                <w:rFonts w:ascii="Times New Roman"/>
                <w:sz w:val="18"/>
              </w:rPr>
              <w:t>66.22</w:t>
            </w: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center"/>
              <w:rPr>
                <w:rFonts w:ascii="Times New Roman" w:hAnsi="Times New Roman" w:cs="Times New Roman" w:eastAsia="Times New Roman" w:hint="default"/>
                <w:sz w:val="18"/>
                <w:szCs w:val="18"/>
              </w:rPr>
            </w:pPr>
            <w:r>
              <w:rPr>
                <w:rFonts w:ascii="Times New Roman"/>
                <w:sz w:val="18"/>
              </w:rPr>
              <w:t>2,052,9</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69.39</w:t>
            </w: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 w:right="0"/>
              <w:jc w:val="center"/>
              <w:rPr>
                <w:rFonts w:ascii="Times New Roman" w:hAnsi="Times New Roman" w:cs="Times New Roman" w:eastAsia="Times New Roman" w:hint="default"/>
                <w:sz w:val="18"/>
                <w:szCs w:val="18"/>
              </w:rPr>
            </w:pPr>
            <w:r>
              <w:rPr>
                <w:rFonts w:ascii="Times New Roman"/>
                <w:sz w:val="18"/>
              </w:rPr>
              <w:t>-14,892,</w:t>
            </w:r>
          </w:p>
          <w:p>
            <w:pPr>
              <w:pStyle w:val="TableParagraph"/>
              <w:spacing w:line="240" w:lineRule="auto" w:before="105"/>
              <w:ind w:left="129" w:right="0"/>
              <w:jc w:val="center"/>
              <w:rPr>
                <w:rFonts w:ascii="Times New Roman" w:hAnsi="Times New Roman" w:cs="Times New Roman" w:eastAsia="Times New Roman" w:hint="default"/>
                <w:sz w:val="18"/>
                <w:szCs w:val="18"/>
              </w:rPr>
            </w:pPr>
            <w:r>
              <w:rPr>
                <w:rFonts w:ascii="Times New Roman"/>
                <w:sz w:val="18"/>
              </w:rPr>
              <w:t>969.39</w:t>
            </w: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-12,840,</w:t>
            </w:r>
          </w:p>
          <w:p>
            <w:pPr>
              <w:pStyle w:val="TableParagraph"/>
              <w:spacing w:line="240" w:lineRule="auto" w:before="105"/>
              <w:ind w:left="105" w:right="0"/>
              <w:jc w:val="center"/>
              <w:rPr>
                <w:rFonts w:ascii="Times New Roman" w:hAnsi="Times New Roman" w:cs="Times New Roman" w:eastAsia="Times New Roman" w:hint="default"/>
                <w:sz w:val="18"/>
                <w:szCs w:val="18"/>
              </w:rPr>
            </w:pPr>
            <w:r>
              <w:rPr>
                <w:rFonts w:ascii="Times New Roman"/>
                <w:sz w:val="18"/>
              </w:rPr>
              <w:t>000.00</w:t>
            </w:r>
          </w:p>
        </w:tc>
      </w:tr>
      <w:tr>
        <w:trPr>
          <w:trHeight w:val="715" w:hRule="exact"/>
        </w:trPr>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center"/>
              <w:rPr>
                <w:rFonts w:ascii="Times New Roman" w:hAnsi="Times New Roman" w:cs="Times New Roman" w:eastAsia="Times New Roman" w:hint="default"/>
                <w:sz w:val="18"/>
                <w:szCs w:val="18"/>
              </w:rPr>
            </w:pPr>
            <w:r>
              <w:rPr>
                <w:rFonts w:ascii="Times New Roman"/>
                <w:sz w:val="18"/>
              </w:rPr>
              <w:t>2,052,9</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69.39</w:t>
            </w: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center"/>
              <w:rPr>
                <w:rFonts w:ascii="Times New Roman" w:hAnsi="Times New Roman" w:cs="Times New Roman" w:eastAsia="Times New Roman" w:hint="default"/>
                <w:sz w:val="18"/>
                <w:szCs w:val="18"/>
              </w:rPr>
            </w:pPr>
            <w:r>
              <w:rPr>
                <w:rFonts w:ascii="Times New Roman"/>
                <w:sz w:val="18"/>
              </w:rPr>
              <w:t>-2,052,9</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69.39</w:t>
            </w: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4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．提取一般风险</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4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．对所有者（或</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 w:right="0"/>
              <w:jc w:val="center"/>
              <w:rPr>
                <w:rFonts w:ascii="Times New Roman" w:hAnsi="Times New Roman" w:cs="Times New Roman" w:eastAsia="Times New Roman" w:hint="default"/>
                <w:sz w:val="18"/>
                <w:szCs w:val="18"/>
              </w:rPr>
            </w:pPr>
            <w:r>
              <w:rPr>
                <w:rFonts w:ascii="Times New Roman"/>
                <w:sz w:val="18"/>
              </w:rPr>
              <w:t>-12,840,</w:t>
            </w:r>
          </w:p>
          <w:p>
            <w:pPr>
              <w:pStyle w:val="TableParagraph"/>
              <w:spacing w:line="240" w:lineRule="auto" w:before="110"/>
              <w:ind w:left="129" w:right="0"/>
              <w:jc w:val="center"/>
              <w:rPr>
                <w:rFonts w:ascii="Times New Roman" w:hAnsi="Times New Roman" w:cs="Times New Roman" w:eastAsia="Times New Roman" w:hint="default"/>
                <w:sz w:val="18"/>
                <w:szCs w:val="18"/>
              </w:rPr>
            </w:pPr>
            <w:r>
              <w:rPr>
                <w:rFonts w:ascii="Times New Roman"/>
                <w:sz w:val="18"/>
              </w:rPr>
              <w:t>000.00</w:t>
            </w: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-12,840,</w:t>
            </w:r>
          </w:p>
          <w:p>
            <w:pPr>
              <w:pStyle w:val="TableParagraph"/>
              <w:spacing w:line="240" w:lineRule="auto" w:before="110"/>
              <w:ind w:left="105" w:right="0"/>
              <w:jc w:val="center"/>
              <w:rPr>
                <w:rFonts w:ascii="Times New Roman" w:hAnsi="Times New Roman" w:cs="Times New Roman" w:eastAsia="Times New Roman" w:hint="default"/>
                <w:sz w:val="18"/>
                <w:szCs w:val="18"/>
              </w:rPr>
            </w:pPr>
            <w:r>
              <w:rPr>
                <w:rFonts w:ascii="Times New Roman"/>
                <w:sz w:val="18"/>
              </w:rPr>
              <w:t>000.00</w:t>
            </w:r>
          </w:p>
        </w:tc>
      </w:tr>
      <w:tr>
        <w:trPr>
          <w:trHeight w:val="403" w:hRule="exact"/>
        </w:trPr>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2"/>
              <w:jc w:val="left"/>
              <w:rPr>
                <w:rFonts w:ascii="宋体" w:hAnsi="宋体" w:cs="宋体" w:eastAsia="宋体" w:hint="default"/>
                <w:sz w:val="18"/>
                <w:szCs w:val="18"/>
              </w:rPr>
            </w:pPr>
            <w:r>
              <w:rPr>
                <w:rFonts w:ascii="宋体" w:hAnsi="宋体" w:cs="宋体" w:eastAsia="宋体" w:hint="default"/>
                <w:spacing w:val="-10"/>
                <w:sz w:val="18"/>
                <w:szCs w:val="18"/>
              </w:rPr>
              <w:t>（四）所有者权益</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4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．资本公积转增</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4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．盈余公积转增</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46"/>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pacing w:val="-10"/>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left"/>
              <w:rPr>
                <w:rFonts w:ascii="Times New Roman" w:hAnsi="Times New Roman" w:cs="Times New Roman" w:eastAsia="Times New Roman" w:hint="default"/>
                <w:sz w:val="18"/>
                <w:szCs w:val="18"/>
              </w:rPr>
            </w:pPr>
            <w:r>
              <w:rPr>
                <w:rFonts w:ascii="Times New Roman"/>
                <w:sz w:val="18"/>
              </w:rPr>
              <w:t>163,56</w:t>
            </w:r>
          </w:p>
          <w:p>
            <w:pPr>
              <w:pStyle w:val="TableParagraph"/>
              <w:spacing w:line="240" w:lineRule="auto" w:before="100"/>
              <w:ind w:left="76"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10"/>
              <w:ind w:left="345"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494,511</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,110.61</w:t>
            </w: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14,740,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519.31</w:t>
            </w: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pacing w:val="-3"/>
                <w:sz w:val="18"/>
              </w:rPr>
              <w:t>116,116,</w:t>
            </w:r>
          </w:p>
          <w:p>
            <w:pPr>
              <w:pStyle w:val="TableParagraph"/>
              <w:spacing w:line="240" w:lineRule="auto" w:before="105"/>
              <w:ind w:left="129" w:right="0"/>
              <w:jc w:val="center"/>
              <w:rPr>
                <w:rFonts w:ascii="Times New Roman" w:hAnsi="Times New Roman" w:cs="Times New Roman" w:eastAsia="Times New Roman" w:hint="default"/>
                <w:sz w:val="18"/>
                <w:szCs w:val="18"/>
              </w:rPr>
            </w:pPr>
            <w:r>
              <w:rPr>
                <w:rFonts w:ascii="Times New Roman"/>
                <w:sz w:val="18"/>
              </w:rPr>
              <w:t>818.36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11,477,</w:t>
            </w:r>
          </w:p>
          <w:p>
            <w:pPr>
              <w:pStyle w:val="TableParagraph"/>
              <w:spacing w:line="240" w:lineRule="auto" w:before="105"/>
              <w:ind w:left="120" w:right="0"/>
              <w:jc w:val="left"/>
              <w:rPr>
                <w:rFonts w:ascii="Times New Roman" w:hAnsi="Times New Roman" w:cs="Times New Roman" w:eastAsia="Times New Roman" w:hint="default"/>
                <w:sz w:val="18"/>
                <w:szCs w:val="18"/>
              </w:rPr>
            </w:pPr>
            <w:r>
              <w:rPr>
                <w:rFonts w:ascii="Times New Roman"/>
                <w:sz w:val="18"/>
              </w:rPr>
              <w:t>314.22</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800,411</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,762.50</w:t>
            </w:r>
          </w:p>
        </w:tc>
      </w:tr>
    </w:tbl>
    <w:p>
      <w:pPr>
        <w:spacing w:after="0" w:line="240" w:lineRule="auto"/>
        <w:jc w:val="left"/>
        <w:rPr>
          <w:rFonts w:ascii="Times New Roman" w:hAnsi="Times New Roman" w:cs="Times New Roman" w:eastAsia="Times New Roman" w:hint="default"/>
          <w:sz w:val="18"/>
          <w:szCs w:val="18"/>
        </w:rPr>
        <w:sectPr>
          <w:pgSz w:w="11900" w:h="16840"/>
          <w:pgMar w:header="742" w:footer="984" w:top="1060" w:bottom="1180" w:left="980" w:right="980"/>
        </w:sectPr>
      </w:pPr>
    </w:p>
    <w:p>
      <w:pPr>
        <w:spacing w:line="240" w:lineRule="auto" w:before="9"/>
        <w:rPr>
          <w:rFonts w:ascii="Times New Roman" w:hAnsi="Times New Roman" w:cs="Times New Roman" w:eastAsia="Times New Roman" w:hint="default"/>
          <w:sz w:val="28"/>
          <w:szCs w:val="28"/>
        </w:rPr>
      </w:pPr>
    </w:p>
    <w:p>
      <w:pPr>
        <w:pStyle w:val="Heading4"/>
        <w:spacing w:line="335" w:lineRule="exact"/>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46"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7"/>
        <w:gridCol w:w="662"/>
        <w:gridCol w:w="667"/>
        <w:gridCol w:w="797"/>
        <w:gridCol w:w="797"/>
        <w:gridCol w:w="797"/>
        <w:gridCol w:w="797"/>
        <w:gridCol w:w="797"/>
        <w:gridCol w:w="677"/>
        <w:gridCol w:w="782"/>
      </w:tblGrid>
      <w:tr>
        <w:trPr>
          <w:trHeight w:val="403"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197"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2"/>
              <w:ind w:left="302" w:right="26" w:hanging="269"/>
              <w:jc w:val="left"/>
              <w:rPr>
                <w:rFonts w:ascii="宋体" w:hAnsi="宋体" w:cs="宋体" w:eastAsia="宋体" w:hint="default"/>
                <w:sz w:val="18"/>
                <w:szCs w:val="18"/>
              </w:rPr>
            </w:pPr>
            <w:r>
              <w:rPr>
                <w:rFonts w:ascii="宋体" w:hAnsi="宋体" w:cs="宋体" w:eastAsia="宋体" w:hint="default"/>
                <w:sz w:val="18"/>
                <w:szCs w:val="18"/>
              </w:rPr>
              <w:t>减：库存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2"/>
              <w:ind w:left="211" w:right="26" w:hanging="178"/>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2"/>
              <w:ind w:left="148" w:right="60" w:hanging="87"/>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2"/>
              <w:ind w:left="115" w:right="22"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196"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2" w:type="dxa"/>
            <w:vMerge/>
            <w:tcBorders>
              <w:left w:val="single" w:sz="4" w:space="0" w:color="000000"/>
              <w:right w:val="single" w:sz="4" w:space="0" w:color="000000"/>
            </w:tcBorders>
            <w:shd w:val="clear" w:color="auto" w:fill="D2D2D2"/>
          </w:tcPr>
          <w:p>
            <w:pPr/>
          </w:p>
        </w:tc>
      </w:tr>
      <w:tr>
        <w:trPr>
          <w:trHeight w:val="197"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3"/>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3"/>
              <w:ind w:left="1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2" w:type="dxa"/>
            <w:vMerge/>
            <w:tcBorders>
              <w:left w:val="single" w:sz="4" w:space="0" w:color="000000"/>
              <w:right w:val="single" w:sz="4" w:space="0" w:color="000000"/>
            </w:tcBorders>
            <w:shd w:val="clear" w:color="auto" w:fill="D2D2D2"/>
          </w:tcPr>
          <w:p>
            <w:pPr/>
          </w:p>
        </w:tc>
      </w:tr>
      <w:tr>
        <w:trPr>
          <w:trHeight w:val="216"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r>
      <w:tr>
        <w:trPr>
          <w:trHeight w:val="159"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8" w:space="0" w:color="D2D2D2"/>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163,566,</w:t>
            </w:r>
          </w:p>
          <w:p>
            <w:pPr>
              <w:pStyle w:val="TableParagraph"/>
              <w:spacing w:line="240" w:lineRule="auto" w:before="105"/>
              <w:ind w:left="129" w:right="0"/>
              <w:jc w:val="center"/>
              <w:rPr>
                <w:rFonts w:ascii="Times New Roman" w:hAnsi="Times New Roman" w:cs="Times New Roman" w:eastAsia="Times New Roman" w:hint="default"/>
                <w:sz w:val="18"/>
                <w:szCs w:val="18"/>
              </w:rPr>
            </w:pPr>
            <w:r>
              <w:rPr>
                <w:rFonts w:ascii="Times New Roman"/>
                <w:sz w:val="18"/>
              </w:rPr>
              <w:t>000.00</w:t>
            </w:r>
          </w:p>
        </w:tc>
        <w:tc>
          <w:tcPr>
            <w:tcW w:w="667"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497,390,5</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53.47</w:t>
            </w:r>
          </w:p>
        </w:tc>
        <w:tc>
          <w:tcPr>
            <w:tcW w:w="797" w:type="dxa"/>
            <w:vMerge w:val="restart"/>
            <w:tcBorders>
              <w:top w:val="single" w:sz="25" w:space="0" w:color="D2D2D2"/>
              <w:left w:val="single" w:sz="4" w:space="0" w:color="000000"/>
              <w:right w:val="single" w:sz="4" w:space="0" w:color="000000"/>
            </w:tcBorders>
          </w:tcPr>
          <w:p>
            <w:pPr/>
          </w:p>
        </w:tc>
        <w:tc>
          <w:tcPr>
            <w:tcW w:w="797" w:type="dxa"/>
            <w:vMerge w:val="restart"/>
            <w:tcBorders>
              <w:top w:val="single" w:sz="25" w:space="0" w:color="D2D2D2"/>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14,740,51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9.31</w:t>
            </w:r>
          </w:p>
        </w:tc>
        <w:tc>
          <w:tcPr>
            <w:tcW w:w="677" w:type="dxa"/>
            <w:vMerge w:val="restart"/>
            <w:tcBorders>
              <w:top w:val="single" w:sz="25" w:space="0" w:color="D2D2D2"/>
              <w:left w:val="single" w:sz="4" w:space="0" w:color="000000"/>
              <w:right w:val="single" w:sz="4" w:space="0" w:color="000000"/>
            </w:tcBorders>
          </w:tcPr>
          <w:p>
            <w:pPr>
              <w:pStyle w:val="TableParagraph"/>
              <w:spacing w:line="240" w:lineRule="auto" w:before="69"/>
              <w:ind w:left="105" w:right="0"/>
              <w:jc w:val="left"/>
              <w:rPr>
                <w:rFonts w:ascii="Times New Roman" w:hAnsi="Times New Roman" w:cs="Times New Roman" w:eastAsia="Times New Roman" w:hint="default"/>
                <w:sz w:val="18"/>
                <w:szCs w:val="18"/>
              </w:rPr>
            </w:pPr>
            <w:r>
              <w:rPr>
                <w:rFonts w:ascii="Times New Roman"/>
                <w:sz w:val="18"/>
              </w:rPr>
              <w:t>71,674,</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673.89</w:t>
            </w:r>
          </w:p>
        </w:tc>
        <w:tc>
          <w:tcPr>
            <w:tcW w:w="782" w:type="dxa"/>
            <w:vMerge w:val="restart"/>
            <w:tcBorders>
              <w:top w:val="single" w:sz="25" w:space="0" w:color="D2D2D2"/>
              <w:left w:val="single" w:sz="4" w:space="0" w:color="000000"/>
              <w:right w:val="single" w:sz="4" w:space="0" w:color="000000"/>
            </w:tcBorders>
          </w:tcPr>
          <w:p>
            <w:pPr>
              <w:pStyle w:val="TableParagraph"/>
              <w:spacing w:line="240" w:lineRule="auto" w:before="69"/>
              <w:ind w:left="28" w:right="0"/>
              <w:jc w:val="left"/>
              <w:rPr>
                <w:rFonts w:ascii="Times New Roman" w:hAnsi="Times New Roman" w:cs="Times New Roman" w:eastAsia="Times New Roman" w:hint="default"/>
                <w:sz w:val="18"/>
                <w:szCs w:val="18"/>
              </w:rPr>
            </w:pPr>
            <w:r>
              <w:rPr>
                <w:rFonts w:ascii="Times New Roman"/>
                <w:sz w:val="18"/>
              </w:rPr>
              <w:t>747,371,7</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46.67</w:t>
            </w:r>
          </w:p>
        </w:tc>
      </w:tr>
      <w:tr>
        <w:trPr>
          <w:trHeight w:val="389"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10"/>
                <w:sz w:val="18"/>
                <w:szCs w:val="18"/>
              </w:rPr>
              <w:t>一、上年期末余额</w:t>
            </w:r>
          </w:p>
        </w:tc>
        <w:tc>
          <w:tcPr>
            <w:tcW w:w="691" w:type="dxa"/>
            <w:vMerge/>
            <w:tcBorders>
              <w:left w:val="single" w:sz="8" w:space="0" w:color="D2D2D2"/>
              <w:right w:val="single" w:sz="4" w:space="0" w:color="000000"/>
            </w:tcBorders>
          </w:tcPr>
          <w:p>
            <w:pPr/>
          </w:p>
        </w:tc>
        <w:tc>
          <w:tcPr>
            <w:tcW w:w="667"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r>
      <w:tr>
        <w:trPr>
          <w:trHeight w:val="163"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8" w:space="0" w:color="D2D2D2"/>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7" w:firstLine="360"/>
              <w:jc w:val="left"/>
              <w:rPr>
                <w:rFonts w:ascii="宋体" w:hAnsi="宋体" w:cs="宋体" w:eastAsia="宋体" w:hint="default"/>
                <w:sz w:val="18"/>
                <w:szCs w:val="18"/>
              </w:rPr>
            </w:pPr>
            <w:r>
              <w:rPr>
                <w:rFonts w:ascii="宋体" w:hAnsi="宋体" w:cs="宋体" w:eastAsia="宋体" w:hint="default"/>
                <w:spacing w:val="-12"/>
                <w:sz w:val="18"/>
                <w:szCs w:val="18"/>
              </w:rPr>
              <w:t>加：会计政策</w:t>
            </w:r>
            <w:r>
              <w:rPr>
                <w:rFonts w:ascii="宋体" w:hAnsi="宋体" w:cs="宋体" w:eastAsia="宋体" w:hint="default"/>
                <w:w w:val="101"/>
                <w:sz w:val="18"/>
                <w:szCs w:val="18"/>
              </w:rPr>
              <w:t> </w:t>
            </w:r>
            <w:r>
              <w:rPr>
                <w:rFonts w:ascii="宋体" w:hAnsi="宋体" w:cs="宋体" w:eastAsia="宋体" w:hint="default"/>
                <w:sz w:val="18"/>
                <w:szCs w:val="18"/>
              </w:rPr>
              <w:t>变更</w:t>
            </w:r>
          </w:p>
        </w:tc>
        <w:tc>
          <w:tcPr>
            <w:tcW w:w="691" w:type="dxa"/>
            <w:tcBorders>
              <w:top w:val="single" w:sz="4" w:space="0" w:color="000000"/>
              <w:left w:val="single" w:sz="8" w:space="0" w:color="D2D2D2"/>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81"/>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8" w:space="0" w:color="D2D2D2"/>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8" w:space="0" w:color="D2D2D2"/>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159"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8" w:space="0" w:color="D2D2D2"/>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163,566,</w:t>
            </w:r>
          </w:p>
          <w:p>
            <w:pPr>
              <w:pStyle w:val="TableParagraph"/>
              <w:spacing w:line="240" w:lineRule="auto" w:before="105"/>
              <w:ind w:left="129" w:right="0"/>
              <w:jc w:val="center"/>
              <w:rPr>
                <w:rFonts w:ascii="Times New Roman" w:hAnsi="Times New Roman" w:cs="Times New Roman" w:eastAsia="Times New Roman" w:hint="default"/>
                <w:sz w:val="18"/>
                <w:szCs w:val="18"/>
              </w:rPr>
            </w:pPr>
            <w:r>
              <w:rPr>
                <w:rFonts w:ascii="Times New Roman"/>
                <w:sz w:val="18"/>
              </w:rPr>
              <w:t>000.00</w:t>
            </w:r>
          </w:p>
        </w:tc>
        <w:tc>
          <w:tcPr>
            <w:tcW w:w="667"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497,390,5</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53.47</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14,740,51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9.31</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71,674,</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673.89</w:t>
            </w:r>
          </w:p>
        </w:tc>
        <w:tc>
          <w:tcPr>
            <w:tcW w:w="782" w:type="dxa"/>
            <w:vMerge w:val="restart"/>
            <w:tcBorders>
              <w:top w:val="single" w:sz="4" w:space="0" w:color="000000"/>
              <w:left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747,371,7</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46.67</w:t>
            </w:r>
          </w:p>
        </w:tc>
      </w:tr>
      <w:tr>
        <w:trPr>
          <w:trHeight w:val="388"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10"/>
                <w:sz w:val="18"/>
                <w:szCs w:val="18"/>
              </w:rPr>
              <w:t>二、本年期初余额</w:t>
            </w:r>
          </w:p>
        </w:tc>
        <w:tc>
          <w:tcPr>
            <w:tcW w:w="691" w:type="dxa"/>
            <w:vMerge/>
            <w:tcBorders>
              <w:left w:val="single" w:sz="8" w:space="0" w:color="D2D2D2"/>
              <w:right w:val="single" w:sz="4" w:space="0" w:color="000000"/>
            </w:tcBorders>
          </w:tcPr>
          <w:p>
            <w:pPr/>
          </w:p>
        </w:tc>
        <w:tc>
          <w:tcPr>
            <w:tcW w:w="667"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r>
      <w:tr>
        <w:trPr>
          <w:trHeight w:val="163"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8" w:space="0" w:color="D2D2D2"/>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1" w:right="17"/>
              <w:jc w:val="both"/>
              <w:rPr>
                <w:rFonts w:ascii="宋体" w:hAnsi="宋体" w:cs="宋体" w:eastAsia="宋体" w:hint="default"/>
                <w:sz w:val="18"/>
                <w:szCs w:val="18"/>
              </w:rPr>
            </w:pPr>
            <w:r>
              <w:rPr>
                <w:rFonts w:ascii="宋体" w:hAnsi="宋体" w:cs="宋体" w:eastAsia="宋体" w:hint="default"/>
                <w:spacing w:val="-10"/>
                <w:sz w:val="18"/>
                <w:szCs w:val="18"/>
              </w:rPr>
              <w:t>三、本期增减变动</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6"/>
                <w:sz w:val="18"/>
                <w:szCs w:val="18"/>
              </w:rPr>
              <w:t>金额（减少以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号填列）</w:t>
            </w:r>
          </w:p>
        </w:tc>
        <w:tc>
          <w:tcPr>
            <w:tcW w:w="69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165,596,</w:t>
            </w:r>
          </w:p>
          <w:p>
            <w:pPr>
              <w:pStyle w:val="TableParagraph"/>
              <w:spacing w:line="240" w:lineRule="auto" w:before="110"/>
              <w:ind w:left="129" w:right="0"/>
              <w:jc w:val="center"/>
              <w:rPr>
                <w:rFonts w:ascii="Times New Roman" w:hAnsi="Times New Roman" w:cs="Times New Roman" w:eastAsia="Times New Roman" w:hint="default"/>
                <w:sz w:val="18"/>
                <w:szCs w:val="18"/>
              </w:rPr>
            </w:pPr>
            <w:r>
              <w:rPr>
                <w:rFonts w:ascii="Times New Roman"/>
                <w:sz w:val="18"/>
              </w:rPr>
              <w:t>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-151,124,</w:t>
            </w:r>
          </w:p>
          <w:p>
            <w:pPr>
              <w:pStyle w:val="TableParagraph"/>
              <w:spacing w:line="240" w:lineRule="auto" w:before="110"/>
              <w:ind w:left="239" w:right="0"/>
              <w:jc w:val="center"/>
              <w:rPr>
                <w:rFonts w:ascii="Times New Roman" w:hAnsi="Times New Roman" w:cs="Times New Roman" w:eastAsia="Times New Roman" w:hint="default"/>
                <w:sz w:val="18"/>
                <w:szCs w:val="18"/>
              </w:rPr>
            </w:pPr>
            <w:r>
              <w:rPr>
                <w:rFonts w:ascii="Times New Roman"/>
                <w:sz w:val="18"/>
              </w:rPr>
              <w:t>700.00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8,053,356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5,831,496</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sz w:val="18"/>
              </w:rPr>
              <w:t>.99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36,126,</w:t>
            </w:r>
          </w:p>
          <w:p>
            <w:pPr>
              <w:pStyle w:val="TableParagraph"/>
              <w:spacing w:line="240" w:lineRule="auto" w:before="110"/>
              <w:ind w:left="143" w:right="0"/>
              <w:jc w:val="left"/>
              <w:rPr>
                <w:rFonts w:ascii="Times New Roman" w:hAnsi="Times New Roman" w:cs="Times New Roman" w:eastAsia="Times New Roman" w:hint="default"/>
                <w:sz w:val="18"/>
                <w:szCs w:val="18"/>
              </w:rPr>
            </w:pPr>
            <w:r>
              <w:rPr>
                <w:rFonts w:ascii="Times New Roman"/>
                <w:sz w:val="18"/>
              </w:rPr>
              <w:t>872.87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48,376,31</w:t>
            </w:r>
          </w:p>
          <w:p>
            <w:pPr>
              <w:pStyle w:val="TableParagraph"/>
              <w:spacing w:line="240" w:lineRule="auto" w:before="110"/>
              <w:ind w:left="427" w:right="0"/>
              <w:jc w:val="left"/>
              <w:rPr>
                <w:rFonts w:ascii="Times New Roman" w:hAnsi="Times New Roman" w:cs="Times New Roman" w:eastAsia="Times New Roman" w:hint="default"/>
                <w:sz w:val="18"/>
                <w:szCs w:val="18"/>
              </w:rPr>
            </w:pPr>
            <w:r>
              <w:rPr>
                <w:rFonts w:ascii="Times New Roman"/>
                <w:sz w:val="18"/>
              </w:rPr>
              <w:t>3.86</w:t>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7"/>
              <w:jc w:val="left"/>
              <w:rPr>
                <w:rFonts w:ascii="宋体" w:hAnsi="宋体" w:cs="宋体" w:eastAsia="宋体" w:hint="default"/>
                <w:sz w:val="18"/>
                <w:szCs w:val="18"/>
              </w:rPr>
            </w:pPr>
            <w:r>
              <w:rPr>
                <w:rFonts w:ascii="宋体" w:hAnsi="宋体" w:cs="宋体" w:eastAsia="宋体" w:hint="default"/>
                <w:spacing w:val="-10"/>
                <w:sz w:val="18"/>
                <w:szCs w:val="18"/>
              </w:rPr>
              <w:t>（一）综合收益总</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额</w:t>
            </w:r>
          </w:p>
        </w:tc>
        <w:tc>
          <w:tcPr>
            <w:tcW w:w="691" w:type="dxa"/>
            <w:tcBorders>
              <w:top w:val="single" w:sz="4" w:space="0" w:color="000000"/>
              <w:left w:val="single" w:sz="8" w:space="0" w:color="D2D2D2"/>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58,314,</w:t>
            </w:r>
          </w:p>
          <w:p>
            <w:pPr>
              <w:pStyle w:val="TableParagraph"/>
              <w:spacing w:line="240" w:lineRule="auto" w:before="110"/>
              <w:ind w:left="143" w:right="0"/>
              <w:jc w:val="left"/>
              <w:rPr>
                <w:rFonts w:ascii="Times New Roman" w:hAnsi="Times New Roman" w:cs="Times New Roman" w:eastAsia="Times New Roman" w:hint="default"/>
                <w:sz w:val="18"/>
                <w:szCs w:val="18"/>
              </w:rPr>
            </w:pPr>
            <w:r>
              <w:rPr>
                <w:rFonts w:ascii="Times New Roman"/>
                <w:sz w:val="18"/>
              </w:rPr>
              <w:t>969.86</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58,314,96</w:t>
            </w:r>
          </w:p>
          <w:p>
            <w:pPr>
              <w:pStyle w:val="TableParagraph"/>
              <w:spacing w:line="240" w:lineRule="auto" w:before="110"/>
              <w:ind w:left="427" w:right="0"/>
              <w:jc w:val="left"/>
              <w:rPr>
                <w:rFonts w:ascii="Times New Roman" w:hAnsi="Times New Roman" w:cs="Times New Roman" w:eastAsia="Times New Roman" w:hint="default"/>
                <w:sz w:val="18"/>
                <w:szCs w:val="18"/>
              </w:rPr>
            </w:pPr>
            <w:r>
              <w:rPr>
                <w:rFonts w:ascii="Times New Roman"/>
                <w:sz w:val="18"/>
              </w:rPr>
              <w:t>9.86</w:t>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7"/>
              <w:jc w:val="left"/>
              <w:rPr>
                <w:rFonts w:ascii="宋体" w:hAnsi="宋体" w:cs="宋体" w:eastAsia="宋体" w:hint="default"/>
                <w:sz w:val="18"/>
                <w:szCs w:val="18"/>
              </w:rPr>
            </w:pPr>
            <w:r>
              <w:rPr>
                <w:rFonts w:ascii="宋体" w:hAnsi="宋体" w:cs="宋体" w:eastAsia="宋体" w:hint="default"/>
                <w:spacing w:val="-10"/>
                <w:sz w:val="18"/>
                <w:szCs w:val="18"/>
              </w:rPr>
              <w:t>（二）所有者投入</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和减少资本</w:t>
            </w:r>
          </w:p>
        </w:tc>
        <w:tc>
          <w:tcPr>
            <w:tcW w:w="69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2,030,00</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12,441,30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8,053,356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6,417,944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r>
      <w:tr>
        <w:trPr>
          <w:trHeight w:val="710"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5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．股东投入的普</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通股</w:t>
            </w:r>
          </w:p>
        </w:tc>
        <w:tc>
          <w:tcPr>
            <w:tcW w:w="69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2,030,00</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9,200,050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8,053,356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3,176,694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5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．其他权益工具</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持有者投入资本</w:t>
            </w:r>
          </w:p>
        </w:tc>
        <w:tc>
          <w:tcPr>
            <w:tcW w:w="691" w:type="dxa"/>
            <w:tcBorders>
              <w:top w:val="single" w:sz="4" w:space="0" w:color="000000"/>
              <w:left w:val="single" w:sz="8" w:space="0" w:color="D2D2D2"/>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1" w:right="5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所有者权益的金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691" w:type="dxa"/>
            <w:tcBorders>
              <w:top w:val="single" w:sz="4" w:space="0" w:color="000000"/>
              <w:left w:val="single" w:sz="8" w:space="0" w:color="D2D2D2"/>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3,241,250</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3,241,250</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sz w:val="18"/>
              </w:rPr>
              <w:t>.00</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8" w:space="0" w:color="D2D2D2"/>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159"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8" w:space="0" w:color="D2D2D2"/>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5,831,496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.99</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6"/>
              <w:ind w:left="21" w:right="0"/>
              <w:jc w:val="center"/>
              <w:rPr>
                <w:rFonts w:ascii="Times New Roman" w:hAnsi="Times New Roman" w:cs="Times New Roman" w:eastAsia="Times New Roman" w:hint="default"/>
                <w:sz w:val="18"/>
                <w:szCs w:val="18"/>
              </w:rPr>
            </w:pPr>
            <w:r>
              <w:rPr>
                <w:rFonts w:ascii="Times New Roman"/>
                <w:sz w:val="18"/>
              </w:rPr>
              <w:t>-22,188,</w:t>
            </w:r>
          </w:p>
          <w:p>
            <w:pPr>
              <w:pStyle w:val="TableParagraph"/>
              <w:spacing w:line="240" w:lineRule="auto" w:before="105"/>
              <w:ind w:left="119" w:right="0"/>
              <w:jc w:val="center"/>
              <w:rPr>
                <w:rFonts w:ascii="Times New Roman" w:hAnsi="Times New Roman" w:cs="Times New Roman" w:eastAsia="Times New Roman" w:hint="default"/>
                <w:sz w:val="18"/>
                <w:szCs w:val="18"/>
              </w:rPr>
            </w:pPr>
            <w:r>
              <w:rPr>
                <w:rFonts w:ascii="Times New Roman"/>
                <w:sz w:val="18"/>
              </w:rPr>
              <w:t>096.99</w:t>
            </w:r>
          </w:p>
        </w:tc>
        <w:tc>
          <w:tcPr>
            <w:tcW w:w="782" w:type="dxa"/>
            <w:vMerge w:val="restart"/>
            <w:tcBorders>
              <w:top w:val="single" w:sz="4" w:space="0" w:color="000000"/>
              <w:left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-16,356,6</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00.00</w:t>
            </w:r>
          </w:p>
        </w:tc>
      </w:tr>
      <w:tr>
        <w:trPr>
          <w:trHeight w:val="389"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691" w:type="dxa"/>
            <w:vMerge/>
            <w:tcBorders>
              <w:left w:val="single" w:sz="8" w:space="0" w:color="D2D2D2"/>
              <w:right w:val="single" w:sz="4" w:space="0" w:color="000000"/>
            </w:tcBorders>
          </w:tcPr>
          <w:p>
            <w:pPr/>
          </w:p>
        </w:tc>
        <w:tc>
          <w:tcPr>
            <w:tcW w:w="667"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r>
      <w:tr>
        <w:trPr>
          <w:trHeight w:val="163"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8" w:space="0" w:color="D2D2D2"/>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r>
      <w:tr>
        <w:trPr>
          <w:trHeight w:val="158"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8" w:space="0" w:color="D2D2D2"/>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5,831,496</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sz w:val="18"/>
              </w:rPr>
              <w:t>.99</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6"/>
              <w:ind w:left="23" w:right="0"/>
              <w:jc w:val="center"/>
              <w:rPr>
                <w:rFonts w:ascii="Times New Roman" w:hAnsi="Times New Roman" w:cs="Times New Roman" w:eastAsia="Times New Roman" w:hint="default"/>
                <w:sz w:val="18"/>
                <w:szCs w:val="18"/>
              </w:rPr>
            </w:pPr>
            <w:r>
              <w:rPr>
                <w:rFonts w:ascii="Times New Roman"/>
                <w:sz w:val="18"/>
              </w:rPr>
              <w:t>-5,831,4</w:t>
            </w:r>
          </w:p>
          <w:p>
            <w:pPr>
              <w:pStyle w:val="TableParagraph"/>
              <w:spacing w:line="240" w:lineRule="auto" w:before="110"/>
              <w:ind w:left="211" w:right="0"/>
              <w:jc w:val="center"/>
              <w:rPr>
                <w:rFonts w:ascii="Times New Roman" w:hAnsi="Times New Roman" w:cs="Times New Roman" w:eastAsia="Times New Roman" w:hint="default"/>
                <w:sz w:val="18"/>
                <w:szCs w:val="18"/>
              </w:rPr>
            </w:pPr>
            <w:r>
              <w:rPr>
                <w:rFonts w:ascii="Times New Roman"/>
                <w:sz w:val="18"/>
              </w:rPr>
              <w:t>96.99</w:t>
            </w:r>
          </w:p>
        </w:tc>
        <w:tc>
          <w:tcPr>
            <w:tcW w:w="782" w:type="dxa"/>
            <w:vMerge w:val="restart"/>
            <w:tcBorders>
              <w:top w:val="single" w:sz="4" w:space="0" w:color="000000"/>
              <w:left w:val="single" w:sz="4" w:space="0" w:color="000000"/>
              <w:right w:val="single" w:sz="4" w:space="0" w:color="000000"/>
            </w:tcBorders>
          </w:tcPr>
          <w:p>
            <w:pPr/>
          </w:p>
        </w:tc>
      </w:tr>
      <w:tr>
        <w:trPr>
          <w:trHeight w:val="394"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vMerge/>
            <w:tcBorders>
              <w:left w:val="single" w:sz="8" w:space="0" w:color="D2D2D2"/>
              <w:right w:val="single" w:sz="4" w:space="0" w:color="000000"/>
            </w:tcBorders>
          </w:tcPr>
          <w:p>
            <w:pPr/>
          </w:p>
        </w:tc>
        <w:tc>
          <w:tcPr>
            <w:tcW w:w="667"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r>
      <w:tr>
        <w:trPr>
          <w:trHeight w:val="163"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8" w:space="0" w:color="D2D2D2"/>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5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．对所有者（或</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股东）的分配</w:t>
            </w:r>
          </w:p>
        </w:tc>
        <w:tc>
          <w:tcPr>
            <w:tcW w:w="691" w:type="dxa"/>
            <w:tcBorders>
              <w:top w:val="single" w:sz="4" w:space="0" w:color="000000"/>
              <w:left w:val="single" w:sz="8" w:space="0" w:color="D2D2D2"/>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 w:right="0"/>
              <w:jc w:val="center"/>
              <w:rPr>
                <w:rFonts w:ascii="Times New Roman" w:hAnsi="Times New Roman" w:cs="Times New Roman" w:eastAsia="Times New Roman" w:hint="default"/>
                <w:sz w:val="18"/>
                <w:szCs w:val="18"/>
              </w:rPr>
            </w:pPr>
            <w:r>
              <w:rPr>
                <w:rFonts w:ascii="Times New Roman"/>
                <w:sz w:val="18"/>
              </w:rPr>
              <w:t>-16,356,</w:t>
            </w:r>
          </w:p>
          <w:p>
            <w:pPr>
              <w:pStyle w:val="TableParagraph"/>
              <w:spacing w:line="240" w:lineRule="auto" w:before="105"/>
              <w:ind w:left="119" w:right="0"/>
              <w:jc w:val="center"/>
              <w:rPr>
                <w:rFonts w:ascii="Times New Roman" w:hAnsi="Times New Roman" w:cs="Times New Roman" w:eastAsia="Times New Roman" w:hint="default"/>
                <w:sz w:val="18"/>
                <w:szCs w:val="18"/>
              </w:rPr>
            </w:pPr>
            <w:r>
              <w:rPr>
                <w:rFonts w:ascii="Times New Roman"/>
                <w:sz w:val="18"/>
              </w:rPr>
              <w:t>600.00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-16,356,6</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00.00</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8" w:space="0" w:color="D2D2D2"/>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7"/>
        <w:gridCol w:w="662"/>
        <w:gridCol w:w="667"/>
        <w:gridCol w:w="797"/>
        <w:gridCol w:w="797"/>
        <w:gridCol w:w="797"/>
        <w:gridCol w:w="797"/>
        <w:gridCol w:w="797"/>
        <w:gridCol w:w="677"/>
        <w:gridCol w:w="782"/>
      </w:tblGrid>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10"/>
                <w:sz w:val="18"/>
                <w:szCs w:val="18"/>
              </w:rPr>
              <w:t>（四）所有者权益</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163,566,</w:t>
            </w:r>
          </w:p>
          <w:p>
            <w:pPr>
              <w:pStyle w:val="TableParagraph"/>
              <w:spacing w:line="240" w:lineRule="auto" w:before="105"/>
              <w:ind w:left="134" w:right="0"/>
              <w:jc w:val="center"/>
              <w:rPr>
                <w:rFonts w:ascii="Times New Roman" w:hAnsi="Times New Roman" w:cs="Times New Roman" w:eastAsia="Times New Roman" w:hint="default"/>
                <w:sz w:val="18"/>
                <w:szCs w:val="18"/>
              </w:rPr>
            </w:pPr>
            <w:r>
              <w:rPr>
                <w:rFonts w:ascii="Times New Roman"/>
                <w:sz w:val="18"/>
              </w:rPr>
              <w:t>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0" w:right="0"/>
              <w:jc w:val="center"/>
              <w:rPr>
                <w:rFonts w:ascii="Times New Roman" w:hAnsi="Times New Roman" w:cs="Times New Roman" w:eastAsia="Times New Roman" w:hint="default"/>
                <w:sz w:val="18"/>
                <w:szCs w:val="18"/>
              </w:rPr>
            </w:pPr>
            <w:r>
              <w:rPr>
                <w:rFonts w:ascii="Times New Roman"/>
                <w:sz w:val="18"/>
              </w:rPr>
              <w:t>-163,566,</w:t>
            </w:r>
          </w:p>
          <w:p>
            <w:pPr>
              <w:pStyle w:val="TableParagraph"/>
              <w:spacing w:line="240" w:lineRule="auto" w:before="105"/>
              <w:ind w:left="239"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5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．资本公积转增</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163,566,</w:t>
            </w:r>
          </w:p>
          <w:p>
            <w:pPr>
              <w:pStyle w:val="TableParagraph"/>
              <w:spacing w:line="240" w:lineRule="auto" w:before="105"/>
              <w:ind w:left="134" w:right="0"/>
              <w:jc w:val="center"/>
              <w:rPr>
                <w:rFonts w:ascii="Times New Roman" w:hAnsi="Times New Roman" w:cs="Times New Roman" w:eastAsia="Times New Roman" w:hint="default"/>
                <w:sz w:val="18"/>
                <w:szCs w:val="18"/>
              </w:rPr>
            </w:pPr>
            <w:r>
              <w:rPr>
                <w:rFonts w:ascii="Times New Roman"/>
                <w:sz w:val="18"/>
              </w:rPr>
              <w:t>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0" w:right="0"/>
              <w:jc w:val="center"/>
              <w:rPr>
                <w:rFonts w:ascii="Times New Roman" w:hAnsi="Times New Roman" w:cs="Times New Roman" w:eastAsia="Times New Roman" w:hint="default"/>
                <w:sz w:val="18"/>
                <w:szCs w:val="18"/>
              </w:rPr>
            </w:pPr>
            <w:r>
              <w:rPr>
                <w:rFonts w:ascii="Times New Roman"/>
                <w:sz w:val="18"/>
              </w:rPr>
              <w:t>-163,566,</w:t>
            </w:r>
          </w:p>
          <w:p>
            <w:pPr>
              <w:pStyle w:val="TableParagraph"/>
              <w:spacing w:line="240" w:lineRule="auto" w:before="105"/>
              <w:ind w:left="239"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5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．盈余公积转增</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5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10"/>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329,162,</w:t>
            </w:r>
          </w:p>
          <w:p>
            <w:pPr>
              <w:pStyle w:val="TableParagraph"/>
              <w:spacing w:line="240" w:lineRule="auto" w:before="105"/>
              <w:ind w:left="134" w:right="0"/>
              <w:jc w:val="center"/>
              <w:rPr>
                <w:rFonts w:ascii="Times New Roman" w:hAnsi="Times New Roman" w:cs="Times New Roman" w:eastAsia="Times New Roman" w:hint="default"/>
                <w:sz w:val="18"/>
                <w:szCs w:val="18"/>
              </w:rPr>
            </w:pPr>
            <w:r>
              <w:rPr>
                <w:rFonts w:ascii="Times New Roman"/>
                <w:sz w:val="18"/>
              </w:rPr>
              <w:t>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346,265,8</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53.47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8,053,356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20,572,01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6.30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107,801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,546.76</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795,748,0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60.53</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46"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42"/>
        <w:gridCol w:w="689"/>
        <w:gridCol w:w="667"/>
        <w:gridCol w:w="662"/>
        <w:gridCol w:w="667"/>
        <w:gridCol w:w="797"/>
        <w:gridCol w:w="797"/>
        <w:gridCol w:w="797"/>
        <w:gridCol w:w="797"/>
        <w:gridCol w:w="797"/>
        <w:gridCol w:w="677"/>
        <w:gridCol w:w="782"/>
      </w:tblGrid>
      <w:tr>
        <w:trPr>
          <w:trHeight w:val="398"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2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197" w:hRule="exact"/>
        </w:trPr>
        <w:tc>
          <w:tcPr>
            <w:tcW w:w="14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2"/>
              <w:ind w:left="302" w:right="26" w:hanging="269"/>
              <w:jc w:val="left"/>
              <w:rPr>
                <w:rFonts w:ascii="宋体" w:hAnsi="宋体" w:cs="宋体" w:eastAsia="宋体" w:hint="default"/>
                <w:sz w:val="18"/>
                <w:szCs w:val="18"/>
              </w:rPr>
            </w:pPr>
            <w:r>
              <w:rPr>
                <w:rFonts w:ascii="宋体" w:hAnsi="宋体" w:cs="宋体" w:eastAsia="宋体" w:hint="default"/>
                <w:sz w:val="18"/>
                <w:szCs w:val="18"/>
              </w:rPr>
              <w:t>减：库存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2"/>
              <w:ind w:left="211" w:right="26" w:hanging="178"/>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2"/>
              <w:ind w:left="148" w:right="60" w:hanging="87"/>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2"/>
              <w:ind w:left="115" w:right="22"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197" w:hRule="exact"/>
        </w:trPr>
        <w:tc>
          <w:tcPr>
            <w:tcW w:w="1442" w:type="dxa"/>
            <w:vMerge/>
            <w:tcBorders>
              <w:left w:val="single" w:sz="4" w:space="0" w:color="000000"/>
              <w:bottom w:val="nil" w:sz="6" w:space="0" w:color="auto"/>
              <w:right w:val="single" w:sz="4" w:space="0" w:color="000000"/>
            </w:tcBorders>
            <w:shd w:val="clear" w:color="auto" w:fill="D2D2D2"/>
          </w:tcPr>
          <w:p>
            <w:pPr/>
          </w:p>
        </w:tc>
        <w:tc>
          <w:tcPr>
            <w:tcW w:w="6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5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2" w:type="dxa"/>
            <w:vMerge/>
            <w:tcBorders>
              <w:left w:val="single" w:sz="4" w:space="0" w:color="000000"/>
              <w:right w:val="single" w:sz="4" w:space="0" w:color="000000"/>
            </w:tcBorders>
            <w:shd w:val="clear" w:color="auto" w:fill="D2D2D2"/>
          </w:tcPr>
          <w:p>
            <w:pPr/>
          </w:p>
        </w:tc>
      </w:tr>
      <w:tr>
        <w:trPr>
          <w:trHeight w:val="197" w:hRule="exact"/>
        </w:trPr>
        <w:tc>
          <w:tcPr>
            <w:tcW w:w="1442" w:type="dxa"/>
            <w:vMerge w:val="restart"/>
            <w:tcBorders>
              <w:top w:val="nil" w:sz="6" w:space="0" w:color="auto"/>
              <w:left w:val="single" w:sz="4" w:space="0" w:color="000000"/>
              <w:right w:val="single" w:sz="4" w:space="0" w:color="000000"/>
            </w:tcBorders>
            <w:shd w:val="clear" w:color="auto" w:fill="D2D2D2"/>
          </w:tcPr>
          <w:p>
            <w:pPr/>
          </w:p>
        </w:tc>
        <w:tc>
          <w:tcPr>
            <w:tcW w:w="689" w:type="dxa"/>
            <w:vMerge/>
            <w:tcBorders>
              <w:left w:val="single" w:sz="4" w:space="0" w:color="000000"/>
              <w:bottom w:val="nil" w:sz="6" w:space="0" w:color="auto"/>
              <w:right w:val="single" w:sz="4" w:space="0" w:color="000000"/>
            </w:tcBorders>
            <w:shd w:val="clear" w:color="auto" w:fill="D2D2D2"/>
          </w:tcPr>
          <w:p>
            <w:pP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3"/>
              <w:ind w:left="5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3"/>
              <w:ind w:left="1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2" w:type="dxa"/>
            <w:vMerge/>
            <w:tcBorders>
              <w:left w:val="single" w:sz="4" w:space="0" w:color="000000"/>
              <w:right w:val="single" w:sz="4" w:space="0" w:color="000000"/>
            </w:tcBorders>
            <w:shd w:val="clear" w:color="auto" w:fill="D2D2D2"/>
          </w:tcPr>
          <w:p>
            <w:pPr/>
          </w:p>
        </w:tc>
      </w:tr>
      <w:tr>
        <w:trPr>
          <w:trHeight w:val="215"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89" w:type="dxa"/>
            <w:tcBorders>
              <w:top w:val="nil" w:sz="6" w:space="0" w:color="auto"/>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r>
      <w:tr>
        <w:trPr>
          <w:trHeight w:val="158"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9" w:type="dxa"/>
            <w:vMerge w:val="restart"/>
            <w:tcBorders>
              <w:top w:val="single" w:sz="4" w:space="0" w:color="000000"/>
              <w:left w:val="single" w:sz="8" w:space="0" w:color="D2D2D2"/>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160,500,</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000.00</w:t>
            </w:r>
          </w:p>
        </w:tc>
        <w:tc>
          <w:tcPr>
            <w:tcW w:w="667"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479,311,0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33.47</w:t>
            </w:r>
          </w:p>
        </w:tc>
        <w:tc>
          <w:tcPr>
            <w:tcW w:w="797" w:type="dxa"/>
            <w:vMerge w:val="restart"/>
            <w:tcBorders>
              <w:top w:val="single" w:sz="25" w:space="0" w:color="D2D2D2"/>
              <w:left w:val="single" w:sz="4" w:space="0" w:color="000000"/>
              <w:right w:val="single" w:sz="4" w:space="0" w:color="000000"/>
            </w:tcBorders>
          </w:tcPr>
          <w:p>
            <w:pPr/>
          </w:p>
        </w:tc>
        <w:tc>
          <w:tcPr>
            <w:tcW w:w="797" w:type="dxa"/>
            <w:vMerge w:val="restart"/>
            <w:tcBorders>
              <w:top w:val="single" w:sz="25" w:space="0" w:color="D2D2D2"/>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12,687,54</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9.92</w:t>
            </w:r>
          </w:p>
        </w:tc>
        <w:tc>
          <w:tcPr>
            <w:tcW w:w="677" w:type="dxa"/>
            <w:vMerge w:val="restart"/>
            <w:tcBorders>
              <w:top w:val="single" w:sz="25" w:space="0" w:color="D2D2D2"/>
              <w:left w:val="single" w:sz="4" w:space="0" w:color="000000"/>
              <w:right w:val="single" w:sz="4" w:space="0" w:color="000000"/>
            </w:tcBorders>
          </w:tcPr>
          <w:p>
            <w:pPr>
              <w:pStyle w:val="TableParagraph"/>
              <w:spacing w:line="240" w:lineRule="auto" w:before="69"/>
              <w:ind w:left="105" w:right="0"/>
              <w:jc w:val="left"/>
              <w:rPr>
                <w:rFonts w:ascii="Times New Roman" w:hAnsi="Times New Roman" w:cs="Times New Roman" w:eastAsia="Times New Roman" w:hint="default"/>
                <w:sz w:val="18"/>
                <w:szCs w:val="18"/>
              </w:rPr>
            </w:pPr>
            <w:r>
              <w:rPr>
                <w:rFonts w:ascii="Times New Roman"/>
                <w:sz w:val="18"/>
              </w:rPr>
              <w:t>66,037,</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949.37</w:t>
            </w:r>
          </w:p>
        </w:tc>
        <w:tc>
          <w:tcPr>
            <w:tcW w:w="782" w:type="dxa"/>
            <w:vMerge w:val="restart"/>
            <w:tcBorders>
              <w:top w:val="single" w:sz="25" w:space="0" w:color="D2D2D2"/>
              <w:left w:val="single" w:sz="4" w:space="0" w:color="000000"/>
              <w:right w:val="single" w:sz="4" w:space="0" w:color="000000"/>
            </w:tcBorders>
          </w:tcPr>
          <w:p>
            <w:pPr>
              <w:pStyle w:val="TableParagraph"/>
              <w:spacing w:line="240" w:lineRule="auto" w:before="69"/>
              <w:ind w:left="28" w:right="0"/>
              <w:jc w:val="left"/>
              <w:rPr>
                <w:rFonts w:ascii="Times New Roman" w:hAnsi="Times New Roman" w:cs="Times New Roman" w:eastAsia="Times New Roman" w:hint="default"/>
                <w:sz w:val="18"/>
                <w:szCs w:val="18"/>
              </w:rPr>
            </w:pPr>
            <w:r>
              <w:rPr>
                <w:rFonts w:ascii="Times New Roman"/>
                <w:sz w:val="18"/>
              </w:rPr>
              <w:t>718,536,5</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32.76</w:t>
            </w:r>
          </w:p>
        </w:tc>
      </w:tr>
      <w:tr>
        <w:trPr>
          <w:trHeight w:val="389"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0"/>
                <w:sz w:val="18"/>
                <w:szCs w:val="18"/>
              </w:rPr>
              <w:t>一、上年期末余额</w:t>
            </w:r>
          </w:p>
        </w:tc>
        <w:tc>
          <w:tcPr>
            <w:tcW w:w="689" w:type="dxa"/>
            <w:vMerge/>
            <w:tcBorders>
              <w:left w:val="single" w:sz="8" w:space="0" w:color="D2D2D2"/>
              <w:right w:val="single" w:sz="4" w:space="0" w:color="000000"/>
            </w:tcBorders>
          </w:tcPr>
          <w:p>
            <w:pPr/>
          </w:p>
        </w:tc>
        <w:tc>
          <w:tcPr>
            <w:tcW w:w="667"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r>
      <w:tr>
        <w:trPr>
          <w:trHeight w:val="168"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9" w:type="dxa"/>
            <w:vMerge/>
            <w:tcBorders>
              <w:left w:val="single" w:sz="8" w:space="0" w:color="D2D2D2"/>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r>
      <w:tr>
        <w:trPr>
          <w:trHeight w:val="710"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9" w:firstLine="360"/>
              <w:jc w:val="left"/>
              <w:rPr>
                <w:rFonts w:ascii="宋体" w:hAnsi="宋体" w:cs="宋体" w:eastAsia="宋体" w:hint="default"/>
                <w:sz w:val="18"/>
                <w:szCs w:val="18"/>
              </w:rPr>
            </w:pPr>
            <w:r>
              <w:rPr>
                <w:rFonts w:ascii="宋体" w:hAnsi="宋体" w:cs="宋体" w:eastAsia="宋体" w:hint="default"/>
                <w:spacing w:val="-12"/>
                <w:sz w:val="18"/>
                <w:szCs w:val="18"/>
              </w:rPr>
              <w:t>加：会计政策</w:t>
            </w:r>
            <w:r>
              <w:rPr>
                <w:rFonts w:ascii="宋体" w:hAnsi="宋体" w:cs="宋体" w:eastAsia="宋体" w:hint="default"/>
                <w:w w:val="101"/>
                <w:sz w:val="18"/>
                <w:szCs w:val="18"/>
              </w:rPr>
              <w:t> </w:t>
            </w:r>
            <w:r>
              <w:rPr>
                <w:rFonts w:ascii="宋体" w:hAnsi="宋体" w:cs="宋体" w:eastAsia="宋体" w:hint="default"/>
                <w:sz w:val="18"/>
                <w:szCs w:val="18"/>
              </w:rPr>
              <w:t>变更</w:t>
            </w:r>
          </w:p>
        </w:tc>
        <w:tc>
          <w:tcPr>
            <w:tcW w:w="689" w:type="dxa"/>
            <w:tcBorders>
              <w:top w:val="single" w:sz="4" w:space="0" w:color="000000"/>
              <w:left w:val="single" w:sz="8" w:space="0" w:color="D2D2D2"/>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81"/>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89" w:type="dxa"/>
            <w:tcBorders>
              <w:top w:val="single" w:sz="4" w:space="0" w:color="000000"/>
              <w:left w:val="single" w:sz="8" w:space="0" w:color="D2D2D2"/>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9" w:type="dxa"/>
            <w:tcBorders>
              <w:top w:val="single" w:sz="4" w:space="0" w:color="000000"/>
              <w:left w:val="single" w:sz="8" w:space="0" w:color="D2D2D2"/>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159" w:hRule="exact"/>
        </w:trPr>
        <w:tc>
          <w:tcPr>
            <w:tcW w:w="14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9" w:type="dxa"/>
            <w:vMerge w:val="restart"/>
            <w:tcBorders>
              <w:top w:val="single" w:sz="4" w:space="0" w:color="000000"/>
              <w:left w:val="single" w:sz="8" w:space="0" w:color="D2D2D2"/>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160,500,</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000.00</w:t>
            </w:r>
          </w:p>
        </w:tc>
        <w:tc>
          <w:tcPr>
            <w:tcW w:w="667"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479,311,0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33.47</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12,687,54</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9.92</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66,037,</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949.37</w:t>
            </w:r>
          </w:p>
        </w:tc>
        <w:tc>
          <w:tcPr>
            <w:tcW w:w="782" w:type="dxa"/>
            <w:vMerge w:val="restart"/>
            <w:tcBorders>
              <w:top w:val="single" w:sz="4" w:space="0" w:color="000000"/>
              <w:left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718,536,5</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32.76</w:t>
            </w:r>
          </w:p>
        </w:tc>
      </w:tr>
      <w:tr>
        <w:trPr>
          <w:trHeight w:val="389" w:hRule="exact"/>
        </w:trPr>
        <w:tc>
          <w:tcPr>
            <w:tcW w:w="14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0"/>
                <w:sz w:val="18"/>
                <w:szCs w:val="18"/>
              </w:rPr>
              <w:t>二、本年期初余额</w:t>
            </w:r>
          </w:p>
        </w:tc>
        <w:tc>
          <w:tcPr>
            <w:tcW w:w="689" w:type="dxa"/>
            <w:vMerge/>
            <w:tcBorders>
              <w:left w:val="single" w:sz="8" w:space="0" w:color="D2D2D2"/>
              <w:right w:val="single" w:sz="4" w:space="0" w:color="000000"/>
            </w:tcBorders>
          </w:tcPr>
          <w:p>
            <w:pPr/>
          </w:p>
        </w:tc>
        <w:tc>
          <w:tcPr>
            <w:tcW w:w="667"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r>
      <w:tr>
        <w:trPr>
          <w:trHeight w:val="168" w:hRule="exact"/>
        </w:trPr>
        <w:tc>
          <w:tcPr>
            <w:tcW w:w="14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9" w:type="dxa"/>
            <w:vMerge/>
            <w:tcBorders>
              <w:left w:val="single" w:sz="8" w:space="0" w:color="D2D2D2"/>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r>
      <w:tr>
        <w:trPr>
          <w:trHeight w:val="102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9"/>
              <w:jc w:val="both"/>
              <w:rPr>
                <w:rFonts w:ascii="宋体" w:hAnsi="宋体" w:cs="宋体" w:eastAsia="宋体" w:hint="default"/>
                <w:sz w:val="18"/>
                <w:szCs w:val="18"/>
              </w:rPr>
            </w:pPr>
            <w:r>
              <w:rPr>
                <w:rFonts w:ascii="宋体" w:hAnsi="宋体" w:cs="宋体" w:eastAsia="宋体" w:hint="default"/>
                <w:spacing w:val="-10"/>
                <w:sz w:val="18"/>
                <w:szCs w:val="18"/>
              </w:rPr>
              <w:t>三、本期增减变动</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6"/>
                <w:sz w:val="18"/>
                <w:szCs w:val="18"/>
              </w:rPr>
              <w:t>金额（减少以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号填列）</w:t>
            </w:r>
          </w:p>
        </w:tc>
        <w:tc>
          <w:tcPr>
            <w:tcW w:w="689"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3,066,00</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18,079,52</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2,052,969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5,636,7</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24.52</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28,835,21</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3.91</w:t>
            </w:r>
          </w:p>
        </w:tc>
      </w:tr>
      <w:tr>
        <w:trPr>
          <w:trHeight w:val="715"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9"/>
              <w:jc w:val="left"/>
              <w:rPr>
                <w:rFonts w:ascii="宋体" w:hAnsi="宋体" w:cs="宋体" w:eastAsia="宋体" w:hint="default"/>
                <w:sz w:val="18"/>
                <w:szCs w:val="18"/>
              </w:rPr>
            </w:pPr>
            <w:r>
              <w:rPr>
                <w:rFonts w:ascii="宋体" w:hAnsi="宋体" w:cs="宋体" w:eastAsia="宋体" w:hint="default"/>
                <w:spacing w:val="-10"/>
                <w:sz w:val="18"/>
                <w:szCs w:val="18"/>
              </w:rPr>
              <w:t>（一）综合收益总</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额</w:t>
            </w:r>
          </w:p>
        </w:tc>
        <w:tc>
          <w:tcPr>
            <w:tcW w:w="689" w:type="dxa"/>
            <w:tcBorders>
              <w:top w:val="single" w:sz="4" w:space="0" w:color="000000"/>
              <w:left w:val="single" w:sz="8" w:space="0" w:color="D2D2D2"/>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20,529,</w:t>
            </w:r>
          </w:p>
          <w:p>
            <w:pPr>
              <w:pStyle w:val="TableParagraph"/>
              <w:spacing w:line="240" w:lineRule="auto" w:before="110"/>
              <w:ind w:left="143" w:right="0"/>
              <w:jc w:val="left"/>
              <w:rPr>
                <w:rFonts w:ascii="Times New Roman" w:hAnsi="Times New Roman" w:cs="Times New Roman" w:eastAsia="Times New Roman" w:hint="default"/>
                <w:sz w:val="18"/>
                <w:szCs w:val="18"/>
              </w:rPr>
            </w:pPr>
            <w:r>
              <w:rPr>
                <w:rFonts w:ascii="Times New Roman"/>
                <w:sz w:val="18"/>
              </w:rPr>
              <w:t>693.91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20,529,69</w:t>
            </w:r>
          </w:p>
          <w:p>
            <w:pPr>
              <w:pStyle w:val="TableParagraph"/>
              <w:spacing w:line="240" w:lineRule="auto" w:before="110"/>
              <w:ind w:left="427" w:right="0"/>
              <w:jc w:val="left"/>
              <w:rPr>
                <w:rFonts w:ascii="Times New Roman" w:hAnsi="Times New Roman" w:cs="Times New Roman" w:eastAsia="Times New Roman" w:hint="default"/>
                <w:sz w:val="18"/>
                <w:szCs w:val="18"/>
              </w:rPr>
            </w:pPr>
            <w:r>
              <w:rPr>
                <w:rFonts w:ascii="Times New Roman"/>
                <w:sz w:val="18"/>
              </w:rPr>
              <w:t>3.91</w:t>
            </w:r>
          </w:p>
        </w:tc>
      </w:tr>
      <w:tr>
        <w:trPr>
          <w:trHeight w:val="715"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9"/>
              <w:jc w:val="left"/>
              <w:rPr>
                <w:rFonts w:ascii="宋体" w:hAnsi="宋体" w:cs="宋体" w:eastAsia="宋体" w:hint="default"/>
                <w:sz w:val="18"/>
                <w:szCs w:val="18"/>
              </w:rPr>
            </w:pPr>
            <w:r>
              <w:rPr>
                <w:rFonts w:ascii="宋体" w:hAnsi="宋体" w:cs="宋体" w:eastAsia="宋体" w:hint="default"/>
                <w:spacing w:val="-10"/>
                <w:sz w:val="18"/>
                <w:szCs w:val="18"/>
              </w:rPr>
              <w:t>（二）所有者投入</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和减少资本</w:t>
            </w:r>
          </w:p>
        </w:tc>
        <w:tc>
          <w:tcPr>
            <w:tcW w:w="689"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21" w:right="0"/>
              <w:jc w:val="left"/>
              <w:rPr>
                <w:rFonts w:ascii="Times New Roman" w:hAnsi="Times New Roman" w:cs="Times New Roman" w:eastAsia="Times New Roman" w:hint="default"/>
                <w:sz w:val="18"/>
                <w:szCs w:val="18"/>
              </w:rPr>
            </w:pPr>
            <w:r>
              <w:rPr>
                <w:rFonts w:ascii="Times New Roman"/>
                <w:sz w:val="18"/>
              </w:rPr>
              <w:t>3,066,00</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18,079,52</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21,145,52</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w:t>
            </w:r>
          </w:p>
        </w:tc>
        <w:tc>
          <w:tcPr>
            <w:tcW w:w="689"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15"/>
              <w:ind w:left="21" w:right="0"/>
              <w:jc w:val="left"/>
              <w:rPr>
                <w:rFonts w:ascii="Times New Roman" w:hAnsi="Times New Roman" w:cs="Times New Roman" w:eastAsia="Times New Roman" w:hint="default"/>
                <w:sz w:val="18"/>
                <w:szCs w:val="18"/>
              </w:rPr>
            </w:pPr>
            <w:r>
              <w:rPr>
                <w:rFonts w:ascii="Times New Roman"/>
                <w:sz w:val="18"/>
              </w:rPr>
              <w:t>3,066,00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3" w:right="0"/>
              <w:jc w:val="left"/>
              <w:rPr>
                <w:rFonts w:ascii="Times New Roman" w:hAnsi="Times New Roman" w:cs="Times New Roman" w:eastAsia="Times New Roman" w:hint="default"/>
                <w:sz w:val="18"/>
                <w:szCs w:val="18"/>
              </w:rPr>
            </w:pPr>
            <w:r>
              <w:rPr>
                <w:rFonts w:ascii="Times New Roman"/>
                <w:sz w:val="18"/>
              </w:rPr>
              <w:t>16,004,52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8" w:right="0"/>
              <w:jc w:val="left"/>
              <w:rPr>
                <w:rFonts w:ascii="Times New Roman" w:hAnsi="Times New Roman" w:cs="Times New Roman" w:eastAsia="Times New Roman" w:hint="default"/>
                <w:sz w:val="18"/>
                <w:szCs w:val="18"/>
              </w:rPr>
            </w:pPr>
            <w:r>
              <w:rPr>
                <w:rFonts w:ascii="Times New Roman"/>
                <w:sz w:val="18"/>
              </w:rPr>
              <w:t>19,070,52</w:t>
            </w:r>
          </w:p>
        </w:tc>
      </w:tr>
    </w:tbl>
    <w:p>
      <w:pPr>
        <w:spacing w:after="0" w:line="240" w:lineRule="auto"/>
        <w:jc w:val="left"/>
        <w:rPr>
          <w:rFonts w:ascii="Times New Roman" w:hAnsi="Times New Roman" w:cs="Times New Roman" w:eastAsia="Times New Roman" w:hint="default"/>
          <w:sz w:val="18"/>
          <w:szCs w:val="18"/>
        </w:rPr>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7"/>
        <w:gridCol w:w="662"/>
        <w:gridCol w:w="667"/>
        <w:gridCol w:w="797"/>
        <w:gridCol w:w="797"/>
        <w:gridCol w:w="797"/>
        <w:gridCol w:w="797"/>
        <w:gridCol w:w="797"/>
        <w:gridCol w:w="677"/>
        <w:gridCol w:w="782"/>
      </w:tblGrid>
      <w:tr>
        <w:trPr>
          <w:trHeight w:val="360"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36" w:right="0"/>
              <w:jc w:val="left"/>
              <w:rPr>
                <w:rFonts w:ascii="Times New Roman" w:hAnsi="Times New Roman" w:cs="Times New Roman" w:eastAsia="Times New Roman" w:hint="default"/>
                <w:sz w:val="18"/>
                <w:szCs w:val="18"/>
              </w:rPr>
            </w:pPr>
            <w:r>
              <w:rPr>
                <w:rFonts w:ascii="Times New Roman"/>
                <w:sz w:val="18"/>
              </w:rPr>
              <w:t>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4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27"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5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．其他权益工具</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5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所有者权益的金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2,075,000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2,075,000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2,052,969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 w:right="0"/>
              <w:jc w:val="center"/>
              <w:rPr>
                <w:rFonts w:ascii="Times New Roman" w:hAnsi="Times New Roman" w:cs="Times New Roman" w:eastAsia="Times New Roman" w:hint="default"/>
                <w:sz w:val="18"/>
                <w:szCs w:val="18"/>
              </w:rPr>
            </w:pPr>
            <w:r>
              <w:rPr>
                <w:rFonts w:ascii="Times New Roman"/>
                <w:sz w:val="18"/>
              </w:rPr>
              <w:t>-14,892,</w:t>
            </w:r>
          </w:p>
          <w:p>
            <w:pPr>
              <w:pStyle w:val="TableParagraph"/>
              <w:spacing w:line="240" w:lineRule="auto" w:before="105"/>
              <w:ind w:left="119" w:right="0"/>
              <w:jc w:val="center"/>
              <w:rPr>
                <w:rFonts w:ascii="Times New Roman" w:hAnsi="Times New Roman" w:cs="Times New Roman" w:eastAsia="Times New Roman" w:hint="default"/>
                <w:sz w:val="18"/>
                <w:szCs w:val="18"/>
              </w:rPr>
            </w:pPr>
            <w:r>
              <w:rPr>
                <w:rFonts w:ascii="Times New Roman"/>
                <w:sz w:val="18"/>
              </w:rPr>
              <w:t>969.39</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-12,840,0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00.00</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2,052,969</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sz w:val="18"/>
              </w:rPr>
              <w:t>.39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center"/>
              <w:rPr>
                <w:rFonts w:ascii="Times New Roman" w:hAnsi="Times New Roman" w:cs="Times New Roman" w:eastAsia="Times New Roman" w:hint="default"/>
                <w:sz w:val="18"/>
                <w:szCs w:val="18"/>
              </w:rPr>
            </w:pPr>
            <w:r>
              <w:rPr>
                <w:rFonts w:ascii="Times New Roman"/>
                <w:sz w:val="18"/>
              </w:rPr>
              <w:t>-2,052,9</w:t>
            </w:r>
          </w:p>
          <w:p>
            <w:pPr>
              <w:pStyle w:val="TableParagraph"/>
              <w:spacing w:line="240" w:lineRule="auto" w:before="110"/>
              <w:ind w:left="211" w:right="0"/>
              <w:jc w:val="center"/>
              <w:rPr>
                <w:rFonts w:ascii="Times New Roman" w:hAnsi="Times New Roman" w:cs="Times New Roman" w:eastAsia="Times New Roman" w:hint="default"/>
                <w:sz w:val="18"/>
                <w:szCs w:val="18"/>
              </w:rPr>
            </w:pPr>
            <w:r>
              <w:rPr>
                <w:rFonts w:ascii="Times New Roman"/>
                <w:sz w:val="18"/>
              </w:rPr>
              <w:t>69.39</w:t>
            </w: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5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．对所有者（或</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 w:right="0"/>
              <w:jc w:val="center"/>
              <w:rPr>
                <w:rFonts w:ascii="Times New Roman" w:hAnsi="Times New Roman" w:cs="Times New Roman" w:eastAsia="Times New Roman" w:hint="default"/>
                <w:sz w:val="18"/>
                <w:szCs w:val="18"/>
              </w:rPr>
            </w:pPr>
            <w:r>
              <w:rPr>
                <w:rFonts w:ascii="Times New Roman"/>
                <w:sz w:val="18"/>
              </w:rPr>
              <w:t>-12,840,</w:t>
            </w:r>
          </w:p>
          <w:p>
            <w:pPr>
              <w:pStyle w:val="TableParagraph"/>
              <w:spacing w:line="240" w:lineRule="auto" w:before="105"/>
              <w:ind w:left="119" w:right="0"/>
              <w:jc w:val="center"/>
              <w:rPr>
                <w:rFonts w:ascii="Times New Roman" w:hAnsi="Times New Roman" w:cs="Times New Roman" w:eastAsia="Times New Roman" w:hint="default"/>
                <w:sz w:val="18"/>
                <w:szCs w:val="18"/>
              </w:rPr>
            </w:pPr>
            <w:r>
              <w:rPr>
                <w:rFonts w:ascii="Times New Roman"/>
                <w:sz w:val="18"/>
              </w:rPr>
              <w:t>000.00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-12,840,0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00.00</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10"/>
                <w:sz w:val="18"/>
                <w:szCs w:val="18"/>
              </w:rPr>
              <w:t>（四）所有者权益</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5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．资本公积转增</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5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．盈余公积转增</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5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10"/>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163,566,</w:t>
            </w:r>
          </w:p>
          <w:p>
            <w:pPr>
              <w:pStyle w:val="TableParagraph"/>
              <w:spacing w:line="240" w:lineRule="auto" w:before="110"/>
              <w:ind w:left="134" w:right="0"/>
              <w:jc w:val="center"/>
              <w:rPr>
                <w:rFonts w:ascii="Times New Roman" w:hAnsi="Times New Roman" w:cs="Times New Roman" w:eastAsia="Times New Roman" w:hint="default"/>
                <w:sz w:val="18"/>
                <w:szCs w:val="18"/>
              </w:rPr>
            </w:pPr>
            <w:r>
              <w:rPr>
                <w:rFonts w:ascii="Times New Roman"/>
                <w:sz w:val="18"/>
              </w:rPr>
              <w:t>000.00</w:t>
            </w: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497,390,5</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53.47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14,740,51</w:t>
            </w:r>
          </w:p>
          <w:p>
            <w:pPr>
              <w:pStyle w:val="TableParagraph"/>
              <w:spacing w:line="240" w:lineRule="auto" w:before="110"/>
              <w:ind w:left="441" w:right="0"/>
              <w:jc w:val="left"/>
              <w:rPr>
                <w:rFonts w:ascii="Times New Roman" w:hAnsi="Times New Roman" w:cs="Times New Roman" w:eastAsia="Times New Roman" w:hint="default"/>
                <w:sz w:val="18"/>
                <w:szCs w:val="18"/>
              </w:rPr>
            </w:pPr>
            <w:r>
              <w:rPr>
                <w:rFonts w:ascii="Times New Roman"/>
                <w:sz w:val="18"/>
              </w:rPr>
              <w:t>9.31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71,674,</w:t>
            </w:r>
          </w:p>
          <w:p>
            <w:pPr>
              <w:pStyle w:val="TableParagraph"/>
              <w:spacing w:line="240" w:lineRule="auto" w:before="110"/>
              <w:ind w:left="143" w:right="0"/>
              <w:jc w:val="left"/>
              <w:rPr>
                <w:rFonts w:ascii="Times New Roman" w:hAnsi="Times New Roman" w:cs="Times New Roman" w:eastAsia="Times New Roman" w:hint="default"/>
                <w:sz w:val="18"/>
                <w:szCs w:val="18"/>
              </w:rPr>
            </w:pPr>
            <w:r>
              <w:rPr>
                <w:rFonts w:ascii="Times New Roman"/>
                <w:sz w:val="18"/>
              </w:rPr>
              <w:t>673.89</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747,371,7</w:t>
            </w:r>
          </w:p>
          <w:p>
            <w:pPr>
              <w:pStyle w:val="TableParagraph"/>
              <w:spacing w:line="240" w:lineRule="auto" w:before="110"/>
              <w:ind w:left="340" w:right="0"/>
              <w:jc w:val="left"/>
              <w:rPr>
                <w:rFonts w:ascii="Times New Roman" w:hAnsi="Times New Roman" w:cs="Times New Roman" w:eastAsia="Times New Roman" w:hint="default"/>
                <w:sz w:val="18"/>
                <w:szCs w:val="18"/>
              </w:rPr>
            </w:pPr>
            <w:r>
              <w:rPr>
                <w:rFonts w:ascii="Times New Roman"/>
                <w:sz w:val="18"/>
              </w:rPr>
              <w:t>46.67</w:t>
            </w:r>
          </w:p>
        </w:tc>
      </w:tr>
    </w:tbl>
    <w:p>
      <w:pPr>
        <w:spacing w:line="240" w:lineRule="auto" w:before="9"/>
        <w:rPr>
          <w:rFonts w:ascii="宋体" w:hAnsi="宋体" w:cs="宋体" w:eastAsia="宋体" w:hint="default"/>
          <w:sz w:val="17"/>
          <w:szCs w:val="17"/>
        </w:rPr>
      </w:pPr>
    </w:p>
    <w:p>
      <w:pPr>
        <w:pStyle w:val="Heading3"/>
        <w:spacing w:line="367" w:lineRule="exact"/>
        <w:ind w:right="0"/>
        <w:jc w:val="left"/>
        <w:rPr>
          <w:b w:val="0"/>
          <w:bCs w:val="0"/>
        </w:rPr>
      </w:pPr>
      <w:r>
        <w:rPr/>
        <w:t>三、公司基本情况</w:t>
      </w:r>
      <w:r>
        <w:rPr>
          <w:b w:val="0"/>
          <w:bCs w:val="0"/>
        </w:rPr>
      </w:r>
    </w:p>
    <w:p>
      <w:pPr>
        <w:spacing w:line="240" w:lineRule="auto" w:before="2"/>
        <w:rPr>
          <w:rFonts w:ascii="Microsoft JhengHei" w:hAnsi="Microsoft JhengHei" w:cs="Microsoft JhengHei" w:eastAsia="Microsoft JhengHei" w:hint="default"/>
          <w:b/>
          <w:bCs/>
          <w:sz w:val="22"/>
          <w:szCs w:val="22"/>
        </w:rPr>
      </w:pPr>
    </w:p>
    <w:p>
      <w:pPr>
        <w:pStyle w:val="BodyText"/>
        <w:spacing w:line="240" w:lineRule="auto"/>
        <w:ind w:left="575" w:right="0"/>
        <w:jc w:val="left"/>
      </w:pPr>
      <w:r>
        <w:rPr>
          <w:rFonts w:ascii="Arial" w:hAnsi="Arial" w:cs="Arial" w:eastAsia="Arial" w:hint="default"/>
        </w:rPr>
        <w:t>1.1 </w:t>
      </w:r>
      <w:r>
        <w:rPr>
          <w:rFonts w:ascii="Arial" w:hAnsi="Arial" w:cs="Arial" w:eastAsia="Arial" w:hint="default"/>
          <w:spacing w:val="10"/>
        </w:rPr>
        <w:t> </w:t>
      </w:r>
      <w:r>
        <w:rPr/>
        <w:t>公司注册地址、组织形式、总部地址及注册资本</w:t>
      </w:r>
    </w:p>
    <w:p>
      <w:pPr>
        <w:pStyle w:val="BodyText"/>
        <w:spacing w:line="240" w:lineRule="auto" w:before="176"/>
        <w:ind w:left="575" w:right="0"/>
        <w:jc w:val="left"/>
      </w:pPr>
      <w:r>
        <w:rPr>
          <w:rFonts w:ascii="Arial" w:hAnsi="Arial" w:cs="Arial" w:eastAsia="Arial" w:hint="default"/>
        </w:rPr>
        <w:t>1.1.1</w:t>
      </w:r>
      <w:r>
        <w:rPr>
          <w:rFonts w:ascii="Arial" w:hAnsi="Arial" w:cs="Arial" w:eastAsia="Arial" w:hint="default"/>
          <w:spacing w:val="42"/>
        </w:rPr>
        <w:t> </w:t>
      </w:r>
      <w:r>
        <w:rPr/>
        <w:t>注册地址：上海市青浦区崧华路</w:t>
      </w:r>
      <w:r>
        <w:rPr>
          <w:rFonts w:ascii="Arial" w:hAnsi="Arial" w:cs="Arial" w:eastAsia="Arial" w:hint="default"/>
        </w:rPr>
        <w:t>881</w:t>
      </w:r>
      <w:r>
        <w:rPr/>
        <w:t>号</w:t>
      </w:r>
    </w:p>
    <w:p>
      <w:pPr>
        <w:pStyle w:val="BodyText"/>
        <w:spacing w:line="240" w:lineRule="auto" w:before="176"/>
        <w:ind w:left="575" w:right="0"/>
        <w:jc w:val="left"/>
      </w:pPr>
      <w:r>
        <w:rPr>
          <w:rFonts w:ascii="Arial" w:hAnsi="Arial" w:cs="Arial" w:eastAsia="Arial" w:hint="default"/>
        </w:rPr>
        <w:t>1.1.2  </w:t>
      </w:r>
      <w:r>
        <w:rPr/>
        <w:t>组织形式：</w:t>
      </w:r>
      <w:r>
        <w:rPr>
          <w:spacing w:val="-16"/>
        </w:rPr>
        <w:t> </w:t>
      </w:r>
      <w:r>
        <w:rPr/>
        <w:t>股份有限公司（上市）</w:t>
      </w:r>
    </w:p>
    <w:p>
      <w:pPr>
        <w:pStyle w:val="BodyText"/>
        <w:spacing w:line="240" w:lineRule="auto" w:before="180"/>
        <w:ind w:left="575" w:right="0"/>
        <w:jc w:val="left"/>
      </w:pPr>
      <w:r>
        <w:rPr>
          <w:rFonts w:ascii="Arial" w:hAnsi="Arial" w:cs="Arial" w:eastAsia="Arial" w:hint="default"/>
        </w:rPr>
        <w:t>1.1.3</w:t>
      </w:r>
      <w:r>
        <w:rPr>
          <w:rFonts w:ascii="Arial" w:hAnsi="Arial" w:cs="Arial" w:eastAsia="Arial" w:hint="default"/>
          <w:spacing w:val="43"/>
        </w:rPr>
        <w:t> </w:t>
      </w:r>
      <w:r>
        <w:rPr/>
        <w:t>总部地址：上海市青浦区崧华路</w:t>
      </w:r>
      <w:r>
        <w:rPr>
          <w:rFonts w:ascii="Arial" w:hAnsi="Arial" w:cs="Arial" w:eastAsia="Arial" w:hint="default"/>
        </w:rPr>
        <w:t>881</w:t>
      </w:r>
      <w:r>
        <w:rPr/>
        <w:t>号。</w:t>
      </w:r>
    </w:p>
    <w:p>
      <w:pPr>
        <w:spacing w:after="0" w:line="240" w:lineRule="auto"/>
        <w:jc w:val="left"/>
        <w:sectPr>
          <w:pgSz w:w="11900" w:h="16840"/>
          <w:pgMar w:header="742" w:footer="984" w:top="1060" w:bottom="1180" w:left="980" w:right="980"/>
        </w:sectPr>
      </w:pPr>
    </w:p>
    <w:p>
      <w:pPr>
        <w:spacing w:line="240" w:lineRule="auto" w:before="0"/>
        <w:rPr>
          <w:rFonts w:ascii="宋体" w:hAnsi="宋体" w:cs="宋体" w:eastAsia="宋体" w:hint="default"/>
          <w:sz w:val="20"/>
          <w:szCs w:val="20"/>
        </w:rPr>
      </w:pPr>
    </w:p>
    <w:p>
      <w:pPr>
        <w:pStyle w:val="BodyText"/>
        <w:spacing w:line="240" w:lineRule="auto" w:before="182"/>
        <w:ind w:left="575" w:right="0"/>
        <w:jc w:val="left"/>
      </w:pPr>
      <w:r>
        <w:rPr>
          <w:rFonts w:ascii="Arial" w:hAnsi="Arial" w:cs="Arial" w:eastAsia="Arial" w:hint="default"/>
        </w:rPr>
        <w:t>1.1.4</w:t>
      </w:r>
      <w:r>
        <w:rPr>
          <w:rFonts w:ascii="Arial" w:hAnsi="Arial" w:cs="Arial" w:eastAsia="Arial" w:hint="default"/>
          <w:spacing w:val="27"/>
        </w:rPr>
        <w:t> </w:t>
      </w:r>
      <w:r>
        <w:rPr/>
        <w:t>注册资本：人民币</w:t>
      </w:r>
      <w:r>
        <w:rPr>
          <w:rFonts w:ascii="Arial" w:hAnsi="Arial" w:cs="Arial" w:eastAsia="Arial" w:hint="default"/>
        </w:rPr>
        <w:t>329,162,000.00</w:t>
      </w:r>
      <w:r>
        <w:rPr/>
        <w:t>元。</w:t>
      </w:r>
    </w:p>
    <w:p>
      <w:pPr>
        <w:pStyle w:val="BodyText"/>
        <w:spacing w:line="388" w:lineRule="auto" w:before="176"/>
        <w:ind w:left="575" w:right="0"/>
        <w:jc w:val="left"/>
      </w:pPr>
      <w:r>
        <w:rPr>
          <w:rFonts w:ascii="Arial" w:hAnsi="Arial" w:cs="Arial" w:eastAsia="Arial" w:hint="default"/>
        </w:rPr>
        <w:t>1.2</w:t>
      </w:r>
      <w:r>
        <w:rPr>
          <w:rFonts w:ascii="Arial" w:hAnsi="Arial" w:cs="Arial" w:eastAsia="Arial" w:hint="default"/>
          <w:spacing w:val="9"/>
        </w:rPr>
        <w:t> </w:t>
      </w:r>
      <w:r>
        <w:rPr/>
        <w:t>公司设立情况</w:t>
      </w:r>
      <w:r>
        <w:rPr>
          <w:w w:val="100"/>
        </w:rPr>
        <w:t> </w:t>
      </w:r>
      <w:r>
        <w:rPr/>
        <w:t>上海安诺其集团股份有限公司为境内公开发行</w:t>
      </w:r>
      <w:r>
        <w:rPr>
          <w:rFonts w:ascii="Arial" w:hAnsi="Arial" w:cs="Arial" w:eastAsia="Arial" w:hint="default"/>
        </w:rPr>
        <w:t>A</w:t>
      </w:r>
      <w:r>
        <w:rPr/>
        <w:t>股股票并在深圳证券交易所上市的股份有限公司。</w:t>
      </w:r>
      <w:r>
        <w:rPr>
          <w:spacing w:val="-103"/>
        </w:rPr>
        <w:t> </w:t>
      </w:r>
      <w:r>
        <w:rPr>
          <w:spacing w:val="-103"/>
        </w:rPr>
      </w:r>
      <w:r>
        <w:rPr/>
        <w:t>本公司前身为上海安诺其纺织化工有限公司，公司设立时，发起人投资入股</w:t>
      </w:r>
      <w:r>
        <w:rPr>
          <w:rFonts w:ascii="Arial" w:hAnsi="Arial" w:cs="Arial" w:eastAsia="Arial" w:hint="default"/>
        </w:rPr>
        <w:t>8,000</w:t>
      </w:r>
      <w:r>
        <w:rPr/>
        <w:t>万股；经中国证券</w:t>
      </w:r>
    </w:p>
    <w:p>
      <w:pPr>
        <w:pStyle w:val="BodyText"/>
        <w:spacing w:line="386" w:lineRule="auto" w:before="35"/>
        <w:ind w:right="147"/>
        <w:jc w:val="both"/>
      </w:pPr>
      <w:r>
        <w:rPr>
          <w:spacing w:val="-1"/>
        </w:rPr>
        <w:t>监督管理委员会</w:t>
      </w:r>
      <w:r>
        <w:rPr>
          <w:rFonts w:ascii="Arial" w:hAnsi="Arial" w:cs="Arial" w:eastAsia="Arial" w:hint="default"/>
          <w:spacing w:val="-1"/>
        </w:rPr>
        <w:t>2010</w:t>
      </w:r>
      <w:r>
        <w:rPr>
          <w:spacing w:val="-1"/>
        </w:rPr>
        <w:t>年</w:t>
      </w:r>
      <w:r>
        <w:rPr>
          <w:rFonts w:ascii="Arial" w:hAnsi="Arial" w:cs="Arial" w:eastAsia="Arial" w:hint="default"/>
          <w:spacing w:val="-1"/>
        </w:rPr>
        <w:t>4</w:t>
      </w:r>
      <w:r>
        <w:rPr>
          <w:spacing w:val="-1"/>
        </w:rPr>
        <w:t>月</w:t>
      </w:r>
      <w:r>
        <w:rPr>
          <w:rFonts w:ascii="Arial" w:hAnsi="Arial" w:cs="Arial" w:eastAsia="Arial" w:hint="default"/>
          <w:spacing w:val="-1"/>
        </w:rPr>
        <w:t>13</w:t>
      </w:r>
      <w:r>
        <w:rPr>
          <w:spacing w:val="-1"/>
        </w:rPr>
        <w:t>日证监许可［</w:t>
      </w:r>
      <w:r>
        <w:rPr>
          <w:rFonts w:ascii="Arial" w:hAnsi="Arial" w:cs="Arial" w:eastAsia="Arial" w:hint="default"/>
          <w:spacing w:val="-1"/>
        </w:rPr>
        <w:t>2010</w:t>
      </w:r>
      <w:r>
        <w:rPr>
          <w:spacing w:val="-1"/>
        </w:rPr>
        <w:t>］</w:t>
      </w:r>
      <w:r>
        <w:rPr>
          <w:rFonts w:ascii="Arial" w:hAnsi="Arial" w:cs="Arial" w:eastAsia="Arial" w:hint="default"/>
          <w:spacing w:val="-1"/>
        </w:rPr>
        <w:t>366</w:t>
      </w:r>
      <w:r>
        <w:rPr>
          <w:spacing w:val="-1"/>
        </w:rPr>
        <w:t>号《关于核准上海安诺其纺织化工股份有限公司首</w:t>
      </w:r>
      <w:r>
        <w:rPr>
          <w:spacing w:val="-43"/>
        </w:rPr>
        <w:t> </w:t>
      </w:r>
      <w:r>
        <w:rPr>
          <w:spacing w:val="-43"/>
        </w:rPr>
      </w:r>
      <w:r>
        <w:rPr>
          <w:spacing w:val="-6"/>
        </w:rPr>
        <w:t>次公开发行股票的批复》的核准，本公司向社会公开发行人民币普通股股票</w:t>
      </w:r>
      <w:r>
        <w:rPr>
          <w:rFonts w:ascii="Arial" w:hAnsi="Arial" w:cs="Arial" w:eastAsia="Arial" w:hint="default"/>
          <w:spacing w:val="-6"/>
        </w:rPr>
        <w:t>2,700</w:t>
      </w:r>
      <w:r>
        <w:rPr>
          <w:spacing w:val="-6"/>
        </w:rPr>
        <w:t>万股，每股发行价为</w:t>
      </w:r>
      <w:r>
        <w:rPr>
          <w:rFonts w:ascii="Arial" w:hAnsi="Arial" w:cs="Arial" w:eastAsia="Arial" w:hint="default"/>
          <w:spacing w:val="-6"/>
        </w:rPr>
        <w:t>21.20</w:t>
      </w:r>
      <w:r>
        <w:rPr>
          <w:rFonts w:ascii="Arial" w:hAnsi="Arial" w:cs="Arial" w:eastAsia="Arial" w:hint="default"/>
          <w:spacing w:val="5"/>
        </w:rPr>
        <w:t> </w:t>
      </w:r>
      <w:r>
        <w:rPr>
          <w:rFonts w:ascii="Arial" w:hAnsi="Arial" w:cs="Arial" w:eastAsia="Arial" w:hint="default"/>
          <w:spacing w:val="5"/>
        </w:rPr>
      </w:r>
      <w:r>
        <w:rPr/>
        <w:t>元。此次公开发行股票后，公司总股本为</w:t>
      </w:r>
      <w:r>
        <w:rPr>
          <w:rFonts w:ascii="Arial" w:hAnsi="Arial" w:cs="Arial" w:eastAsia="Arial" w:hint="default"/>
        </w:rPr>
        <w:t>10,700</w:t>
      </w:r>
      <w:r>
        <w:rPr/>
        <w:t>万元，经深圳证券交易所深证上</w:t>
      </w:r>
      <w:r>
        <w:rPr>
          <w:rFonts w:ascii="Arial" w:hAnsi="Arial" w:cs="Arial" w:eastAsia="Arial" w:hint="default"/>
        </w:rPr>
        <w:t>[2010]132</w:t>
      </w:r>
      <w:r>
        <w:rPr/>
        <w:t>号文同意，公</w:t>
      </w:r>
      <w:r>
        <w:rPr>
          <w:spacing w:val="-45"/>
        </w:rPr>
        <w:t> </w:t>
      </w:r>
      <w:r>
        <w:rPr>
          <w:spacing w:val="-45"/>
        </w:rPr>
      </w:r>
      <w:r>
        <w:rPr/>
        <w:t>司的股票于</w:t>
      </w:r>
      <w:r>
        <w:rPr>
          <w:rFonts w:ascii="Arial" w:hAnsi="Arial" w:cs="Arial" w:eastAsia="Arial" w:hint="default"/>
        </w:rPr>
        <w:t>2010</w:t>
      </w:r>
      <w:r>
        <w:rPr/>
        <w:t>年</w:t>
      </w:r>
      <w:r>
        <w:rPr>
          <w:rFonts w:ascii="Arial" w:hAnsi="Arial" w:cs="Arial" w:eastAsia="Arial" w:hint="default"/>
        </w:rPr>
        <w:t>4</w:t>
      </w:r>
      <w:r>
        <w:rPr/>
        <w:t>月</w:t>
      </w:r>
      <w:r>
        <w:rPr>
          <w:rFonts w:ascii="Arial" w:hAnsi="Arial" w:cs="Arial" w:eastAsia="Arial" w:hint="default"/>
        </w:rPr>
        <w:t>21</w:t>
      </w:r>
      <w:r>
        <w:rPr/>
        <w:t>日在深圳证券所创业板挂牌交易，股票代码为</w:t>
      </w:r>
      <w:r>
        <w:rPr>
          <w:rFonts w:ascii="Arial" w:hAnsi="Arial" w:cs="Arial" w:eastAsia="Arial" w:hint="default"/>
        </w:rPr>
        <w:t>300067</w:t>
      </w:r>
      <w:r>
        <w:rPr/>
        <w:t>。</w:t>
      </w:r>
    </w:p>
    <w:p>
      <w:pPr>
        <w:pStyle w:val="BodyText"/>
        <w:spacing w:line="386" w:lineRule="auto" w:before="37"/>
        <w:ind w:right="108" w:firstLine="422"/>
        <w:jc w:val="both"/>
      </w:pPr>
      <w:r>
        <w:rPr>
          <w:rFonts w:ascii="Arial" w:hAnsi="Arial" w:cs="Arial" w:eastAsia="Arial" w:hint="default"/>
          <w:spacing w:val="-2"/>
        </w:rPr>
        <w:t>2011</w:t>
      </w:r>
      <w:r>
        <w:rPr>
          <w:spacing w:val="-2"/>
        </w:rPr>
        <w:t>年</w:t>
      </w:r>
      <w:r>
        <w:rPr>
          <w:rFonts w:ascii="Arial" w:hAnsi="Arial" w:cs="Arial" w:eastAsia="Arial" w:hint="default"/>
          <w:spacing w:val="-2"/>
        </w:rPr>
        <w:t>5</w:t>
      </w:r>
      <w:r>
        <w:rPr>
          <w:spacing w:val="-2"/>
        </w:rPr>
        <w:t>月</w:t>
      </w:r>
      <w:r>
        <w:rPr>
          <w:rFonts w:ascii="Arial" w:hAnsi="Arial" w:cs="Arial" w:eastAsia="Arial" w:hint="default"/>
          <w:spacing w:val="-2"/>
        </w:rPr>
        <w:t>19</w:t>
      </w:r>
      <w:r>
        <w:rPr>
          <w:spacing w:val="-2"/>
        </w:rPr>
        <w:t>日，本公司按每</w:t>
      </w:r>
      <w:r>
        <w:rPr>
          <w:rFonts w:ascii="Arial" w:hAnsi="Arial" w:cs="Arial" w:eastAsia="Arial" w:hint="default"/>
          <w:spacing w:val="-2"/>
        </w:rPr>
        <w:t>10</w:t>
      </w:r>
      <w:r>
        <w:rPr>
          <w:spacing w:val="-2"/>
        </w:rPr>
        <w:t>股转增</w:t>
      </w:r>
      <w:r>
        <w:rPr>
          <w:rFonts w:ascii="Arial" w:hAnsi="Arial" w:cs="Arial" w:eastAsia="Arial" w:hint="default"/>
          <w:spacing w:val="-2"/>
        </w:rPr>
        <w:t>5</w:t>
      </w:r>
      <w:r>
        <w:rPr>
          <w:spacing w:val="-2"/>
        </w:rPr>
        <w:t>股的比例，以资本公积向全体股东转增股份总额</w:t>
      </w:r>
      <w:r>
        <w:rPr>
          <w:rFonts w:ascii="Arial" w:hAnsi="Arial" w:cs="Arial" w:eastAsia="Arial" w:hint="default"/>
          <w:spacing w:val="-2"/>
        </w:rPr>
        <w:t>5,350</w:t>
      </w:r>
      <w:r>
        <w:rPr>
          <w:spacing w:val="-2"/>
        </w:rPr>
        <w:t>万股，</w:t>
      </w:r>
      <w:r>
        <w:rPr>
          <w:w w:val="100"/>
        </w:rPr>
        <w:t> </w:t>
      </w:r>
      <w:r>
        <w:rPr/>
        <w:t>经上述股份变更事项后，本公司股本变更为为</w:t>
      </w:r>
      <w:r>
        <w:rPr>
          <w:rFonts w:ascii="Arial" w:hAnsi="Arial" w:cs="Arial" w:eastAsia="Arial" w:hint="default"/>
        </w:rPr>
        <w:t>16,050</w:t>
      </w:r>
      <w:r>
        <w:rPr/>
        <w:t>万。</w:t>
      </w:r>
    </w:p>
    <w:p>
      <w:pPr>
        <w:pStyle w:val="BodyText"/>
        <w:spacing w:line="388" w:lineRule="auto" w:before="37"/>
        <w:ind w:right="142" w:firstLine="422"/>
        <w:jc w:val="both"/>
      </w:pPr>
      <w:r>
        <w:rPr>
          <w:rFonts w:ascii="Arial" w:hAnsi="Arial" w:cs="Arial" w:eastAsia="Arial" w:hint="default"/>
          <w:spacing w:val="-2"/>
        </w:rPr>
        <w:t>2013</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24</w:t>
      </w:r>
      <w:r>
        <w:rPr>
          <w:spacing w:val="-2"/>
        </w:rPr>
        <w:t>日，根据本公司第二届董事会第十七次会议审议通过的《关于对</w:t>
      </w:r>
      <w:r>
        <w:rPr>
          <w:rFonts w:ascii="Arial" w:hAnsi="Arial" w:cs="Arial" w:eastAsia="Arial" w:hint="default"/>
          <w:spacing w:val="-2"/>
        </w:rPr>
        <w:t>&lt;</w:t>
      </w:r>
      <w:r>
        <w:rPr>
          <w:spacing w:val="-2"/>
        </w:rPr>
        <w:t>股票期权与限制性股</w:t>
      </w:r>
      <w:r>
        <w:rPr>
          <w:w w:val="100"/>
        </w:rPr>
        <w:t> </w:t>
      </w:r>
      <w:r>
        <w:rPr>
          <w:spacing w:val="-1"/>
        </w:rPr>
        <w:t>票激励计划</w:t>
      </w:r>
      <w:r>
        <w:rPr>
          <w:rFonts w:ascii="Arial" w:hAnsi="Arial" w:cs="Arial" w:eastAsia="Arial" w:hint="default"/>
          <w:spacing w:val="-1"/>
        </w:rPr>
        <w:t>&gt;</w:t>
      </w:r>
      <w:r>
        <w:rPr>
          <w:spacing w:val="-1"/>
        </w:rPr>
        <w:t>进行调整的议案》及《关于向激励对象授予股票期权与限制性股票的议案》，公司向</w:t>
      </w:r>
      <w:r>
        <w:rPr>
          <w:rFonts w:ascii="Arial" w:hAnsi="Arial" w:cs="Arial" w:eastAsia="Arial" w:hint="default"/>
          <w:spacing w:val="-1"/>
        </w:rPr>
        <w:t>64</w:t>
      </w:r>
      <w:r>
        <w:rPr>
          <w:spacing w:val="-1"/>
        </w:rPr>
        <w:t>名激</w:t>
      </w:r>
      <w:r>
        <w:rPr>
          <w:spacing w:val="-21"/>
        </w:rPr>
        <w:t> </w:t>
      </w:r>
      <w:r>
        <w:rPr/>
        <w:t>励对象授予</w:t>
      </w:r>
      <w:r>
        <w:rPr>
          <w:rFonts w:ascii="Arial" w:hAnsi="Arial" w:cs="Arial" w:eastAsia="Arial" w:hint="default"/>
        </w:rPr>
        <w:t>3,066,000.00</w:t>
      </w:r>
      <w:r>
        <w:rPr>
          <w:rFonts w:ascii="Arial" w:hAnsi="Arial" w:cs="Arial" w:eastAsia="Arial" w:hint="default"/>
          <w:spacing w:val="26"/>
        </w:rPr>
        <w:t> </w:t>
      </w:r>
      <w:r>
        <w:rPr/>
        <w:t>股限制性股票；经上述股份变更事项后，本公司股本变更为</w:t>
      </w:r>
      <w:r>
        <w:rPr>
          <w:rFonts w:ascii="Arial" w:hAnsi="Arial" w:cs="Arial" w:eastAsia="Arial" w:hint="default"/>
        </w:rPr>
        <w:t>16,356.6</w:t>
      </w:r>
      <w:r>
        <w:rPr/>
        <w:t>万。</w:t>
      </w:r>
    </w:p>
    <w:p>
      <w:pPr>
        <w:pStyle w:val="BodyText"/>
        <w:spacing w:line="240" w:lineRule="auto" w:before="30"/>
        <w:ind w:left="575" w:right="0"/>
        <w:jc w:val="left"/>
        <w:rPr>
          <w:rFonts w:ascii="Arial" w:hAnsi="Arial" w:cs="Arial" w:eastAsia="Arial" w:hint="default"/>
        </w:rPr>
      </w:pPr>
      <w:r>
        <w:rPr>
          <w:rFonts w:ascii="Arial" w:hAnsi="Arial" w:cs="Arial" w:eastAsia="Arial" w:hint="default"/>
          <w:spacing w:val="-5"/>
        </w:rPr>
        <w:t>2014</w:t>
      </w:r>
      <w:r>
        <w:rPr>
          <w:spacing w:val="-5"/>
        </w:rPr>
        <w:t>年</w:t>
      </w:r>
      <w:r>
        <w:rPr>
          <w:rFonts w:ascii="Arial" w:hAnsi="Arial" w:cs="Arial" w:eastAsia="Arial" w:hint="default"/>
          <w:spacing w:val="-5"/>
        </w:rPr>
        <w:t>5</w:t>
      </w:r>
      <w:r>
        <w:rPr>
          <w:spacing w:val="-5"/>
        </w:rPr>
        <w:t>月</w:t>
      </w:r>
      <w:r>
        <w:rPr>
          <w:rFonts w:ascii="Arial" w:hAnsi="Arial" w:cs="Arial" w:eastAsia="Arial" w:hint="default"/>
          <w:spacing w:val="-5"/>
        </w:rPr>
        <w:t>12</w:t>
      </w:r>
      <w:r>
        <w:rPr>
          <w:spacing w:val="-5"/>
        </w:rPr>
        <w:t>日，本公司按每</w:t>
      </w:r>
      <w:r>
        <w:rPr>
          <w:rFonts w:ascii="Arial" w:hAnsi="Arial" w:cs="Arial" w:eastAsia="Arial" w:hint="default"/>
          <w:spacing w:val="-5"/>
        </w:rPr>
        <w:t>10</w:t>
      </w:r>
      <w:r>
        <w:rPr>
          <w:spacing w:val="-5"/>
        </w:rPr>
        <w:t>股转增</w:t>
      </w:r>
      <w:r>
        <w:rPr>
          <w:rFonts w:ascii="Arial" w:hAnsi="Arial" w:cs="Arial" w:eastAsia="Arial" w:hint="default"/>
          <w:spacing w:val="-5"/>
        </w:rPr>
        <w:t>10</w:t>
      </w:r>
      <w:r>
        <w:rPr>
          <w:spacing w:val="-5"/>
        </w:rPr>
        <w:t>股的比例，以资本公积向全体股东转增股份总额</w:t>
      </w:r>
      <w:r>
        <w:rPr>
          <w:rFonts w:ascii="Arial" w:hAnsi="Arial" w:cs="Arial" w:eastAsia="Arial" w:hint="default"/>
          <w:spacing w:val="-5"/>
        </w:rPr>
        <w:t>163,566,000</w:t>
      </w:r>
    </w:p>
    <w:p>
      <w:pPr>
        <w:pStyle w:val="BodyText"/>
        <w:spacing w:line="240" w:lineRule="auto" w:before="180"/>
        <w:ind w:right="0"/>
        <w:jc w:val="both"/>
      </w:pPr>
      <w:r>
        <w:rPr/>
        <w:t>股，经上述股份变更事项后，本公司股本变更为为</w:t>
      </w:r>
      <w:r>
        <w:rPr>
          <w:rFonts w:ascii="Arial" w:hAnsi="Arial" w:cs="Arial" w:eastAsia="Arial" w:hint="default"/>
        </w:rPr>
        <w:t>327,132,000</w:t>
      </w:r>
      <w:r>
        <w:rPr/>
        <w:t>元。</w:t>
      </w:r>
    </w:p>
    <w:p>
      <w:pPr>
        <w:pStyle w:val="BodyText"/>
        <w:spacing w:line="398" w:lineRule="auto" w:before="176"/>
        <w:ind w:right="137" w:firstLine="422"/>
        <w:jc w:val="both"/>
      </w:pPr>
      <w:r>
        <w:rPr>
          <w:rFonts w:ascii="Arial" w:hAnsi="Arial" w:cs="Arial" w:eastAsia="Arial" w:hint="default"/>
          <w:spacing w:val="-3"/>
          <w:w w:val="100"/>
        </w:rPr>
        <w:t>2014</w:t>
      </w:r>
      <w:r>
        <w:rPr>
          <w:spacing w:val="-3"/>
          <w:w w:val="100"/>
        </w:rPr>
        <w:t>年</w:t>
      </w:r>
      <w:r>
        <w:rPr>
          <w:rFonts w:ascii="Arial" w:hAnsi="Arial" w:cs="Arial" w:eastAsia="Arial" w:hint="default"/>
          <w:spacing w:val="-3"/>
          <w:w w:val="100"/>
        </w:rPr>
        <w:t>12</w:t>
      </w:r>
      <w:r>
        <w:rPr>
          <w:spacing w:val="-3"/>
          <w:w w:val="100"/>
        </w:rPr>
        <w:t>月</w:t>
      </w:r>
      <w:r>
        <w:rPr>
          <w:rFonts w:ascii="Arial" w:hAnsi="Arial" w:cs="Arial" w:eastAsia="Arial" w:hint="default"/>
          <w:spacing w:val="-3"/>
          <w:w w:val="100"/>
        </w:rPr>
        <w:t>18</w:t>
      </w:r>
      <w:r>
        <w:rPr>
          <w:spacing w:val="-3"/>
          <w:w w:val="100"/>
        </w:rPr>
        <w:t>日，根据公司于</w:t>
      </w:r>
      <w:r>
        <w:rPr>
          <w:rFonts w:ascii="Arial" w:hAnsi="Arial" w:cs="Arial" w:eastAsia="Arial" w:hint="default"/>
          <w:spacing w:val="-3"/>
          <w:w w:val="100"/>
        </w:rPr>
        <w:t>2014</w:t>
      </w:r>
      <w:r>
        <w:rPr>
          <w:spacing w:val="-3"/>
          <w:w w:val="100"/>
        </w:rPr>
        <w:t>年</w:t>
      </w:r>
      <w:r>
        <w:rPr>
          <w:rFonts w:ascii="Arial" w:hAnsi="Arial" w:cs="Arial" w:eastAsia="Arial" w:hint="default"/>
          <w:spacing w:val="-3"/>
          <w:w w:val="100"/>
        </w:rPr>
        <w:t>12</w:t>
      </w:r>
      <w:r>
        <w:rPr>
          <w:spacing w:val="-3"/>
          <w:w w:val="100"/>
        </w:rPr>
        <w:t>月</w:t>
      </w:r>
      <w:r>
        <w:rPr>
          <w:rFonts w:ascii="Arial" w:hAnsi="Arial" w:cs="Arial" w:eastAsia="Arial" w:hint="default"/>
          <w:spacing w:val="-3"/>
          <w:w w:val="100"/>
        </w:rPr>
        <w:t>8</w:t>
      </w:r>
      <w:r>
        <w:rPr>
          <w:spacing w:val="-3"/>
          <w:w w:val="100"/>
        </w:rPr>
        <w:t>日分别召开第三届董事会第三次会议和第三届监事会第三</w:t>
      </w:r>
      <w:r>
        <w:rPr>
          <w:w w:val="100"/>
        </w:rPr>
        <w:t> </w:t>
      </w:r>
      <w:r>
        <w:rPr>
          <w:spacing w:val="-2"/>
        </w:rPr>
        <w:t>次会议，审议通过了《关于股权激励计划涉及的首次授予股票期权数量与行权价格及预留股票期权与限制</w:t>
      </w:r>
      <w:r>
        <w:rPr>
          <w:spacing w:val="-35"/>
        </w:rPr>
        <w:t> </w:t>
      </w:r>
      <w:r>
        <w:rPr>
          <w:spacing w:val="-35"/>
        </w:rPr>
      </w:r>
      <w:r>
        <w:rPr>
          <w:spacing w:val="-7"/>
          <w:w w:val="100"/>
        </w:rPr>
        <w:t>性股票数量进行调整的议案》、《关于向激励对象授予预留股票期权和限制性股票的议案》，本次授予限制</w:t>
      </w:r>
      <w:r>
        <w:rPr>
          <w:spacing w:val="-72"/>
          <w:w w:val="100"/>
        </w:rPr>
        <w:t> </w:t>
      </w:r>
      <w:r>
        <w:rPr>
          <w:spacing w:val="-72"/>
          <w:w w:val="100"/>
        </w:rPr>
      </w:r>
      <w:r>
        <w:rPr>
          <w:spacing w:val="-3"/>
        </w:rPr>
        <w:t>性股票的激励对象为</w:t>
      </w:r>
      <w:r>
        <w:rPr>
          <w:rFonts w:ascii="Arial" w:hAnsi="Arial" w:cs="Arial" w:eastAsia="Arial" w:hint="default"/>
          <w:spacing w:val="-3"/>
        </w:rPr>
        <w:t>36</w:t>
      </w:r>
      <w:r>
        <w:rPr>
          <w:spacing w:val="-3"/>
        </w:rPr>
        <w:t>人，本次授予限制性股票数为</w:t>
      </w:r>
      <w:r>
        <w:rPr>
          <w:rFonts w:ascii="Arial" w:hAnsi="Arial" w:cs="Arial" w:eastAsia="Arial" w:hint="default"/>
          <w:spacing w:val="-3"/>
        </w:rPr>
        <w:t>92</w:t>
      </w:r>
      <w:r>
        <w:rPr>
          <w:spacing w:val="-3"/>
        </w:rPr>
        <w:t>万股；经上述股份变更事项后，本公司股本变更为</w:t>
      </w:r>
      <w:r>
        <w:rPr>
          <w:spacing w:val="-37"/>
        </w:rPr>
        <w:t> </w:t>
      </w:r>
      <w:r>
        <w:rPr>
          <w:spacing w:val="-37"/>
        </w:rPr>
      </w:r>
      <w:r>
        <w:rPr>
          <w:rFonts w:ascii="Arial" w:hAnsi="Arial" w:cs="Arial" w:eastAsia="Arial" w:hint="default"/>
        </w:rPr>
        <w:t>328,052,000</w:t>
      </w:r>
      <w:r>
        <w:rPr/>
        <w:t>元。</w:t>
      </w:r>
    </w:p>
    <w:p>
      <w:pPr>
        <w:pStyle w:val="BodyText"/>
        <w:spacing w:line="386" w:lineRule="auto" w:before="25"/>
        <w:ind w:right="142" w:firstLine="422"/>
        <w:jc w:val="both"/>
      </w:pPr>
      <w:r>
        <w:rPr>
          <w:spacing w:val="-6"/>
          <w:w w:val="100"/>
        </w:rPr>
        <w:t>公司于</w:t>
      </w:r>
      <w:r>
        <w:rPr>
          <w:rFonts w:ascii="Arial" w:hAnsi="Arial" w:cs="Arial" w:eastAsia="Arial" w:hint="default"/>
          <w:spacing w:val="-6"/>
          <w:w w:val="100"/>
        </w:rPr>
        <w:t>2014</w:t>
      </w:r>
      <w:r>
        <w:rPr>
          <w:spacing w:val="-6"/>
          <w:w w:val="100"/>
        </w:rPr>
        <w:t>年</w:t>
      </w:r>
      <w:r>
        <w:rPr>
          <w:rFonts w:ascii="Arial" w:hAnsi="Arial" w:cs="Arial" w:eastAsia="Arial" w:hint="default"/>
          <w:spacing w:val="-6"/>
          <w:w w:val="100"/>
        </w:rPr>
        <w:t>12</w:t>
      </w:r>
      <w:r>
        <w:rPr>
          <w:spacing w:val="-6"/>
          <w:w w:val="100"/>
        </w:rPr>
        <w:t>月</w:t>
      </w:r>
      <w:r>
        <w:rPr>
          <w:rFonts w:ascii="Arial" w:hAnsi="Arial" w:cs="Arial" w:eastAsia="Arial" w:hint="default"/>
          <w:spacing w:val="-6"/>
          <w:w w:val="100"/>
        </w:rPr>
        <w:t>8</w:t>
      </w:r>
      <w:r>
        <w:rPr>
          <w:spacing w:val="-6"/>
          <w:w w:val="100"/>
        </w:rPr>
        <w:t>日分别召开第三届董事会第三次会议和第三届监事会第三次会议，审议通过了《关</w:t>
      </w:r>
      <w:r>
        <w:rPr>
          <w:w w:val="100"/>
        </w:rPr>
        <w:t> </w:t>
      </w:r>
      <w:r>
        <w:rPr>
          <w:spacing w:val="-6"/>
          <w:w w:val="100"/>
        </w:rPr>
        <w:t>于股票期权与限制性股票激励计划第一个行权</w:t>
      </w:r>
      <w:r>
        <w:rPr>
          <w:rFonts w:ascii="Arial" w:hAnsi="Arial" w:cs="Arial" w:eastAsia="Arial" w:hint="default"/>
          <w:spacing w:val="-6"/>
          <w:w w:val="100"/>
        </w:rPr>
        <w:t>/</w:t>
      </w:r>
      <w:r>
        <w:rPr>
          <w:spacing w:val="-6"/>
          <w:w w:val="100"/>
        </w:rPr>
        <w:t>解锁期可行权</w:t>
      </w:r>
      <w:r>
        <w:rPr>
          <w:rFonts w:ascii="Arial" w:hAnsi="Arial" w:cs="Arial" w:eastAsia="Arial" w:hint="default"/>
          <w:spacing w:val="-6"/>
          <w:w w:val="100"/>
        </w:rPr>
        <w:t>/</w:t>
      </w:r>
      <w:r>
        <w:rPr>
          <w:spacing w:val="-6"/>
          <w:w w:val="100"/>
        </w:rPr>
        <w:t>解锁的议案》，同意对满足第一个行权</w:t>
      </w:r>
      <w:r>
        <w:rPr>
          <w:rFonts w:ascii="Arial" w:hAnsi="Arial" w:cs="Arial" w:eastAsia="Arial" w:hint="default"/>
          <w:spacing w:val="-6"/>
          <w:w w:val="100"/>
        </w:rPr>
        <w:t>/</w:t>
      </w:r>
      <w:r>
        <w:rPr>
          <w:spacing w:val="-6"/>
          <w:w w:val="100"/>
        </w:rPr>
        <w:t>解锁期</w:t>
      </w:r>
      <w:r>
        <w:rPr>
          <w:spacing w:val="-72"/>
          <w:w w:val="100"/>
        </w:rPr>
        <w:t> </w:t>
      </w:r>
      <w:r>
        <w:rPr>
          <w:spacing w:val="-72"/>
          <w:w w:val="100"/>
        </w:rPr>
      </w:r>
      <w:r>
        <w:rPr/>
        <w:t>行权</w:t>
      </w:r>
      <w:r>
        <w:rPr>
          <w:rFonts w:ascii="Arial" w:hAnsi="Arial" w:cs="Arial" w:eastAsia="Arial" w:hint="default"/>
        </w:rPr>
        <w:t>/</w:t>
      </w:r>
      <w:r>
        <w:rPr/>
        <w:t>解锁条件的激励对象按照《股票期权与限制性股票激励计划》的相关规定办理第一个行权</w:t>
      </w:r>
      <w:r>
        <w:rPr>
          <w:rFonts w:ascii="Arial" w:hAnsi="Arial" w:cs="Arial" w:eastAsia="Arial" w:hint="default"/>
        </w:rPr>
        <w:t>/</w:t>
      </w:r>
      <w:r>
        <w:rPr/>
        <w:t>解锁期行</w:t>
      </w:r>
      <w:r>
        <w:rPr>
          <w:spacing w:val="-40"/>
        </w:rPr>
        <w:t> </w:t>
      </w:r>
      <w:r>
        <w:rPr>
          <w:spacing w:val="-40"/>
        </w:rPr>
      </w:r>
      <w:r>
        <w:rPr>
          <w:spacing w:val="-4"/>
        </w:rPr>
        <w:t>权</w:t>
      </w:r>
      <w:r>
        <w:rPr>
          <w:rFonts w:ascii="Arial" w:hAnsi="Arial" w:cs="Arial" w:eastAsia="Arial" w:hint="default"/>
          <w:spacing w:val="-4"/>
        </w:rPr>
        <w:t>/</w:t>
      </w:r>
      <w:r>
        <w:rPr>
          <w:spacing w:val="-4"/>
        </w:rPr>
        <w:t>解锁的相关事宜；</w:t>
      </w:r>
      <w:r>
        <w:rPr>
          <w:rFonts w:ascii="Arial" w:hAnsi="Arial" w:cs="Arial" w:eastAsia="Arial" w:hint="default"/>
          <w:spacing w:val="-4"/>
        </w:rPr>
        <w:t>71</w:t>
      </w:r>
      <w:r>
        <w:rPr>
          <w:spacing w:val="-4"/>
        </w:rPr>
        <w:t>名激励对象本次可行权的股票期权数量为</w:t>
      </w:r>
      <w:r>
        <w:rPr>
          <w:rFonts w:ascii="Arial" w:hAnsi="Arial" w:cs="Arial" w:eastAsia="Arial" w:hint="default"/>
          <w:spacing w:val="-4"/>
        </w:rPr>
        <w:t>111</w:t>
      </w:r>
      <w:r>
        <w:rPr>
          <w:spacing w:val="-4"/>
        </w:rPr>
        <w:t>万份。</w:t>
      </w:r>
      <w:r>
        <w:rPr>
          <w:rFonts w:ascii="Arial" w:hAnsi="Arial" w:cs="Arial" w:eastAsia="Arial" w:hint="default"/>
          <w:spacing w:val="-4"/>
        </w:rPr>
        <w:t>2014</w:t>
      </w:r>
      <w:r>
        <w:rPr>
          <w:spacing w:val="-4"/>
        </w:rPr>
        <w:t>年</w:t>
      </w:r>
      <w:r>
        <w:rPr>
          <w:rFonts w:ascii="Arial" w:hAnsi="Arial" w:cs="Arial" w:eastAsia="Arial" w:hint="default"/>
          <w:spacing w:val="-4"/>
        </w:rPr>
        <w:t>12</w:t>
      </w:r>
      <w:r>
        <w:rPr>
          <w:spacing w:val="-4"/>
        </w:rPr>
        <w:t>月</w:t>
      </w:r>
      <w:r>
        <w:rPr>
          <w:rFonts w:ascii="Arial" w:hAnsi="Arial" w:cs="Arial" w:eastAsia="Arial" w:hint="default"/>
          <w:spacing w:val="-4"/>
        </w:rPr>
        <w:t>18</w:t>
      </w:r>
      <w:r>
        <w:rPr>
          <w:spacing w:val="-4"/>
        </w:rPr>
        <w:t>日，根据上述议</w:t>
      </w:r>
      <w:r>
        <w:rPr>
          <w:spacing w:val="-36"/>
        </w:rPr>
        <w:t> </w:t>
      </w:r>
      <w:r>
        <w:rPr>
          <w:spacing w:val="-36"/>
        </w:rPr>
      </w:r>
      <w:r>
        <w:rPr>
          <w:spacing w:val="-8"/>
        </w:rPr>
        <w:t>案，</w:t>
      </w:r>
      <w:r>
        <w:rPr>
          <w:rFonts w:ascii="Arial" w:hAnsi="Arial" w:cs="Arial" w:eastAsia="Arial" w:hint="default"/>
          <w:spacing w:val="-8"/>
        </w:rPr>
        <w:t>71</w:t>
      </w:r>
      <w:r>
        <w:rPr>
          <w:spacing w:val="-8"/>
        </w:rPr>
        <w:t>名股权激励对象完成了首次股票期权的行权资金的缴纳，众华会计师事务（特殊普通合伙）所于</w:t>
      </w:r>
      <w:r>
        <w:rPr>
          <w:rFonts w:ascii="Arial" w:hAnsi="Arial" w:cs="Arial" w:eastAsia="Arial" w:hint="default"/>
          <w:spacing w:val="-8"/>
        </w:rPr>
        <w:t>2014</w:t>
      </w:r>
      <w:r>
        <w:rPr>
          <w:rFonts w:ascii="Arial" w:hAnsi="Arial" w:cs="Arial" w:eastAsia="Arial" w:hint="default"/>
          <w:spacing w:val="28"/>
        </w:rPr>
        <w:t> </w:t>
      </w:r>
      <w:r>
        <w:rPr>
          <w:rFonts w:ascii="Arial" w:hAnsi="Arial" w:cs="Arial" w:eastAsia="Arial" w:hint="default"/>
          <w:spacing w:val="28"/>
        </w:rPr>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18</w:t>
      </w:r>
      <w:r>
        <w:rPr>
          <w:spacing w:val="-3"/>
        </w:rPr>
        <w:t>日出具众会字（</w:t>
      </w:r>
      <w:r>
        <w:rPr>
          <w:rFonts w:ascii="Arial" w:hAnsi="Arial" w:cs="Arial" w:eastAsia="Arial" w:hint="default"/>
          <w:spacing w:val="-3"/>
        </w:rPr>
        <w:t>2014</w:t>
      </w:r>
      <w:r>
        <w:rPr>
          <w:spacing w:val="-3"/>
        </w:rPr>
        <w:t>）第</w:t>
      </w:r>
      <w:r>
        <w:rPr>
          <w:rFonts w:ascii="Arial" w:hAnsi="Arial" w:cs="Arial" w:eastAsia="Arial" w:hint="default"/>
          <w:spacing w:val="-3"/>
        </w:rPr>
        <w:t>5743</w:t>
      </w:r>
      <w:r>
        <w:rPr>
          <w:spacing w:val="-3"/>
        </w:rPr>
        <w:t>号验资报告，审验了公司截至</w:t>
      </w:r>
      <w:r>
        <w:rPr>
          <w:rFonts w:ascii="Arial" w:hAnsi="Arial" w:cs="Arial" w:eastAsia="Arial" w:hint="default"/>
          <w:spacing w:val="-3"/>
        </w:rPr>
        <w:t>2014</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18</w:t>
      </w:r>
      <w:r>
        <w:rPr>
          <w:spacing w:val="-3"/>
        </w:rPr>
        <w:t>日止新增注册资本及</w:t>
      </w:r>
      <w:r>
        <w:rPr>
          <w:spacing w:val="-8"/>
        </w:rPr>
        <w:t> </w:t>
      </w:r>
      <w:r>
        <w:rPr>
          <w:spacing w:val="-8"/>
        </w:rPr>
      </w:r>
      <w:r>
        <w:rPr/>
        <w:t>股本情况，认为：截至</w:t>
      </w:r>
      <w:r>
        <w:rPr>
          <w:rFonts w:ascii="Arial" w:hAnsi="Arial" w:cs="Arial" w:eastAsia="Arial" w:hint="default"/>
        </w:rPr>
        <w:t>2014</w:t>
      </w:r>
      <w:r>
        <w:rPr/>
        <w:t>年</w:t>
      </w:r>
      <w:r>
        <w:rPr>
          <w:rFonts w:ascii="Arial" w:hAnsi="Arial" w:cs="Arial" w:eastAsia="Arial" w:hint="default"/>
        </w:rPr>
        <w:t>12</w:t>
      </w:r>
      <w:r>
        <w:rPr/>
        <w:t>月</w:t>
      </w:r>
      <w:r>
        <w:rPr>
          <w:rFonts w:ascii="Arial" w:hAnsi="Arial" w:cs="Arial" w:eastAsia="Arial" w:hint="default"/>
        </w:rPr>
        <w:t>18</w:t>
      </w:r>
      <w:r>
        <w:rPr/>
        <w:t>日止，变更后的注册资本人民币</w:t>
      </w:r>
      <w:r>
        <w:rPr>
          <w:rFonts w:ascii="Arial" w:hAnsi="Arial" w:cs="Arial" w:eastAsia="Arial" w:hint="default"/>
        </w:rPr>
        <w:t>329,162,000.00</w:t>
      </w:r>
      <w:r>
        <w:rPr/>
        <w:t>元、累计股本为人</w:t>
      </w:r>
      <w:r>
        <w:rPr>
          <w:spacing w:val="-31"/>
        </w:rPr>
        <w:t> </w:t>
      </w:r>
      <w:r>
        <w:rPr>
          <w:spacing w:val="-31"/>
        </w:rPr>
      </w:r>
      <w:r>
        <w:rPr>
          <w:spacing w:val="-2"/>
        </w:rPr>
        <w:t>民币</w:t>
      </w:r>
      <w:r>
        <w:rPr>
          <w:rFonts w:ascii="Arial" w:hAnsi="Arial" w:cs="Arial" w:eastAsia="Arial" w:hint="default"/>
          <w:spacing w:val="-2"/>
        </w:rPr>
        <w:t>329,162,000.00</w:t>
      </w:r>
      <w:r>
        <w:rPr>
          <w:spacing w:val="-2"/>
        </w:rPr>
        <w:t>元。经本公司董事会申请、深圳证券交易所确认、中国证券登记结算有限责任公司深</w:t>
      </w:r>
      <w:r>
        <w:rPr>
          <w:spacing w:val="-26"/>
        </w:rPr>
        <w:t> </w:t>
      </w:r>
      <w:r>
        <w:rPr>
          <w:spacing w:val="-26"/>
        </w:rPr>
      </w:r>
      <w:r>
        <w:rPr>
          <w:spacing w:val="-1"/>
        </w:rPr>
        <w:t>圳分公司核准登记，上述</w:t>
      </w:r>
      <w:r>
        <w:rPr>
          <w:rFonts w:ascii="Arial" w:hAnsi="Arial" w:cs="Arial" w:eastAsia="Arial" w:hint="default"/>
          <w:spacing w:val="-1"/>
        </w:rPr>
        <w:t>111</w:t>
      </w:r>
      <w:r>
        <w:rPr>
          <w:spacing w:val="-1"/>
        </w:rPr>
        <w:t>万份股票期权的股份登记日为</w:t>
      </w:r>
      <w:r>
        <w:rPr>
          <w:rFonts w:ascii="Arial" w:hAnsi="Arial" w:cs="Arial" w:eastAsia="Arial" w:hint="default"/>
          <w:spacing w:val="-1"/>
        </w:rPr>
        <w:t>2015</w:t>
      </w:r>
      <w:r>
        <w:rPr>
          <w:spacing w:val="-1"/>
        </w:rPr>
        <w:t>年</w:t>
      </w:r>
      <w:r>
        <w:rPr>
          <w:rFonts w:ascii="Arial" w:hAnsi="Arial" w:cs="Arial" w:eastAsia="Arial" w:hint="default"/>
          <w:spacing w:val="-1"/>
        </w:rPr>
        <w:t>1</w:t>
      </w:r>
      <w:r>
        <w:rPr>
          <w:spacing w:val="-1"/>
        </w:rPr>
        <w:t>月</w:t>
      </w:r>
      <w:r>
        <w:rPr>
          <w:rFonts w:ascii="Arial" w:hAnsi="Arial" w:cs="Arial" w:eastAsia="Arial" w:hint="default"/>
          <w:spacing w:val="-1"/>
        </w:rPr>
        <w:t>15</w:t>
      </w:r>
      <w:r>
        <w:rPr>
          <w:spacing w:val="-1"/>
        </w:rPr>
        <w:t>日，行权股份的上市时间为</w:t>
      </w:r>
      <w:r>
        <w:rPr>
          <w:rFonts w:ascii="Arial" w:hAnsi="Arial" w:cs="Arial" w:eastAsia="Arial" w:hint="default"/>
          <w:spacing w:val="-1"/>
        </w:rPr>
        <w:t>2015</w:t>
      </w:r>
      <w:r>
        <w:rPr>
          <w:rFonts w:ascii="Arial" w:hAnsi="Arial" w:cs="Arial" w:eastAsia="Arial" w:hint="default"/>
          <w:spacing w:val="2"/>
        </w:rPr>
        <w:t> </w:t>
      </w:r>
      <w:r>
        <w:rPr>
          <w:rFonts w:ascii="Arial" w:hAnsi="Arial" w:cs="Arial" w:eastAsia="Arial" w:hint="default"/>
          <w:spacing w:val="2"/>
        </w:rPr>
      </w:r>
      <w:r>
        <w:rPr/>
        <w:t>年</w:t>
      </w:r>
      <w:r>
        <w:rPr>
          <w:rFonts w:ascii="Arial" w:hAnsi="Arial" w:cs="Arial" w:eastAsia="Arial" w:hint="default"/>
        </w:rPr>
        <w:t>1</w:t>
      </w:r>
      <w:r>
        <w:rPr/>
        <w:t>月</w:t>
      </w:r>
      <w:r>
        <w:rPr>
          <w:rFonts w:ascii="Arial" w:hAnsi="Arial" w:cs="Arial" w:eastAsia="Arial" w:hint="default"/>
        </w:rPr>
        <w:t>21</w:t>
      </w:r>
      <w:r>
        <w:rPr/>
        <w:t>日。</w:t>
      </w:r>
    </w:p>
    <w:p>
      <w:pPr>
        <w:spacing w:after="0" w:line="386" w:lineRule="auto"/>
        <w:jc w:val="both"/>
        <w:sectPr>
          <w:pgSz w:w="11900" w:h="16840"/>
          <w:pgMar w:header="742" w:footer="984" w:top="1060" w:bottom="1180" w:left="980" w:right="980"/>
        </w:sectPr>
      </w:pPr>
    </w:p>
    <w:p>
      <w:pPr>
        <w:spacing w:line="240" w:lineRule="auto" w:before="0"/>
        <w:rPr>
          <w:rFonts w:ascii="宋体" w:hAnsi="宋体" w:cs="宋体" w:eastAsia="宋体" w:hint="default"/>
          <w:sz w:val="20"/>
          <w:szCs w:val="20"/>
        </w:rPr>
      </w:pPr>
    </w:p>
    <w:p>
      <w:pPr>
        <w:pStyle w:val="BodyText"/>
        <w:spacing w:line="240" w:lineRule="auto" w:before="182"/>
        <w:ind w:left="575" w:right="111"/>
        <w:jc w:val="left"/>
      </w:pPr>
      <w:r>
        <w:rPr>
          <w:rFonts w:ascii="Arial" w:hAnsi="Arial" w:cs="Arial" w:eastAsia="Arial" w:hint="default"/>
        </w:rPr>
        <w:t>1.3 </w:t>
      </w:r>
      <w:r>
        <w:rPr>
          <w:rFonts w:ascii="Arial" w:hAnsi="Arial" w:cs="Arial" w:eastAsia="Arial" w:hint="default"/>
          <w:spacing w:val="7"/>
        </w:rPr>
        <w:t> </w:t>
      </w:r>
      <w:r>
        <w:rPr/>
        <w:t>公司的业务性质和主要经营活动</w:t>
      </w:r>
    </w:p>
    <w:p>
      <w:pPr>
        <w:pStyle w:val="BodyText"/>
        <w:spacing w:line="388" w:lineRule="auto" w:before="176"/>
        <w:ind w:left="575" w:right="111"/>
        <w:jc w:val="left"/>
      </w:pPr>
      <w:r>
        <w:rPr>
          <w:rFonts w:ascii="Arial" w:hAnsi="Arial" w:cs="Arial" w:eastAsia="Arial" w:hint="default"/>
        </w:rPr>
        <w:t>1.3.1</w:t>
      </w:r>
      <w:r>
        <w:rPr>
          <w:rFonts w:ascii="Arial" w:hAnsi="Arial" w:cs="Arial" w:eastAsia="Arial" w:hint="default"/>
          <w:spacing w:val="44"/>
        </w:rPr>
        <w:t> </w:t>
      </w:r>
      <w:r>
        <w:rPr/>
        <w:t>业务性质</w:t>
      </w:r>
      <w:r>
        <w:rPr>
          <w:w w:val="100"/>
        </w:rPr>
        <w:t> </w:t>
      </w:r>
      <w:r>
        <w:rPr>
          <w:spacing w:val="-2"/>
        </w:rPr>
        <w:t>公司定位于新型纺织面料和特色化需求的全面的染整解决方案供应商，不仅为客户提供各种满足特定</w:t>
      </w:r>
    </w:p>
    <w:p>
      <w:pPr>
        <w:pStyle w:val="BodyText"/>
        <w:spacing w:line="240" w:lineRule="auto" w:before="60"/>
        <w:ind w:right="0"/>
        <w:jc w:val="both"/>
      </w:pPr>
      <w:r>
        <w:rPr/>
        <w:t>需求的特色染化料产品，更为客户提供配套的印染工艺和技术解决方案。</w:t>
      </w:r>
    </w:p>
    <w:p>
      <w:pPr>
        <w:spacing w:line="240" w:lineRule="auto" w:before="12"/>
        <w:rPr>
          <w:rFonts w:ascii="宋体" w:hAnsi="宋体" w:cs="宋体" w:eastAsia="宋体" w:hint="default"/>
          <w:sz w:val="14"/>
          <w:szCs w:val="14"/>
        </w:rPr>
      </w:pPr>
    </w:p>
    <w:p>
      <w:pPr>
        <w:pStyle w:val="BodyText"/>
        <w:spacing w:line="386" w:lineRule="auto"/>
        <w:ind w:left="575" w:right="111"/>
        <w:jc w:val="left"/>
      </w:pPr>
      <w:r>
        <w:rPr>
          <w:rFonts w:ascii="Arial" w:hAnsi="Arial" w:cs="Arial" w:eastAsia="Arial" w:hint="default"/>
        </w:rPr>
        <w:t>1.3.2</w:t>
      </w:r>
      <w:r>
        <w:rPr>
          <w:rFonts w:ascii="Arial" w:hAnsi="Arial" w:cs="Arial" w:eastAsia="Arial" w:hint="default"/>
          <w:spacing w:val="44"/>
        </w:rPr>
        <w:t> </w:t>
      </w:r>
      <w:r>
        <w:rPr/>
        <w:t>经营范围</w:t>
      </w:r>
      <w:r>
        <w:rPr>
          <w:w w:val="100"/>
        </w:rPr>
        <w:t> </w:t>
      </w:r>
      <w:r>
        <w:rPr>
          <w:spacing w:val="-2"/>
        </w:rPr>
        <w:t>销售、以电子商务方式销售化工产品（除危险化学品、监控化学品、烟花保准。民用爆炸物品、易制</w:t>
      </w:r>
    </w:p>
    <w:p>
      <w:pPr>
        <w:pStyle w:val="BodyText"/>
        <w:spacing w:line="408" w:lineRule="auto" w:before="67"/>
        <w:ind w:right="202"/>
        <w:jc w:val="both"/>
      </w:pPr>
      <w:r>
        <w:rPr>
          <w:spacing w:val="-2"/>
        </w:rPr>
        <w:t>毒化学品）、原辅料、机械设备、仪器仪表及零配件、包装制品，从事化工领域的技术开发、技术转让、</w:t>
      </w:r>
      <w:r>
        <w:rPr>
          <w:spacing w:val="-16"/>
        </w:rPr>
        <w:t> </w:t>
      </w:r>
      <w:r>
        <w:rPr>
          <w:spacing w:val="-16"/>
        </w:rPr>
      </w:r>
      <w:r>
        <w:rPr>
          <w:spacing w:val="-2"/>
        </w:rPr>
        <w:t>技术咨询、技术服务，仓储、从事货物及技术的进出口业务，实业投资，资产管理，自有房屋租赁。【依</w:t>
      </w:r>
      <w:r>
        <w:rPr>
          <w:spacing w:val="-41"/>
        </w:rPr>
        <w:t> </w:t>
      </w:r>
      <w:r>
        <w:rPr>
          <w:spacing w:val="-41"/>
        </w:rPr>
      </w:r>
      <w:r>
        <w:rPr/>
        <w:t>法须经批准的项目，经相关部门的批准后方可开展经营活动】</w:t>
      </w:r>
    </w:p>
    <w:p>
      <w:pPr>
        <w:pStyle w:val="BodyText"/>
        <w:spacing w:line="388" w:lineRule="auto" w:before="43"/>
        <w:ind w:left="575" w:right="111"/>
        <w:jc w:val="left"/>
        <w:rPr>
          <w:rFonts w:ascii="Arial" w:hAnsi="Arial" w:cs="Arial" w:eastAsia="Arial" w:hint="default"/>
        </w:rPr>
      </w:pPr>
      <w:r>
        <w:rPr>
          <w:rFonts w:ascii="Arial" w:hAnsi="Arial" w:cs="Arial" w:eastAsia="Arial" w:hint="default"/>
        </w:rPr>
        <w:t>1.3.3</w:t>
      </w:r>
      <w:r>
        <w:rPr>
          <w:rFonts w:ascii="Arial" w:hAnsi="Arial" w:cs="Arial" w:eastAsia="Arial" w:hint="default"/>
          <w:spacing w:val="44"/>
        </w:rPr>
        <w:t> </w:t>
      </w:r>
      <w:r>
        <w:rPr/>
        <w:t>主要经营活动</w:t>
      </w:r>
      <w:r>
        <w:rPr>
          <w:w w:val="100"/>
        </w:rPr>
        <w:t> </w:t>
      </w:r>
      <w:r>
        <w:rPr>
          <w:spacing w:val="-4"/>
        </w:rPr>
        <w:t>公司目前拥有分散染料</w:t>
      </w:r>
      <w:r>
        <w:rPr>
          <w:rFonts w:ascii="Arial" w:hAnsi="Arial" w:cs="Arial" w:eastAsia="Arial" w:hint="default"/>
          <w:spacing w:val="-4"/>
        </w:rPr>
        <w:t>ANOCRON</w:t>
      </w:r>
      <w:r>
        <w:rPr>
          <w:spacing w:val="-4"/>
        </w:rPr>
        <w:t>（安诺可隆）、活性染料</w:t>
      </w:r>
      <w:r>
        <w:rPr>
          <w:rFonts w:ascii="Arial" w:hAnsi="Arial" w:cs="Arial" w:eastAsia="Arial" w:hint="default"/>
          <w:spacing w:val="-4"/>
        </w:rPr>
        <w:t>ANOZOL</w:t>
      </w:r>
      <w:r>
        <w:rPr>
          <w:spacing w:val="-4"/>
        </w:rPr>
        <w:t>（安诺素）、酸性染料</w:t>
      </w:r>
      <w:r>
        <w:rPr>
          <w:rFonts w:ascii="Arial" w:hAnsi="Arial" w:cs="Arial" w:eastAsia="Arial" w:hint="default"/>
          <w:spacing w:val="-4"/>
        </w:rPr>
        <w:t>ANOSET</w:t>
      </w:r>
    </w:p>
    <w:p>
      <w:pPr>
        <w:pStyle w:val="BodyText"/>
        <w:spacing w:line="240" w:lineRule="auto" w:before="30"/>
        <w:ind w:right="0"/>
        <w:jc w:val="both"/>
        <w:rPr>
          <w:rFonts w:ascii="Arial" w:hAnsi="Arial" w:cs="Arial" w:eastAsia="Arial" w:hint="default"/>
        </w:rPr>
      </w:pPr>
      <w:r>
        <w:rPr>
          <w:spacing w:val="-12"/>
        </w:rPr>
        <w:t>（安诺赛特）、毛用染料</w:t>
      </w:r>
      <w:r>
        <w:rPr>
          <w:rFonts w:ascii="Arial" w:hAnsi="Arial" w:cs="Arial" w:eastAsia="Arial" w:hint="default"/>
          <w:spacing w:val="-12"/>
        </w:rPr>
        <w:t>ANOFIX</w:t>
      </w:r>
      <w:r>
        <w:rPr>
          <w:spacing w:val="-12"/>
        </w:rPr>
        <w:t>（安诺菲克斯）、锦纶染色高坚牢度染料</w:t>
      </w:r>
      <w:r>
        <w:rPr>
          <w:rFonts w:ascii="Arial" w:hAnsi="Arial" w:cs="Arial" w:eastAsia="Arial" w:hint="default"/>
          <w:spacing w:val="-12"/>
        </w:rPr>
        <w:t>ANOMEN</w:t>
      </w:r>
      <w:r>
        <w:rPr>
          <w:spacing w:val="-12"/>
        </w:rPr>
        <w:t>（安诺门）、助剂</w:t>
      </w:r>
      <w:r>
        <w:rPr>
          <w:rFonts w:ascii="Arial" w:hAnsi="Arial" w:cs="Arial" w:eastAsia="Arial" w:hint="default"/>
          <w:spacing w:val="-12"/>
        </w:rPr>
        <w:t>ANOKE</w:t>
      </w:r>
    </w:p>
    <w:p>
      <w:pPr>
        <w:pStyle w:val="BodyText"/>
        <w:spacing w:line="386" w:lineRule="auto" w:before="180"/>
        <w:ind w:right="226"/>
        <w:jc w:val="both"/>
      </w:pPr>
      <w:r>
        <w:rPr>
          <w:spacing w:val="-2"/>
        </w:rPr>
        <w:t>（安诺科）、腈纶染色用阳离子染料</w:t>
      </w:r>
      <w:r>
        <w:rPr>
          <w:rFonts w:ascii="Arial" w:hAnsi="Arial" w:cs="Arial" w:eastAsia="Arial" w:hint="default"/>
          <w:spacing w:val="-2"/>
        </w:rPr>
        <w:t>ANORLON</w:t>
      </w:r>
      <w:r>
        <w:rPr>
          <w:spacing w:val="-2"/>
        </w:rPr>
        <w:t>（安诺丽隆）七大系列品牌，超过六百个染料和助剂产品</w:t>
      </w:r>
      <w:r>
        <w:rPr>
          <w:spacing w:val="-27"/>
        </w:rPr>
        <w:t> </w:t>
      </w:r>
      <w:r>
        <w:rPr>
          <w:spacing w:val="-27"/>
        </w:rPr>
      </w:r>
      <w:r>
        <w:rPr/>
        <w:t>的生产销售能力。</w:t>
      </w:r>
    </w:p>
    <w:p>
      <w:pPr>
        <w:pStyle w:val="BodyText"/>
        <w:spacing w:line="386" w:lineRule="auto" w:before="67"/>
        <w:ind w:left="575" w:right="111"/>
        <w:jc w:val="left"/>
      </w:pPr>
      <w:r>
        <w:rPr>
          <w:rFonts w:ascii="Arial" w:hAnsi="Arial" w:cs="Arial" w:eastAsia="Arial" w:hint="default"/>
        </w:rPr>
        <w:t>1.4 </w:t>
      </w:r>
      <w:r>
        <w:rPr>
          <w:spacing w:val="-6"/>
        </w:rPr>
        <w:t>本财务报告的批准报出日：</w:t>
      </w:r>
      <w:r>
        <w:rPr>
          <w:rFonts w:ascii="Arial" w:hAnsi="Arial" w:cs="Arial" w:eastAsia="Arial" w:hint="default"/>
          <w:spacing w:val="-6"/>
        </w:rPr>
        <w:t>2015</w:t>
      </w:r>
      <w:r>
        <w:rPr>
          <w:spacing w:val="-6"/>
        </w:rPr>
        <w:t>年</w:t>
      </w:r>
      <w:r>
        <w:rPr>
          <w:rFonts w:ascii="Arial" w:hAnsi="Arial" w:cs="Arial" w:eastAsia="Arial" w:hint="default"/>
          <w:spacing w:val="-6"/>
        </w:rPr>
        <w:t>3</w:t>
      </w:r>
      <w:r>
        <w:rPr>
          <w:spacing w:val="-6"/>
        </w:rPr>
        <w:t>月</w:t>
      </w:r>
      <w:r>
        <w:rPr>
          <w:rFonts w:ascii="Arial" w:hAnsi="Arial" w:cs="Arial" w:eastAsia="Arial" w:hint="default"/>
          <w:spacing w:val="-6"/>
        </w:rPr>
        <w:t>12</w:t>
      </w:r>
      <w:r>
        <w:rPr>
          <w:spacing w:val="-6"/>
        </w:rPr>
        <w:t>日。本公司的营业期限：</w:t>
      </w:r>
      <w:r>
        <w:rPr>
          <w:rFonts w:ascii="Arial" w:hAnsi="Arial" w:cs="Arial" w:eastAsia="Arial" w:hint="default"/>
          <w:spacing w:val="-6"/>
        </w:rPr>
        <w:t>1999</w:t>
      </w:r>
      <w:r>
        <w:rPr>
          <w:spacing w:val="-6"/>
        </w:rPr>
        <w:t>年</w:t>
      </w:r>
      <w:r>
        <w:rPr>
          <w:rFonts w:ascii="Arial" w:hAnsi="Arial" w:cs="Arial" w:eastAsia="Arial" w:hint="default"/>
          <w:spacing w:val="-6"/>
        </w:rPr>
        <w:t>10</w:t>
      </w:r>
      <w:r>
        <w:rPr>
          <w:spacing w:val="-6"/>
        </w:rPr>
        <w:t>月</w:t>
      </w:r>
      <w:r>
        <w:rPr>
          <w:rFonts w:ascii="Arial" w:hAnsi="Arial" w:cs="Arial" w:eastAsia="Arial" w:hint="default"/>
          <w:spacing w:val="-6"/>
        </w:rPr>
        <w:t>19</w:t>
      </w:r>
      <w:r>
        <w:rPr>
          <w:spacing w:val="-6"/>
        </w:rPr>
        <w:t>日至不约定期限。</w:t>
      </w:r>
      <w:r>
        <w:rPr>
          <w:spacing w:val="-66"/>
        </w:rPr>
        <w:t> </w:t>
      </w:r>
      <w:r>
        <w:rPr/>
        <w:t>本报告期，合并报表范围未发生变化。</w:t>
      </w:r>
    </w:p>
    <w:p>
      <w:pPr>
        <w:spacing w:line="240" w:lineRule="auto" w:before="12"/>
        <w:rPr>
          <w:rFonts w:ascii="宋体" w:hAnsi="宋体" w:cs="宋体" w:eastAsia="宋体" w:hint="default"/>
          <w:sz w:val="13"/>
          <w:szCs w:val="13"/>
        </w:rPr>
      </w:pPr>
    </w:p>
    <w:p>
      <w:pPr>
        <w:pStyle w:val="Heading3"/>
        <w:spacing w:line="240" w:lineRule="auto"/>
        <w:ind w:right="0"/>
        <w:jc w:val="both"/>
        <w:rPr>
          <w:b w:val="0"/>
          <w:bCs w:val="0"/>
        </w:rPr>
      </w:pPr>
      <w:r>
        <w:rPr/>
        <w:t>四、财务报表的编制基础</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0"/>
        <w:jc w:val="both"/>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388" w:lineRule="auto"/>
        <w:ind w:right="222" w:firstLine="422"/>
        <w:jc w:val="both"/>
      </w:pPr>
      <w:r>
        <w:rPr>
          <w:spacing w:val="-2"/>
        </w:rPr>
        <w:t>本公司以持续经营为基础，根据实际发生的交易和事项，按照《企业会计准则</w:t>
      </w:r>
      <w:r>
        <w:rPr>
          <w:rFonts w:ascii="Arial" w:hAnsi="Arial" w:cs="Arial" w:eastAsia="Arial" w:hint="default"/>
          <w:spacing w:val="-2"/>
        </w:rPr>
        <w:t>—</w:t>
      </w:r>
      <w:r>
        <w:rPr>
          <w:spacing w:val="-2"/>
        </w:rPr>
        <w:t>基本准则》和其他各</w:t>
      </w:r>
      <w:r>
        <w:rPr>
          <w:w w:val="100"/>
        </w:rPr>
        <w:t> </w:t>
      </w:r>
      <w:r>
        <w:rPr/>
        <w:t>项会计准则的规定进行确认和计量，在此基础上编制财务报表。</w:t>
      </w:r>
    </w:p>
    <w:p>
      <w:pPr>
        <w:pStyle w:val="BodyText"/>
        <w:spacing w:line="388" w:lineRule="auto" w:before="60"/>
        <w:ind w:right="222" w:firstLine="422"/>
        <w:jc w:val="both"/>
      </w:pPr>
      <w:r>
        <w:rPr>
          <w:spacing w:val="10"/>
        </w:rPr>
        <w:t>根据财政部《关于印发修订</w:t>
      </w:r>
      <w:r>
        <w:rPr>
          <w:rFonts w:ascii="Arial" w:hAnsi="Arial" w:cs="Arial" w:eastAsia="Arial" w:hint="default"/>
          <w:spacing w:val="10"/>
        </w:rPr>
        <w:t>&lt;</w:t>
      </w:r>
      <w:r>
        <w:rPr>
          <w:spacing w:val="10"/>
        </w:rPr>
        <w:t>企业会计准则第</w:t>
      </w:r>
      <w:r>
        <w:rPr>
          <w:rFonts w:ascii="Arial" w:hAnsi="Arial" w:cs="Arial" w:eastAsia="Arial" w:hint="default"/>
          <w:spacing w:val="10"/>
        </w:rPr>
        <w:t>2</w:t>
      </w:r>
      <w:r>
        <w:rPr>
          <w:spacing w:val="10"/>
        </w:rPr>
        <w:t>号</w:t>
      </w:r>
      <w:r>
        <w:rPr>
          <w:rFonts w:ascii="Arial" w:hAnsi="Arial" w:cs="Arial" w:eastAsia="Arial" w:hint="default"/>
          <w:spacing w:val="10"/>
        </w:rPr>
        <w:t>——</w:t>
      </w:r>
      <w:r>
        <w:rPr>
          <w:spacing w:val="10"/>
        </w:rPr>
        <w:t>长期股权投资</w:t>
      </w:r>
      <w:r>
        <w:rPr>
          <w:rFonts w:ascii="Arial" w:hAnsi="Arial" w:cs="Arial" w:eastAsia="Arial" w:hint="default"/>
          <w:spacing w:val="10"/>
        </w:rPr>
        <w:t>&gt;</w:t>
      </w:r>
      <w:r>
        <w:rPr>
          <w:spacing w:val="10"/>
        </w:rPr>
        <w:t>的通知》等</w:t>
      </w:r>
      <w:r>
        <w:rPr>
          <w:rFonts w:ascii="Arial" w:hAnsi="Arial" w:cs="Arial" w:eastAsia="Arial" w:hint="default"/>
          <w:spacing w:val="10"/>
        </w:rPr>
        <w:t>7</w:t>
      </w:r>
      <w:r>
        <w:rPr>
          <w:spacing w:val="10"/>
        </w:rPr>
        <w:t>项通知（财会</w:t>
      </w:r>
      <w:r>
        <w:rPr>
          <w:w w:val="100"/>
        </w:rPr>
        <w:t> </w:t>
      </w:r>
      <w:r>
        <w:rPr>
          <w:rFonts w:ascii="Arial" w:hAnsi="Arial" w:cs="Arial" w:eastAsia="Arial" w:hint="default"/>
          <w:spacing w:val="-2"/>
        </w:rPr>
        <w:t>[2014]6~8</w:t>
      </w:r>
      <w:r>
        <w:rPr>
          <w:spacing w:val="-2"/>
        </w:rPr>
        <w:t>号、</w:t>
      </w:r>
      <w:r>
        <w:rPr>
          <w:rFonts w:ascii="Arial" w:hAnsi="Arial" w:cs="Arial" w:eastAsia="Arial" w:hint="default"/>
          <w:spacing w:val="-2"/>
        </w:rPr>
        <w:t>10~11</w:t>
      </w:r>
      <w:r>
        <w:rPr>
          <w:spacing w:val="-2"/>
        </w:rPr>
        <w:t>号、</w:t>
      </w:r>
      <w:r>
        <w:rPr>
          <w:rFonts w:ascii="Arial" w:hAnsi="Arial" w:cs="Arial" w:eastAsia="Arial" w:hint="default"/>
          <w:spacing w:val="-2"/>
        </w:rPr>
        <w:t>14</w:t>
      </w:r>
      <w:r>
        <w:rPr>
          <w:spacing w:val="-2"/>
        </w:rPr>
        <w:t>号、</w:t>
      </w:r>
      <w:r>
        <w:rPr>
          <w:rFonts w:ascii="Arial" w:hAnsi="Arial" w:cs="Arial" w:eastAsia="Arial" w:hint="default"/>
          <w:spacing w:val="-2"/>
        </w:rPr>
        <w:t>16</w:t>
      </w:r>
      <w:r>
        <w:rPr>
          <w:spacing w:val="-2"/>
        </w:rPr>
        <w:t>号）等规定，本公司自</w:t>
      </w:r>
      <w:r>
        <w:rPr>
          <w:rFonts w:ascii="Arial" w:hAnsi="Arial" w:cs="Arial" w:eastAsia="Arial" w:hint="default"/>
          <w:spacing w:val="-2"/>
        </w:rPr>
        <w:t>2014</w:t>
      </w:r>
      <w:r>
        <w:rPr>
          <w:spacing w:val="-2"/>
        </w:rPr>
        <w:t>年</w:t>
      </w:r>
      <w:r>
        <w:rPr>
          <w:rFonts w:ascii="Arial" w:hAnsi="Arial" w:cs="Arial" w:eastAsia="Arial" w:hint="default"/>
          <w:spacing w:val="-2"/>
        </w:rPr>
        <w:t>7</w:t>
      </w:r>
      <w:r>
        <w:rPr>
          <w:spacing w:val="-2"/>
        </w:rPr>
        <w:t>月</w:t>
      </w:r>
      <w:r>
        <w:rPr>
          <w:rFonts w:ascii="Arial" w:hAnsi="Arial" w:cs="Arial" w:eastAsia="Arial" w:hint="default"/>
          <w:spacing w:val="-2"/>
        </w:rPr>
        <w:t>1</w:t>
      </w:r>
      <w:r>
        <w:rPr>
          <w:spacing w:val="-2"/>
        </w:rPr>
        <w:t>日起执行财政部</w:t>
      </w:r>
      <w:r>
        <w:rPr>
          <w:rFonts w:ascii="Arial" w:hAnsi="Arial" w:cs="Arial" w:eastAsia="Arial" w:hint="default"/>
          <w:spacing w:val="-2"/>
        </w:rPr>
        <w:t>2014</w:t>
      </w:r>
      <w:r>
        <w:rPr>
          <w:spacing w:val="-2"/>
        </w:rPr>
        <w:t>年发布的前述</w:t>
      </w:r>
      <w:r>
        <w:rPr>
          <w:spacing w:val="-44"/>
        </w:rPr>
        <w:t> </w:t>
      </w:r>
      <w:r>
        <w:rPr>
          <w:rFonts w:ascii="Arial" w:hAnsi="Arial" w:cs="Arial" w:eastAsia="Arial" w:hint="default"/>
        </w:rPr>
        <w:t>7</w:t>
      </w:r>
      <w:r>
        <w:rPr/>
        <w:t>项企业会计准则。</w:t>
      </w:r>
    </w:p>
    <w:p>
      <w:pPr>
        <w:pStyle w:val="BodyText"/>
        <w:spacing w:line="386" w:lineRule="auto" w:before="35"/>
        <w:ind w:right="222" w:firstLine="422"/>
        <w:jc w:val="both"/>
      </w:pPr>
      <w:r>
        <w:rPr>
          <w:spacing w:val="-3"/>
        </w:rPr>
        <w:t>根据财政部《中华人民共和国财政部令第</w:t>
      </w:r>
      <w:r>
        <w:rPr>
          <w:rFonts w:ascii="Arial" w:hAnsi="Arial" w:cs="Arial" w:eastAsia="Arial" w:hint="default"/>
          <w:spacing w:val="-3"/>
        </w:rPr>
        <w:t>76</w:t>
      </w:r>
      <w:r>
        <w:rPr>
          <w:spacing w:val="-3"/>
        </w:rPr>
        <w:t>号</w:t>
      </w:r>
      <w:r>
        <w:rPr>
          <w:rFonts w:ascii="Arial" w:hAnsi="Arial" w:cs="Arial" w:eastAsia="Arial" w:hint="default"/>
          <w:spacing w:val="-3"/>
        </w:rPr>
        <w:t>——</w:t>
      </w:r>
      <w:r>
        <w:rPr>
          <w:spacing w:val="-3"/>
        </w:rPr>
        <w:t>财政部关于修改</w:t>
      </w:r>
      <w:r>
        <w:rPr>
          <w:rFonts w:ascii="Arial" w:hAnsi="Arial" w:cs="Arial" w:eastAsia="Arial" w:hint="default"/>
          <w:spacing w:val="-3"/>
        </w:rPr>
        <w:t>&lt;</w:t>
      </w:r>
      <w:r>
        <w:rPr>
          <w:spacing w:val="-3"/>
        </w:rPr>
        <w:t>企业会计准则</w:t>
      </w:r>
      <w:r>
        <w:rPr>
          <w:rFonts w:ascii="Arial" w:hAnsi="Arial" w:cs="Arial" w:eastAsia="Arial" w:hint="default"/>
          <w:spacing w:val="-3"/>
        </w:rPr>
        <w:t>——</w:t>
      </w:r>
      <w:r>
        <w:rPr>
          <w:spacing w:val="-3"/>
        </w:rPr>
        <w:t>基本准则</w:t>
      </w:r>
      <w:r>
        <w:rPr>
          <w:rFonts w:ascii="Arial" w:hAnsi="Arial" w:cs="Arial" w:eastAsia="Arial" w:hint="default"/>
          <w:spacing w:val="-3"/>
        </w:rPr>
        <w:t>&gt;</w:t>
      </w:r>
      <w:r>
        <w:rPr>
          <w:spacing w:val="-3"/>
        </w:rPr>
        <w:t>的决</w:t>
      </w:r>
      <w:r>
        <w:rPr>
          <w:w w:val="100"/>
        </w:rPr>
        <w:t> </w:t>
      </w:r>
      <w:r>
        <w:rPr/>
        <w:t>定》，本公司自</w:t>
      </w:r>
      <w:r>
        <w:rPr>
          <w:rFonts w:ascii="Arial" w:hAnsi="Arial" w:cs="Arial" w:eastAsia="Arial" w:hint="default"/>
        </w:rPr>
        <w:t>2014</w:t>
      </w:r>
      <w:r>
        <w:rPr/>
        <w:t>年</w:t>
      </w:r>
      <w:r>
        <w:rPr>
          <w:rFonts w:ascii="Arial" w:hAnsi="Arial" w:cs="Arial" w:eastAsia="Arial" w:hint="default"/>
        </w:rPr>
        <w:t>7</w:t>
      </w:r>
      <w:r>
        <w:rPr/>
        <w:t>月</w:t>
      </w:r>
      <w:r>
        <w:rPr>
          <w:rFonts w:ascii="Arial" w:hAnsi="Arial" w:cs="Arial" w:eastAsia="Arial" w:hint="default"/>
        </w:rPr>
        <w:t>23</w:t>
      </w:r>
      <w:r>
        <w:rPr/>
        <w:t>日起执行该决定。</w:t>
      </w:r>
    </w:p>
    <w:p>
      <w:pPr>
        <w:pStyle w:val="BodyText"/>
        <w:spacing w:line="386" w:lineRule="auto" w:before="37"/>
        <w:ind w:right="111" w:firstLine="422"/>
        <w:jc w:val="left"/>
      </w:pPr>
      <w:r>
        <w:rPr>
          <w:spacing w:val="-4"/>
        </w:rPr>
        <w:t>根据财政部《关于印发修订</w:t>
      </w:r>
      <w:r>
        <w:rPr>
          <w:rFonts w:ascii="Arial" w:hAnsi="Arial" w:cs="Arial" w:eastAsia="Arial" w:hint="default"/>
          <w:spacing w:val="-4"/>
        </w:rPr>
        <w:t>&lt;</w:t>
      </w:r>
      <w:r>
        <w:rPr>
          <w:spacing w:val="-4"/>
        </w:rPr>
        <w:t>企业会计准则第</w:t>
      </w:r>
      <w:r>
        <w:rPr>
          <w:rFonts w:ascii="Arial" w:hAnsi="Arial" w:cs="Arial" w:eastAsia="Arial" w:hint="default"/>
          <w:spacing w:val="-4"/>
        </w:rPr>
        <w:t>37</w:t>
      </w:r>
      <w:r>
        <w:rPr>
          <w:spacing w:val="-4"/>
        </w:rPr>
        <w:t>号</w:t>
      </w:r>
      <w:r>
        <w:rPr>
          <w:rFonts w:ascii="Arial" w:hAnsi="Arial" w:cs="Arial" w:eastAsia="Arial" w:hint="default"/>
          <w:spacing w:val="-4"/>
        </w:rPr>
        <w:t>--</w:t>
      </w:r>
      <w:r>
        <w:rPr>
          <w:spacing w:val="-4"/>
        </w:rPr>
        <w:t>金融工具列报</w:t>
      </w:r>
      <w:r>
        <w:rPr>
          <w:rFonts w:ascii="Arial" w:hAnsi="Arial" w:cs="Arial" w:eastAsia="Arial" w:hint="default"/>
          <w:spacing w:val="-4"/>
        </w:rPr>
        <w:t>&gt;</w:t>
      </w:r>
      <w:r>
        <w:rPr>
          <w:spacing w:val="-4"/>
        </w:rPr>
        <w:t>的通知》（财会</w:t>
      </w:r>
      <w:r>
        <w:rPr>
          <w:rFonts w:ascii="Arial" w:hAnsi="Arial" w:cs="Arial" w:eastAsia="Arial" w:hint="default"/>
          <w:spacing w:val="-4"/>
        </w:rPr>
        <w:t>[2014]23</w:t>
      </w:r>
      <w:r>
        <w:rPr>
          <w:spacing w:val="-4"/>
        </w:rPr>
        <w:t>号的规定，</w:t>
      </w:r>
      <w:r>
        <w:rPr>
          <w:w w:val="100"/>
        </w:rPr>
        <w:t> </w:t>
      </w:r>
      <w:r>
        <w:rPr/>
        <w:t>本公司自</w:t>
      </w:r>
      <w:r>
        <w:rPr>
          <w:rFonts w:ascii="Arial" w:hAnsi="Arial" w:cs="Arial" w:eastAsia="Arial" w:hint="default"/>
        </w:rPr>
        <w:t>2014</w:t>
      </w:r>
      <w:r>
        <w:rPr/>
        <w:t>年度起执行该规定。</w:t>
      </w:r>
    </w:p>
    <w:p>
      <w:pPr>
        <w:spacing w:after="0" w:line="386" w:lineRule="auto"/>
        <w:jc w:val="left"/>
        <w:sectPr>
          <w:pgSz w:w="11900" w:h="16840"/>
          <w:pgMar w:header="742" w:footer="984" w:top="1060" w:bottom="1180" w:left="980" w:right="900"/>
        </w:sectPr>
      </w:pPr>
    </w:p>
    <w:p>
      <w:pPr>
        <w:spacing w:line="240" w:lineRule="auto" w:before="4"/>
        <w:rPr>
          <w:rFonts w:ascii="宋体" w:hAnsi="宋体" w:cs="宋体" w:eastAsia="宋体" w:hint="default"/>
          <w:sz w:val="25"/>
          <w:szCs w:val="25"/>
        </w:rPr>
      </w:pPr>
    </w:p>
    <w:p>
      <w:pPr>
        <w:pStyle w:val="Heading4"/>
        <w:spacing w:line="335" w:lineRule="exact"/>
        <w:ind w:right="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386" w:lineRule="auto"/>
        <w:ind w:right="202" w:firstLine="422"/>
        <w:jc w:val="both"/>
      </w:pPr>
      <w:r>
        <w:rPr>
          <w:spacing w:val="-3"/>
        </w:rPr>
        <w:t>经本公司评估，自本报告期末起的</w:t>
      </w:r>
      <w:r>
        <w:rPr>
          <w:rFonts w:ascii="Arial" w:hAnsi="Arial" w:cs="Arial" w:eastAsia="Arial" w:hint="default"/>
          <w:spacing w:val="-3"/>
        </w:rPr>
        <w:t>12</w:t>
      </w:r>
      <w:r>
        <w:rPr>
          <w:spacing w:val="-3"/>
        </w:rPr>
        <w:t>个月内，本公司持续经营能力良好，不存在导致对本公司持续经</w:t>
      </w:r>
      <w:r>
        <w:rPr>
          <w:w w:val="100"/>
        </w:rPr>
        <w:t> </w:t>
      </w:r>
      <w:r>
        <w:rPr/>
        <w:t>营能力产生重大怀疑的因素。</w:t>
      </w:r>
    </w:p>
    <w:p>
      <w:pPr>
        <w:spacing w:line="240" w:lineRule="auto" w:before="12"/>
        <w:rPr>
          <w:rFonts w:ascii="宋体" w:hAnsi="宋体" w:cs="宋体" w:eastAsia="宋体" w:hint="default"/>
          <w:sz w:val="13"/>
          <w:szCs w:val="13"/>
        </w:rPr>
      </w:pPr>
    </w:p>
    <w:p>
      <w:pPr>
        <w:pStyle w:val="Heading3"/>
        <w:spacing w:line="240" w:lineRule="auto"/>
        <w:ind w:right="0"/>
        <w:jc w:val="left"/>
        <w:rPr>
          <w:b w:val="0"/>
          <w:bCs w:val="0"/>
        </w:rPr>
      </w:pPr>
      <w:r>
        <w:rPr/>
        <w:t>五、重要会计政策及会计估计</w:t>
      </w:r>
      <w:r>
        <w:rPr>
          <w:b w:val="0"/>
          <w:bCs w:val="0"/>
        </w:rPr>
      </w:r>
    </w:p>
    <w:p>
      <w:pPr>
        <w:spacing w:line="240" w:lineRule="auto" w:before="15"/>
        <w:rPr>
          <w:rFonts w:ascii="Microsoft JhengHei" w:hAnsi="Microsoft JhengHei" w:cs="Microsoft JhengHei" w:eastAsia="Microsoft JhengHei" w:hint="default"/>
          <w:b/>
          <w:bCs/>
          <w:sz w:val="21"/>
          <w:szCs w:val="21"/>
        </w:rPr>
      </w:pPr>
    </w:p>
    <w:p>
      <w:pPr>
        <w:pStyle w:val="BodyText"/>
        <w:spacing w:line="408" w:lineRule="auto"/>
        <w:ind w:right="202" w:firstLine="422"/>
        <w:jc w:val="both"/>
      </w:pPr>
      <w:r>
        <w:rPr>
          <w:spacing w:val="-2"/>
        </w:rPr>
        <w:t>具体会计政策和会计估计提示：本公司及各子公司根据实际生产经营特点，依据国家颁布的会计准则</w:t>
      </w:r>
      <w:r>
        <w:rPr>
          <w:w w:val="100"/>
        </w:rPr>
        <w:t> </w:t>
      </w:r>
      <w:r>
        <w:rPr/>
        <w:t>及相关细则规定，对收入确认、应收帐款坏帐准备计提</w:t>
      </w:r>
      <w:r>
        <w:rPr>
          <w:spacing w:val="62"/>
        </w:rPr>
        <w:t> </w:t>
      </w:r>
      <w:r>
        <w:rPr/>
        <w:t>、存货跌价准备计提等交易或事项制定了若干具</w:t>
      </w:r>
      <w:r>
        <w:rPr>
          <w:spacing w:val="-95"/>
        </w:rPr>
        <w:t> </w:t>
      </w:r>
      <w:r>
        <w:rPr>
          <w:spacing w:val="-95"/>
        </w:rPr>
      </w:r>
      <w:r>
        <w:rPr/>
        <w:t>体的会计政策和会计估计，确保公允反映公司的财务状况和经营成果。详见附注。</w:t>
      </w:r>
    </w:p>
    <w:p>
      <w:pPr>
        <w:spacing w:line="240" w:lineRule="auto" w:before="6"/>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05" w:lineRule="auto"/>
        <w:ind w:right="0" w:firstLine="422"/>
        <w:jc w:val="left"/>
      </w:pPr>
      <w:r>
        <w:rPr>
          <w:spacing w:val="-2"/>
        </w:rPr>
        <w:t>本公司所编制的财务报表符合企业会计准则的要求，真实、完整地反映了本公司的财务状况、经营成</w:t>
      </w:r>
      <w:r>
        <w:rPr>
          <w:w w:val="100"/>
        </w:rPr>
        <w:t> </w:t>
      </w:r>
      <w:r>
        <w:rPr>
          <w:spacing w:val="-4"/>
        </w:rPr>
        <w:t>果、股东权益变动和现金流量等有关信息，本公司管理层对财务报表的真实性、合法性和完整性承担责任。</w:t>
      </w:r>
    </w:p>
    <w:p>
      <w:pPr>
        <w:spacing w:line="240" w:lineRule="auto" w:before="8"/>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240" w:lineRule="auto"/>
        <w:ind w:left="575" w:right="0"/>
        <w:jc w:val="left"/>
      </w:pPr>
      <w:r>
        <w:rPr/>
        <w:t>会计期间为公历</w:t>
      </w:r>
      <w:r>
        <w:rPr>
          <w:rFonts w:ascii="Arial" w:hAnsi="Arial" w:cs="Arial" w:eastAsia="Arial" w:hint="default"/>
        </w:rPr>
        <w:t>1</w:t>
      </w:r>
      <w:r>
        <w:rPr/>
        <w:t>月</w:t>
      </w:r>
      <w:r>
        <w:rPr>
          <w:rFonts w:ascii="Arial" w:hAnsi="Arial" w:cs="Arial" w:eastAsia="Arial" w:hint="default"/>
        </w:rPr>
        <w:t>1</w:t>
      </w:r>
      <w:r>
        <w:rPr/>
        <w:t>日起至</w:t>
      </w:r>
      <w:r>
        <w:rPr>
          <w:rFonts w:ascii="Arial" w:hAnsi="Arial" w:cs="Arial" w:eastAsia="Arial" w:hint="default"/>
        </w:rPr>
        <w:t>12</w:t>
      </w:r>
      <w:r>
        <w:rPr/>
        <w:t>月</w:t>
      </w:r>
      <w:r>
        <w:rPr>
          <w:rFonts w:ascii="Arial" w:hAnsi="Arial" w:cs="Arial" w:eastAsia="Arial" w:hint="default"/>
        </w:rPr>
        <w:t>31</w:t>
      </w:r>
      <w:r>
        <w:rPr/>
        <w:t>日止。</w:t>
      </w:r>
    </w:p>
    <w:p>
      <w:pPr>
        <w:spacing w:line="240" w:lineRule="auto" w:before="7"/>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240" w:lineRule="auto"/>
        <w:ind w:left="575" w:right="0"/>
        <w:jc w:val="left"/>
      </w:pPr>
      <w:r>
        <w:rPr/>
        <w:t>不适用。</w:t>
      </w:r>
    </w:p>
    <w:p>
      <w:pPr>
        <w:spacing w:line="240" w:lineRule="auto" w:before="5"/>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240" w:lineRule="auto"/>
        <w:ind w:left="575" w:right="0"/>
        <w:jc w:val="left"/>
      </w:pPr>
      <w:r>
        <w:rPr/>
        <w:t>记账本位币为人民币。</w:t>
      </w:r>
    </w:p>
    <w:p>
      <w:pPr>
        <w:spacing w:line="240" w:lineRule="auto" w:before="5"/>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）同一控制下企业合并</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405" w:lineRule="auto"/>
        <w:ind w:right="202" w:firstLine="422"/>
        <w:jc w:val="both"/>
      </w:pPr>
      <w:r>
        <w:rPr>
          <w:spacing w:val="-2"/>
        </w:rPr>
        <w:t>参与合并的企业在合并前后均受同一方或相同的多方最终控制且该控制并非暂时性的，认定为同一控</w:t>
      </w:r>
      <w:r>
        <w:rPr>
          <w:w w:val="100"/>
        </w:rPr>
        <w:t> </w:t>
      </w:r>
      <w:r>
        <w:rPr/>
        <w:t>制下的企业合并。</w:t>
      </w:r>
    </w:p>
    <w:p>
      <w:pPr>
        <w:pStyle w:val="BodyText"/>
        <w:spacing w:line="408" w:lineRule="auto" w:before="50"/>
        <w:ind w:right="182" w:firstLine="422"/>
        <w:jc w:val="both"/>
      </w:pPr>
      <w:r>
        <w:rPr>
          <w:spacing w:val="-2"/>
        </w:rPr>
        <w:t>合并方以支付现金、转让非现金资产或承担债务方式作为合并对价的，在合并日按照取得被合并方所</w:t>
      </w:r>
      <w:r>
        <w:rPr>
          <w:w w:val="100"/>
        </w:rPr>
        <w:t> </w:t>
      </w:r>
      <w:r>
        <w:rPr>
          <w:spacing w:val="-2"/>
        </w:rPr>
        <w:t>有者权益账面价值的份额作为长期股权投资的初始投资成本。长期股权投资初始投资成本与支付的现金、</w:t>
      </w:r>
      <w:r>
        <w:rPr>
          <w:spacing w:val="-15"/>
        </w:rPr>
        <w:t> </w:t>
      </w:r>
      <w:r>
        <w:rPr>
          <w:spacing w:val="-15"/>
        </w:rPr>
      </w:r>
      <w:r>
        <w:rPr>
          <w:spacing w:val="-2"/>
        </w:rPr>
        <w:t>转让的非现金资产以及所承担债务账面价值之间的差额，调整资本公积；资本公积不足冲减的，调整留存</w:t>
      </w:r>
    </w:p>
    <w:p>
      <w:pPr>
        <w:spacing w:after="0" w:line="408" w:lineRule="auto"/>
        <w:jc w:val="both"/>
        <w:sectPr>
          <w:pgSz w:w="11900" w:h="16840"/>
          <w:pgMar w:header="742" w:footer="984" w:top="1060" w:bottom="1180" w:left="980" w:right="9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right="0"/>
        <w:jc w:val="both"/>
      </w:pPr>
      <w:r>
        <w:rPr/>
        <w:t>收益。</w:t>
      </w:r>
    </w:p>
    <w:p>
      <w:pPr>
        <w:spacing w:line="240" w:lineRule="auto" w:before="8"/>
        <w:rPr>
          <w:rFonts w:ascii="宋体" w:hAnsi="宋体" w:cs="宋体" w:eastAsia="宋体" w:hint="default"/>
          <w:sz w:val="14"/>
          <w:szCs w:val="14"/>
        </w:rPr>
      </w:pPr>
    </w:p>
    <w:p>
      <w:pPr>
        <w:pStyle w:val="BodyText"/>
        <w:spacing w:line="410" w:lineRule="auto"/>
        <w:ind w:right="137" w:firstLine="422"/>
        <w:jc w:val="both"/>
      </w:pPr>
      <w:r>
        <w:rPr>
          <w:spacing w:val="-2"/>
        </w:rPr>
        <w:t>合并方以发行权益性证券作为合并对价的，在合并日按照被合并方所有者权益在最终控制方合并财务</w:t>
      </w:r>
      <w:r>
        <w:rPr>
          <w:w w:val="100"/>
        </w:rPr>
        <w:t> </w:t>
      </w:r>
      <w:r>
        <w:rPr>
          <w:spacing w:val="-2"/>
        </w:rPr>
        <w:t>报表中的账面价值的份额作为长期股权投资的初始投资成本。按照发行股份的面值总额作为股本，长期股</w:t>
      </w:r>
      <w:r>
        <w:rPr>
          <w:spacing w:val="-35"/>
        </w:rPr>
        <w:t> </w:t>
      </w:r>
      <w:r>
        <w:rPr>
          <w:spacing w:val="-35"/>
        </w:rPr>
      </w:r>
      <w:r>
        <w:rPr>
          <w:spacing w:val="-2"/>
        </w:rPr>
        <w:t>权投资初始投资成本与所发行股份面值总额之间的差额，调整资本公积；资本公积不足冲减的，调整留存</w:t>
      </w:r>
      <w:r>
        <w:rPr>
          <w:spacing w:val="-36"/>
        </w:rPr>
        <w:t> </w:t>
      </w:r>
      <w:r>
        <w:rPr>
          <w:spacing w:val="-36"/>
        </w:rPr>
      </w:r>
      <w:r>
        <w:rPr/>
        <w:t>收益。</w:t>
      </w:r>
    </w:p>
    <w:p>
      <w:pPr>
        <w:spacing w:line="240" w:lineRule="auto" w:before="8"/>
        <w:rPr>
          <w:rFonts w:ascii="宋体" w:hAnsi="宋体" w:cs="宋体" w:eastAsia="宋体" w:hint="default"/>
          <w:sz w:val="14"/>
          <w:szCs w:val="14"/>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410" w:lineRule="auto"/>
        <w:ind w:right="118" w:firstLine="422"/>
        <w:jc w:val="right"/>
      </w:pPr>
      <w:r>
        <w:rPr>
          <w:spacing w:val="-2"/>
        </w:rPr>
        <w:t>参与合并的各方在合并前后不受同一方或相同的多方最终控制的，认定为非同一控制下的企业合并。</w:t>
      </w:r>
      <w:r>
        <w:rPr>
          <w:w w:val="100"/>
        </w:rPr>
        <w:t> </w:t>
      </w:r>
      <w:r>
        <w:rPr>
          <w:spacing w:val="-2"/>
        </w:rPr>
        <w:t>购买方通过一次交换交易实现的企业合并，合并成本为购买方在购买日为取得对被购买方的控制权而</w:t>
      </w:r>
      <w:r>
        <w:rPr>
          <w:w w:val="100"/>
        </w:rPr>
        <w:t> </w:t>
      </w:r>
      <w:r>
        <w:rPr>
          <w:spacing w:val="-2"/>
        </w:rPr>
        <w:t>付出的资产、发生或承担的负债以及发行的权益性证券的公允价值。购买方为企业合并发生的审计、法律</w:t>
      </w:r>
      <w:r>
        <w:rPr>
          <w:spacing w:val="-67"/>
        </w:rPr>
        <w:t> </w:t>
      </w:r>
      <w:r>
        <w:rPr>
          <w:spacing w:val="-67"/>
        </w:rPr>
      </w:r>
      <w:r>
        <w:rPr>
          <w:spacing w:val="-2"/>
        </w:rPr>
        <w:t>服务、评估咨询等中介费用以及其他相关管理费用，于发生时计入当期损益；购买方作为合并对价发行的</w:t>
      </w:r>
    </w:p>
    <w:p>
      <w:pPr>
        <w:pStyle w:val="BodyText"/>
        <w:spacing w:line="410" w:lineRule="auto" w:before="41"/>
        <w:ind w:left="575" w:right="0" w:hanging="423"/>
        <w:jc w:val="left"/>
      </w:pPr>
      <w:r>
        <w:rPr/>
        <w:t>权益性证券或债务性证券的交易费用，计入权益性证券或债务性证券的初始确认金额。</w:t>
      </w:r>
      <w:r>
        <w:rPr>
          <w:w w:val="100"/>
        </w:rPr>
        <w:t> </w:t>
      </w:r>
      <w:r>
        <w:rPr>
          <w:spacing w:val="-2"/>
        </w:rPr>
        <w:t>购买方的合并成本和购买方在合并中取得的可辨认净资产按购买日的公允价值计量。合并成本大于合</w:t>
      </w:r>
    </w:p>
    <w:p>
      <w:pPr>
        <w:pStyle w:val="BodyText"/>
        <w:spacing w:line="410" w:lineRule="auto" w:before="41"/>
        <w:ind w:right="142"/>
        <w:jc w:val="both"/>
      </w:pPr>
      <w:r>
        <w:rPr>
          <w:spacing w:val="-2"/>
        </w:rPr>
        <w:t>并中取得的被购买方于购买日可辨认净资产公允价值份额的差额，确认为商誉；合并成本小于合并中取得</w:t>
      </w:r>
      <w:r>
        <w:rPr>
          <w:spacing w:val="-35"/>
        </w:rPr>
        <w:t> </w:t>
      </w:r>
      <w:r>
        <w:rPr>
          <w:spacing w:val="-35"/>
        </w:rPr>
      </w:r>
      <w:r>
        <w:rPr/>
        <w:t>的被购买方可辨认净资产公允价值份额的差额，计入当期损益。</w:t>
      </w:r>
    </w:p>
    <w:p>
      <w:pPr>
        <w:pStyle w:val="BodyText"/>
        <w:spacing w:line="410" w:lineRule="auto" w:before="41"/>
        <w:ind w:left="575" w:right="0"/>
        <w:jc w:val="left"/>
      </w:pPr>
      <w:r>
        <w:rPr/>
        <w:t>因追加投资等原因能够对非同一控制下的被投资单位实施控制的</w:t>
      </w:r>
      <w:r>
        <w:rPr>
          <w:spacing w:val="-103"/>
        </w:rPr>
        <w:t> </w:t>
      </w:r>
      <w:r>
        <w:rPr>
          <w:spacing w:val="-103"/>
        </w:rPr>
      </w:r>
      <w:r>
        <w:rPr>
          <w:spacing w:val="-2"/>
        </w:rPr>
        <w:t>在编制个别财务报表时，按照原持有的股权投资账面价值加上新增投资成本之和，作为改按成本法核</w:t>
      </w:r>
    </w:p>
    <w:p>
      <w:pPr>
        <w:pStyle w:val="BodyText"/>
        <w:spacing w:line="403" w:lineRule="auto" w:before="41"/>
        <w:ind w:right="142"/>
        <w:jc w:val="both"/>
      </w:pPr>
      <w:r>
        <w:rPr>
          <w:spacing w:val="-2"/>
        </w:rPr>
        <w:t>算的初始投资成本。购买日之前持有的股权投资因采用权益法核算而确认的其他综合收益，在处置该项投</w:t>
      </w:r>
      <w:r>
        <w:rPr>
          <w:spacing w:val="-35"/>
        </w:rPr>
        <w:t> </w:t>
      </w:r>
      <w:r>
        <w:rPr>
          <w:spacing w:val="-35"/>
        </w:rPr>
      </w:r>
      <w:r>
        <w:rPr>
          <w:spacing w:val="-2"/>
        </w:rPr>
        <w:t>资时采用与被投资单位直接处置相关资产或负债相同的基础进行会计处理。购买日之前持有的股权投资按</w:t>
      </w:r>
      <w:r>
        <w:rPr>
          <w:spacing w:val="-34"/>
        </w:rPr>
        <w:t> </w:t>
      </w:r>
      <w:r>
        <w:rPr>
          <w:spacing w:val="-34"/>
        </w:rPr>
      </w:r>
      <w:r>
        <w:rPr>
          <w:spacing w:val="-3"/>
        </w:rPr>
        <w:t>照《企业会计准则第</w:t>
      </w:r>
      <w:r>
        <w:rPr>
          <w:rFonts w:ascii="Arial" w:hAnsi="Arial" w:cs="Arial" w:eastAsia="Arial" w:hint="default"/>
          <w:spacing w:val="-3"/>
        </w:rPr>
        <w:t>22</w:t>
      </w:r>
      <w:r>
        <w:rPr>
          <w:spacing w:val="-3"/>
        </w:rPr>
        <w:t>号</w:t>
      </w:r>
      <w:r>
        <w:rPr>
          <w:rFonts w:ascii="Arial" w:hAnsi="Arial" w:cs="Arial" w:eastAsia="Arial" w:hint="default"/>
          <w:spacing w:val="-3"/>
        </w:rPr>
        <w:t>——</w:t>
      </w:r>
      <w:r>
        <w:rPr>
          <w:spacing w:val="-3"/>
        </w:rPr>
        <w:t>金融工具确认和计量》的有关规定进行会计处理的，原计入其他综合收益的</w:t>
      </w:r>
      <w:r>
        <w:rPr>
          <w:spacing w:val="-13"/>
        </w:rPr>
        <w:t> </w:t>
      </w:r>
      <w:r>
        <w:rPr>
          <w:spacing w:val="-13"/>
        </w:rPr>
      </w:r>
      <w:r>
        <w:rPr/>
        <w:t>累计公允价值变动在改按成本法核算时转入当期损益。</w:t>
      </w:r>
    </w:p>
    <w:p>
      <w:pPr>
        <w:pStyle w:val="BodyText"/>
        <w:spacing w:line="408" w:lineRule="auto" w:before="48"/>
        <w:ind w:right="142" w:firstLine="422"/>
        <w:jc w:val="both"/>
      </w:pPr>
      <w:r>
        <w:rPr>
          <w:spacing w:val="-2"/>
        </w:rPr>
        <w:t>在合并财务报表中，对于购买日之前持有的被购买方的股权，按照该股权在购买日的公允价值进行重</w:t>
      </w:r>
      <w:r>
        <w:rPr>
          <w:w w:val="100"/>
        </w:rPr>
        <w:t> </w:t>
      </w:r>
      <w:r>
        <w:rPr>
          <w:spacing w:val="-2"/>
        </w:rPr>
        <w:t>新计量，公允价值与其账面价值的差额计入当期投资收益；购买日之前持有的被购买方的股权涉及权益法</w:t>
      </w:r>
      <w:r>
        <w:rPr>
          <w:spacing w:val="-35"/>
        </w:rPr>
        <w:t> </w:t>
      </w:r>
      <w:r>
        <w:rPr>
          <w:spacing w:val="-35"/>
        </w:rPr>
      </w:r>
      <w:r>
        <w:rPr/>
        <w:t>核算下的其他综合收益等的，与其相关的其他综合收益等应当转为购买日所属当期收益。</w:t>
      </w:r>
    </w:p>
    <w:p>
      <w:pPr>
        <w:pStyle w:val="Heading4"/>
        <w:spacing w:line="347" w:lineRule="exact"/>
        <w:ind w:left="575"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pStyle w:val="BodyText"/>
        <w:spacing w:line="388" w:lineRule="auto" w:before="167"/>
        <w:ind w:left="575" w:right="0"/>
        <w:jc w:val="left"/>
      </w:pPr>
      <w:r>
        <w:rPr/>
        <w:t>（</w:t>
      </w:r>
      <w:r>
        <w:rPr>
          <w:rFonts w:ascii="Arial" w:hAnsi="Arial" w:cs="Arial" w:eastAsia="Arial" w:hint="default"/>
        </w:rPr>
        <w:t>1</w:t>
      </w:r>
      <w:r>
        <w:rPr/>
        <w:t>）合并范围</w:t>
      </w:r>
      <w:r>
        <w:rPr>
          <w:spacing w:val="-101"/>
        </w:rPr>
        <w:t> </w:t>
      </w:r>
      <w:r>
        <w:rPr>
          <w:spacing w:val="-2"/>
        </w:rPr>
        <w:t>合并财务报表的合并范围包括本公司及子公司。合并财务报表的合并范围以控制为基础予以确定。</w:t>
      </w:r>
    </w:p>
    <w:p>
      <w:pPr>
        <w:pStyle w:val="BodyText"/>
        <w:spacing w:line="388" w:lineRule="auto" w:before="60"/>
        <w:ind w:left="575" w:right="0"/>
        <w:jc w:val="left"/>
      </w:pPr>
      <w:r>
        <w:rPr/>
        <w:t>（</w:t>
      </w:r>
      <w:r>
        <w:rPr>
          <w:rFonts w:ascii="Arial" w:hAnsi="Arial" w:cs="Arial" w:eastAsia="Arial" w:hint="default"/>
        </w:rPr>
        <w:t>2</w:t>
      </w:r>
      <w:r>
        <w:rPr/>
        <w:t>） 控制的依据</w:t>
      </w:r>
      <w:r>
        <w:rPr>
          <w:w w:val="100"/>
        </w:rPr>
        <w:t> </w:t>
      </w:r>
      <w:r>
        <w:rPr>
          <w:spacing w:val="-2"/>
        </w:rPr>
        <w:t>投资方拥有对被投资方的权力，通过参与被投资方的相关活动而享有可变回报，并且有能力运用对被</w:t>
      </w:r>
    </w:p>
    <w:p>
      <w:pPr>
        <w:pStyle w:val="BodyText"/>
        <w:spacing w:line="240" w:lineRule="auto" w:before="60"/>
        <w:ind w:right="0"/>
        <w:jc w:val="both"/>
      </w:pPr>
      <w:r>
        <w:rPr/>
        <w:t>投资方的权力影响其回报金额，视为投资方控制被投资方。相关活动，系为对被投资方的回报产生重大影</w:t>
      </w:r>
    </w:p>
    <w:p>
      <w:pPr>
        <w:spacing w:after="0" w:line="240" w:lineRule="auto"/>
        <w:jc w:val="both"/>
        <w:sectPr>
          <w:pgSz w:w="11900" w:h="16840"/>
          <w:pgMar w:header="742" w:footer="984" w:top="1060" w:bottom="118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right="0"/>
        <w:jc w:val="left"/>
      </w:pPr>
      <w:r>
        <w:rPr/>
        <w:t>响的活动。</w:t>
      </w:r>
    </w:p>
    <w:p>
      <w:pPr>
        <w:spacing w:line="240" w:lineRule="auto" w:before="8"/>
        <w:rPr>
          <w:rFonts w:ascii="宋体" w:hAnsi="宋体" w:cs="宋体" w:eastAsia="宋体" w:hint="default"/>
          <w:sz w:val="14"/>
          <w:szCs w:val="14"/>
        </w:rPr>
      </w:pPr>
    </w:p>
    <w:p>
      <w:pPr>
        <w:pStyle w:val="BodyText"/>
        <w:spacing w:line="388" w:lineRule="auto"/>
        <w:ind w:left="575" w:right="0"/>
        <w:jc w:val="left"/>
      </w:pPr>
      <w:r>
        <w:rPr/>
        <w:t>（</w:t>
      </w:r>
      <w:r>
        <w:rPr>
          <w:rFonts w:ascii="Arial" w:hAnsi="Arial" w:cs="Arial" w:eastAsia="Arial" w:hint="default"/>
        </w:rPr>
        <w:t>3</w:t>
      </w:r>
      <w:r>
        <w:rPr/>
        <w:t>） 决策者和代理人</w:t>
      </w:r>
      <w:r>
        <w:rPr>
          <w:spacing w:val="-102"/>
        </w:rPr>
        <w:t> </w:t>
      </w:r>
      <w:r>
        <w:rPr>
          <w:spacing w:val="-102"/>
        </w:rPr>
      </w:r>
      <w:r>
        <w:rPr>
          <w:spacing w:val="-2"/>
        </w:rPr>
        <w:t>代理人仅代表主要责任人行使决策权，不控制被投资方。投资方将被投资方相关活动的决策权委托给</w:t>
      </w:r>
    </w:p>
    <w:p>
      <w:pPr>
        <w:pStyle w:val="BodyText"/>
        <w:spacing w:line="338" w:lineRule="auto" w:before="60"/>
        <w:ind w:left="575" w:right="0" w:hanging="423"/>
        <w:jc w:val="left"/>
      </w:pPr>
      <w:r>
        <w:rPr/>
        <w:t>代理人的，将该决策权视为自身直接持有。</w:t>
      </w:r>
      <w:r>
        <w:rPr>
          <w:w w:val="100"/>
        </w:rPr>
        <w:t> </w:t>
      </w:r>
      <w:r>
        <w:rPr>
          <w:spacing w:val="-2"/>
        </w:rPr>
        <w:t>在确定决策者是否为代理人时，公司综合考虑该决策者与被投资方以及其他投资方之间的关系。</w:t>
      </w:r>
      <w:r>
        <w:rPr>
          <w:w w:val="100"/>
        </w:rPr>
        <w:t> </w:t>
      </w:r>
      <w:r>
        <w:rPr>
          <w:rFonts w:ascii="Arial" w:hAnsi="Arial" w:cs="Arial" w:eastAsia="Arial" w:hint="default"/>
        </w:rPr>
        <w:t>1</w:t>
      </w:r>
      <w:r>
        <w:rPr/>
        <w:t>）存在单独一方拥有实质性权利可以无条件罢免决策者的，该决策者为代理人。</w:t>
      </w:r>
    </w:p>
    <w:p>
      <w:pPr>
        <w:pStyle w:val="BodyText"/>
        <w:spacing w:line="388" w:lineRule="auto" w:before="123"/>
        <w:ind w:right="0" w:firstLine="422"/>
        <w:jc w:val="left"/>
      </w:pPr>
      <w:r>
        <w:rPr>
          <w:rFonts w:ascii="Arial" w:hAnsi="Arial" w:cs="Arial" w:eastAsia="Arial" w:hint="default"/>
          <w:spacing w:val="-8"/>
        </w:rPr>
        <w:t>2</w:t>
      </w:r>
      <w:r>
        <w:rPr>
          <w:spacing w:val="-8"/>
        </w:rPr>
        <w:t>）除</w:t>
      </w:r>
      <w:r>
        <w:rPr>
          <w:spacing w:val="15"/>
        </w:rPr>
        <w:t> </w:t>
      </w:r>
      <w:r>
        <w:rPr>
          <w:rFonts w:ascii="Arial" w:hAnsi="Arial" w:cs="Arial" w:eastAsia="Arial" w:hint="default"/>
          <w:spacing w:val="-4"/>
        </w:rPr>
        <w:t>1</w:t>
      </w:r>
      <w:r>
        <w:rPr>
          <w:spacing w:val="-4"/>
        </w:rPr>
        <w:t>）以外的情况下，综合考虑决策者对被投资方的决策权范围、其他方享有的实质性权利、决策</w:t>
      </w:r>
      <w:r>
        <w:rPr>
          <w:w w:val="100"/>
        </w:rPr>
        <w:t> </w:t>
      </w:r>
      <w:r>
        <w:rPr/>
        <w:t>者的薪酬水平、决策者因持有被投资方中的其他权益所承担可变回报的风险等相关因素进行判断。</w:t>
      </w:r>
    </w:p>
    <w:p>
      <w:pPr>
        <w:pStyle w:val="BodyText"/>
        <w:spacing w:line="388" w:lineRule="auto" w:before="60"/>
        <w:ind w:left="575" w:right="5100"/>
        <w:jc w:val="left"/>
      </w:pPr>
      <w:r>
        <w:rPr/>
        <w:t>（</w:t>
      </w:r>
      <w:r>
        <w:rPr>
          <w:rFonts w:ascii="Arial" w:hAnsi="Arial" w:cs="Arial" w:eastAsia="Arial" w:hint="default"/>
        </w:rPr>
        <w:t>4</w:t>
      </w:r>
      <w:r>
        <w:rPr/>
        <w:t>）投资性主体</w:t>
      </w:r>
      <w:r>
        <w:rPr>
          <w:spacing w:val="-100"/>
        </w:rPr>
        <w:t> </w:t>
      </w:r>
      <w:r>
        <w:rPr>
          <w:spacing w:val="-2"/>
        </w:rPr>
        <w:t>当同时满足下列条件时，视为投资性主体：</w:t>
      </w:r>
    </w:p>
    <w:p>
      <w:pPr>
        <w:pStyle w:val="BodyText"/>
        <w:spacing w:line="240" w:lineRule="auto" w:before="60"/>
        <w:ind w:left="575" w:right="0"/>
        <w:jc w:val="left"/>
      </w:pPr>
      <w:r>
        <w:rPr>
          <w:rFonts w:ascii="Arial" w:hAnsi="Arial" w:cs="Arial" w:eastAsia="Arial" w:hint="default"/>
        </w:rPr>
        <w:t>1</w:t>
      </w:r>
      <w:r>
        <w:rPr/>
        <w:t>）该公司是以向投资者提供投资管理服务为目的，从一个或多个投资者处获取资金；</w:t>
      </w:r>
    </w:p>
    <w:p>
      <w:pPr>
        <w:pStyle w:val="BodyText"/>
        <w:spacing w:line="240" w:lineRule="auto" w:before="180"/>
        <w:ind w:left="575" w:right="0"/>
        <w:jc w:val="left"/>
      </w:pPr>
      <w:r>
        <w:rPr>
          <w:rFonts w:ascii="Arial" w:hAnsi="Arial" w:cs="Arial" w:eastAsia="Arial" w:hint="default"/>
        </w:rPr>
        <w:t>2</w:t>
      </w:r>
      <w:r>
        <w:rPr/>
        <w:t>）该公司的唯一经营目的，是通过资本增值、投资收益或两者兼有而让投资者获得回报；</w:t>
      </w:r>
    </w:p>
    <w:p>
      <w:pPr>
        <w:pStyle w:val="BodyText"/>
        <w:spacing w:line="398" w:lineRule="auto" w:before="176"/>
        <w:ind w:left="575" w:right="2338"/>
        <w:jc w:val="left"/>
      </w:pPr>
      <w:r>
        <w:rPr>
          <w:rFonts w:ascii="Arial" w:hAnsi="Arial" w:cs="Arial" w:eastAsia="Arial" w:hint="default"/>
          <w:spacing w:val="-2"/>
        </w:rPr>
        <w:t>3</w:t>
      </w:r>
      <w:r>
        <w:rPr>
          <w:spacing w:val="-2"/>
        </w:rPr>
        <w:t>）该公司按照公允价值对几乎所有投资的业绩进行考量和评价。</w:t>
      </w:r>
      <w:r>
        <w:rPr>
          <w:spacing w:val="-47"/>
        </w:rPr>
        <w:t> </w:t>
      </w:r>
      <w:r>
        <w:rPr>
          <w:spacing w:val="-47"/>
        </w:rPr>
      </w:r>
      <w:r>
        <w:rPr/>
        <w:t>属于投资性主体的，通常情况下符合下列所有特征：</w:t>
      </w:r>
      <w:r>
        <w:rPr>
          <w:w w:val="100"/>
        </w:rPr>
        <w:t> </w:t>
      </w:r>
      <w:r>
        <w:rPr>
          <w:rFonts w:ascii="Arial" w:hAnsi="Arial" w:cs="Arial" w:eastAsia="Arial" w:hint="default"/>
        </w:rPr>
        <w:t>1</w:t>
      </w:r>
      <w:r>
        <w:rPr/>
        <w:t>）拥有一个以上投资；</w:t>
      </w:r>
    </w:p>
    <w:p>
      <w:pPr>
        <w:pStyle w:val="BodyText"/>
        <w:spacing w:line="240" w:lineRule="auto" w:before="25"/>
        <w:ind w:left="575" w:right="0"/>
        <w:jc w:val="left"/>
      </w:pPr>
      <w:r>
        <w:rPr>
          <w:rFonts w:ascii="Arial" w:hAnsi="Arial" w:cs="Arial" w:eastAsia="Arial" w:hint="default"/>
        </w:rPr>
        <w:t>2</w:t>
      </w:r>
      <w:r>
        <w:rPr/>
        <w:t>）拥有一个以上投资者；</w:t>
      </w:r>
    </w:p>
    <w:p>
      <w:pPr>
        <w:pStyle w:val="BodyText"/>
        <w:spacing w:line="240" w:lineRule="auto" w:before="176"/>
        <w:ind w:left="575" w:right="0"/>
        <w:jc w:val="left"/>
      </w:pPr>
      <w:r>
        <w:rPr>
          <w:rFonts w:ascii="Arial" w:hAnsi="Arial" w:cs="Arial" w:eastAsia="Arial" w:hint="default"/>
        </w:rPr>
        <w:t>3</w:t>
      </w:r>
      <w:r>
        <w:rPr/>
        <w:t>）投资者不是该主体的关联方；</w:t>
      </w:r>
    </w:p>
    <w:p>
      <w:pPr>
        <w:pStyle w:val="BodyText"/>
        <w:spacing w:line="386" w:lineRule="auto" w:before="180"/>
        <w:ind w:left="575" w:right="0"/>
        <w:jc w:val="left"/>
      </w:pPr>
      <w:r>
        <w:rPr>
          <w:rFonts w:ascii="Arial" w:hAnsi="Arial" w:cs="Arial" w:eastAsia="Arial" w:hint="default"/>
        </w:rPr>
        <w:t>4</w:t>
      </w:r>
      <w:r>
        <w:rPr/>
        <w:t>）其所有者权益以股权或类似权益方式存在。</w:t>
      </w:r>
      <w:r>
        <w:rPr>
          <w:w w:val="100"/>
        </w:rPr>
        <w:t> </w:t>
      </w:r>
      <w:r>
        <w:rPr/>
        <w:t>如果母公司是投资性主体，则母公司仅将为其投资活动提供相关服务的子公司</w:t>
      </w:r>
      <w:r>
        <w:rPr>
          <w:rFonts w:ascii="Arial" w:hAnsi="Arial" w:cs="Arial" w:eastAsia="Arial" w:hint="default"/>
        </w:rPr>
        <w:t>(</w:t>
      </w:r>
      <w:r>
        <w:rPr/>
        <w:t>如有</w:t>
      </w:r>
      <w:r>
        <w:rPr>
          <w:rFonts w:ascii="Arial" w:hAnsi="Arial" w:cs="Arial" w:eastAsia="Arial" w:hint="default"/>
        </w:rPr>
        <w:t>)</w:t>
      </w:r>
      <w:r>
        <w:rPr/>
        <w:t>纳入合并范围并</w:t>
      </w:r>
    </w:p>
    <w:p>
      <w:pPr>
        <w:pStyle w:val="BodyText"/>
        <w:spacing w:line="405" w:lineRule="auto" w:before="37"/>
        <w:ind w:right="142"/>
        <w:jc w:val="both"/>
      </w:pPr>
      <w:r>
        <w:rPr>
          <w:spacing w:val="-2"/>
        </w:rPr>
        <w:t>编制合并财务报表；其他子公司不予以合并，母公司对其他子公司的投资按照公允价值计量且其变动计入</w:t>
      </w:r>
      <w:r>
        <w:rPr>
          <w:spacing w:val="-35"/>
        </w:rPr>
        <w:t> </w:t>
      </w:r>
      <w:r>
        <w:rPr>
          <w:spacing w:val="-35"/>
        </w:rPr>
      </w:r>
      <w:r>
        <w:rPr/>
        <w:t>当期损益。</w:t>
      </w:r>
    </w:p>
    <w:p>
      <w:pPr>
        <w:pStyle w:val="BodyText"/>
        <w:spacing w:line="405" w:lineRule="auto" w:before="50"/>
        <w:ind w:right="0" w:firstLine="422"/>
        <w:jc w:val="left"/>
      </w:pPr>
      <w:r>
        <w:rPr>
          <w:spacing w:val="-2"/>
        </w:rPr>
        <w:t>投资性主体的母公司本身不是投资性主体，则将其控制的全部主体，包括那些通过投资性主体所间接</w:t>
      </w:r>
      <w:r>
        <w:rPr>
          <w:w w:val="100"/>
        </w:rPr>
        <w:t> </w:t>
      </w:r>
      <w:r>
        <w:rPr/>
        <w:t>控制的主体，纳入合并财务报表范围。</w:t>
      </w:r>
    </w:p>
    <w:p>
      <w:pPr>
        <w:pStyle w:val="BodyText"/>
        <w:spacing w:line="386" w:lineRule="auto" w:before="50"/>
        <w:ind w:left="575" w:right="0"/>
        <w:jc w:val="left"/>
      </w:pPr>
      <w:r>
        <w:rPr/>
        <w:t>（</w:t>
      </w:r>
      <w:r>
        <w:rPr>
          <w:rFonts w:ascii="Arial" w:hAnsi="Arial" w:cs="Arial" w:eastAsia="Arial" w:hint="default"/>
        </w:rPr>
        <w:t>5</w:t>
      </w:r>
      <w:r>
        <w:rPr/>
        <w:t>）合并程序</w:t>
      </w:r>
      <w:r>
        <w:rPr>
          <w:spacing w:val="-101"/>
        </w:rPr>
        <w:t> </w:t>
      </w:r>
      <w:r>
        <w:rPr>
          <w:spacing w:val="-2"/>
        </w:rPr>
        <w:t>子公司所采用的会计政策或会计期间与本公司不一致的，按照本公司的会计政策或会计期间对子公司</w:t>
      </w:r>
    </w:p>
    <w:p>
      <w:pPr>
        <w:pStyle w:val="BodyText"/>
        <w:spacing w:line="405" w:lineRule="auto" w:before="67"/>
        <w:ind w:left="575" w:right="0" w:hanging="423"/>
        <w:jc w:val="left"/>
      </w:pPr>
      <w:r>
        <w:rPr/>
        <w:t>财务报表进行必要的调整；或者要求子公司按照本公司的会计政策或会计期间另行编报财务报表。</w:t>
      </w:r>
      <w:r>
        <w:rPr>
          <w:w w:val="100"/>
        </w:rPr>
        <w:t> </w:t>
      </w:r>
      <w:r>
        <w:rPr>
          <w:spacing w:val="-2"/>
        </w:rPr>
        <w:t>合并资产负债表、合并利润表、合并现金流量表及合并所有者（股东）权益变动表分别以本公司和子</w:t>
      </w:r>
    </w:p>
    <w:p>
      <w:pPr>
        <w:pStyle w:val="BodyText"/>
        <w:spacing w:line="408" w:lineRule="auto" w:before="50"/>
        <w:ind w:right="122"/>
        <w:jc w:val="both"/>
      </w:pPr>
      <w:r>
        <w:rPr>
          <w:spacing w:val="-2"/>
        </w:rPr>
        <w:t>公司的资产负债表、利润表、现金流量表及所有者（股东）权益变动表为基础，在抵销本公司与子公司、</w:t>
      </w:r>
      <w:r>
        <w:rPr>
          <w:spacing w:val="-16"/>
        </w:rPr>
        <w:t> </w:t>
      </w:r>
      <w:r>
        <w:rPr>
          <w:spacing w:val="-16"/>
        </w:rPr>
      </w:r>
      <w:r>
        <w:rPr>
          <w:spacing w:val="-2"/>
        </w:rPr>
        <w:t>子公司相互之间发生的内部交易对合并资产负债表、合并利润表、合并现金流量表及合并所有者（股东）</w:t>
      </w:r>
      <w:r>
        <w:rPr>
          <w:spacing w:val="-16"/>
        </w:rPr>
        <w:t> </w:t>
      </w:r>
      <w:r>
        <w:rPr>
          <w:spacing w:val="-16"/>
        </w:rPr>
      </w:r>
      <w:r>
        <w:rPr/>
        <w:t>权益变动表的影响后，由本公司合并编制。</w:t>
      </w:r>
    </w:p>
    <w:p>
      <w:pPr>
        <w:spacing w:after="0" w:line="408" w:lineRule="auto"/>
        <w:jc w:val="both"/>
        <w:sectPr>
          <w:footerReference w:type="default" r:id="rId19"/>
          <w:pgSz w:w="11900" w:h="16840"/>
          <w:pgMar w:footer="984" w:header="742" w:top="1060" w:bottom="1180" w:left="980" w:right="980"/>
          <w:pgNumType w:start="91"/>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88" w:lineRule="auto"/>
        <w:ind w:right="122" w:firstLine="422"/>
        <w:jc w:val="both"/>
      </w:pPr>
      <w:r>
        <w:rPr/>
        <w:t>本公司向子公司出售资产所发生的未实现内部交易损益，全额抵销</w:t>
      </w:r>
      <w:r>
        <w:rPr>
          <w:rFonts w:ascii="Arial" w:hAnsi="Arial" w:cs="Arial" w:eastAsia="Arial" w:hint="default"/>
        </w:rPr>
        <w:t>“</w:t>
      </w:r>
      <w:r>
        <w:rPr/>
        <w:t>归属于母公司所有者的净利润</w:t>
      </w:r>
      <w:r>
        <w:rPr>
          <w:rFonts w:ascii="Arial" w:hAnsi="Arial" w:cs="Arial" w:eastAsia="Arial" w:hint="default"/>
        </w:rPr>
        <w:t>”</w:t>
      </w:r>
      <w:r>
        <w:rPr/>
        <w:t>。</w:t>
      </w:r>
      <w:r>
        <w:rPr>
          <w:w w:val="100"/>
        </w:rPr>
        <w:t> </w:t>
      </w:r>
      <w:r>
        <w:rPr>
          <w:spacing w:val="-4"/>
          <w:w w:val="100"/>
        </w:rPr>
        <w:t>子公司向本公司出售资产所发生的未实现内部交易损益，按照本公司对该子公司的分配比例在</w:t>
      </w:r>
      <w:r>
        <w:rPr>
          <w:rFonts w:ascii="Arial" w:hAnsi="Arial" w:cs="Arial" w:eastAsia="Arial" w:hint="default"/>
          <w:spacing w:val="-4"/>
          <w:w w:val="100"/>
        </w:rPr>
        <w:t>“</w:t>
      </w:r>
      <w:r>
        <w:rPr>
          <w:spacing w:val="-4"/>
          <w:w w:val="100"/>
        </w:rPr>
        <w:t>归属于母公</w:t>
      </w:r>
      <w:r>
        <w:rPr>
          <w:spacing w:val="-64"/>
          <w:w w:val="100"/>
        </w:rPr>
        <w:t> </w:t>
      </w:r>
      <w:r>
        <w:rPr>
          <w:spacing w:val="-64"/>
          <w:w w:val="100"/>
        </w:rPr>
      </w:r>
      <w:r>
        <w:rPr>
          <w:spacing w:val="-2"/>
        </w:rPr>
        <w:t>司所有者的净利润</w:t>
      </w:r>
      <w:r>
        <w:rPr>
          <w:rFonts w:ascii="Arial" w:hAnsi="Arial" w:cs="Arial" w:eastAsia="Arial" w:hint="default"/>
          <w:spacing w:val="-2"/>
        </w:rPr>
        <w:t>”</w:t>
      </w:r>
      <w:r>
        <w:rPr>
          <w:spacing w:val="-2"/>
        </w:rPr>
        <w:t>和</w:t>
      </w:r>
      <w:r>
        <w:rPr>
          <w:rFonts w:ascii="Arial" w:hAnsi="Arial" w:cs="Arial" w:eastAsia="Arial" w:hint="default"/>
          <w:spacing w:val="-2"/>
        </w:rPr>
        <w:t>“</w:t>
      </w:r>
      <w:r>
        <w:rPr>
          <w:spacing w:val="-2"/>
        </w:rPr>
        <w:t>少数股东损益</w:t>
      </w:r>
      <w:r>
        <w:rPr>
          <w:rFonts w:ascii="Arial" w:hAnsi="Arial" w:cs="Arial" w:eastAsia="Arial" w:hint="default"/>
          <w:spacing w:val="-2"/>
        </w:rPr>
        <w:t>”</w:t>
      </w:r>
      <w:r>
        <w:rPr>
          <w:spacing w:val="-2"/>
        </w:rPr>
        <w:t>之间分配抵销。子公司之间出售资产所发生的未实现内部交易损益，</w:t>
      </w:r>
      <w:r>
        <w:rPr>
          <w:spacing w:val="-15"/>
        </w:rPr>
        <w:t> </w:t>
      </w:r>
      <w:r>
        <w:rPr>
          <w:spacing w:val="-15"/>
        </w:rPr>
      </w:r>
      <w:r>
        <w:rPr/>
        <w:t>应当按照本公司对出售方子公司的分配比例在</w:t>
      </w:r>
      <w:r>
        <w:rPr>
          <w:rFonts w:ascii="Arial" w:hAnsi="Arial" w:cs="Arial" w:eastAsia="Arial" w:hint="default"/>
        </w:rPr>
        <w:t>“</w:t>
      </w:r>
      <w:r>
        <w:rPr/>
        <w:t>归属于母公司所有者的净利润</w:t>
      </w:r>
      <w:r>
        <w:rPr>
          <w:rFonts w:ascii="Arial" w:hAnsi="Arial" w:cs="Arial" w:eastAsia="Arial" w:hint="default"/>
        </w:rPr>
        <w:t>”</w:t>
      </w:r>
      <w:r>
        <w:rPr/>
        <w:t>和</w:t>
      </w:r>
      <w:r>
        <w:rPr>
          <w:rFonts w:ascii="Arial" w:hAnsi="Arial" w:cs="Arial" w:eastAsia="Arial" w:hint="default"/>
        </w:rPr>
        <w:t>“</w:t>
      </w:r>
      <w:r>
        <w:rPr/>
        <w:t>少数股东损益</w:t>
      </w:r>
      <w:r>
        <w:rPr>
          <w:rFonts w:ascii="Arial" w:hAnsi="Arial" w:cs="Arial" w:eastAsia="Arial" w:hint="default"/>
        </w:rPr>
        <w:t>”</w:t>
      </w:r>
      <w:r>
        <w:rPr/>
        <w:t>之间分配</w:t>
      </w:r>
      <w:r>
        <w:rPr>
          <w:spacing w:val="7"/>
        </w:rPr>
        <w:t> </w:t>
      </w:r>
      <w:r>
        <w:rPr>
          <w:spacing w:val="7"/>
        </w:rPr>
      </w:r>
      <w:r>
        <w:rPr/>
        <w:t>抵销。</w:t>
      </w:r>
    </w:p>
    <w:p>
      <w:pPr>
        <w:pStyle w:val="BodyText"/>
        <w:spacing w:line="391" w:lineRule="auto" w:before="60"/>
        <w:ind w:right="142" w:firstLine="422"/>
        <w:jc w:val="both"/>
      </w:pPr>
      <w:r>
        <w:rPr>
          <w:spacing w:val="-2"/>
        </w:rPr>
        <w:t>子公司所有者权益中不属于本公司的份额，作为少数股东权益，在合并资产负债表中所有者权益项目</w:t>
      </w:r>
      <w:r>
        <w:rPr>
          <w:w w:val="100"/>
        </w:rPr>
        <w:t> </w:t>
      </w:r>
      <w:r>
        <w:rPr/>
        <w:t>下以</w:t>
      </w:r>
      <w:r>
        <w:rPr>
          <w:rFonts w:ascii="Arial" w:hAnsi="Arial" w:cs="Arial" w:eastAsia="Arial" w:hint="default"/>
        </w:rPr>
        <w:t>“</w:t>
      </w:r>
      <w:r>
        <w:rPr/>
        <w:t>少数股东权益</w:t>
      </w:r>
      <w:r>
        <w:rPr>
          <w:rFonts w:ascii="Arial" w:hAnsi="Arial" w:cs="Arial" w:eastAsia="Arial" w:hint="default"/>
        </w:rPr>
        <w:t>”</w:t>
      </w:r>
      <w:r>
        <w:rPr/>
        <w:t>项目列示。子公司当期净损益中属于少数股东权益的份额，在合并利润表中净利润项</w:t>
      </w:r>
      <w:r>
        <w:rPr>
          <w:spacing w:val="-56"/>
        </w:rPr>
        <w:t> </w:t>
      </w:r>
      <w:r>
        <w:rPr>
          <w:spacing w:val="-56"/>
        </w:rPr>
      </w:r>
      <w:r>
        <w:rPr/>
        <w:t>目下以</w:t>
      </w:r>
      <w:r>
        <w:rPr>
          <w:rFonts w:ascii="Arial" w:hAnsi="Arial" w:cs="Arial" w:eastAsia="Arial" w:hint="default"/>
        </w:rPr>
        <w:t>“</w:t>
      </w:r>
      <w:r>
        <w:rPr/>
        <w:t>少数股东损益</w:t>
      </w:r>
      <w:r>
        <w:rPr>
          <w:rFonts w:ascii="Arial" w:hAnsi="Arial" w:cs="Arial" w:eastAsia="Arial" w:hint="default"/>
        </w:rPr>
        <w:t>”</w:t>
      </w:r>
      <w:r>
        <w:rPr/>
        <w:t>项目列示。子公司当期综合收益中属于少数股东权益的份额，在合并利润表中综合</w:t>
      </w:r>
      <w:r>
        <w:rPr>
          <w:spacing w:val="-56"/>
        </w:rPr>
        <w:t> </w:t>
      </w:r>
      <w:r>
        <w:rPr>
          <w:spacing w:val="-56"/>
        </w:rPr>
      </w:r>
      <w:r>
        <w:rPr/>
        <w:t>收益总额项目下以</w:t>
      </w:r>
      <w:r>
        <w:rPr>
          <w:rFonts w:ascii="Arial" w:hAnsi="Arial" w:cs="Arial" w:eastAsia="Arial" w:hint="default"/>
        </w:rPr>
        <w:t>“</w:t>
      </w:r>
      <w:r>
        <w:rPr/>
        <w:t>归属于少数股东的综合收益总额</w:t>
      </w:r>
      <w:r>
        <w:rPr>
          <w:rFonts w:ascii="Arial" w:hAnsi="Arial" w:cs="Arial" w:eastAsia="Arial" w:hint="default"/>
        </w:rPr>
        <w:t>”</w:t>
      </w:r>
      <w:r>
        <w:rPr/>
        <w:t>项目列示。有少数股东的，在合并所有者权益变动表</w:t>
      </w:r>
      <w:r>
        <w:rPr>
          <w:spacing w:val="-56"/>
        </w:rPr>
        <w:t> </w:t>
      </w:r>
      <w:r>
        <w:rPr/>
        <w:t>中增加</w:t>
      </w:r>
      <w:r>
        <w:rPr>
          <w:rFonts w:ascii="Arial" w:hAnsi="Arial" w:cs="Arial" w:eastAsia="Arial" w:hint="default"/>
        </w:rPr>
        <w:t>“</w:t>
      </w:r>
      <w:r>
        <w:rPr/>
        <w:t>少数股东权益</w:t>
      </w:r>
      <w:r>
        <w:rPr>
          <w:rFonts w:ascii="Arial" w:hAnsi="Arial" w:cs="Arial" w:eastAsia="Arial" w:hint="default"/>
        </w:rPr>
        <w:t>”</w:t>
      </w:r>
      <w:r>
        <w:rPr/>
        <w:t>栏目，反映少数股东权益变动的情况。子公司少数股东分担的当期亏损超过了少数</w:t>
      </w:r>
      <w:r>
        <w:rPr>
          <w:spacing w:val="-56"/>
        </w:rPr>
        <w:t> </w:t>
      </w:r>
      <w:r>
        <w:rPr>
          <w:spacing w:val="-56"/>
        </w:rPr>
      </w:r>
      <w:r>
        <w:rPr/>
        <w:t>股东在该子公司期初所有者权益中所享有的份额的，其余额仍应当冲减少数股东权益。</w:t>
      </w:r>
    </w:p>
    <w:p>
      <w:pPr>
        <w:pStyle w:val="BodyText"/>
        <w:spacing w:line="408" w:lineRule="auto" w:before="58"/>
        <w:ind w:right="122" w:firstLine="422"/>
        <w:jc w:val="both"/>
      </w:pPr>
      <w:r>
        <w:rPr>
          <w:spacing w:val="-2"/>
        </w:rPr>
        <w:t>本公司在报告期内因同一控制下企业合并增加的子公司以及业务，编制合并资产负债表时，调整合并</w:t>
      </w:r>
      <w:r>
        <w:rPr>
          <w:w w:val="100"/>
        </w:rPr>
        <w:t> </w:t>
      </w:r>
      <w:r>
        <w:rPr>
          <w:spacing w:val="-2"/>
        </w:rPr>
        <w:t>资产负债表的期初数；编制合并利润表时，将该子公司以及业务合并当期期初至报告期末的收入、费用、</w:t>
      </w:r>
      <w:r>
        <w:rPr>
          <w:spacing w:val="-16"/>
        </w:rPr>
        <w:t> </w:t>
      </w:r>
      <w:r>
        <w:rPr>
          <w:spacing w:val="-16"/>
        </w:rPr>
      </w:r>
      <w:r>
        <w:rPr>
          <w:spacing w:val="-2"/>
        </w:rPr>
        <w:t>利润纳入合并利润表；编制现金流量表时，将该子公司以及业务合并当期期初至报告期末的现金流量纳入</w:t>
      </w:r>
      <w:r>
        <w:rPr>
          <w:spacing w:val="-35"/>
        </w:rPr>
        <w:t> </w:t>
      </w:r>
      <w:r>
        <w:rPr>
          <w:spacing w:val="-35"/>
        </w:rPr>
      </w:r>
      <w:r>
        <w:rPr>
          <w:spacing w:val="-2"/>
        </w:rPr>
        <w:t>合并现金流量表；同时对比较报表的相关项目进行调整，视同合并后的报告主体自最终控制方开始控制时</w:t>
      </w:r>
      <w:r>
        <w:rPr>
          <w:spacing w:val="-35"/>
        </w:rPr>
        <w:t> </w:t>
      </w:r>
      <w:r>
        <w:rPr>
          <w:spacing w:val="-35"/>
        </w:rPr>
      </w:r>
      <w:r>
        <w:rPr/>
        <w:t>点起一直存在。</w:t>
      </w:r>
    </w:p>
    <w:p>
      <w:pPr>
        <w:pStyle w:val="BodyText"/>
        <w:spacing w:line="408" w:lineRule="auto" w:before="48"/>
        <w:ind w:right="142" w:firstLine="422"/>
        <w:jc w:val="both"/>
      </w:pPr>
      <w:r>
        <w:rPr>
          <w:spacing w:val="-2"/>
        </w:rPr>
        <w:t>因非同一控制下企业合并或其他方式增加的子公司以及业务，编制合并资产负债表时，不调整合并资</w:t>
      </w:r>
      <w:r>
        <w:rPr>
          <w:w w:val="100"/>
        </w:rPr>
        <w:t> </w:t>
      </w:r>
      <w:r>
        <w:rPr>
          <w:spacing w:val="-2"/>
        </w:rPr>
        <w:t>产负债表的期初数；编制合并利润表时，将该子公司以及业务购买日至报告期末的收入、费用、利润纳入</w:t>
      </w:r>
      <w:r>
        <w:rPr>
          <w:spacing w:val="-35"/>
        </w:rPr>
        <w:t> </w:t>
      </w:r>
      <w:r>
        <w:rPr>
          <w:spacing w:val="-35"/>
        </w:rPr>
      </w:r>
      <w:r>
        <w:rPr/>
        <w:t>合并利润表；编制合并现金流量表时，将该子公司购买日至报告期末的现金流量纳入合并现金流量表。</w:t>
      </w:r>
    </w:p>
    <w:p>
      <w:pPr>
        <w:pStyle w:val="BodyText"/>
        <w:spacing w:line="408" w:lineRule="auto" w:before="43"/>
        <w:ind w:right="118" w:firstLine="422"/>
        <w:jc w:val="both"/>
      </w:pPr>
      <w:r>
        <w:rPr>
          <w:spacing w:val="-2"/>
        </w:rPr>
        <w:t>本公司在报告期内处置子公司以及业务，编制合并资产负债表时，不调整合并资产负债表的期初数；</w:t>
      </w:r>
      <w:r>
        <w:rPr>
          <w:w w:val="100"/>
        </w:rPr>
        <w:t> </w:t>
      </w:r>
      <w:r>
        <w:rPr>
          <w:spacing w:val="-2"/>
        </w:rPr>
        <w:t>编制合并利润表时，将该子公司以及业务期初至处置日的收入、费用、利润纳入合并利润表；编制合并现</w:t>
      </w:r>
      <w:r>
        <w:rPr>
          <w:spacing w:val="-35"/>
        </w:rPr>
        <w:t> </w:t>
      </w:r>
      <w:r>
        <w:rPr>
          <w:spacing w:val="-35"/>
        </w:rPr>
      </w:r>
      <w:r>
        <w:rPr/>
        <w:t>金流量表时，将该子公司以及业务期初至处置日的现金流量纳入合并现金流量表。</w:t>
      </w:r>
    </w:p>
    <w:p>
      <w:pPr>
        <w:pStyle w:val="BodyText"/>
        <w:spacing w:line="240" w:lineRule="auto" w:before="48"/>
        <w:ind w:left="575" w:right="0"/>
        <w:jc w:val="left"/>
      </w:pPr>
      <w:r>
        <w:rPr/>
        <w:t>（</w:t>
      </w:r>
      <w:r>
        <w:rPr>
          <w:rFonts w:ascii="Arial" w:hAnsi="Arial" w:cs="Arial" w:eastAsia="Arial" w:hint="default"/>
        </w:rPr>
        <w:t>6</w:t>
      </w:r>
      <w:r>
        <w:rPr/>
        <w:t>）</w:t>
      </w:r>
      <w:r>
        <w:rPr>
          <w:spacing w:val="4"/>
        </w:rPr>
        <w:t> </w:t>
      </w:r>
      <w:r>
        <w:rPr/>
        <w:t>特殊交易会计处理</w:t>
      </w:r>
    </w:p>
    <w:p>
      <w:pPr>
        <w:pStyle w:val="BodyText"/>
        <w:spacing w:line="388" w:lineRule="auto" w:before="176"/>
        <w:ind w:left="575" w:right="0"/>
        <w:jc w:val="left"/>
      </w:pPr>
      <w:r>
        <w:rPr>
          <w:rFonts w:ascii="Arial" w:hAnsi="Arial" w:cs="Arial" w:eastAsia="Arial" w:hint="default"/>
        </w:rPr>
        <w:t>1</w:t>
      </w:r>
      <w:r>
        <w:rPr/>
        <w:t>）购买子公司少数股东拥有的子公司股权</w:t>
      </w:r>
      <w:r>
        <w:rPr>
          <w:spacing w:val="-102"/>
        </w:rPr>
        <w:t> </w:t>
      </w:r>
      <w:r>
        <w:rPr>
          <w:spacing w:val="-102"/>
        </w:rPr>
      </w:r>
      <w:r>
        <w:rPr>
          <w:spacing w:val="-2"/>
        </w:rPr>
        <w:t>在合并财务报表中，因购买少数股权新取得的长期股权投资与按照新增持股比例计算应享有子公司自</w:t>
      </w:r>
    </w:p>
    <w:p>
      <w:pPr>
        <w:pStyle w:val="BodyText"/>
        <w:spacing w:line="388" w:lineRule="auto" w:before="60"/>
        <w:ind w:right="0"/>
        <w:jc w:val="left"/>
      </w:pPr>
      <w:r>
        <w:rPr>
          <w:spacing w:val="-1"/>
        </w:rPr>
        <w:t>购买日或合并日开始持续计算的净资产份额之间的差额，调整资本公积</w:t>
      </w:r>
      <w:r>
        <w:rPr>
          <w:rFonts w:ascii="Arial" w:hAnsi="Arial" w:cs="Arial" w:eastAsia="Arial" w:hint="default"/>
          <w:spacing w:val="-1"/>
        </w:rPr>
        <w:t>(</w:t>
      </w:r>
      <w:r>
        <w:rPr>
          <w:spacing w:val="-1"/>
        </w:rPr>
        <w:t>资本溢价或股本溢价</w:t>
      </w:r>
      <w:r>
        <w:rPr>
          <w:rFonts w:ascii="Arial" w:hAnsi="Arial" w:cs="Arial" w:eastAsia="Arial" w:hint="default"/>
          <w:spacing w:val="-1"/>
        </w:rPr>
        <w:t>)</w:t>
      </w:r>
      <w:r>
        <w:rPr>
          <w:spacing w:val="-1"/>
        </w:rPr>
        <w:t>，资本公积</w:t>
      </w:r>
      <w:r>
        <w:rPr>
          <w:spacing w:val="-14"/>
        </w:rPr>
        <w:t> </w:t>
      </w:r>
      <w:r>
        <w:rPr>
          <w:spacing w:val="-14"/>
        </w:rPr>
      </w:r>
      <w:r>
        <w:rPr/>
        <w:t>不足冲减的，调整留存收益。</w:t>
      </w:r>
    </w:p>
    <w:p>
      <w:pPr>
        <w:pStyle w:val="BodyText"/>
        <w:spacing w:line="388" w:lineRule="auto" w:before="60"/>
        <w:ind w:left="575" w:right="0"/>
        <w:jc w:val="left"/>
      </w:pPr>
      <w:r>
        <w:rPr>
          <w:rFonts w:ascii="Arial" w:hAnsi="Arial" w:cs="Arial" w:eastAsia="Arial" w:hint="default"/>
        </w:rPr>
        <w:t>2</w:t>
      </w:r>
      <w:r>
        <w:rPr/>
        <w:t>） 不丧失控制权的情况下处置对子公司长期股权投资</w:t>
      </w:r>
      <w:r>
        <w:rPr>
          <w:w w:val="100"/>
        </w:rPr>
        <w:t> </w:t>
      </w:r>
      <w:r>
        <w:rPr>
          <w:spacing w:val="-2"/>
        </w:rPr>
        <w:t>在不丧失控制权的情况下部分处置对子公司的长期股权投资，在合并财务报表中，处置价款与处置长</w:t>
      </w:r>
    </w:p>
    <w:p>
      <w:pPr>
        <w:pStyle w:val="BodyText"/>
        <w:spacing w:line="240" w:lineRule="auto" w:before="60"/>
        <w:ind w:right="0"/>
        <w:jc w:val="left"/>
      </w:pPr>
      <w:r>
        <w:rPr/>
        <w:t>期股权投资相对应享有子公司自购买日或合并日开始持续计算的净资产份额之间的差额，应当调整资本公</w:t>
      </w:r>
    </w:p>
    <w:p>
      <w:pPr>
        <w:spacing w:after="0" w:line="240" w:lineRule="auto"/>
        <w:jc w:val="left"/>
        <w:sectPr>
          <w:footerReference w:type="default" r:id="rId20"/>
          <w:pgSz w:w="11900" w:h="16840"/>
          <w:pgMar w:footer="984" w:header="742" w:top="1060" w:bottom="1180" w:left="980" w:right="980"/>
          <w:pgNumType w:start="92"/>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88" w:lineRule="auto"/>
        <w:ind w:left="575" w:right="0" w:hanging="423"/>
        <w:jc w:val="left"/>
      </w:pPr>
      <w:r>
        <w:rPr/>
        <w:t>积</w:t>
      </w:r>
      <w:r>
        <w:rPr>
          <w:rFonts w:ascii="Arial" w:hAnsi="Arial" w:cs="Arial" w:eastAsia="Arial" w:hint="default"/>
        </w:rPr>
        <w:t>(</w:t>
      </w:r>
      <w:r>
        <w:rPr/>
        <w:t>资本溢价或股本溢价</w:t>
      </w:r>
      <w:r>
        <w:rPr>
          <w:rFonts w:ascii="Arial" w:hAnsi="Arial" w:cs="Arial" w:eastAsia="Arial" w:hint="default"/>
        </w:rPr>
        <w:t>)</w:t>
      </w:r>
      <w:r>
        <w:rPr/>
        <w:t>，资本公积不足冲减的，调整留存收益。</w:t>
      </w:r>
      <w:r>
        <w:rPr>
          <w:w w:val="100"/>
        </w:rPr>
        <w:t> </w:t>
      </w:r>
      <w:r>
        <w:rPr>
          <w:rFonts w:ascii="Arial" w:hAnsi="Arial" w:cs="Arial" w:eastAsia="Arial" w:hint="default"/>
        </w:rPr>
        <w:t>3</w:t>
      </w:r>
      <w:r>
        <w:rPr/>
        <w:t>）处置部分股权投资等原因丧失了对被投资方的控制权时，对于剩余股权的处理</w:t>
      </w:r>
      <w:r>
        <w:rPr>
          <w:w w:val="100"/>
        </w:rPr>
        <w:t> </w:t>
      </w:r>
      <w:r>
        <w:rPr>
          <w:spacing w:val="-2"/>
        </w:rPr>
        <w:t>在编制合并财务报表时，对于剩余股权，按照其在丧失控制权日的公允价值进行重新计量。处置股权</w:t>
      </w:r>
    </w:p>
    <w:p>
      <w:pPr>
        <w:pStyle w:val="BodyText"/>
        <w:spacing w:line="408" w:lineRule="auto" w:before="60"/>
        <w:ind w:right="142"/>
        <w:jc w:val="both"/>
      </w:pPr>
      <w:r>
        <w:rPr>
          <w:spacing w:val="-2"/>
        </w:rPr>
        <w:t>取得的对价与剩余股权公允价值之和，减去按原持股比例计算应享有原有子公司自购买日或合并日开始持</w:t>
      </w:r>
      <w:r>
        <w:rPr>
          <w:spacing w:val="-34"/>
        </w:rPr>
        <w:t> </w:t>
      </w:r>
      <w:r>
        <w:rPr>
          <w:spacing w:val="-34"/>
        </w:rPr>
      </w:r>
      <w:r>
        <w:rPr>
          <w:spacing w:val="-2"/>
        </w:rPr>
        <w:t>续计算的净资产的份额之间的差额，计入丧失控制权当期的投资收益，同时冲减商誉。与原有子公司股权</w:t>
      </w:r>
      <w:r>
        <w:rPr>
          <w:spacing w:val="-35"/>
        </w:rPr>
        <w:t> </w:t>
      </w:r>
      <w:r>
        <w:rPr>
          <w:spacing w:val="-35"/>
        </w:rPr>
      </w:r>
      <w:r>
        <w:rPr/>
        <w:t>投资相关的其他综合收益等，在丧失控制权时转为当期投资收益。</w:t>
      </w:r>
    </w:p>
    <w:p>
      <w:pPr>
        <w:pStyle w:val="BodyText"/>
        <w:spacing w:line="240" w:lineRule="auto" w:before="48"/>
        <w:ind w:left="575" w:right="0"/>
        <w:jc w:val="left"/>
      </w:pPr>
      <w:r>
        <w:rPr>
          <w:rFonts w:ascii="Arial" w:hAnsi="Arial" w:cs="Arial" w:eastAsia="Arial" w:hint="default"/>
        </w:rPr>
        <w:t>4</w:t>
      </w:r>
      <w:r>
        <w:rPr/>
        <w:t>）企业通过多次交易分步处置对子公司股权投资直至丧失控制权，且该多次交易属于一揽子交易的</w:t>
      </w:r>
    </w:p>
    <w:p>
      <w:pPr>
        <w:pStyle w:val="BodyText"/>
        <w:spacing w:line="240" w:lineRule="auto" w:before="176"/>
        <w:ind w:right="0"/>
        <w:jc w:val="left"/>
      </w:pPr>
      <w:r>
        <w:rPr/>
        <w:t>处理</w:t>
      </w:r>
    </w:p>
    <w:p>
      <w:pPr>
        <w:spacing w:line="240" w:lineRule="auto" w:before="12"/>
        <w:rPr>
          <w:rFonts w:ascii="宋体" w:hAnsi="宋体" w:cs="宋体" w:eastAsia="宋体" w:hint="default"/>
          <w:sz w:val="14"/>
          <w:szCs w:val="14"/>
        </w:rPr>
      </w:pPr>
    </w:p>
    <w:p>
      <w:pPr>
        <w:pStyle w:val="BodyText"/>
        <w:spacing w:line="408" w:lineRule="auto"/>
        <w:ind w:right="142" w:firstLine="422"/>
        <w:jc w:val="both"/>
      </w:pPr>
      <w:r>
        <w:rPr>
          <w:spacing w:val="-2"/>
        </w:rPr>
        <w:t>处置对子公司股权投资直至丧失控制权的各项交易属于一揽子交易的，应当将各项交易作为一项处置</w:t>
      </w:r>
      <w:r>
        <w:rPr>
          <w:w w:val="100"/>
        </w:rPr>
        <w:t> </w:t>
      </w:r>
      <w:r>
        <w:rPr>
          <w:spacing w:val="-2"/>
        </w:rPr>
        <w:t>子公司并丧失控制权的交易进行会计处理；但是，在丧失控制权之前每一次处置价款与处置投资对应的享</w:t>
      </w:r>
      <w:r>
        <w:rPr>
          <w:spacing w:val="-36"/>
        </w:rPr>
        <w:t> </w:t>
      </w:r>
      <w:r>
        <w:rPr>
          <w:spacing w:val="-36"/>
        </w:rPr>
      </w:r>
      <w:r>
        <w:rPr>
          <w:spacing w:val="-2"/>
        </w:rPr>
        <w:t>有该子公司净资产份额的差额，在合并财务报表中确认为其他综合收益，在丧失控制权时一并转入丧失控</w:t>
      </w:r>
      <w:r>
        <w:rPr>
          <w:spacing w:val="-35"/>
        </w:rPr>
        <w:t> </w:t>
      </w:r>
      <w:r>
        <w:rPr>
          <w:spacing w:val="-35"/>
        </w:rPr>
      </w:r>
      <w:r>
        <w:rPr/>
        <w:t>制权当期的损益。</w:t>
      </w:r>
    </w:p>
    <w:p>
      <w:pPr>
        <w:pStyle w:val="BodyText"/>
        <w:spacing w:line="405" w:lineRule="auto" w:before="48"/>
        <w:ind w:left="575" w:right="0"/>
        <w:jc w:val="left"/>
      </w:pPr>
      <w:r>
        <w:rPr/>
        <w:t>判断分步处置股权至丧失控制权过程的各项交易是否属于一揽子交易的原则如下：</w:t>
      </w:r>
      <w:r>
        <w:rPr>
          <w:w w:val="100"/>
        </w:rPr>
        <w:t> </w:t>
      </w:r>
      <w:r>
        <w:rPr>
          <w:spacing w:val="-2"/>
        </w:rPr>
        <w:t>处置对子公司股权投资的各项交易的条款、条件以及经济影响符合以下一种或多种情况，通常表明多</w:t>
      </w:r>
    </w:p>
    <w:p>
      <w:pPr>
        <w:pStyle w:val="BodyText"/>
        <w:spacing w:line="240" w:lineRule="auto" w:before="50"/>
        <w:ind w:right="0"/>
        <w:jc w:val="left"/>
      </w:pPr>
      <w:r>
        <w:rPr/>
        <w:t>次交易事项属于一揽子交易：</w:t>
      </w:r>
    </w:p>
    <w:p>
      <w:pPr>
        <w:spacing w:line="240" w:lineRule="auto" w:before="8"/>
        <w:rPr>
          <w:rFonts w:ascii="宋体" w:hAnsi="宋体" w:cs="宋体" w:eastAsia="宋体" w:hint="default"/>
          <w:sz w:val="14"/>
          <w:szCs w:val="14"/>
        </w:rPr>
      </w:pPr>
    </w:p>
    <w:p>
      <w:pPr>
        <w:pStyle w:val="BodyText"/>
        <w:spacing w:line="240" w:lineRule="auto"/>
        <w:ind w:left="575" w:right="0"/>
        <w:jc w:val="left"/>
      </w:pPr>
      <w:r>
        <w:rPr/>
        <w:t>①这些交易是同时或者在考虑了彼此影响的情况下订立的；</w:t>
      </w:r>
    </w:p>
    <w:p>
      <w:pPr>
        <w:spacing w:line="240" w:lineRule="auto" w:before="12"/>
        <w:rPr>
          <w:rFonts w:ascii="宋体" w:hAnsi="宋体" w:cs="宋体" w:eastAsia="宋体" w:hint="default"/>
          <w:sz w:val="14"/>
          <w:szCs w:val="14"/>
        </w:rPr>
      </w:pPr>
    </w:p>
    <w:p>
      <w:pPr>
        <w:pStyle w:val="BodyText"/>
        <w:spacing w:line="240" w:lineRule="auto"/>
        <w:ind w:left="575" w:right="0"/>
        <w:jc w:val="left"/>
      </w:pPr>
      <w:r>
        <w:rPr/>
        <w:t>②这些交易整体才能达成一项完整的商业结果；</w:t>
      </w:r>
    </w:p>
    <w:p>
      <w:pPr>
        <w:spacing w:line="240" w:lineRule="auto" w:before="8"/>
        <w:rPr>
          <w:rFonts w:ascii="宋体" w:hAnsi="宋体" w:cs="宋体" w:eastAsia="宋体" w:hint="default"/>
          <w:sz w:val="14"/>
          <w:szCs w:val="14"/>
        </w:rPr>
      </w:pPr>
    </w:p>
    <w:p>
      <w:pPr>
        <w:pStyle w:val="BodyText"/>
        <w:spacing w:line="240" w:lineRule="auto"/>
        <w:ind w:left="575" w:right="0"/>
        <w:jc w:val="left"/>
      </w:pPr>
      <w:r>
        <w:rPr/>
        <w:t>③一项交易的发生取决于其他至少一项交易的发生；</w:t>
      </w:r>
    </w:p>
    <w:p>
      <w:pPr>
        <w:spacing w:line="240" w:lineRule="auto" w:before="12"/>
        <w:rPr>
          <w:rFonts w:ascii="宋体" w:hAnsi="宋体" w:cs="宋体" w:eastAsia="宋体" w:hint="default"/>
          <w:sz w:val="14"/>
          <w:szCs w:val="14"/>
        </w:rPr>
      </w:pPr>
    </w:p>
    <w:p>
      <w:pPr>
        <w:pStyle w:val="BodyText"/>
        <w:spacing w:line="240" w:lineRule="auto"/>
        <w:ind w:left="575" w:right="0"/>
        <w:jc w:val="left"/>
      </w:pPr>
      <w:r>
        <w:rPr/>
        <w:t>④一项交易单独看是不经济的，但是和其他交易一并考虑时是经济的。</w:t>
      </w:r>
    </w:p>
    <w:p>
      <w:pPr>
        <w:spacing w:line="240" w:lineRule="auto" w:before="5"/>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405" w:lineRule="auto"/>
        <w:ind w:left="575" w:right="5100"/>
        <w:jc w:val="left"/>
      </w:pPr>
      <w:r>
        <w:rPr/>
        <w:t>（1）合营安排的分类</w:t>
      </w:r>
      <w:r>
        <w:rPr>
          <w:spacing w:val="-99"/>
        </w:rPr>
        <w:t> </w:t>
      </w:r>
      <w:r>
        <w:rPr>
          <w:spacing w:val="-99"/>
        </w:rPr>
      </w:r>
      <w:r>
        <w:rPr>
          <w:spacing w:val="-1"/>
        </w:rPr>
        <w:t>合营安排分为共同经营和合营企业。</w:t>
      </w:r>
    </w:p>
    <w:p>
      <w:pPr>
        <w:pStyle w:val="BodyText"/>
        <w:spacing w:line="405" w:lineRule="auto" w:before="50"/>
        <w:ind w:left="575" w:right="0"/>
        <w:jc w:val="left"/>
      </w:pPr>
      <w:r>
        <w:rPr/>
        <w:t>（2）共同经营参与方的会计处理</w:t>
      </w:r>
      <w:r>
        <w:rPr>
          <w:w w:val="100"/>
        </w:rPr>
        <w:t> </w:t>
      </w:r>
      <w:r>
        <w:rPr>
          <w:spacing w:val="2"/>
        </w:rPr>
        <w:t>合营方确认其与共同经营中利益份额相关的下列项目，并按照相关企业会计准则的规定进行会计处</w:t>
      </w:r>
    </w:p>
    <w:p>
      <w:pPr>
        <w:pStyle w:val="BodyText"/>
        <w:spacing w:line="240" w:lineRule="auto" w:before="50"/>
        <w:ind w:right="0"/>
        <w:jc w:val="left"/>
      </w:pPr>
      <w:r>
        <w:rPr/>
        <w:t>理：</w:t>
      </w:r>
    </w:p>
    <w:p>
      <w:pPr>
        <w:spacing w:line="240" w:lineRule="auto" w:before="8"/>
        <w:rPr>
          <w:rFonts w:ascii="宋体" w:hAnsi="宋体" w:cs="宋体" w:eastAsia="宋体" w:hint="default"/>
          <w:sz w:val="14"/>
          <w:szCs w:val="14"/>
        </w:rPr>
      </w:pPr>
    </w:p>
    <w:p>
      <w:pPr>
        <w:pStyle w:val="BodyText"/>
        <w:spacing w:line="240" w:lineRule="auto"/>
        <w:ind w:left="575" w:right="0"/>
        <w:jc w:val="left"/>
      </w:pPr>
      <w:r>
        <w:rPr/>
        <w:t>1）确认单独所持有的资产，以及按其份额确认共同持有的资产；</w:t>
      </w:r>
    </w:p>
    <w:p>
      <w:pPr>
        <w:spacing w:line="240" w:lineRule="auto" w:before="12"/>
        <w:rPr>
          <w:rFonts w:ascii="宋体" w:hAnsi="宋体" w:cs="宋体" w:eastAsia="宋体" w:hint="default"/>
          <w:sz w:val="14"/>
          <w:szCs w:val="14"/>
        </w:rPr>
      </w:pPr>
    </w:p>
    <w:p>
      <w:pPr>
        <w:pStyle w:val="BodyText"/>
        <w:spacing w:line="240" w:lineRule="auto"/>
        <w:ind w:left="575" w:right="0"/>
        <w:jc w:val="left"/>
      </w:pPr>
      <w:r>
        <w:rPr/>
        <w:t>2）确认单独所承担的负债，以及按其份额确认共同承担的负债；</w:t>
      </w:r>
    </w:p>
    <w:p>
      <w:pPr>
        <w:spacing w:line="240" w:lineRule="auto" w:before="8"/>
        <w:rPr>
          <w:rFonts w:ascii="宋体" w:hAnsi="宋体" w:cs="宋体" w:eastAsia="宋体" w:hint="default"/>
          <w:sz w:val="14"/>
          <w:szCs w:val="14"/>
        </w:rPr>
      </w:pPr>
    </w:p>
    <w:p>
      <w:pPr>
        <w:pStyle w:val="BodyText"/>
        <w:spacing w:line="240" w:lineRule="auto"/>
        <w:ind w:left="575" w:right="0"/>
        <w:jc w:val="left"/>
      </w:pPr>
      <w:r>
        <w:rPr/>
        <w:t>3）确认出售其享有的共同经营产出份额所产生的收入；</w:t>
      </w:r>
    </w:p>
    <w:p>
      <w:pPr>
        <w:spacing w:line="240" w:lineRule="auto" w:before="12"/>
        <w:rPr>
          <w:rFonts w:ascii="宋体" w:hAnsi="宋体" w:cs="宋体" w:eastAsia="宋体" w:hint="default"/>
          <w:sz w:val="14"/>
          <w:szCs w:val="14"/>
        </w:rPr>
      </w:pPr>
    </w:p>
    <w:p>
      <w:pPr>
        <w:pStyle w:val="BodyText"/>
        <w:spacing w:line="240" w:lineRule="auto"/>
        <w:ind w:left="575" w:right="0"/>
        <w:jc w:val="left"/>
      </w:pPr>
      <w:r>
        <w:rPr/>
        <w:t>4）按其份额确认共同经营因出售产出所产生的收入；</w:t>
      </w:r>
    </w:p>
    <w:p>
      <w:pPr>
        <w:spacing w:after="0" w:line="240" w:lineRule="auto"/>
        <w:jc w:val="left"/>
        <w:sectPr>
          <w:pgSz w:w="11900" w:h="16840"/>
          <w:pgMar w:header="742" w:footer="984" w:top="1060" w:bottom="118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05" w:lineRule="auto"/>
        <w:ind w:left="575" w:right="0"/>
        <w:jc w:val="left"/>
      </w:pPr>
      <w:r>
        <w:rPr/>
        <w:t>5）确认单独所发生的费用，以及按其份额确认共同经营发生的费用。</w:t>
      </w:r>
      <w:r>
        <w:rPr>
          <w:w w:val="100"/>
        </w:rPr>
        <w:t> </w:t>
      </w:r>
      <w:r>
        <w:rPr>
          <w:spacing w:val="-2"/>
        </w:rPr>
        <w:t>合营方向共同经营投出或出售资产等(该资产构成业务的除外)，在该资产等由共同经营出售给第三方</w:t>
      </w:r>
    </w:p>
    <w:p>
      <w:pPr>
        <w:pStyle w:val="BodyText"/>
        <w:spacing w:line="405" w:lineRule="auto" w:before="50"/>
        <w:ind w:right="0"/>
        <w:jc w:val="left"/>
      </w:pPr>
      <w:r>
        <w:rPr>
          <w:spacing w:val="-2"/>
        </w:rPr>
        <w:t>之前，仅确认因该交易产生的损益中归属于共同经营其他参与方的部分。投出或出售的资产发生符合《企</w:t>
      </w:r>
      <w:r>
        <w:rPr>
          <w:spacing w:val="-35"/>
        </w:rPr>
        <w:t> </w:t>
      </w:r>
      <w:r>
        <w:rPr>
          <w:spacing w:val="-35"/>
        </w:rPr>
      </w:r>
      <w:r>
        <w:rPr/>
        <w:t>业会计准则第8号——资产减值》等规定的资产减值损失的，合营方全额确认该损失。</w:t>
      </w:r>
    </w:p>
    <w:p>
      <w:pPr>
        <w:pStyle w:val="BodyText"/>
        <w:spacing w:line="405" w:lineRule="auto" w:before="50"/>
        <w:ind w:right="118" w:firstLine="422"/>
        <w:jc w:val="both"/>
      </w:pPr>
      <w:r>
        <w:rPr>
          <w:spacing w:val="-2"/>
        </w:rPr>
        <w:t>对共同经营不享有共同控制的参与方，如果享有该共同经营相关资产且承担该共同经营相关负债的，</w:t>
      </w:r>
      <w:r>
        <w:rPr>
          <w:w w:val="100"/>
        </w:rPr>
        <w:t> </w:t>
      </w:r>
      <w:r>
        <w:rPr/>
        <w:t>按照上述方法进行会计处理；否则，按照相关企业会计准则的规定进行会计处理。</w:t>
      </w:r>
    </w:p>
    <w:p>
      <w:pPr>
        <w:spacing w:line="240" w:lineRule="auto" w:before="8"/>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10" w:lineRule="auto"/>
        <w:ind w:right="118" w:firstLine="422"/>
        <w:jc w:val="both"/>
      </w:pPr>
      <w:r>
        <w:rPr>
          <w:spacing w:val="-2"/>
        </w:rPr>
        <w:t>列示于现金流量表中的现金是指库存现金及可随时用于支付的存款，现金等价物是指持有的期限短、</w:t>
      </w:r>
      <w:r>
        <w:rPr>
          <w:w w:val="100"/>
        </w:rPr>
        <w:t> </w:t>
      </w:r>
      <w:r>
        <w:rPr/>
        <w:t>流动性强、易于转换为已知金额现金及价值变动风险很小的投资。</w:t>
      </w:r>
    </w:p>
    <w:p>
      <w:pPr>
        <w:spacing w:line="240" w:lineRule="auto" w:before="12"/>
        <w:rPr>
          <w:rFonts w:ascii="宋体" w:hAnsi="宋体" w:cs="宋体" w:eastAsia="宋体" w:hint="default"/>
          <w:sz w:val="14"/>
          <w:szCs w:val="14"/>
        </w:rPr>
      </w:pPr>
    </w:p>
    <w:p>
      <w:pPr>
        <w:pStyle w:val="Heading4"/>
        <w:spacing w:line="240" w:lineRule="auto"/>
        <w:ind w:right="0"/>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）外币业务</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10" w:lineRule="auto"/>
        <w:ind w:left="575" w:right="0"/>
        <w:jc w:val="left"/>
      </w:pPr>
      <w:r>
        <w:rPr/>
        <w:t>外币业务按业务发生日的即期汇率将外币金额折算为人民币入账。</w:t>
      </w:r>
      <w:r>
        <w:rPr>
          <w:w w:val="100"/>
        </w:rPr>
        <w:t> </w:t>
      </w:r>
      <w:r>
        <w:rPr>
          <w:spacing w:val="-2"/>
        </w:rPr>
        <w:t>于资产负债表日，外币货币性项目采用资产负债表日的即期汇率折算为人民币，所产生的折算差额除</w:t>
      </w:r>
    </w:p>
    <w:p>
      <w:pPr>
        <w:pStyle w:val="BodyText"/>
        <w:spacing w:line="410" w:lineRule="auto" w:before="41"/>
        <w:ind w:right="0"/>
        <w:jc w:val="left"/>
      </w:pPr>
      <w:r>
        <w:rPr>
          <w:spacing w:val="-2"/>
        </w:rPr>
        <w:t>了为购建或生产符合资本化条件的资产而借入的外币借款产生的汇兑差额按资本化的原则处理外，直接计</w:t>
      </w:r>
      <w:r>
        <w:rPr>
          <w:spacing w:val="-34"/>
        </w:rPr>
        <w:t> </w:t>
      </w:r>
      <w:r>
        <w:rPr>
          <w:spacing w:val="-34"/>
        </w:rPr>
      </w:r>
      <w:r>
        <w:rPr/>
        <w:t>入当期损益。以历史成本计量的外币非货币性项目，于资产负债表日采用交易发生日的即期汇率折算。</w:t>
      </w:r>
    </w:p>
    <w:p>
      <w:pPr>
        <w:spacing w:line="240" w:lineRule="auto" w:before="8"/>
        <w:rPr>
          <w:rFonts w:ascii="宋体" w:hAnsi="宋体" w:cs="宋体" w:eastAsia="宋体" w:hint="default"/>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408" w:lineRule="auto"/>
        <w:ind w:right="142" w:firstLine="422"/>
        <w:jc w:val="both"/>
      </w:pPr>
      <w:r>
        <w:rPr>
          <w:spacing w:val="-2"/>
        </w:rPr>
        <w:t>以非记账本位币编制的资产负债表中的资产和负债项目，采用资产负债表日的即期汇率折算成记账本</w:t>
      </w:r>
      <w:r>
        <w:rPr>
          <w:w w:val="100"/>
        </w:rPr>
        <w:t> </w:t>
      </w:r>
      <w:r>
        <w:rPr>
          <w:spacing w:val="-2"/>
        </w:rPr>
        <w:t>位币，所有者权益中除未分配利润项目外，其他项目采用发生时的即期汇率折算。以非记账本位币编制的</w:t>
      </w:r>
      <w:r>
        <w:rPr>
          <w:spacing w:val="-35"/>
        </w:rPr>
        <w:t> </w:t>
      </w:r>
      <w:r>
        <w:rPr>
          <w:spacing w:val="-35"/>
        </w:rPr>
      </w:r>
      <w:r>
        <w:rPr>
          <w:spacing w:val="-2"/>
        </w:rPr>
        <w:t>利润表中的收入与费用项目，采用交易发生日的即期汇率折算成记账本位币。上述折算产生的外币报表折</w:t>
      </w:r>
      <w:r>
        <w:rPr>
          <w:spacing w:val="-35"/>
        </w:rPr>
        <w:t> </w:t>
      </w:r>
      <w:r>
        <w:rPr>
          <w:spacing w:val="-35"/>
        </w:rPr>
      </w:r>
      <w:r>
        <w:rPr>
          <w:spacing w:val="-2"/>
        </w:rPr>
        <w:t>算差额，在其他综合收益中列示。以非记账本位币编制的现金流量表中各项目的现金流量采用现金流量发</w:t>
      </w:r>
      <w:r>
        <w:rPr>
          <w:spacing w:val="-35"/>
        </w:rPr>
        <w:t> </w:t>
      </w:r>
      <w:r>
        <w:rPr>
          <w:spacing w:val="-35"/>
        </w:rPr>
      </w:r>
      <w:r>
        <w:rPr/>
        <w:t>生日的即期汇率折算成记账本位币。汇率变动对现金的影响额，在现金流量表中单独列示。</w:t>
      </w:r>
    </w:p>
    <w:p>
      <w:pPr>
        <w:spacing w:line="240" w:lineRule="auto" w:before="6"/>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08" w:lineRule="auto"/>
        <w:ind w:left="575" w:right="133"/>
        <w:jc w:val="left"/>
      </w:pPr>
      <w:r>
        <w:rPr/>
        <w:t>（1）金融工具的确认和终止确认</w:t>
      </w:r>
      <w:r>
        <w:rPr>
          <w:w w:val="100"/>
        </w:rPr>
        <w:t> </w:t>
      </w:r>
      <w:r>
        <w:rPr>
          <w:spacing w:val="-2"/>
        </w:rPr>
        <w:t>本公司于成为金融工具合同的一方时确认一项金融资产或金融负债。</w:t>
      </w:r>
      <w:r>
        <w:rPr>
          <w:spacing w:val="-46"/>
        </w:rPr>
        <w:t> </w:t>
      </w:r>
      <w:r>
        <w:rPr>
          <w:spacing w:val="-46"/>
        </w:rPr>
      </w:r>
      <w:r>
        <w:rPr/>
        <w:t>金融资产满足下列条件之一的，终止确认：</w:t>
      </w:r>
    </w:p>
    <w:p>
      <w:pPr>
        <w:spacing w:after="0" w:line="408" w:lineRule="auto"/>
        <w:jc w:val="left"/>
        <w:sectPr>
          <w:pgSz w:w="11900" w:h="16840"/>
          <w:pgMar w:header="742" w:footer="984" w:top="1060" w:bottom="118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575" w:right="0"/>
        <w:jc w:val="left"/>
      </w:pPr>
      <w:r>
        <w:rPr/>
        <w:t>1）收取该金融资产现金流量的合同权利终止；</w:t>
      </w:r>
    </w:p>
    <w:p>
      <w:pPr>
        <w:spacing w:line="240" w:lineRule="auto" w:before="8"/>
        <w:rPr>
          <w:rFonts w:ascii="宋体" w:hAnsi="宋体" w:cs="宋体" w:eastAsia="宋体" w:hint="default"/>
          <w:sz w:val="14"/>
          <w:szCs w:val="14"/>
        </w:rPr>
      </w:pPr>
    </w:p>
    <w:p>
      <w:pPr>
        <w:pStyle w:val="BodyText"/>
        <w:spacing w:line="240" w:lineRule="auto"/>
        <w:ind w:left="575" w:right="0"/>
        <w:jc w:val="left"/>
      </w:pPr>
      <w:r>
        <w:rPr/>
        <w:t>2）该金融资产已转移，且符合《企业会计准则第23号－金融资产转移》规定的金融资产终止确认条</w:t>
      </w:r>
    </w:p>
    <w:p>
      <w:pPr>
        <w:spacing w:line="240" w:lineRule="auto" w:before="12"/>
        <w:rPr>
          <w:rFonts w:ascii="宋体" w:hAnsi="宋体" w:cs="宋体" w:eastAsia="宋体" w:hint="default"/>
          <w:sz w:val="14"/>
          <w:szCs w:val="14"/>
        </w:rPr>
      </w:pPr>
    </w:p>
    <w:p>
      <w:pPr>
        <w:pStyle w:val="BodyText"/>
        <w:spacing w:line="240" w:lineRule="auto"/>
        <w:ind w:right="0"/>
        <w:jc w:val="left"/>
      </w:pPr>
      <w:r>
        <w:rPr/>
        <w:t>件。</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36"/>
        <w:ind w:left="575" w:right="0"/>
        <w:jc w:val="left"/>
      </w:pPr>
      <w:r>
        <w:rPr/>
        <w:t>金融负债的现时义务全部或部分已经解除的，终止确认该金融负债或其一部分。</w:t>
      </w:r>
    </w:p>
    <w:p>
      <w:pPr>
        <w:spacing w:line="240" w:lineRule="auto" w:before="8"/>
        <w:rPr>
          <w:rFonts w:ascii="宋体" w:hAnsi="宋体" w:cs="宋体" w:eastAsia="宋体" w:hint="default"/>
          <w:sz w:val="14"/>
          <w:szCs w:val="14"/>
        </w:rPr>
      </w:pPr>
    </w:p>
    <w:p>
      <w:pPr>
        <w:pStyle w:val="BodyText"/>
        <w:spacing w:line="410" w:lineRule="auto"/>
        <w:ind w:left="575" w:right="0"/>
        <w:jc w:val="left"/>
      </w:pPr>
      <w:r>
        <w:rPr/>
        <w:t>（2）金融资产的分类</w:t>
      </w:r>
      <w:r>
        <w:rPr>
          <w:spacing w:val="-99"/>
        </w:rPr>
        <w:t> </w:t>
      </w:r>
      <w:r>
        <w:rPr>
          <w:spacing w:val="-99"/>
        </w:rPr>
      </w:r>
      <w:r>
        <w:rPr>
          <w:spacing w:val="-2"/>
        </w:rPr>
        <w:t>金融资产于初始确认时分类为：以公允价值计量且其变动计入当期损益的金融资产、应收款项、可供</w:t>
      </w:r>
    </w:p>
    <w:p>
      <w:pPr>
        <w:pStyle w:val="BodyText"/>
        <w:spacing w:line="408" w:lineRule="auto" w:before="41"/>
        <w:ind w:left="575" w:right="0" w:hanging="423"/>
        <w:jc w:val="left"/>
      </w:pPr>
      <w:r>
        <w:rPr/>
        <w:t>出售金融资产和持有至到期投资。金融资产的分类取决于本公司对金融资产的持有意图和持有能力。</w:t>
      </w:r>
      <w:r>
        <w:rPr>
          <w:w w:val="100"/>
        </w:rPr>
        <w:t> </w:t>
      </w:r>
      <w:r>
        <w:rPr/>
        <w:t>1）以公允价值计量且其变动计入当期损益的金融资产</w:t>
      </w:r>
      <w:r>
        <w:rPr>
          <w:w w:val="100"/>
        </w:rPr>
        <w:t> </w:t>
      </w:r>
      <w:r>
        <w:rPr>
          <w:spacing w:val="-2"/>
        </w:rPr>
        <w:t>以公允价值计量且其变动计入当期损益的金融资产包括持有目的为短期内出售的金融资产，该资产在</w:t>
      </w:r>
    </w:p>
    <w:p>
      <w:pPr>
        <w:pStyle w:val="BodyText"/>
        <w:spacing w:line="405" w:lineRule="auto" w:before="48"/>
        <w:ind w:left="575" w:right="5100" w:hanging="423"/>
        <w:jc w:val="left"/>
      </w:pPr>
      <w:r>
        <w:rPr>
          <w:spacing w:val="-1"/>
        </w:rPr>
        <w:t>资产负债表中以交易性金融资产列示。</w:t>
      </w:r>
      <w:r>
        <w:rPr>
          <w:spacing w:val="-84"/>
        </w:rPr>
        <w:t> </w:t>
      </w:r>
      <w:r>
        <w:rPr>
          <w:spacing w:val="-84"/>
        </w:rPr>
      </w:r>
      <w:r>
        <w:rPr/>
        <w:t>2）应收款项</w:t>
      </w:r>
    </w:p>
    <w:p>
      <w:pPr>
        <w:pStyle w:val="BodyText"/>
        <w:spacing w:line="405" w:lineRule="auto" w:before="50"/>
        <w:ind w:right="137" w:firstLine="422"/>
        <w:jc w:val="both"/>
      </w:pPr>
      <w:r>
        <w:rPr>
          <w:spacing w:val="-2"/>
        </w:rPr>
        <w:t>应收款项是指在活跃市场中没有报价、回收金额固定或可确定的非衍生金融资产，包括应收账款、其</w:t>
      </w:r>
      <w:r>
        <w:rPr>
          <w:w w:val="100"/>
        </w:rPr>
        <w:t> </w:t>
      </w:r>
      <w:r>
        <w:rPr/>
        <w:t>他应收款和长期应收款等。</w:t>
      </w:r>
    </w:p>
    <w:p>
      <w:pPr>
        <w:pStyle w:val="BodyText"/>
        <w:spacing w:line="405" w:lineRule="auto" w:before="50"/>
        <w:ind w:left="575" w:right="0"/>
        <w:jc w:val="left"/>
      </w:pPr>
      <w:r>
        <w:rPr/>
        <w:t>3）可供出售金融资产</w:t>
      </w:r>
      <w:r>
        <w:rPr>
          <w:spacing w:val="-99"/>
        </w:rPr>
        <w:t> </w:t>
      </w:r>
      <w:r>
        <w:rPr>
          <w:spacing w:val="-99"/>
        </w:rPr>
      </w:r>
      <w:r>
        <w:rPr>
          <w:spacing w:val="2"/>
        </w:rPr>
        <w:t>可供出售金融资产包括初始确认时即被指定为可供出售的非衍生金融资产及未被划分为其他类的金</w:t>
      </w:r>
    </w:p>
    <w:p>
      <w:pPr>
        <w:pStyle w:val="BodyText"/>
        <w:spacing w:line="405" w:lineRule="auto" w:before="50"/>
        <w:ind w:right="0"/>
        <w:jc w:val="left"/>
      </w:pPr>
      <w:r>
        <w:rPr>
          <w:spacing w:val="-2"/>
        </w:rPr>
        <w:t>融资产。自资产负债表日起12个月内将出售的可供出售金融资产在资产负债表中列示为一年内到期的非流</w:t>
      </w:r>
      <w:r>
        <w:rPr>
          <w:spacing w:val="-32"/>
        </w:rPr>
        <w:t> </w:t>
      </w:r>
      <w:r>
        <w:rPr>
          <w:spacing w:val="-32"/>
        </w:rPr>
      </w:r>
      <w:r>
        <w:rPr/>
        <w:t>动资产。</w:t>
      </w:r>
    </w:p>
    <w:p>
      <w:pPr>
        <w:pStyle w:val="BodyText"/>
        <w:spacing w:line="405" w:lineRule="auto" w:before="50"/>
        <w:ind w:left="575" w:right="0"/>
        <w:jc w:val="left"/>
      </w:pPr>
      <w:r>
        <w:rPr/>
        <w:t>4）持有至到期投资</w:t>
      </w:r>
      <w:r>
        <w:rPr>
          <w:spacing w:val="-101"/>
        </w:rPr>
        <w:t> </w:t>
      </w:r>
      <w:r>
        <w:rPr>
          <w:spacing w:val="-101"/>
        </w:rPr>
      </w:r>
      <w:r>
        <w:rPr>
          <w:spacing w:val="-2"/>
        </w:rPr>
        <w:t>持有至到期投资是指到期日固定、回收金额固定或可确定，且管理层有明确意图和能力持有至到期的</w:t>
      </w:r>
    </w:p>
    <w:p>
      <w:pPr>
        <w:pStyle w:val="BodyText"/>
        <w:spacing w:line="405" w:lineRule="auto" w:before="50"/>
        <w:ind w:right="0"/>
        <w:jc w:val="left"/>
      </w:pPr>
      <w:r>
        <w:rPr>
          <w:spacing w:val="-2"/>
        </w:rPr>
        <w:t>非衍生金融资产。自资产负债表日起12个月内到期的持有至到期投资在资产负债表中列示为一年内到期的</w:t>
      </w:r>
      <w:r>
        <w:rPr>
          <w:spacing w:val="-32"/>
        </w:rPr>
        <w:t> </w:t>
      </w:r>
      <w:r>
        <w:rPr>
          <w:spacing w:val="-32"/>
        </w:rPr>
      </w:r>
      <w:r>
        <w:rPr/>
        <w:t>非流动资产。</w:t>
      </w:r>
    </w:p>
    <w:p>
      <w:pPr>
        <w:pStyle w:val="BodyText"/>
        <w:spacing w:line="405" w:lineRule="auto" w:before="50"/>
        <w:ind w:left="575" w:right="0"/>
        <w:jc w:val="left"/>
      </w:pPr>
      <w:r>
        <w:rPr/>
        <w:t>（3）金融资产的计量</w:t>
      </w:r>
      <w:r>
        <w:rPr>
          <w:spacing w:val="-99"/>
        </w:rPr>
        <w:t> </w:t>
      </w:r>
      <w:r>
        <w:rPr>
          <w:spacing w:val="-99"/>
        </w:rPr>
      </w:r>
      <w:r>
        <w:rPr>
          <w:spacing w:val="-2"/>
        </w:rPr>
        <w:t>金融资产于本公司成为金融工具合同的一方时，按公允价值在资产负债表内确认。以公允价值计量且</w:t>
      </w:r>
    </w:p>
    <w:p>
      <w:pPr>
        <w:pStyle w:val="BodyText"/>
        <w:spacing w:line="405" w:lineRule="auto" w:before="50"/>
        <w:ind w:right="0"/>
        <w:jc w:val="left"/>
      </w:pPr>
      <w:r>
        <w:rPr>
          <w:spacing w:val="-2"/>
        </w:rPr>
        <w:t>其变动计入当期损益的金融资产，取得时发生的相关交易费用直接计入当期损益。其他金融资产的相关交</w:t>
      </w:r>
      <w:r>
        <w:rPr>
          <w:spacing w:val="-35"/>
        </w:rPr>
        <w:t> </w:t>
      </w:r>
      <w:r>
        <w:rPr>
          <w:spacing w:val="-35"/>
        </w:rPr>
      </w:r>
      <w:r>
        <w:rPr/>
        <w:t>易费用计入初始确认金额。</w:t>
      </w:r>
    </w:p>
    <w:p>
      <w:pPr>
        <w:pStyle w:val="BodyText"/>
        <w:spacing w:line="408" w:lineRule="auto" w:before="50"/>
        <w:ind w:right="118" w:firstLine="422"/>
        <w:jc w:val="both"/>
      </w:pPr>
      <w:r>
        <w:rPr>
          <w:spacing w:val="-2"/>
        </w:rPr>
        <w:t>以公允价值计量且其变动计入当期损益的金融资产和可供出售金融资产按照公允价值进行后续计量，</w:t>
      </w:r>
      <w:r>
        <w:rPr>
          <w:w w:val="100"/>
        </w:rPr>
        <w:t> </w:t>
      </w:r>
      <w:r>
        <w:rPr>
          <w:spacing w:val="-2"/>
        </w:rPr>
        <w:t>但在活跃市场中没有报价且其公允价值不能可靠计量的权益工具投资，按照成本计量；应收款项以及持有</w:t>
      </w:r>
      <w:r>
        <w:rPr>
          <w:spacing w:val="-35"/>
        </w:rPr>
        <w:t> </w:t>
      </w:r>
      <w:r>
        <w:rPr>
          <w:spacing w:val="-35"/>
        </w:rPr>
      </w:r>
      <w:r>
        <w:rPr/>
        <w:t>至到期投资采用实际利率法，以摊余成本计量。</w:t>
      </w:r>
    </w:p>
    <w:p>
      <w:pPr>
        <w:pStyle w:val="BodyText"/>
        <w:spacing w:line="240" w:lineRule="auto" w:before="43"/>
        <w:ind w:left="575" w:right="0"/>
        <w:jc w:val="left"/>
      </w:pPr>
      <w:r>
        <w:rPr/>
        <w:t>以公允价值计量且其变动计入当期损益的金融资产的公允价值变动计入公允价值变动损益；在资产持</w:t>
      </w:r>
    </w:p>
    <w:p>
      <w:pPr>
        <w:spacing w:after="0" w:line="240" w:lineRule="auto"/>
        <w:jc w:val="left"/>
        <w:sectPr>
          <w:pgSz w:w="11900" w:h="16840"/>
          <w:pgMar w:header="742" w:footer="984" w:top="1060" w:bottom="118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05" w:lineRule="auto"/>
        <w:ind w:left="575" w:right="0" w:hanging="423"/>
        <w:jc w:val="left"/>
      </w:pPr>
      <w:r>
        <w:rPr/>
        <w:t>有期间所取得的利息或现金股利以及在处置时产生的处置损益，计入当期损益。</w:t>
      </w:r>
      <w:r>
        <w:rPr>
          <w:w w:val="100"/>
        </w:rPr>
        <w:t> </w:t>
      </w:r>
      <w:r>
        <w:rPr>
          <w:spacing w:val="-2"/>
        </w:rPr>
        <w:t>除减值损失及外币货币性金融资产形成的汇兑损益外，可供出售金融资产公允价值变动计入所有者权</w:t>
      </w:r>
    </w:p>
    <w:p>
      <w:pPr>
        <w:pStyle w:val="BodyText"/>
        <w:spacing w:line="408" w:lineRule="auto" w:before="50"/>
        <w:ind w:right="142"/>
        <w:jc w:val="both"/>
      </w:pPr>
      <w:r>
        <w:rPr>
          <w:spacing w:val="-2"/>
        </w:rPr>
        <w:t>益，待该金融资产终止确认时，原直接计入权益的公允价值变动累计额转入当期损益。可供出售债务工具</w:t>
      </w:r>
      <w:r>
        <w:rPr>
          <w:spacing w:val="-35"/>
        </w:rPr>
        <w:t> </w:t>
      </w:r>
      <w:r>
        <w:rPr>
          <w:spacing w:val="-35"/>
        </w:rPr>
      </w:r>
      <w:r>
        <w:rPr>
          <w:spacing w:val="-2"/>
        </w:rPr>
        <w:t>投资在持有期间按实际利率法计算利息，计入投资收益；可供出售权益工具投资的现金股利，于被投资单</w:t>
      </w:r>
      <w:r>
        <w:rPr>
          <w:spacing w:val="-36"/>
        </w:rPr>
        <w:t> </w:t>
      </w:r>
      <w:r>
        <w:rPr>
          <w:spacing w:val="-36"/>
        </w:rPr>
      </w:r>
      <w:r>
        <w:rPr/>
        <w:t>位宣告发放股利时计入投资收益。</w:t>
      </w:r>
    </w:p>
    <w:p>
      <w:pPr>
        <w:pStyle w:val="BodyText"/>
        <w:spacing w:line="410" w:lineRule="auto" w:before="43"/>
        <w:ind w:left="575" w:right="0"/>
        <w:jc w:val="left"/>
      </w:pPr>
      <w:r>
        <w:rPr/>
        <w:t>（4）金融资产转移的确认依据和计量方法</w:t>
      </w:r>
      <w:r>
        <w:rPr>
          <w:w w:val="100"/>
        </w:rPr>
        <w:t> </w:t>
      </w:r>
      <w:r>
        <w:rPr>
          <w:spacing w:val="-2"/>
        </w:rPr>
        <w:t>公司已将金融资产所有权上几乎所有的风险和报酬转移给转入方的，终止确认该金融资产；保留了金</w:t>
      </w:r>
    </w:p>
    <w:p>
      <w:pPr>
        <w:pStyle w:val="BodyText"/>
        <w:spacing w:line="408" w:lineRule="auto" w:before="41"/>
        <w:ind w:left="575" w:right="0" w:hanging="423"/>
        <w:jc w:val="left"/>
      </w:pPr>
      <w:r>
        <w:rPr/>
        <w:t>融资产所有权上几乎所有的风险和报酬的，不终止确认该金融资产。</w:t>
      </w:r>
      <w:r>
        <w:rPr>
          <w:w w:val="100"/>
        </w:rPr>
        <w:t> </w:t>
      </w:r>
      <w:r>
        <w:rPr>
          <w:spacing w:val="-2"/>
        </w:rPr>
        <w:t>金融资产整体转移满足终止确认条件的，将下列两项金额的差额计入当期损益：</w:t>
      </w:r>
      <w:r>
        <w:rPr>
          <w:w w:val="100"/>
        </w:rPr>
        <w:t> </w:t>
      </w:r>
      <w:r>
        <w:rPr/>
        <w:t>1）所转移金融资产的账面价值；</w:t>
      </w:r>
    </w:p>
    <w:p>
      <w:pPr>
        <w:pStyle w:val="BodyText"/>
        <w:spacing w:line="405" w:lineRule="auto" w:before="48"/>
        <w:ind w:right="152" w:firstLine="422"/>
        <w:jc w:val="both"/>
      </w:pPr>
      <w:r>
        <w:rPr/>
        <w:t>2）因转移而收到的对价，与原直接计入所有者权益的公允价值变动累计额（涉及转移的金融资产为</w:t>
      </w:r>
      <w:r>
        <w:rPr>
          <w:w w:val="100"/>
        </w:rPr>
        <w:t> </w:t>
      </w:r>
      <w:r>
        <w:rPr/>
        <w:t>可供出售金融资产的情形）之和。</w:t>
      </w:r>
    </w:p>
    <w:p>
      <w:pPr>
        <w:pStyle w:val="BodyText"/>
        <w:spacing w:line="408" w:lineRule="auto" w:before="50"/>
        <w:ind w:right="142" w:firstLine="422"/>
        <w:jc w:val="both"/>
      </w:pPr>
      <w:r>
        <w:rPr>
          <w:spacing w:val="-2"/>
        </w:rPr>
        <w:t>因金融资产转移获得了新金融资产或承担了新金融负债的，在转移日按照公允价值确认该金融资产或</w:t>
      </w:r>
      <w:r>
        <w:rPr>
          <w:w w:val="100"/>
        </w:rPr>
        <w:t> </w:t>
      </w:r>
      <w:r>
        <w:rPr>
          <w:spacing w:val="-2"/>
        </w:rPr>
        <w:t>金融负债（包括看涨期权、看跌期权、担保负债、远期合同、互换等），并将该金融资产扣除金融负债后</w:t>
      </w:r>
      <w:r>
        <w:rPr>
          <w:spacing w:val="-40"/>
        </w:rPr>
        <w:t> </w:t>
      </w:r>
      <w:r>
        <w:rPr>
          <w:spacing w:val="-40"/>
        </w:rPr>
      </w:r>
      <w:r>
        <w:rPr/>
        <w:t>的净额作为上述对价的组成部分。</w:t>
      </w:r>
    </w:p>
    <w:p>
      <w:pPr>
        <w:pStyle w:val="BodyText"/>
        <w:spacing w:line="408" w:lineRule="auto" w:before="43"/>
        <w:ind w:right="142" w:firstLine="422"/>
        <w:jc w:val="both"/>
      </w:pPr>
      <w:r>
        <w:rPr>
          <w:spacing w:val="-2"/>
        </w:rPr>
        <w:t>公司与金融资产转入方签订服务合同提供相关服务的（包括收取该金融资产的现金流量，并将所收取</w:t>
      </w:r>
      <w:r>
        <w:rPr>
          <w:w w:val="100"/>
        </w:rPr>
        <w:t> </w:t>
      </w:r>
      <w:r>
        <w:rPr>
          <w:spacing w:val="-2"/>
        </w:rPr>
        <w:t>的现金流量交付给指定的资金保管机构等），就该服务合同确认一项服务资产或服务负债。服务负债应当</w:t>
      </w:r>
      <w:r>
        <w:rPr>
          <w:spacing w:val="-35"/>
        </w:rPr>
        <w:t> </w:t>
      </w:r>
      <w:r>
        <w:rPr>
          <w:spacing w:val="-35"/>
        </w:rPr>
      </w:r>
      <w:r>
        <w:rPr/>
        <w:t>按照公允价值进行初始计量，并作为上述对价的组成部分。</w:t>
      </w:r>
    </w:p>
    <w:p>
      <w:pPr>
        <w:pStyle w:val="BodyText"/>
        <w:spacing w:line="408" w:lineRule="auto" w:before="48"/>
        <w:ind w:right="141" w:firstLine="422"/>
        <w:jc w:val="both"/>
      </w:pPr>
      <w:r>
        <w:rPr>
          <w:spacing w:val="-2"/>
        </w:rPr>
        <w:t>金融资产部分转移满足终止确认条件的，将所转移金融资产整体的账面价值，在终止确认部分和未终</w:t>
      </w:r>
      <w:r>
        <w:rPr>
          <w:w w:val="100"/>
        </w:rPr>
        <w:t> </w:t>
      </w:r>
      <w:r>
        <w:rPr>
          <w:spacing w:val="-2"/>
        </w:rPr>
        <w:t>止确认部分（在此种情况下，所保留的服务资产视同未终止确认金融资产的一部分）之间，按照各自的相</w:t>
      </w:r>
      <w:r>
        <w:rPr>
          <w:spacing w:val="-35"/>
        </w:rPr>
        <w:t> </w:t>
      </w:r>
      <w:r>
        <w:rPr>
          <w:spacing w:val="-35"/>
        </w:rPr>
      </w:r>
      <w:r>
        <w:rPr/>
        <w:t>对公允价值进行分摊，并将下列两项金额的差额计入当期损益：</w:t>
      </w:r>
    </w:p>
    <w:p>
      <w:pPr>
        <w:pStyle w:val="BodyText"/>
        <w:spacing w:line="240" w:lineRule="auto" w:before="43"/>
        <w:ind w:left="575" w:right="0"/>
        <w:jc w:val="left"/>
      </w:pPr>
      <w:r>
        <w:rPr/>
        <w:t>1）终止确认部分的账面价值；</w:t>
      </w:r>
    </w:p>
    <w:p>
      <w:pPr>
        <w:spacing w:line="240" w:lineRule="auto" w:before="12"/>
        <w:rPr>
          <w:rFonts w:ascii="宋体" w:hAnsi="宋体" w:cs="宋体" w:eastAsia="宋体" w:hint="default"/>
          <w:sz w:val="14"/>
          <w:szCs w:val="14"/>
        </w:rPr>
      </w:pPr>
    </w:p>
    <w:p>
      <w:pPr>
        <w:pStyle w:val="BodyText"/>
        <w:spacing w:line="405" w:lineRule="auto"/>
        <w:ind w:right="153" w:firstLine="422"/>
        <w:jc w:val="both"/>
      </w:pPr>
      <w:r>
        <w:rPr/>
        <w:t>2）终止确认部分的对价，与原直接计入所有者权益的公允价值变动累计额中对应终止确认部分的金</w:t>
      </w:r>
      <w:r>
        <w:rPr>
          <w:w w:val="100"/>
        </w:rPr>
        <w:t> </w:t>
      </w:r>
      <w:r>
        <w:rPr/>
        <w:t>额（涉及转移的金融资产为可供出售金融资产的情形）之和。</w:t>
      </w:r>
    </w:p>
    <w:p>
      <w:pPr>
        <w:pStyle w:val="BodyText"/>
        <w:spacing w:line="405" w:lineRule="auto" w:before="50"/>
        <w:ind w:right="142" w:firstLine="422"/>
        <w:jc w:val="both"/>
      </w:pPr>
      <w:r>
        <w:rPr>
          <w:spacing w:val="-2"/>
        </w:rPr>
        <w:t>原直接计入所有者权益的公允价值变动累计额中对应终止确认部分的金额，按照金融资产终止确认部</w:t>
      </w:r>
      <w:r>
        <w:rPr>
          <w:w w:val="100"/>
        </w:rPr>
        <w:t> </w:t>
      </w:r>
      <w:r>
        <w:rPr/>
        <w:t>分和未终止确认部分的相对公允价值，对该累计额进行分摊后确定。</w:t>
      </w:r>
    </w:p>
    <w:p>
      <w:pPr>
        <w:pStyle w:val="BodyText"/>
        <w:spacing w:line="405" w:lineRule="auto" w:before="50"/>
        <w:ind w:left="575" w:right="0"/>
        <w:jc w:val="left"/>
      </w:pPr>
      <w:r>
        <w:rPr/>
        <w:t>（5）金融负债的分类</w:t>
      </w:r>
      <w:r>
        <w:rPr>
          <w:spacing w:val="-99"/>
        </w:rPr>
        <w:t> </w:t>
      </w:r>
      <w:r>
        <w:rPr>
          <w:spacing w:val="-99"/>
        </w:rPr>
      </w:r>
      <w:r>
        <w:rPr>
          <w:spacing w:val="-2"/>
        </w:rPr>
        <w:t>金融负债于初始确认时分类为：以公允价值计量且其变动计入当期损益的金融负债和其他金融负债。</w:t>
      </w:r>
    </w:p>
    <w:p>
      <w:pPr>
        <w:pStyle w:val="BodyText"/>
        <w:spacing w:line="405" w:lineRule="auto" w:before="50"/>
        <w:ind w:right="142"/>
        <w:jc w:val="both"/>
      </w:pPr>
      <w:r>
        <w:rPr>
          <w:spacing w:val="-2"/>
        </w:rPr>
        <w:t>以公允价值计量且其变动计入当期损益的金融负债，包括交易性金融负债和初始确认时指定为以公允价值</w:t>
      </w:r>
      <w:r>
        <w:rPr>
          <w:spacing w:val="-34"/>
        </w:rPr>
        <w:t> </w:t>
      </w:r>
      <w:r>
        <w:rPr>
          <w:spacing w:val="-34"/>
        </w:rPr>
      </w:r>
      <w:r>
        <w:rPr/>
        <w:t>计量且其变动计入当期损益的金融负债。</w:t>
      </w:r>
    </w:p>
    <w:p>
      <w:pPr>
        <w:spacing w:after="0" w:line="405" w:lineRule="auto"/>
        <w:jc w:val="both"/>
        <w:sectPr>
          <w:pgSz w:w="11900" w:h="16840"/>
          <w:pgMar w:header="742" w:footer="984" w:top="1060" w:bottom="118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05" w:lineRule="auto"/>
        <w:ind w:left="575" w:right="0"/>
        <w:jc w:val="left"/>
      </w:pPr>
      <w:r>
        <w:rPr/>
        <w:t>（6）金融负债的计量</w:t>
      </w:r>
      <w:r>
        <w:rPr>
          <w:spacing w:val="-99"/>
        </w:rPr>
        <w:t> </w:t>
      </w:r>
      <w:r>
        <w:rPr>
          <w:spacing w:val="-99"/>
        </w:rPr>
      </w:r>
      <w:r>
        <w:rPr>
          <w:spacing w:val="-2"/>
        </w:rPr>
        <w:t>金融负债于本公司成为金融工具合同的一方时，按公允价值在资产负债表内确认。以公允价值计量且</w:t>
      </w:r>
    </w:p>
    <w:p>
      <w:pPr>
        <w:pStyle w:val="BodyText"/>
        <w:spacing w:line="405" w:lineRule="auto" w:before="50"/>
        <w:ind w:right="0"/>
        <w:jc w:val="left"/>
      </w:pPr>
      <w:r>
        <w:rPr>
          <w:spacing w:val="-2"/>
        </w:rPr>
        <w:t>其变动计入当期损益的金融负债，取得时发生的相关交易费用直接计入当期损益；其他金融负债的相关交</w:t>
      </w:r>
      <w:r>
        <w:rPr>
          <w:spacing w:val="-35"/>
        </w:rPr>
        <w:t> </w:t>
      </w:r>
      <w:r>
        <w:rPr>
          <w:spacing w:val="-35"/>
        </w:rPr>
      </w:r>
      <w:r>
        <w:rPr/>
        <w:t>易费用计入初始确认金额。</w:t>
      </w:r>
    </w:p>
    <w:p>
      <w:pPr>
        <w:pStyle w:val="BodyText"/>
        <w:spacing w:line="405" w:lineRule="auto" w:before="50"/>
        <w:ind w:right="141" w:firstLine="422"/>
        <w:jc w:val="both"/>
      </w:pPr>
      <w:r>
        <w:rPr>
          <w:spacing w:val="-2"/>
        </w:rPr>
        <w:t>以公允价值计量且其变动计入当期损益的金融负债，按照公允价值后续计量，且不扣除将来结清金融</w:t>
      </w:r>
      <w:r>
        <w:rPr>
          <w:w w:val="100"/>
        </w:rPr>
        <w:t> </w:t>
      </w:r>
      <w:r>
        <w:rPr/>
        <w:t>负债时可能发生的交易费用。其他金融负债，采用实际利率法，按照摊余成本进行后续计量。</w:t>
      </w:r>
    </w:p>
    <w:p>
      <w:pPr>
        <w:pStyle w:val="BodyText"/>
        <w:spacing w:line="405" w:lineRule="auto" w:before="50"/>
        <w:ind w:left="575" w:right="0"/>
        <w:jc w:val="left"/>
      </w:pPr>
      <w:r>
        <w:rPr/>
        <w:t>（7）金融资产和金融负债的公允价值的确定方法</w:t>
      </w:r>
      <w:r>
        <w:rPr>
          <w:w w:val="100"/>
        </w:rPr>
        <w:t> </w:t>
      </w:r>
      <w:r>
        <w:rPr>
          <w:spacing w:val="-2"/>
        </w:rPr>
        <w:t>存在活跃市场的金融资产或金融负债，采用活跃市场中的报价确定其公允价值。金融工具不存在活跃</w:t>
      </w:r>
    </w:p>
    <w:p>
      <w:pPr>
        <w:pStyle w:val="BodyText"/>
        <w:spacing w:line="405" w:lineRule="auto" w:before="50"/>
        <w:ind w:right="0"/>
        <w:jc w:val="left"/>
      </w:pPr>
      <w:r>
        <w:rPr>
          <w:spacing w:val="-2"/>
        </w:rPr>
        <w:t>市场的，采用估值技术确定其公允价值，估值技术包括参考熟悉情况并自愿交易的各方最近进行的市场交</w:t>
      </w:r>
      <w:r>
        <w:rPr>
          <w:spacing w:val="-35"/>
        </w:rPr>
        <w:t> </w:t>
      </w:r>
      <w:r>
        <w:rPr>
          <w:spacing w:val="-35"/>
        </w:rPr>
      </w:r>
      <w:r>
        <w:rPr>
          <w:spacing w:val="-2"/>
        </w:rPr>
        <w:t>易中使用的价格、参照实质上相同的其他金融工具的当前公允价值、现金流量折现法和期权定价模型等。</w:t>
      </w:r>
    </w:p>
    <w:p>
      <w:pPr>
        <w:pStyle w:val="BodyText"/>
        <w:spacing w:line="405" w:lineRule="auto" w:before="50"/>
        <w:ind w:left="575" w:right="0"/>
        <w:jc w:val="left"/>
      </w:pPr>
      <w:r>
        <w:rPr/>
        <w:t>（8）金融资产减值测试方法及会计处理方法</w:t>
      </w:r>
      <w:r>
        <w:rPr>
          <w:spacing w:val="-103"/>
        </w:rPr>
        <w:t> </w:t>
      </w:r>
      <w:r>
        <w:rPr>
          <w:spacing w:val="-103"/>
        </w:rPr>
      </w:r>
      <w:r>
        <w:rPr>
          <w:spacing w:val="-2"/>
        </w:rPr>
        <w:t>除以公允价值计量且其变动计入当期损益的金融资产外，本公司于资产负债表日对金融资产的账面价</w:t>
      </w:r>
    </w:p>
    <w:p>
      <w:pPr>
        <w:pStyle w:val="BodyText"/>
        <w:spacing w:line="405" w:lineRule="auto" w:before="50"/>
        <w:ind w:left="575" w:right="0" w:hanging="423"/>
        <w:jc w:val="left"/>
      </w:pPr>
      <w:r>
        <w:rPr/>
        <w:t>值进行检查，如果有客观证据表明某项金融资产发生减值的，计提减值准备。</w:t>
      </w:r>
      <w:r>
        <w:rPr>
          <w:w w:val="100"/>
        </w:rPr>
        <w:t> </w:t>
      </w:r>
      <w:r>
        <w:rPr>
          <w:spacing w:val="-2"/>
        </w:rPr>
        <w:t>以摊余成本计量的金融资产发生减值时，按预计未来现金流量(不包括尚未发生的未来信用损失)现值</w:t>
      </w:r>
    </w:p>
    <w:p>
      <w:pPr>
        <w:pStyle w:val="BodyText"/>
        <w:spacing w:line="405" w:lineRule="auto" w:before="50"/>
        <w:ind w:right="0"/>
        <w:jc w:val="left"/>
      </w:pPr>
      <w:r>
        <w:rPr>
          <w:spacing w:val="-2"/>
        </w:rPr>
        <w:t>低于账面价值的差额，计提减值准备。如果有客观证据表明该金融资产价值已恢复，且客观上与确认该损</w:t>
      </w:r>
      <w:r>
        <w:rPr>
          <w:spacing w:val="-36"/>
        </w:rPr>
        <w:t> </w:t>
      </w:r>
      <w:r>
        <w:rPr>
          <w:spacing w:val="-36"/>
        </w:rPr>
      </w:r>
      <w:r>
        <w:rPr/>
        <w:t>失后发生的事项有关，原确认的减值损失予以转回，计入当期损益。</w:t>
      </w:r>
    </w:p>
    <w:p>
      <w:pPr>
        <w:pStyle w:val="BodyText"/>
        <w:spacing w:line="408" w:lineRule="auto" w:before="50"/>
        <w:ind w:right="141" w:firstLine="422"/>
        <w:jc w:val="both"/>
      </w:pPr>
      <w:r>
        <w:rPr>
          <w:spacing w:val="-2"/>
        </w:rPr>
        <w:t>当可供出售金融资产的公允价值发生较大幅度或非暂时性下降，原直接计入所有者权益的因公允价值</w:t>
      </w:r>
      <w:r>
        <w:rPr>
          <w:w w:val="100"/>
        </w:rPr>
        <w:t> </w:t>
      </w:r>
      <w:r>
        <w:rPr>
          <w:spacing w:val="-2"/>
        </w:rPr>
        <w:t>下降形成的累计损失计入减值损失。对已确认减值损失的可供出售债务工具投资，在期后公允价值上升且</w:t>
      </w:r>
      <w:r>
        <w:rPr>
          <w:spacing w:val="-35"/>
        </w:rPr>
        <w:t> </w:t>
      </w:r>
      <w:r>
        <w:rPr>
          <w:spacing w:val="-35"/>
        </w:rPr>
      </w:r>
      <w:r>
        <w:rPr>
          <w:spacing w:val="-2"/>
        </w:rPr>
        <w:t>客观上与确认原减值损失确认后发生的事项有关的，原确认的减值损失予以转回，计入当期损益。对已确</w:t>
      </w:r>
      <w:r>
        <w:rPr>
          <w:spacing w:val="-35"/>
        </w:rPr>
        <w:t> </w:t>
      </w:r>
      <w:r>
        <w:rPr>
          <w:spacing w:val="-35"/>
        </w:rPr>
      </w:r>
      <w:r>
        <w:rPr>
          <w:spacing w:val="-2"/>
        </w:rPr>
        <w:t>认减值损失的可供出售权益工具投资，在期后公允价值上升且客观上与确认原减值损失后发生的事项有关</w:t>
      </w:r>
      <w:r>
        <w:rPr>
          <w:spacing w:val="-34"/>
        </w:rPr>
        <w:t> </w:t>
      </w:r>
      <w:r>
        <w:rPr>
          <w:spacing w:val="-34"/>
        </w:rPr>
      </w:r>
      <w:r>
        <w:rPr>
          <w:spacing w:val="-2"/>
        </w:rPr>
        <w:t>的，原确认的减值损失予以转回，直接计入所有者权益。在活跃市场中没有报价且其公允价值不能可靠计</w:t>
      </w:r>
      <w:r>
        <w:rPr>
          <w:spacing w:val="-36"/>
        </w:rPr>
        <w:t> </w:t>
      </w:r>
      <w:r>
        <w:rPr>
          <w:spacing w:val="-36"/>
        </w:rPr>
      </w:r>
      <w:r>
        <w:rPr/>
        <w:t>量的权益工具投资发生的减值损失，如果在以后期间价值得以恢复，也不予转回。</w:t>
      </w:r>
    </w:p>
    <w:p>
      <w:pPr>
        <w:spacing w:line="240" w:lineRule="auto" w:before="6"/>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6"/>
        <w:gridCol w:w="4781"/>
      </w:tblGrid>
      <w:tr>
        <w:trPr>
          <w:trHeight w:val="715"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单项金额重大的判断依据或金额标准</w:t>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122"/>
              <w:jc w:val="left"/>
              <w:rPr>
                <w:rFonts w:ascii="宋体" w:hAnsi="宋体" w:cs="宋体" w:eastAsia="宋体" w:hint="default"/>
                <w:sz w:val="18"/>
                <w:szCs w:val="18"/>
              </w:rPr>
            </w:pPr>
            <w:r>
              <w:rPr>
                <w:rFonts w:ascii="宋体" w:hAnsi="宋体" w:cs="宋体" w:eastAsia="宋体" w:hint="default"/>
                <w:spacing w:val="-3"/>
                <w:sz w:val="18"/>
                <w:szCs w:val="18"/>
              </w:rPr>
              <w:t>单项金额重大的判断依据为单项金额</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70</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含</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70</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以</w:t>
            </w:r>
            <w:r>
              <w:rPr>
                <w:rFonts w:ascii="宋体" w:hAnsi="宋体" w:cs="宋体" w:eastAsia="宋体" w:hint="default"/>
                <w:spacing w:val="-83"/>
                <w:sz w:val="18"/>
                <w:szCs w:val="18"/>
              </w:rPr>
              <w:t> </w:t>
            </w:r>
            <w:r>
              <w:rPr>
                <w:rFonts w:ascii="宋体" w:hAnsi="宋体" w:cs="宋体" w:eastAsia="宋体" w:hint="default"/>
                <w:sz w:val="18"/>
                <w:szCs w:val="18"/>
              </w:rPr>
              <w:t>上。</w:t>
            </w:r>
          </w:p>
        </w:tc>
      </w:tr>
      <w:tr>
        <w:trPr>
          <w:trHeight w:val="1339"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单项金额重大并单项计提坏账准备的计提方法</w:t>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60"/>
              <w:jc w:val="both"/>
              <w:rPr>
                <w:rFonts w:ascii="宋体" w:hAnsi="宋体" w:cs="宋体" w:eastAsia="宋体" w:hint="default"/>
                <w:sz w:val="18"/>
                <w:szCs w:val="18"/>
              </w:rPr>
            </w:pPr>
            <w:r>
              <w:rPr>
                <w:rFonts w:ascii="宋体" w:hAnsi="宋体" w:cs="宋体" w:eastAsia="宋体" w:hint="default"/>
                <w:spacing w:val="-3"/>
                <w:sz w:val="18"/>
                <w:szCs w:val="18"/>
              </w:rPr>
              <w:t>对于单项金额重大的应收款项，当存在客观证据表明本公司</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3"/>
                <w:sz w:val="18"/>
                <w:szCs w:val="18"/>
              </w:rPr>
              <w:t>将无法按应收款项的原有条款收回所有款项时，确认相应的</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3"/>
                <w:sz w:val="18"/>
                <w:szCs w:val="18"/>
              </w:rPr>
              <w:t>坏账准备，根据该款项预计未来现金流量现值低于其账面价</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3"/>
                <w:sz w:val="18"/>
                <w:szCs w:val="18"/>
              </w:rPr>
              <w:t>值的差额，单独进行减值测试，计提坏账准备</w:t>
            </w:r>
          </w:p>
        </w:tc>
      </w:tr>
    </w:tbl>
    <w:p>
      <w:pPr>
        <w:spacing w:after="0" w:line="316" w:lineRule="auto"/>
        <w:jc w:val="both"/>
        <w:rPr>
          <w:rFonts w:ascii="宋体" w:hAnsi="宋体" w:cs="宋体" w:eastAsia="宋体" w:hint="default"/>
          <w:sz w:val="18"/>
          <w:szCs w:val="18"/>
        </w:rPr>
        <w:sectPr>
          <w:pgSz w:w="11900" w:h="16840"/>
          <w:pgMar w:header="742" w:footer="984" w:top="1060" w:bottom="1180" w:left="980" w:right="980"/>
        </w:sectPr>
      </w:pPr>
    </w:p>
    <w:p>
      <w:pPr>
        <w:spacing w:line="240" w:lineRule="auto" w:before="0"/>
        <w:rPr>
          <w:rFonts w:ascii="Microsoft JhengHei" w:hAnsi="Microsoft JhengHei" w:cs="Microsoft JhengHei" w:eastAsia="Microsoft JhengHei" w:hint="default"/>
          <w:b/>
          <w:bCs/>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6"/>
        <w:gridCol w:w="4781"/>
      </w:tblGrid>
      <w:tr>
        <w:trPr>
          <w:trHeight w:val="394"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8"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按款项性质的组合</w:t>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3"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按款项账龄的组合</w:t>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66"/>
        <w:ind w:left="575" w:right="0"/>
        <w:jc w:val="left"/>
      </w:pPr>
      <w:r>
        <w:rPr/>
        <w:t>组合中，采用账龄分析法计提坏账准备的：</w:t>
      </w:r>
    </w:p>
    <w:p>
      <w:pPr>
        <w:spacing w:line="240" w:lineRule="auto" w:before="12"/>
        <w:rPr>
          <w:rFonts w:ascii="宋体" w:hAnsi="宋体" w:cs="宋体" w:eastAsia="宋体" w:hint="default"/>
          <w:sz w:val="14"/>
          <w:szCs w:val="14"/>
        </w:rPr>
      </w:pPr>
    </w:p>
    <w:p>
      <w:pPr>
        <w:pStyle w:val="BodyText"/>
        <w:spacing w:line="240" w:lineRule="auto"/>
        <w:ind w:left="575" w:right="0"/>
        <w:jc w:val="left"/>
      </w:pPr>
      <w:r>
        <w:rPr/>
        <w:t>√ 适用 □</w:t>
      </w:r>
      <w:r>
        <w:rPr>
          <w:spacing w:val="3"/>
        </w:rPr>
        <w:t> </w:t>
      </w:r>
      <w:r>
        <w:rPr/>
        <w:t>不适用</w:t>
      </w:r>
    </w:p>
    <w:p>
      <w:pPr>
        <w:spacing w:line="240" w:lineRule="auto" w:before="6"/>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2"/>
      </w:tblGrid>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78"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77" w:right="0"/>
              <w:jc w:val="left"/>
              <w:rPr>
                <w:rFonts w:ascii="宋体" w:hAnsi="宋体" w:cs="宋体" w:eastAsia="宋体" w:hint="default"/>
                <w:sz w:val="18"/>
                <w:szCs w:val="18"/>
              </w:rPr>
            </w:pPr>
            <w:r>
              <w:rPr>
                <w:rFonts w:ascii="宋体" w:hAnsi="宋体" w:cs="宋体" w:eastAsia="宋体" w:hint="default"/>
                <w:spacing w:val="-3"/>
                <w:sz w:val="18"/>
                <w:szCs w:val="18"/>
              </w:rPr>
              <w:t>其他应收款计提比例</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p>
        </w:tc>
        <w:tc>
          <w:tcPr>
            <w:tcW w:w="320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5.00%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5.00%</w:t>
            </w:r>
          </w:p>
        </w:tc>
      </w:tr>
      <w:tr>
        <w:trPr>
          <w:trHeight w:val="398"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20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20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50.00%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320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100.00%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20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100.00%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398"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20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100.00%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320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100.00%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100.00%</w:t>
            </w:r>
          </w:p>
        </w:tc>
      </w:tr>
    </w:tbl>
    <w:p>
      <w:pPr>
        <w:pStyle w:val="BodyText"/>
        <w:spacing w:line="240" w:lineRule="auto" w:before="66"/>
        <w:ind w:left="575" w:right="0"/>
        <w:jc w:val="left"/>
      </w:pPr>
      <w:r>
        <w:rPr/>
        <w:t>组合中，采用余额百分比法计提坏账准备的：</w:t>
      </w:r>
    </w:p>
    <w:p>
      <w:pPr>
        <w:spacing w:line="240" w:lineRule="auto" w:before="12"/>
        <w:rPr>
          <w:rFonts w:ascii="宋体" w:hAnsi="宋体" w:cs="宋体" w:eastAsia="宋体" w:hint="default"/>
          <w:sz w:val="14"/>
          <w:szCs w:val="14"/>
        </w:rPr>
      </w:pPr>
    </w:p>
    <w:p>
      <w:pPr>
        <w:pStyle w:val="BodyText"/>
        <w:spacing w:line="405" w:lineRule="auto"/>
        <w:ind w:left="575" w:right="5100"/>
        <w:jc w:val="left"/>
      </w:pPr>
      <w:r>
        <w:rPr/>
        <w:t>□ 适用 √ 不适用</w:t>
      </w:r>
      <w:r>
        <w:rPr>
          <w:spacing w:val="-102"/>
        </w:rPr>
        <w:t> </w:t>
      </w:r>
      <w:r>
        <w:rPr>
          <w:spacing w:val="-102"/>
        </w:rPr>
      </w:r>
      <w:r>
        <w:rPr>
          <w:spacing w:val="-2"/>
        </w:rPr>
        <w:t>组合中，采用其他方法计提坏账准备的：</w:t>
      </w:r>
    </w:p>
    <w:p>
      <w:pPr>
        <w:pStyle w:val="BodyText"/>
        <w:spacing w:line="240" w:lineRule="auto" w:before="50"/>
        <w:ind w:left="575" w:right="0"/>
        <w:jc w:val="left"/>
      </w:pPr>
      <w:r>
        <w:rPr/>
        <w:t>□ 适用 √</w:t>
      </w:r>
      <w:r>
        <w:rPr>
          <w:spacing w:val="3"/>
        </w:rPr>
        <w:t> </w:t>
      </w:r>
      <w:r>
        <w:rPr/>
        <w:t>不适用</w:t>
      </w:r>
    </w:p>
    <w:p>
      <w:pPr>
        <w:spacing w:line="240" w:lineRule="auto" w:before="5"/>
        <w:rPr>
          <w:rFonts w:ascii="宋体" w:hAnsi="宋体" w:cs="宋体" w:eastAsia="宋体" w:hint="default"/>
          <w:sz w:val="26"/>
          <w:szCs w:val="26"/>
        </w:rPr>
      </w:pPr>
    </w:p>
    <w:p>
      <w:pPr>
        <w:pStyle w:val="Heading4"/>
        <w:spacing w:line="240" w:lineRule="auto"/>
        <w:ind w:left="141" w:right="4820"/>
        <w:jc w:val="center"/>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6"/>
        <w:gridCol w:w="4781"/>
      </w:tblGrid>
      <w:tr>
        <w:trPr>
          <w:trHeight w:val="1027"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Microsoft JhengHei" w:hAnsi="Microsoft JhengHei" w:cs="Microsoft JhengHei" w:eastAsia="Microsoft JhengHei"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单项计提坏账准备的理由</w:t>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60"/>
              <w:jc w:val="both"/>
              <w:rPr>
                <w:rFonts w:ascii="宋体" w:hAnsi="宋体" w:cs="宋体" w:eastAsia="宋体" w:hint="default"/>
                <w:sz w:val="18"/>
                <w:szCs w:val="18"/>
              </w:rPr>
            </w:pPr>
            <w:r>
              <w:rPr>
                <w:rFonts w:ascii="宋体" w:hAnsi="宋体" w:cs="宋体" w:eastAsia="宋体" w:hint="default"/>
                <w:spacing w:val="-3"/>
                <w:sz w:val="18"/>
                <w:szCs w:val="18"/>
              </w:rPr>
              <w:t>对于单项金额不重大的应收款项，当存在客观证据表明本公</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3"/>
                <w:sz w:val="18"/>
                <w:szCs w:val="18"/>
              </w:rPr>
              <w:t>司将无法按应收款项的原有条款收回所有款项时，应确认坏</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z w:val="18"/>
                <w:szCs w:val="18"/>
              </w:rPr>
              <w:t>账准备。</w:t>
            </w:r>
          </w:p>
        </w:tc>
      </w:tr>
      <w:tr>
        <w:trPr>
          <w:trHeight w:val="715"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坏账准备的计提方法</w:t>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60"/>
              <w:jc w:val="left"/>
              <w:rPr>
                <w:rFonts w:ascii="宋体" w:hAnsi="宋体" w:cs="宋体" w:eastAsia="宋体" w:hint="default"/>
                <w:sz w:val="18"/>
                <w:szCs w:val="18"/>
              </w:rPr>
            </w:pPr>
            <w:r>
              <w:rPr>
                <w:rFonts w:ascii="宋体" w:hAnsi="宋体" w:cs="宋体" w:eastAsia="宋体" w:hint="default"/>
                <w:spacing w:val="-3"/>
                <w:sz w:val="18"/>
                <w:szCs w:val="18"/>
              </w:rPr>
              <w:t>根据该款项预计未来现金流量现值低于其账面价值的差额，</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3"/>
                <w:sz w:val="18"/>
                <w:szCs w:val="18"/>
              </w:rPr>
              <w:t>单独进行减值测试，计提坏账准备。</w:t>
            </w:r>
          </w:p>
        </w:tc>
      </w:tr>
    </w:tbl>
    <w:p>
      <w:pPr>
        <w:spacing w:line="240" w:lineRule="auto" w:before="8"/>
        <w:rPr>
          <w:rFonts w:ascii="Microsoft JhengHei" w:hAnsi="Microsoft JhengHei" w:cs="Microsoft JhengHei" w:eastAsia="Microsoft JhengHei" w:hint="default"/>
          <w:b/>
          <w:bCs/>
          <w:sz w:val="14"/>
          <w:szCs w:val="14"/>
        </w:rPr>
      </w:pPr>
    </w:p>
    <w:p>
      <w:pPr>
        <w:pStyle w:val="Heading4"/>
        <w:spacing w:line="335" w:lineRule="exact"/>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405" w:lineRule="auto"/>
        <w:ind w:right="0" w:firstLine="422"/>
        <w:jc w:val="left"/>
      </w:pPr>
      <w:r>
        <w:rPr>
          <w:spacing w:val="-2"/>
        </w:rPr>
        <w:t>存货包括原材料、库存商品、产成品、自制半成品、委托加工材料、在产品、周转材料等，按成本与</w:t>
      </w:r>
      <w:r>
        <w:rPr>
          <w:w w:val="100"/>
        </w:rPr>
        <w:t> </w:t>
      </w:r>
      <w:r>
        <w:rPr/>
        <w:t>可变现净值孰低列示。</w:t>
      </w:r>
    </w:p>
    <w:p>
      <w:pPr>
        <w:spacing w:line="240" w:lineRule="auto" w:before="4"/>
        <w:rPr>
          <w:rFonts w:ascii="宋体" w:hAnsi="宋体" w:cs="宋体" w:eastAsia="宋体" w:hint="default"/>
          <w:sz w:val="15"/>
          <w:szCs w:val="1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after="0" w:line="240" w:lineRule="auto"/>
        <w:jc w:val="left"/>
        <w:sectPr>
          <w:pgSz w:w="11900" w:h="16840"/>
          <w:pgMar w:header="742" w:footer="984" w:top="1060" w:bottom="1180" w:left="980" w:right="980"/>
        </w:sectPr>
      </w:pPr>
    </w:p>
    <w:p>
      <w:pPr>
        <w:spacing w:line="240" w:lineRule="auto" w:before="7"/>
        <w:rPr>
          <w:rFonts w:ascii="Microsoft JhengHei" w:hAnsi="Microsoft JhengHei" w:cs="Microsoft JhengHei" w:eastAsia="Microsoft JhengHei" w:hint="default"/>
          <w:b/>
          <w:bCs/>
          <w:sz w:val="23"/>
          <w:szCs w:val="23"/>
        </w:rPr>
      </w:pPr>
    </w:p>
    <w:p>
      <w:pPr>
        <w:pStyle w:val="BodyText"/>
        <w:spacing w:line="405" w:lineRule="auto" w:before="36"/>
        <w:ind w:left="575" w:right="111"/>
        <w:jc w:val="left"/>
      </w:pPr>
      <w:r>
        <w:rPr/>
        <w:t>计价方法：加权平均法</w:t>
      </w:r>
      <w:r>
        <w:rPr>
          <w:w w:val="100"/>
        </w:rPr>
        <w:t> </w:t>
      </w:r>
      <w:r>
        <w:rPr>
          <w:spacing w:val="-2"/>
        </w:rPr>
        <w:t>存货发出时的成本按加权平均法核算，产成品和在产品成本包括原材料、直接人工以及在正常生产能</w:t>
      </w:r>
    </w:p>
    <w:p>
      <w:pPr>
        <w:pStyle w:val="BodyText"/>
        <w:spacing w:line="240" w:lineRule="auto" w:before="50"/>
        <w:ind w:right="111"/>
        <w:jc w:val="left"/>
      </w:pPr>
      <w:r>
        <w:rPr/>
        <w:t>力下按照一定方法分配的制造费用。周转材料包括低值易耗品和包装物等。</w:t>
      </w:r>
    </w:p>
    <w:p>
      <w:pPr>
        <w:spacing w:line="240" w:lineRule="auto" w:before="13"/>
        <w:rPr>
          <w:rFonts w:ascii="宋体" w:hAnsi="宋体" w:cs="宋体" w:eastAsia="宋体" w:hint="default"/>
          <w:sz w:val="25"/>
          <w:szCs w:val="25"/>
        </w:rPr>
      </w:pPr>
    </w:p>
    <w:p>
      <w:pPr>
        <w:pStyle w:val="Heading4"/>
        <w:spacing w:line="240" w:lineRule="auto"/>
        <w:ind w:right="111"/>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410" w:lineRule="auto"/>
        <w:ind w:right="111" w:firstLine="422"/>
        <w:jc w:val="left"/>
      </w:pPr>
      <w:r>
        <w:rPr>
          <w:spacing w:val="-5"/>
        </w:rPr>
        <w:t>存货成本高于其可变现净值的，计提存货跌价准备，计入当期损益。可变现净值，是指在日常活动中，</w:t>
      </w:r>
      <w:r>
        <w:rPr>
          <w:w w:val="100"/>
        </w:rPr>
        <w:t> </w:t>
      </w:r>
      <w:r>
        <w:rPr/>
        <w:t>存货的估计售价减去至完工时估计将要发生的成本、估计的销售费用以及相关税费后的金额。公司确定存</w:t>
      </w:r>
      <w:r>
        <w:rPr>
          <w:w w:val="100"/>
        </w:rPr>
        <w:t> </w:t>
      </w:r>
      <w:r>
        <w:rPr/>
        <w:t>货的可变现净值，以取得的确凿证据为基础，并且考虑持有存货的目的、资产负债表日后事项的影响等因</w:t>
      </w:r>
      <w:r>
        <w:rPr>
          <w:w w:val="100"/>
        </w:rPr>
        <w:t> </w:t>
      </w:r>
      <w:r>
        <w:rPr/>
        <w:t>素。</w:t>
      </w:r>
    </w:p>
    <w:p>
      <w:pPr>
        <w:pStyle w:val="BodyText"/>
        <w:spacing w:line="410" w:lineRule="auto" w:before="41"/>
        <w:ind w:right="111" w:firstLine="422"/>
        <w:jc w:val="left"/>
      </w:pPr>
      <w:r>
        <w:rPr>
          <w:spacing w:val="-2"/>
        </w:rPr>
        <w:t>为生产而持有的材料等，用其生产的产成品的可变现净值高于成本的，该材料仍然按照成本计量；材</w:t>
      </w:r>
      <w:r>
        <w:rPr>
          <w:w w:val="100"/>
        </w:rPr>
        <w:t> </w:t>
      </w:r>
      <w:r>
        <w:rPr/>
        <w:t>料价格的下降表明产成品的可变现净值低于成本的，该材料按照可变现净值计量。</w:t>
      </w:r>
    </w:p>
    <w:p>
      <w:pPr>
        <w:pStyle w:val="BodyText"/>
        <w:spacing w:line="410" w:lineRule="auto" w:before="41"/>
        <w:ind w:right="111" w:firstLine="422"/>
        <w:jc w:val="left"/>
      </w:pPr>
      <w:r>
        <w:rPr>
          <w:spacing w:val="-2"/>
        </w:rPr>
        <w:t>为执行销售合同或者劳务合同而持有的存货，其可变现净值以合同价格为基础计算。持有存货的数量</w:t>
      </w:r>
      <w:r>
        <w:rPr>
          <w:w w:val="100"/>
        </w:rPr>
        <w:t> </w:t>
      </w:r>
      <w:r>
        <w:rPr/>
        <w:t>多于销售合同订购数量的，超出部分的存货的可变现净值以一般销售价格为基础计算。</w:t>
      </w:r>
    </w:p>
    <w:p>
      <w:pPr>
        <w:spacing w:line="240" w:lineRule="auto" w:before="8"/>
        <w:rPr>
          <w:rFonts w:ascii="宋体" w:hAnsi="宋体" w:cs="宋体" w:eastAsia="宋体" w:hint="default"/>
          <w:sz w:val="14"/>
          <w:szCs w:val="14"/>
        </w:rPr>
      </w:pPr>
    </w:p>
    <w:p>
      <w:pPr>
        <w:pStyle w:val="Heading4"/>
        <w:spacing w:line="240" w:lineRule="auto"/>
        <w:ind w:right="111"/>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410" w:lineRule="auto"/>
        <w:ind w:left="575" w:right="4453"/>
        <w:jc w:val="left"/>
      </w:pPr>
      <w:r>
        <w:rPr/>
        <w:t>盘存制度：永续盘存制</w:t>
      </w:r>
      <w:r>
        <w:rPr>
          <w:w w:val="100"/>
        </w:rPr>
        <w:t> </w:t>
      </w:r>
      <w:r>
        <w:rPr>
          <w:spacing w:val="-2"/>
        </w:rPr>
        <w:t>存货盘存制度采用永续盘存制。</w:t>
      </w:r>
    </w:p>
    <w:p>
      <w:pPr>
        <w:spacing w:line="240" w:lineRule="auto" w:before="8"/>
        <w:rPr>
          <w:rFonts w:ascii="宋体" w:hAnsi="宋体" w:cs="宋体" w:eastAsia="宋体" w:hint="default"/>
          <w:sz w:val="14"/>
          <w:szCs w:val="14"/>
        </w:rPr>
      </w:pPr>
    </w:p>
    <w:p>
      <w:pPr>
        <w:pStyle w:val="Heading4"/>
        <w:spacing w:line="240" w:lineRule="auto"/>
        <w:ind w:right="111"/>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410" w:lineRule="auto"/>
        <w:ind w:left="575" w:right="7335"/>
        <w:jc w:val="left"/>
      </w:pPr>
      <w:r>
        <w:rPr/>
        <w:t>低值易耗品</w:t>
      </w:r>
      <w:r>
        <w:rPr>
          <w:spacing w:val="-100"/>
        </w:rPr>
        <w:t> </w:t>
      </w:r>
      <w:r>
        <w:rPr>
          <w:spacing w:val="-1"/>
        </w:rPr>
        <w:t>摊销方法：五五摊销法</w:t>
      </w:r>
    </w:p>
    <w:p>
      <w:pPr>
        <w:pStyle w:val="BodyText"/>
        <w:spacing w:line="410" w:lineRule="auto" w:before="41"/>
        <w:ind w:left="575" w:right="4453"/>
        <w:jc w:val="left"/>
      </w:pPr>
      <w:r>
        <w:rPr>
          <w:spacing w:val="-1"/>
        </w:rPr>
        <w:t>低值易耗品在领用时采用五五摊销法核算成本。</w:t>
      </w:r>
      <w:r>
        <w:rPr>
          <w:spacing w:val="-80"/>
        </w:rPr>
        <w:t> </w:t>
      </w:r>
      <w:r>
        <w:rPr>
          <w:spacing w:val="-80"/>
        </w:rPr>
      </w:r>
      <w:r>
        <w:rPr/>
        <w:t>包装物</w:t>
      </w:r>
    </w:p>
    <w:p>
      <w:pPr>
        <w:pStyle w:val="BodyText"/>
        <w:spacing w:line="410" w:lineRule="auto" w:before="41"/>
        <w:ind w:left="575" w:right="4453"/>
        <w:jc w:val="left"/>
      </w:pPr>
      <w:r>
        <w:rPr/>
        <w:t>摊销方法：一次摊销法</w:t>
      </w:r>
      <w:r>
        <w:rPr>
          <w:w w:val="100"/>
        </w:rPr>
        <w:t> </w:t>
      </w:r>
      <w:r>
        <w:rPr>
          <w:spacing w:val="-2"/>
        </w:rPr>
        <w:t>包装物在领用时采用一次转销法核算成本。</w:t>
      </w:r>
    </w:p>
    <w:p>
      <w:pPr>
        <w:spacing w:line="240" w:lineRule="auto" w:before="12"/>
        <w:rPr>
          <w:rFonts w:ascii="宋体" w:hAnsi="宋体" w:cs="宋体" w:eastAsia="宋体" w:hint="default"/>
          <w:sz w:val="14"/>
          <w:szCs w:val="14"/>
        </w:rPr>
      </w:pPr>
    </w:p>
    <w:p>
      <w:pPr>
        <w:pStyle w:val="Heading4"/>
        <w:spacing w:line="240" w:lineRule="auto"/>
        <w:ind w:right="111"/>
        <w:jc w:val="left"/>
        <w:rPr>
          <w:b w:val="0"/>
          <w:bCs w:val="0"/>
        </w:rPr>
      </w:pPr>
      <w:r>
        <w:rPr>
          <w:rFonts w:ascii="Times New Roman" w:hAnsi="Times New Roman" w:cs="Times New Roman" w:eastAsia="Times New Roman" w:hint="default"/>
        </w:rPr>
        <w:t>13</w:t>
      </w:r>
      <w:r>
        <w:rPr/>
        <w:t>、划分为持有待售资产</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240" w:lineRule="auto"/>
        <w:ind w:left="575" w:right="111"/>
        <w:jc w:val="left"/>
      </w:pPr>
      <w:r>
        <w:rPr/>
        <w:t>同时满足下列条件的资产，确认为持有待售资产：</w:t>
      </w:r>
    </w:p>
    <w:p>
      <w:pPr>
        <w:spacing w:line="240" w:lineRule="auto" w:before="8"/>
        <w:rPr>
          <w:rFonts w:ascii="宋体" w:hAnsi="宋体" w:cs="宋体" w:eastAsia="宋体" w:hint="default"/>
          <w:sz w:val="14"/>
          <w:szCs w:val="14"/>
        </w:rPr>
      </w:pPr>
    </w:p>
    <w:p>
      <w:pPr>
        <w:pStyle w:val="BodyText"/>
        <w:spacing w:line="240" w:lineRule="auto"/>
        <w:ind w:left="575" w:right="111"/>
        <w:jc w:val="left"/>
      </w:pPr>
      <w:r>
        <w:rPr/>
        <w:t>（1）该资产必须在其当期状况下仅根据出售此类资产的通常和惯用条款即可立即出售；</w:t>
      </w:r>
    </w:p>
    <w:p>
      <w:pPr>
        <w:spacing w:line="240" w:lineRule="auto" w:before="12"/>
        <w:rPr>
          <w:rFonts w:ascii="宋体" w:hAnsi="宋体" w:cs="宋体" w:eastAsia="宋体" w:hint="default"/>
          <w:sz w:val="14"/>
          <w:szCs w:val="14"/>
        </w:rPr>
      </w:pPr>
    </w:p>
    <w:p>
      <w:pPr>
        <w:pStyle w:val="BodyText"/>
        <w:spacing w:line="240" w:lineRule="auto"/>
        <w:ind w:left="575" w:right="111"/>
        <w:jc w:val="left"/>
      </w:pPr>
      <w:r>
        <w:rPr/>
        <w:t>（2）公司已经就处置该部分资产作出决议；</w:t>
      </w:r>
    </w:p>
    <w:p>
      <w:pPr>
        <w:spacing w:after="0" w:line="240" w:lineRule="auto"/>
        <w:jc w:val="left"/>
        <w:sectPr>
          <w:pgSz w:w="11900" w:h="16840"/>
          <w:pgMar w:header="742" w:footer="984" w:top="1060" w:bottom="1180" w:left="980" w:right="9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05" w:lineRule="auto"/>
        <w:ind w:left="575" w:right="2582"/>
        <w:jc w:val="left"/>
      </w:pPr>
      <w:r>
        <w:rPr>
          <w:spacing w:val="-2"/>
        </w:rPr>
        <w:t>（3）公司已经与受让方签订了不可撤销的转让协议；</w:t>
      </w:r>
      <w:r>
        <w:rPr>
          <w:spacing w:val="-60"/>
        </w:rPr>
        <w:t> </w:t>
      </w:r>
      <w:r>
        <w:rPr>
          <w:spacing w:val="-60"/>
        </w:rPr>
      </w:r>
      <w:r>
        <w:rPr/>
        <w:t>该项转让将在一年内完成。</w:t>
      </w:r>
    </w:p>
    <w:p>
      <w:pPr>
        <w:spacing w:line="240" w:lineRule="auto" w:before="8"/>
        <w:rPr>
          <w:rFonts w:ascii="宋体" w:hAnsi="宋体" w:cs="宋体" w:eastAsia="宋体" w:hint="default"/>
          <w:sz w:val="15"/>
          <w:szCs w:val="15"/>
        </w:rPr>
      </w:pPr>
    </w:p>
    <w:p>
      <w:pPr>
        <w:pStyle w:val="Heading4"/>
        <w:spacing w:line="240" w:lineRule="auto"/>
        <w:ind w:right="111"/>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10" w:lineRule="auto"/>
        <w:ind w:left="575" w:right="111"/>
        <w:jc w:val="left"/>
      </w:pPr>
      <w:r>
        <w:rPr/>
        <w:t>（1）共同控制、重大影响的判断标准</w:t>
      </w:r>
      <w:r>
        <w:rPr>
          <w:spacing w:val="-101"/>
        </w:rPr>
        <w:t> </w:t>
      </w:r>
      <w:r>
        <w:rPr>
          <w:spacing w:val="-101"/>
        </w:rPr>
      </w:r>
      <w:r>
        <w:rPr>
          <w:spacing w:val="-2"/>
        </w:rPr>
        <w:t>按照相关约定对某项安排所共有的控制，并且该安排的相关活动必须经过分享控制权的参与方一致同</w:t>
      </w:r>
    </w:p>
    <w:p>
      <w:pPr>
        <w:pStyle w:val="BodyText"/>
        <w:spacing w:line="410" w:lineRule="auto" w:before="41"/>
        <w:ind w:right="111"/>
        <w:jc w:val="left"/>
      </w:pPr>
      <w:r>
        <w:rPr>
          <w:spacing w:val="-2"/>
        </w:rPr>
        <w:t>意后才能决策，则视为共同控制。如果存在两个或两个以上的参与方组合能够集体控制某项安排的，不视</w:t>
      </w:r>
      <w:r>
        <w:rPr>
          <w:spacing w:val="-35"/>
        </w:rPr>
        <w:t> </w:t>
      </w:r>
      <w:r>
        <w:rPr>
          <w:spacing w:val="-35"/>
        </w:rPr>
      </w:r>
      <w:r>
        <w:rPr/>
        <w:t>为共同控制。</w:t>
      </w:r>
    </w:p>
    <w:p>
      <w:pPr>
        <w:pStyle w:val="BodyText"/>
        <w:spacing w:line="410" w:lineRule="auto" w:before="41"/>
        <w:ind w:right="217" w:firstLine="422"/>
        <w:jc w:val="both"/>
      </w:pPr>
      <w:r>
        <w:rPr>
          <w:spacing w:val="-2"/>
        </w:rPr>
        <w:t>对被投资单位的财务和经营政策有参与决策的权力，但并不能够控制或者与其他方一起共同控制这些</w:t>
      </w:r>
      <w:r>
        <w:rPr>
          <w:w w:val="100"/>
        </w:rPr>
        <w:t> </w:t>
      </w:r>
      <w:r>
        <w:rPr/>
        <w:t>政策的制定，则视为对被投资单位实施重大影响。</w:t>
      </w:r>
    </w:p>
    <w:p>
      <w:pPr>
        <w:pStyle w:val="BodyText"/>
        <w:spacing w:line="410" w:lineRule="auto" w:before="41"/>
        <w:ind w:left="575" w:right="111"/>
        <w:jc w:val="left"/>
      </w:pPr>
      <w:r>
        <w:rPr/>
        <w:t>（2）初始投资成本确定</w:t>
      </w:r>
      <w:r>
        <w:rPr>
          <w:spacing w:val="-103"/>
        </w:rPr>
        <w:t> </w:t>
      </w:r>
      <w:r>
        <w:rPr>
          <w:spacing w:val="-103"/>
        </w:rPr>
      </w:r>
      <w:r>
        <w:rPr/>
        <w:t>企业合并形成的长期股权投资，按照本附注“3.4同一控制下和非同一控制下企业合并的会计处理方</w:t>
      </w:r>
    </w:p>
    <w:p>
      <w:pPr>
        <w:pStyle w:val="BodyText"/>
        <w:spacing w:line="410" w:lineRule="auto" w:before="41"/>
        <w:ind w:right="111"/>
        <w:jc w:val="left"/>
      </w:pPr>
      <w:r>
        <w:rPr>
          <w:spacing w:val="-4"/>
        </w:rPr>
        <w:t>法”的相关内容确认初始投资成本；除企业合并形成的长期股权投资以外，其他方式取得的长期股权投资，</w:t>
      </w:r>
      <w:r>
        <w:rPr>
          <w:spacing w:val="-49"/>
        </w:rPr>
        <w:t> </w:t>
      </w:r>
      <w:r>
        <w:rPr>
          <w:spacing w:val="-49"/>
        </w:rPr>
      </w:r>
      <w:r>
        <w:rPr/>
        <w:t>按照下述方法确认其初始投资成本：</w:t>
      </w:r>
    </w:p>
    <w:p>
      <w:pPr>
        <w:pStyle w:val="BodyText"/>
        <w:spacing w:line="410" w:lineRule="auto" w:before="41"/>
        <w:ind w:right="231" w:firstLine="422"/>
        <w:jc w:val="both"/>
      </w:pPr>
      <w:r>
        <w:rPr/>
        <w:t>1）以支付现金取得的长期股权投资，应当按照实际支付的购买价款作为初始投资成本。初始投资成</w:t>
      </w:r>
      <w:r>
        <w:rPr>
          <w:w w:val="100"/>
        </w:rPr>
        <w:t> </w:t>
      </w:r>
      <w:r>
        <w:rPr/>
        <w:t>本包括与取得长期股权投资直接相关的费用、税金及其他必要支出。</w:t>
      </w:r>
    </w:p>
    <w:p>
      <w:pPr>
        <w:pStyle w:val="BodyText"/>
        <w:spacing w:line="410" w:lineRule="auto" w:before="41"/>
        <w:ind w:right="111" w:firstLine="422"/>
        <w:jc w:val="left"/>
      </w:pPr>
      <w:r>
        <w:rPr>
          <w:spacing w:val="-2"/>
        </w:rPr>
        <w:t>2）以发行权益性证券取得的长期股权投资，应当按照发行权益性证券的公允价值作为初始投资成本。</w:t>
      </w:r>
      <w:r>
        <w:rPr>
          <w:w w:val="100"/>
        </w:rPr>
        <w:t> </w:t>
      </w:r>
      <w:r>
        <w:rPr>
          <w:spacing w:val="-4"/>
        </w:rPr>
        <w:t>与发行权益行证券直接相关的费用，应当按照《企业会计准则第37号——金融工具列报》的有关规定确定。</w:t>
      </w:r>
    </w:p>
    <w:p>
      <w:pPr>
        <w:pStyle w:val="BodyText"/>
        <w:spacing w:line="410" w:lineRule="auto" w:before="41"/>
        <w:ind w:right="222" w:firstLine="422"/>
        <w:jc w:val="both"/>
      </w:pPr>
      <w:r>
        <w:rPr/>
        <w:t>3）在非货币性资产交换具备商业实质和换入资产或换出资产的公允价值能够可靠计量的前提下，非</w:t>
      </w:r>
      <w:r>
        <w:rPr>
          <w:w w:val="100"/>
        </w:rPr>
        <w:t> </w:t>
      </w:r>
      <w:r>
        <w:rPr>
          <w:spacing w:val="-2"/>
        </w:rPr>
        <w:t>货币性资产交换换入的长期股权投资以换出资产的公允价值为基础确定其初始投资成本，除非有确凿证据</w:t>
      </w:r>
      <w:r>
        <w:rPr>
          <w:spacing w:val="-34"/>
        </w:rPr>
        <w:t> </w:t>
      </w:r>
      <w:r>
        <w:rPr>
          <w:spacing w:val="-34"/>
        </w:rPr>
      </w:r>
      <w:r>
        <w:rPr>
          <w:spacing w:val="-2"/>
        </w:rPr>
        <w:t>表明换入资产的公允价值更加可靠；不满足上述前提的非货币性资产交换，以换出资产的账面价值和应支</w:t>
      </w:r>
      <w:r>
        <w:rPr>
          <w:spacing w:val="-35"/>
        </w:rPr>
        <w:t> </w:t>
      </w:r>
      <w:r>
        <w:rPr>
          <w:spacing w:val="-35"/>
        </w:rPr>
      </w:r>
      <w:r>
        <w:rPr/>
        <w:t>付的相关税费作为换入长期股权投资的初始投资成本。</w:t>
      </w:r>
    </w:p>
    <w:p>
      <w:pPr>
        <w:pStyle w:val="BodyText"/>
        <w:spacing w:line="240" w:lineRule="auto" w:before="41"/>
        <w:ind w:left="575" w:right="111"/>
        <w:jc w:val="left"/>
      </w:pPr>
      <w:r>
        <w:rPr/>
        <w:t>4）通过债务重组取得的长期股权投资，其初始投资成本按照公允价值为基础确定。</w:t>
      </w:r>
    </w:p>
    <w:p>
      <w:pPr>
        <w:spacing w:line="240" w:lineRule="auto" w:before="12"/>
        <w:rPr>
          <w:rFonts w:ascii="宋体" w:hAnsi="宋体" w:cs="宋体" w:eastAsia="宋体" w:hint="default"/>
          <w:sz w:val="14"/>
          <w:szCs w:val="14"/>
        </w:rPr>
      </w:pPr>
    </w:p>
    <w:p>
      <w:pPr>
        <w:pStyle w:val="BodyText"/>
        <w:spacing w:line="405" w:lineRule="auto"/>
        <w:ind w:left="575" w:right="6329"/>
        <w:jc w:val="left"/>
      </w:pPr>
      <w:r>
        <w:rPr>
          <w:spacing w:val="-1"/>
        </w:rPr>
        <w:t>（3）后续计量及损益确认方法</w:t>
      </w:r>
      <w:r>
        <w:rPr>
          <w:spacing w:val="-86"/>
        </w:rPr>
        <w:t> </w:t>
      </w:r>
      <w:r>
        <w:rPr>
          <w:spacing w:val="-86"/>
        </w:rPr>
      </w:r>
      <w:r>
        <w:rPr/>
        <w:t>1）</w:t>
      </w:r>
      <w:r>
        <w:rPr>
          <w:spacing w:val="4"/>
        </w:rPr>
        <w:t> </w:t>
      </w:r>
      <w:r>
        <w:rPr/>
        <w:t>成本法后续计量</w:t>
      </w:r>
    </w:p>
    <w:p>
      <w:pPr>
        <w:pStyle w:val="BodyText"/>
        <w:spacing w:line="408" w:lineRule="auto" w:before="50"/>
        <w:ind w:right="222" w:firstLine="422"/>
        <w:jc w:val="both"/>
      </w:pPr>
      <w:r>
        <w:rPr>
          <w:spacing w:val="-2"/>
        </w:rPr>
        <w:t>公司能够对被投资单位实施控制的长期股权投资采用成本法核算，长期股权投资按照初始投资成本计</w:t>
      </w:r>
      <w:r>
        <w:rPr>
          <w:w w:val="100"/>
        </w:rPr>
        <w:t> </w:t>
      </w:r>
      <w:r>
        <w:rPr>
          <w:spacing w:val="-2"/>
        </w:rPr>
        <w:t>价。追加或收回投资调整长期股权投资的成本。被投资单位宣告分派的现金股利或利润，确认为当期投资</w:t>
      </w:r>
      <w:r>
        <w:rPr>
          <w:spacing w:val="-35"/>
        </w:rPr>
        <w:t> </w:t>
      </w:r>
      <w:r>
        <w:rPr>
          <w:spacing w:val="-35"/>
        </w:rPr>
      </w:r>
      <w:r>
        <w:rPr/>
        <w:t>收益。</w:t>
      </w:r>
    </w:p>
    <w:p>
      <w:pPr>
        <w:pStyle w:val="BodyText"/>
        <w:spacing w:line="410" w:lineRule="auto" w:before="43"/>
        <w:ind w:left="575" w:right="111"/>
        <w:jc w:val="left"/>
      </w:pPr>
      <w:r>
        <w:rPr/>
        <w:t>2）权益法后续计量</w:t>
      </w:r>
      <w:r>
        <w:rPr>
          <w:spacing w:val="-101"/>
        </w:rPr>
        <w:t> </w:t>
      </w:r>
      <w:r>
        <w:rPr>
          <w:spacing w:val="-101"/>
        </w:rPr>
      </w:r>
      <w:r>
        <w:rPr>
          <w:spacing w:val="-2"/>
        </w:rPr>
        <w:t>公司对联营企业和合营企业的长期股权投资，采用权益法核算，长期股权投资的初始投资成本大于投</w:t>
      </w:r>
    </w:p>
    <w:p>
      <w:pPr>
        <w:spacing w:after="0" w:line="410" w:lineRule="auto"/>
        <w:jc w:val="left"/>
        <w:sectPr>
          <w:footerReference w:type="default" r:id="rId21"/>
          <w:pgSz w:w="11900" w:h="16840"/>
          <w:pgMar w:footer="984" w:header="742" w:top="1060" w:bottom="1180" w:left="980" w:right="900"/>
          <w:pgNumType w:start="1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08" w:lineRule="auto"/>
        <w:ind w:right="142"/>
        <w:jc w:val="both"/>
      </w:pPr>
      <w:r>
        <w:rPr>
          <w:spacing w:val="-2"/>
        </w:rPr>
        <w:t>资时应享有被投资单位可辨认净资产公允价值份额的，不调整长期股权投资的初始投资成本；长期股权投</w:t>
      </w:r>
      <w:r>
        <w:rPr>
          <w:spacing w:val="-35"/>
        </w:rPr>
        <w:t> </w:t>
      </w:r>
      <w:r>
        <w:rPr>
          <w:spacing w:val="-35"/>
        </w:rPr>
      </w:r>
      <w:r>
        <w:rPr>
          <w:spacing w:val="-2"/>
        </w:rPr>
        <w:t>资的初始投资成本小于投资时应享有被投资单位可辨认净资产公允价值份额的，其差额计入当期损益，同</w:t>
      </w:r>
      <w:r>
        <w:rPr>
          <w:spacing w:val="-35"/>
        </w:rPr>
        <w:t> </w:t>
      </w:r>
      <w:r>
        <w:rPr>
          <w:spacing w:val="-35"/>
        </w:rPr>
      </w:r>
      <w:r>
        <w:rPr/>
        <w:t>时调整长期股权投资的成本。</w:t>
      </w:r>
    </w:p>
    <w:p>
      <w:pPr>
        <w:pStyle w:val="BodyText"/>
        <w:spacing w:line="408" w:lineRule="auto" w:before="43"/>
        <w:ind w:right="137" w:firstLine="422"/>
        <w:jc w:val="both"/>
      </w:pPr>
      <w:r>
        <w:rPr>
          <w:spacing w:val="-2"/>
        </w:rPr>
        <w:t>采用权益法核算时，投资方取得长期股权投资后，按照应享有或应分担的被投资单位实现的净损益和</w:t>
      </w:r>
      <w:r>
        <w:rPr>
          <w:w w:val="100"/>
        </w:rPr>
        <w:t> </w:t>
      </w:r>
      <w:r>
        <w:rPr>
          <w:spacing w:val="-2"/>
        </w:rPr>
        <w:t>其他综合收益的份额，分别确认投资收益和其他综合收益，同时调整长期股权投资的账面价值；投资方按</w:t>
      </w:r>
      <w:r>
        <w:rPr>
          <w:spacing w:val="-35"/>
        </w:rPr>
        <w:t> </w:t>
      </w:r>
      <w:r>
        <w:rPr>
          <w:spacing w:val="-35"/>
        </w:rPr>
      </w:r>
      <w:r>
        <w:rPr>
          <w:spacing w:val="-2"/>
        </w:rPr>
        <w:t>照被投资单位宣告分派的利润或现金股利计算应享有的部分，相应减少长期股权投资的账面价值；投资方</w:t>
      </w:r>
      <w:r>
        <w:rPr>
          <w:spacing w:val="-35"/>
        </w:rPr>
        <w:t> </w:t>
      </w:r>
      <w:r>
        <w:rPr>
          <w:spacing w:val="-35"/>
        </w:rPr>
      </w:r>
      <w:r>
        <w:rPr>
          <w:spacing w:val="-2"/>
        </w:rPr>
        <w:t>对于被投资单位除净损益、其他综合收益和利润分配以外所有者权益的其他变动，调整长期股权投资的账</w:t>
      </w:r>
      <w:r>
        <w:rPr>
          <w:spacing w:val="-35"/>
        </w:rPr>
        <w:t> </w:t>
      </w:r>
      <w:r>
        <w:rPr>
          <w:spacing w:val="-35"/>
        </w:rPr>
      </w:r>
      <w:r>
        <w:rPr>
          <w:spacing w:val="-2"/>
        </w:rPr>
        <w:t>面价值并计入所有者权益。投资方在确认应享有被投资单位净损益的份额时，以取得投资时被投资单位可</w:t>
      </w:r>
      <w:r>
        <w:rPr>
          <w:spacing w:val="-36"/>
        </w:rPr>
        <w:t> </w:t>
      </w:r>
      <w:r>
        <w:rPr>
          <w:spacing w:val="-36"/>
        </w:rPr>
      </w:r>
      <w:r>
        <w:rPr>
          <w:spacing w:val="-2"/>
        </w:rPr>
        <w:t>辨认净资产的公允价值为基础，对被投资单位的净利润进行调整后确认。被投资单位采用的会计政策及会</w:t>
      </w:r>
      <w:r>
        <w:rPr>
          <w:spacing w:val="-35"/>
        </w:rPr>
        <w:t> </w:t>
      </w:r>
      <w:r>
        <w:rPr>
          <w:spacing w:val="-35"/>
        </w:rPr>
      </w:r>
      <w:r>
        <w:rPr>
          <w:spacing w:val="-2"/>
        </w:rPr>
        <w:t>计期间与投资方不一致的，按照投资方的会计政策及会计期间对被投资单位的财务报表进行调整，并据以</w:t>
      </w:r>
      <w:r>
        <w:rPr>
          <w:spacing w:val="-35"/>
        </w:rPr>
        <w:t> </w:t>
      </w:r>
      <w:r>
        <w:rPr>
          <w:spacing w:val="-35"/>
        </w:rPr>
      </w:r>
      <w:r>
        <w:rPr/>
        <w:t>确认投资收益和其他综合收益等。</w:t>
      </w:r>
    </w:p>
    <w:p>
      <w:pPr>
        <w:pStyle w:val="BodyText"/>
        <w:spacing w:line="408" w:lineRule="auto" w:before="43"/>
        <w:ind w:right="122" w:firstLine="422"/>
        <w:jc w:val="both"/>
      </w:pPr>
      <w:r>
        <w:rPr>
          <w:spacing w:val="-2"/>
        </w:rPr>
        <w:t>投资方确认被投资单位发生的净亏损，以长期股权投资的账面价值以及其他实质上构成对被投资单位</w:t>
      </w:r>
      <w:r>
        <w:rPr>
          <w:w w:val="100"/>
        </w:rPr>
        <w:t> </w:t>
      </w:r>
      <w:r>
        <w:rPr>
          <w:spacing w:val="-2"/>
        </w:rPr>
        <w:t>净投资的长期权益减记至零为限，投资方负有承担额外损失义务的除外。被投资单位以后实现净利润的，</w:t>
      </w:r>
      <w:r>
        <w:rPr>
          <w:spacing w:val="-15"/>
        </w:rPr>
        <w:t> </w:t>
      </w:r>
      <w:r>
        <w:rPr>
          <w:spacing w:val="-15"/>
        </w:rPr>
      </w:r>
      <w:r>
        <w:rPr/>
        <w:t>投资方在其收益分享额弥补未确认的亏损分担额后，恢复确认收益分享额。</w:t>
      </w:r>
    </w:p>
    <w:p>
      <w:pPr>
        <w:pStyle w:val="BodyText"/>
        <w:spacing w:line="408" w:lineRule="auto" w:before="48"/>
        <w:ind w:right="142" w:firstLine="422"/>
        <w:jc w:val="both"/>
      </w:pPr>
      <w:r>
        <w:rPr>
          <w:spacing w:val="-2"/>
        </w:rPr>
        <w:t>投资方计算确认应享有或应分担被投资单位的净损益时，与联营企业、合营企业之间发生的未实现内</w:t>
      </w:r>
      <w:r>
        <w:rPr>
          <w:w w:val="100"/>
        </w:rPr>
        <w:t> </w:t>
      </w:r>
      <w:r>
        <w:rPr>
          <w:spacing w:val="-2"/>
        </w:rPr>
        <w:t>部交易损益按照应享有的比例计算归属于投资方的部分，予以抵销，在此基础上确认投资收益。投资方与</w:t>
      </w:r>
      <w:r>
        <w:rPr>
          <w:spacing w:val="-35"/>
        </w:rPr>
        <w:t> </w:t>
      </w:r>
      <w:r>
        <w:rPr>
          <w:spacing w:val="-35"/>
        </w:rPr>
      </w:r>
      <w:r>
        <w:rPr/>
        <w:t>被投资单位发生的未实现内部交易损失，按照《企业会计准则第8号——资产减值》等的有关规定属于资</w:t>
      </w:r>
      <w:r>
        <w:rPr>
          <w:spacing w:val="-33"/>
        </w:rPr>
        <w:t> </w:t>
      </w:r>
      <w:r>
        <w:rPr>
          <w:spacing w:val="-33"/>
        </w:rPr>
      </w:r>
      <w:r>
        <w:rPr/>
        <w:t>产减值损失的，全额确认。</w:t>
      </w:r>
    </w:p>
    <w:p>
      <w:pPr>
        <w:pStyle w:val="BodyText"/>
        <w:spacing w:line="408" w:lineRule="auto" w:before="48"/>
        <w:ind w:right="137" w:firstLine="422"/>
        <w:jc w:val="both"/>
      </w:pPr>
      <w:r>
        <w:rPr>
          <w:spacing w:val="-2"/>
        </w:rPr>
        <w:t>投资方对联营企业的权益性投资，其中一部分通过风险投资机构、共同基金、信托公司或包括投连险</w:t>
      </w:r>
      <w:r>
        <w:rPr>
          <w:w w:val="100"/>
        </w:rPr>
        <w:t> </w:t>
      </w:r>
      <w:r>
        <w:rPr>
          <w:spacing w:val="-2"/>
        </w:rPr>
        <w:t>基金在内的类似主体间接持有的，无论以上主体是否对这部分投资具有重大影响，投资方都按照金融工具</w:t>
      </w:r>
      <w:r>
        <w:rPr>
          <w:spacing w:val="-35"/>
        </w:rPr>
        <w:t> </w:t>
      </w:r>
      <w:r>
        <w:rPr>
          <w:spacing w:val="-35"/>
        </w:rPr>
      </w:r>
      <w:r>
        <w:rPr>
          <w:spacing w:val="-2"/>
        </w:rPr>
        <w:t>政策的有关规定，对间接持有的该部分投资选择以公允价值计量且其变动计入损益，并对其余部分采用权</w:t>
      </w:r>
      <w:r>
        <w:rPr>
          <w:spacing w:val="-35"/>
        </w:rPr>
        <w:t> </w:t>
      </w:r>
      <w:r>
        <w:rPr>
          <w:spacing w:val="-35"/>
        </w:rPr>
      </w:r>
      <w:r>
        <w:rPr/>
        <w:t>益法核算。</w:t>
      </w:r>
    </w:p>
    <w:p>
      <w:pPr>
        <w:pStyle w:val="BodyText"/>
        <w:spacing w:line="405" w:lineRule="auto" w:before="48"/>
        <w:ind w:left="575" w:right="0"/>
        <w:jc w:val="left"/>
      </w:pPr>
      <w:r>
        <w:rPr/>
        <w:t>3） 因追加投资等原因能够对被投资单位施加重大影响或实施共同控制但不构成控制的处理</w:t>
      </w:r>
      <w:r>
        <w:rPr>
          <w:w w:val="100"/>
        </w:rPr>
        <w:t> </w:t>
      </w:r>
      <w:r>
        <w:rPr>
          <w:spacing w:val="-2"/>
        </w:rPr>
        <w:t>按照《企业会计准则第22号——金融工具确认和计量》确定的原持有的股权投资的公允价值加上新增</w:t>
      </w:r>
    </w:p>
    <w:p>
      <w:pPr>
        <w:pStyle w:val="BodyText"/>
        <w:spacing w:line="408" w:lineRule="auto" w:before="50"/>
        <w:ind w:right="142"/>
        <w:jc w:val="both"/>
      </w:pPr>
      <w:r>
        <w:rPr>
          <w:spacing w:val="-2"/>
        </w:rPr>
        <w:t>投资成本之和，作为改按权益法核算的初始投资成本。原持有的股权投资分类为可供出售金融资产的，其</w:t>
      </w:r>
      <w:r>
        <w:rPr>
          <w:spacing w:val="-35"/>
        </w:rPr>
        <w:t> </w:t>
      </w:r>
      <w:r>
        <w:rPr>
          <w:spacing w:val="-35"/>
        </w:rPr>
      </w:r>
      <w:r>
        <w:rPr>
          <w:spacing w:val="-2"/>
        </w:rPr>
        <w:t>公允价值与账面价值之间的差额，以及原计入其他综合收益的累计公允价值变动转入改按权益法核算的当</w:t>
      </w:r>
      <w:r>
        <w:rPr>
          <w:spacing w:val="-34"/>
        </w:rPr>
        <w:t> </w:t>
      </w:r>
      <w:r>
        <w:rPr>
          <w:spacing w:val="-34"/>
        </w:rPr>
      </w:r>
      <w:r>
        <w:rPr/>
        <w:t>期损益。</w:t>
      </w:r>
    </w:p>
    <w:p>
      <w:pPr>
        <w:pStyle w:val="BodyText"/>
        <w:spacing w:line="410" w:lineRule="auto" w:before="43"/>
        <w:ind w:left="575" w:right="0"/>
        <w:jc w:val="left"/>
      </w:pPr>
      <w:r>
        <w:rPr/>
        <w:t>4）处置部分股权的处理</w:t>
      </w:r>
      <w:r>
        <w:rPr>
          <w:spacing w:val="-103"/>
        </w:rPr>
        <w:t> </w:t>
      </w:r>
      <w:r>
        <w:rPr>
          <w:spacing w:val="-103"/>
        </w:rPr>
      </w:r>
      <w:r>
        <w:rPr>
          <w:spacing w:val="-2"/>
        </w:rPr>
        <w:t>因处置部分股权投资等原因丧失了对被投资单位的共同控制或重大影响的，处置后的剩余股权改按本</w:t>
      </w:r>
    </w:p>
    <w:p>
      <w:pPr>
        <w:pStyle w:val="BodyText"/>
        <w:spacing w:line="240" w:lineRule="auto" w:before="41"/>
        <w:ind w:right="0"/>
        <w:jc w:val="both"/>
      </w:pPr>
      <w:r>
        <w:rPr/>
        <w:t>附注“金融工具”的政策核算，其在丧失共同控制或重大影响之日的公允价值与账面价值之间的差额计入</w:t>
      </w:r>
    </w:p>
    <w:p>
      <w:pPr>
        <w:spacing w:after="0" w:line="240" w:lineRule="auto"/>
        <w:jc w:val="both"/>
        <w:sectPr>
          <w:footerReference w:type="default" r:id="rId22"/>
          <w:pgSz w:w="11900" w:h="16840"/>
          <w:pgMar w:footer="984" w:header="742" w:top="1060" w:bottom="1180" w:left="980" w:right="980"/>
          <w:pgNumType w:start="101"/>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05" w:lineRule="auto"/>
        <w:ind w:right="0"/>
        <w:jc w:val="left"/>
      </w:pPr>
      <w:r>
        <w:rPr>
          <w:spacing w:val="-2"/>
        </w:rPr>
        <w:t>当期损益。原股权投资因采用权益法核算而确认的其他综合收益，在终止采用权益法核算时采用与被投资</w:t>
      </w:r>
      <w:r>
        <w:rPr>
          <w:spacing w:val="-35"/>
        </w:rPr>
        <w:t> </w:t>
      </w:r>
      <w:r>
        <w:rPr>
          <w:spacing w:val="-35"/>
        </w:rPr>
      </w:r>
      <w:r>
        <w:rPr/>
        <w:t>单位直接处置相关资产或负债相同的基础进行会计处理。</w:t>
      </w:r>
    </w:p>
    <w:p>
      <w:pPr>
        <w:pStyle w:val="BodyText"/>
        <w:spacing w:line="408" w:lineRule="auto" w:before="50"/>
        <w:ind w:right="202" w:firstLine="422"/>
        <w:jc w:val="both"/>
      </w:pPr>
      <w:r>
        <w:rPr>
          <w:spacing w:val="-2"/>
        </w:rPr>
        <w:t>因处置部分权益性投资等原因丧失了对被投资单位的控制的，在编制个别财务报表时，处置后的剩余</w:t>
      </w:r>
      <w:r>
        <w:rPr>
          <w:w w:val="100"/>
        </w:rPr>
        <w:t> </w:t>
      </w:r>
      <w:r>
        <w:rPr>
          <w:spacing w:val="-2"/>
        </w:rPr>
        <w:t>股权能够对被投资单位实施共同控制或施加重大影响的，改按权益法核算，并对该剩余股权视同自取得时</w:t>
      </w:r>
      <w:r>
        <w:rPr>
          <w:spacing w:val="-35"/>
        </w:rPr>
        <w:t> </w:t>
      </w:r>
      <w:r>
        <w:rPr>
          <w:spacing w:val="-35"/>
        </w:rPr>
      </w:r>
      <w:r>
        <w:rPr>
          <w:spacing w:val="-2"/>
        </w:rPr>
        <w:t>即采用权益法核算进行调整；处置后的剩余股权不能对被投资单位实施共同控制或施加重大影响的，改按</w:t>
      </w:r>
      <w:r>
        <w:rPr>
          <w:spacing w:val="-35"/>
        </w:rPr>
        <w:t> </w:t>
      </w:r>
      <w:r>
        <w:rPr>
          <w:spacing w:val="-35"/>
        </w:rPr>
      </w:r>
      <w:r>
        <w:rPr>
          <w:spacing w:val="-2"/>
        </w:rPr>
        <w:t>本附注“金融工具”的有关政策进行会计处理，其在丧失控制之日的公允价值与账面价值间的差额计入当</w:t>
      </w:r>
      <w:r>
        <w:rPr>
          <w:spacing w:val="-35"/>
        </w:rPr>
        <w:t> </w:t>
      </w:r>
      <w:r>
        <w:rPr>
          <w:spacing w:val="-35"/>
        </w:rPr>
      </w:r>
      <w:r>
        <w:rPr/>
        <w:t>期损益。在编制合并财务报表时，按照本附注“合并财务报表的编制方法”的相关内容处理。</w:t>
      </w:r>
    </w:p>
    <w:p>
      <w:pPr>
        <w:pStyle w:val="BodyText"/>
        <w:spacing w:line="410" w:lineRule="auto" w:before="43"/>
        <w:ind w:left="575" w:right="0"/>
        <w:jc w:val="left"/>
      </w:pPr>
      <w:r>
        <w:rPr/>
        <w:t>5）对联营企业或合营企业的权益性投资全部或部分分类为持有待售资产的处理</w:t>
      </w:r>
      <w:r>
        <w:rPr>
          <w:w w:val="100"/>
        </w:rPr>
        <w:t> </w:t>
      </w:r>
      <w:r>
        <w:rPr>
          <w:spacing w:val="-2"/>
        </w:rPr>
        <w:t>分类为持有待售资产的对联营企业或合营企业的权益性投资，以账面价值与公允价值减去处置费用孰</w:t>
      </w:r>
    </w:p>
    <w:p>
      <w:pPr>
        <w:pStyle w:val="BodyText"/>
        <w:spacing w:line="410" w:lineRule="auto" w:before="41"/>
        <w:ind w:right="0"/>
        <w:jc w:val="left"/>
      </w:pPr>
      <w:r>
        <w:rPr>
          <w:spacing w:val="-2"/>
        </w:rPr>
        <w:t>低的金额列示，公允价值减去处置费用低于原账面价值的金额，确认为资产减值损失。对于未划分为持有</w:t>
      </w:r>
      <w:r>
        <w:rPr>
          <w:spacing w:val="-35"/>
        </w:rPr>
        <w:t> </w:t>
      </w:r>
      <w:r>
        <w:rPr>
          <w:spacing w:val="-35"/>
        </w:rPr>
      </w:r>
      <w:r>
        <w:rPr>
          <w:spacing w:val="-2"/>
        </w:rPr>
        <w:t>待售资产的剩余权益性投资，采用权益法进行会计处理。已划分为持有待售的对联营企业或合营企业的权</w:t>
      </w:r>
      <w:r>
        <w:rPr>
          <w:spacing w:val="-36"/>
        </w:rPr>
        <w:t> </w:t>
      </w:r>
      <w:r>
        <w:rPr>
          <w:spacing w:val="-36"/>
        </w:rPr>
      </w:r>
      <w:r>
        <w:rPr>
          <w:spacing w:val="-4"/>
        </w:rPr>
        <w:t>益性投资，不再符合持有待售资产分类条件的，从被分类为持有待售资产之日起采用权益法进行追溯调整。</w:t>
      </w:r>
      <w:r>
        <w:rPr>
          <w:spacing w:val="-50"/>
        </w:rPr>
        <w:t> </w:t>
      </w:r>
      <w:r>
        <w:rPr>
          <w:spacing w:val="-50"/>
        </w:rPr>
      </w:r>
      <w:r>
        <w:rPr/>
        <w:t>分类为持有待售期间的财务报表作相应调整。</w:t>
      </w:r>
    </w:p>
    <w:p>
      <w:pPr>
        <w:pStyle w:val="BodyText"/>
        <w:spacing w:line="410" w:lineRule="auto" w:before="41"/>
        <w:ind w:left="575" w:right="0"/>
        <w:jc w:val="left"/>
      </w:pPr>
      <w:r>
        <w:rPr/>
        <w:t>6） 处置长期股权投资的处理</w:t>
      </w:r>
      <w:r>
        <w:rPr>
          <w:spacing w:val="-101"/>
        </w:rPr>
        <w:t> </w:t>
      </w:r>
      <w:r>
        <w:rPr>
          <w:spacing w:val="-101"/>
        </w:rPr>
      </w:r>
      <w:r>
        <w:rPr>
          <w:spacing w:val="-2"/>
        </w:rPr>
        <w:t>处置长期股权投资，其账面价值与实际取得价款之间的差额，计入当期损益。采用权益法核算的长期</w:t>
      </w:r>
    </w:p>
    <w:p>
      <w:pPr>
        <w:pStyle w:val="BodyText"/>
        <w:spacing w:line="410" w:lineRule="auto" w:before="41"/>
        <w:ind w:right="0"/>
        <w:jc w:val="left"/>
      </w:pPr>
      <w:r>
        <w:rPr>
          <w:spacing w:val="-2"/>
        </w:rPr>
        <w:t>股权投资，在处置该项投资时，采用与被投资单位直接处置相关资产或负债相同的基础，按相应比例对原</w:t>
      </w:r>
      <w:r>
        <w:rPr>
          <w:spacing w:val="-35"/>
        </w:rPr>
        <w:t> </w:t>
      </w:r>
      <w:r>
        <w:rPr>
          <w:spacing w:val="-35"/>
        </w:rPr>
      </w:r>
      <w:r>
        <w:rPr/>
        <w:t>计入其他综合收益的部分进行会计处理。</w:t>
      </w:r>
    </w:p>
    <w:p>
      <w:pPr>
        <w:spacing w:line="240" w:lineRule="auto" w:before="12"/>
        <w:rPr>
          <w:rFonts w:ascii="宋体" w:hAnsi="宋体" w:cs="宋体" w:eastAsia="宋体" w:hint="default"/>
          <w:sz w:val="14"/>
          <w:szCs w:val="14"/>
        </w:rPr>
      </w:pPr>
    </w:p>
    <w:p>
      <w:pPr>
        <w:pStyle w:val="Heading4"/>
        <w:spacing w:line="240" w:lineRule="auto"/>
        <w:ind w:right="0"/>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240" w:lineRule="auto"/>
        <w:ind w:left="575" w:right="0"/>
        <w:jc w:val="left"/>
      </w:pPr>
      <w:r>
        <w:rPr/>
        <w:t>投资性房地产计量模式：不适用</w:t>
      </w:r>
    </w:p>
    <w:p>
      <w:pPr>
        <w:spacing w:line="240" w:lineRule="auto" w:before="5"/>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10" w:lineRule="auto"/>
        <w:ind w:right="182" w:firstLine="422"/>
        <w:jc w:val="both"/>
      </w:pPr>
      <w:r>
        <w:rPr>
          <w:spacing w:val="-2"/>
        </w:rPr>
        <w:t>固定资产是指为生产商品、提供劳务、出租或经营管理而持有的，使用寿命超过一个会计年度的有形</w:t>
      </w:r>
      <w:r>
        <w:rPr>
          <w:w w:val="100"/>
        </w:rPr>
        <w:t> </w:t>
      </w:r>
      <w:r>
        <w:rPr>
          <w:spacing w:val="-2"/>
        </w:rPr>
        <w:t>资产。固定资产同时满足下列条件的，才能予以确认：①与该固定资产有关的经济利益很可能流入企业；</w:t>
      </w:r>
    </w:p>
    <w:p>
      <w:pPr>
        <w:pStyle w:val="BodyText"/>
        <w:spacing w:line="240" w:lineRule="auto" w:before="41"/>
        <w:ind w:right="0"/>
        <w:jc w:val="left"/>
      </w:pPr>
      <w:r>
        <w:rPr/>
        <w:t>②该固定资产的成本能够可靠地计量。</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类别</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85"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年折旧率</w:t>
            </w:r>
          </w:p>
        </w:tc>
      </w:tr>
    </w:tbl>
    <w:p>
      <w:pPr>
        <w:spacing w:after="0" w:line="240" w:lineRule="auto"/>
        <w:jc w:val="left"/>
        <w:rPr>
          <w:rFonts w:ascii="宋体" w:hAnsi="宋体" w:cs="宋体" w:eastAsia="宋体" w:hint="default"/>
          <w:sz w:val="18"/>
          <w:szCs w:val="18"/>
        </w:rPr>
        <w:sectPr>
          <w:pgSz w:w="11900" w:h="16840"/>
          <w:pgMar w:header="742" w:footer="984" w:top="1060" w:bottom="1180" w:left="980" w:right="920"/>
        </w:sectPr>
      </w:pPr>
    </w:p>
    <w:p>
      <w:pPr>
        <w:spacing w:line="240" w:lineRule="auto" w:before="12"/>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 w:right="0"/>
              <w:jc w:val="left"/>
              <w:rPr>
                <w:rFonts w:ascii="Times New Roman" w:hAnsi="Times New Roman" w:cs="Times New Roman" w:eastAsia="Times New Roman" w:hint="default"/>
                <w:sz w:val="18"/>
                <w:szCs w:val="18"/>
              </w:rPr>
            </w:pPr>
            <w:r>
              <w:rPr>
                <w:rFonts w:ascii="Times New Roman"/>
                <w:sz w:val="18"/>
              </w:rPr>
              <w:t>30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19%</w:t>
            </w:r>
          </w:p>
        </w:tc>
      </w:tr>
      <w:tr>
        <w:trPr>
          <w:trHeight w:val="398"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 w:right="0"/>
              <w:jc w:val="left"/>
              <w:rPr>
                <w:rFonts w:ascii="Times New Roman" w:hAnsi="Times New Roman" w:cs="Times New Roman" w:eastAsia="Times New Roman" w:hint="default"/>
                <w:sz w:val="18"/>
                <w:szCs w:val="18"/>
              </w:rPr>
            </w:pPr>
            <w:r>
              <w:rPr>
                <w:rFonts w:ascii="Times New Roman"/>
                <w:sz w:val="18"/>
              </w:rPr>
              <w:t>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9.5%</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19%</w:t>
            </w:r>
          </w:p>
        </w:tc>
      </w:tr>
    </w:tbl>
    <w:p>
      <w:pPr>
        <w:spacing w:line="240" w:lineRule="auto" w:before="8"/>
        <w:rPr>
          <w:rFonts w:ascii="Microsoft JhengHei" w:hAnsi="Microsoft JhengHei" w:cs="Microsoft JhengHei" w:eastAsia="Microsoft JhengHei" w:hint="default"/>
          <w:b/>
          <w:bCs/>
          <w:sz w:val="14"/>
          <w:szCs w:val="14"/>
        </w:rPr>
      </w:pPr>
    </w:p>
    <w:p>
      <w:pPr>
        <w:pStyle w:val="Heading4"/>
        <w:spacing w:line="335" w:lineRule="exact"/>
        <w:ind w:right="0"/>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08" w:lineRule="auto"/>
        <w:ind w:right="122" w:firstLine="422"/>
        <w:jc w:val="both"/>
      </w:pPr>
      <w:r>
        <w:rPr>
          <w:spacing w:val="-2"/>
        </w:rPr>
        <w:t>满足下列标准之一的，即应认定为融资租入固定资产在租赁期届满时，租赁固定资产的所有权转移给</w:t>
      </w:r>
      <w:r>
        <w:rPr>
          <w:w w:val="100"/>
        </w:rPr>
        <w:t> </w:t>
      </w:r>
      <w:r>
        <w:rPr>
          <w:spacing w:val="-2"/>
        </w:rPr>
        <w:t>承租人，承租人有购买租赁固定资产的选择权，所订立的购买价款预计将远低于行使选择权时租赁固定资</w:t>
      </w:r>
      <w:r>
        <w:rPr>
          <w:spacing w:val="-35"/>
        </w:rPr>
        <w:t> </w:t>
      </w:r>
      <w:r>
        <w:rPr>
          <w:spacing w:val="-35"/>
        </w:rPr>
      </w:r>
      <w:r>
        <w:rPr>
          <w:spacing w:val="-2"/>
        </w:rPr>
        <w:t>产的公允价值，因而在租赁开始日就可合理地确定承租人将会行使这种选择权。即使固定资产的所有权不</w:t>
      </w:r>
      <w:r>
        <w:rPr>
          <w:spacing w:val="-35"/>
        </w:rPr>
        <w:t> </w:t>
      </w:r>
      <w:r>
        <w:rPr>
          <w:spacing w:val="-35"/>
        </w:rPr>
      </w:r>
      <w:r>
        <w:rPr>
          <w:spacing w:val="-2"/>
        </w:rPr>
        <w:t>转移，但租赁期占租赁固定资产使用寿命的大部分。这里的“大部分”掌握在租赁期占租赁开始日租赁固</w:t>
      </w:r>
      <w:r>
        <w:rPr>
          <w:spacing w:val="-36"/>
        </w:rPr>
        <w:t> </w:t>
      </w:r>
      <w:r>
        <w:rPr>
          <w:spacing w:val="-36"/>
        </w:rPr>
      </w:r>
      <w:r>
        <w:rPr>
          <w:spacing w:val="-2"/>
        </w:rPr>
        <w:t>定资产使用寿命的75％以上，承租人租赁开始日的最低租赁付款额的现值，几乎相当于租赁开始日租赁固</w:t>
      </w:r>
      <w:r>
        <w:rPr>
          <w:spacing w:val="-33"/>
        </w:rPr>
        <w:t> </w:t>
      </w:r>
      <w:r>
        <w:rPr>
          <w:spacing w:val="-33"/>
        </w:rPr>
      </w:r>
      <w:r>
        <w:rPr>
          <w:spacing w:val="-2"/>
        </w:rPr>
        <w:t>定资产公允价值，租赁固定资产性质特殊，如果不作较大改造，只有承租人才能使用。在租赁期开始日，</w:t>
      </w:r>
      <w:r>
        <w:rPr>
          <w:spacing w:val="-15"/>
        </w:rPr>
        <w:t> </w:t>
      </w:r>
      <w:r>
        <w:rPr>
          <w:spacing w:val="-15"/>
        </w:rPr>
      </w:r>
      <w:r>
        <w:rPr/>
        <w:t>承租人应当将租赁开始日租赁固定资产公允价值与最低租赁付款额现值两者中较低者作为租入固定资产</w:t>
      </w:r>
      <w:r>
        <w:rPr>
          <w:spacing w:val="58"/>
        </w:rPr>
        <w:t> </w:t>
      </w:r>
      <w:r>
        <w:rPr>
          <w:spacing w:val="58"/>
        </w:rPr>
      </w:r>
      <w:r>
        <w:rPr/>
        <w:t>的入账价值。</w:t>
      </w:r>
    </w:p>
    <w:p>
      <w:pPr>
        <w:spacing w:line="240" w:lineRule="auto" w:before="1"/>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）在建工程的类别、计量</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10" w:lineRule="auto"/>
        <w:ind w:right="146" w:firstLine="422"/>
        <w:jc w:val="both"/>
      </w:pPr>
      <w:r>
        <w:rPr/>
        <w:t>在建工程按照资金来源分为:募集资金项目在建工程、非募集资金项目在建工程。在建工程按照性质</w:t>
      </w:r>
      <w:r>
        <w:rPr>
          <w:w w:val="100"/>
        </w:rPr>
        <w:t> </w:t>
      </w:r>
      <w:r>
        <w:rPr>
          <w:spacing w:val="-2"/>
        </w:rPr>
        <w:t>分为：土建在建工程、设备在建工程。在建工程按实际发生的成本计量。实际成本包括建筑费用、其他为</w:t>
      </w:r>
      <w:r>
        <w:rPr>
          <w:spacing w:val="-42"/>
        </w:rPr>
        <w:t> </w:t>
      </w:r>
      <w:r>
        <w:rPr>
          <w:spacing w:val="-42"/>
        </w:rPr>
      </w:r>
      <w:r>
        <w:rPr/>
        <w:t>使在建工程达到预定可使用状态所发生的必要支出以及在资产达到预定可使用状态之前所发生的符合资</w:t>
      </w:r>
      <w:r>
        <w:rPr>
          <w:spacing w:val="58"/>
        </w:rPr>
        <w:t> </w:t>
      </w:r>
      <w:r>
        <w:rPr>
          <w:spacing w:val="58"/>
        </w:rPr>
      </w:r>
      <w:r>
        <w:rPr/>
        <w:t>本化条件的借款费用。</w:t>
      </w:r>
    </w:p>
    <w:p>
      <w:pPr>
        <w:spacing w:line="240" w:lineRule="auto" w:before="8"/>
        <w:rPr>
          <w:rFonts w:ascii="宋体" w:hAnsi="宋体" w:cs="宋体" w:eastAsia="宋体" w:hint="default"/>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240" w:lineRule="auto"/>
        <w:ind w:left="575" w:right="0"/>
        <w:jc w:val="left"/>
      </w:pPr>
      <w:r>
        <w:rPr/>
        <w:t>在建工程在达到预定可使用状态时，转入固定资产并自次月起开始计提折旧。</w:t>
      </w:r>
    </w:p>
    <w:p>
      <w:pPr>
        <w:spacing w:line="240" w:lineRule="auto" w:before="5"/>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240" w:lineRule="auto"/>
        <w:ind w:left="575" w:right="0"/>
        <w:jc w:val="left"/>
      </w:pPr>
      <w:r>
        <w:rPr/>
        <w:t>当在建工程的可收回金额低于其账面价值时，账面价值减记至可收回金额。</w:t>
      </w:r>
    </w:p>
    <w:p>
      <w:pPr>
        <w:spacing w:line="240" w:lineRule="auto" w:before="5"/>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spacing w:after="0" w:line="240" w:lineRule="auto"/>
        <w:jc w:val="left"/>
        <w:sectPr>
          <w:pgSz w:w="11900" w:h="16840"/>
          <w:pgMar w:header="742" w:footer="984" w:top="1060" w:bottom="1180" w:left="980" w:right="980"/>
        </w:sectPr>
      </w:pPr>
    </w:p>
    <w:p>
      <w:pPr>
        <w:spacing w:line="240" w:lineRule="auto" w:before="7"/>
        <w:rPr>
          <w:rFonts w:ascii="Microsoft JhengHei" w:hAnsi="Microsoft JhengHei" w:cs="Microsoft JhengHei" w:eastAsia="Microsoft JhengHei" w:hint="default"/>
          <w:b/>
          <w:bCs/>
          <w:sz w:val="23"/>
          <w:szCs w:val="23"/>
        </w:rPr>
      </w:pPr>
    </w:p>
    <w:p>
      <w:pPr>
        <w:pStyle w:val="BodyText"/>
        <w:spacing w:line="405" w:lineRule="auto" w:before="36"/>
        <w:ind w:right="148" w:firstLine="422"/>
        <w:jc w:val="both"/>
      </w:pPr>
      <w:r>
        <w:rPr>
          <w:spacing w:val="2"/>
        </w:rPr>
        <w:t>发生的可直接归属于需要经过相当长时间的购建活动才能达到预定可使用状态之固定资产的购建的</w:t>
      </w:r>
      <w:r>
        <w:rPr>
          <w:w w:val="100"/>
        </w:rPr>
        <w:t> </w:t>
      </w:r>
      <w:r>
        <w:rPr/>
        <w:t>借款费用。</w:t>
      </w:r>
    </w:p>
    <w:p>
      <w:pPr>
        <w:spacing w:line="240" w:lineRule="auto" w:before="4"/>
        <w:rPr>
          <w:rFonts w:ascii="宋体" w:hAnsi="宋体" w:cs="宋体" w:eastAsia="宋体" w:hint="default"/>
          <w:sz w:val="15"/>
          <w:szCs w:val="1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408" w:lineRule="auto"/>
        <w:ind w:right="141" w:firstLine="422"/>
        <w:jc w:val="both"/>
      </w:pPr>
      <w:r>
        <w:rPr>
          <w:spacing w:val="-2"/>
        </w:rPr>
        <w:t>在资产支出及借款费用已经发生、为使资产达到预定可使用状态所必要的购建活动已经开始时，开始</w:t>
      </w:r>
      <w:r>
        <w:rPr>
          <w:w w:val="100"/>
        </w:rPr>
        <w:t> </w:t>
      </w:r>
      <w:r>
        <w:rPr>
          <w:spacing w:val="-2"/>
        </w:rPr>
        <w:t>资本化并计入该资产的成本。当购建的资产达到预定可使用状态时停止资本化，其后发生的借款费用计入</w:t>
      </w:r>
      <w:r>
        <w:rPr>
          <w:spacing w:val="-35"/>
        </w:rPr>
        <w:t> </w:t>
      </w:r>
      <w:r>
        <w:rPr>
          <w:spacing w:val="-35"/>
        </w:rPr>
      </w:r>
      <w:r>
        <w:rPr/>
        <w:t>当期损益。</w:t>
      </w: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410" w:lineRule="auto"/>
        <w:ind w:right="151" w:firstLine="422"/>
        <w:jc w:val="both"/>
      </w:pPr>
      <w:r>
        <w:rPr/>
        <w:t>如果资产的购建活动发生非正常中断，并且中断时间连续超过3个月，暂停借款费用的资本化，直至</w:t>
      </w:r>
      <w:r>
        <w:rPr>
          <w:w w:val="100"/>
        </w:rPr>
        <w:t> </w:t>
      </w:r>
      <w:r>
        <w:rPr/>
        <w:t>资产的购建活动重新开始。</w:t>
      </w:r>
    </w:p>
    <w:p>
      <w:pPr>
        <w:spacing w:line="240" w:lineRule="auto" w:before="8"/>
        <w:rPr>
          <w:rFonts w:ascii="宋体" w:hAnsi="宋体" w:cs="宋体" w:eastAsia="宋体" w:hint="default"/>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408" w:lineRule="auto"/>
        <w:ind w:right="143" w:firstLine="422"/>
        <w:jc w:val="right"/>
      </w:pPr>
      <w:r>
        <w:rPr>
          <w:spacing w:val="2"/>
        </w:rPr>
        <w:t>为购建或者生产符合资本化条件的资产而借入专门借款的，应当以专门借款当期实际发生的利息费</w:t>
      </w:r>
      <w:r>
        <w:rPr>
          <w:w w:val="100"/>
        </w:rPr>
        <w:t> </w:t>
      </w:r>
      <w:r>
        <w:rPr>
          <w:spacing w:val="-2"/>
        </w:rPr>
        <w:t>用，减去将尚未动用的借款资金存入银行取得的利息收入或进行暂时性投资取得的投资收益后的金额确定</w:t>
      </w:r>
      <w:r>
        <w:rPr>
          <w:spacing w:val="-40"/>
        </w:rPr>
        <w:t> </w:t>
      </w:r>
      <w:r>
        <w:rPr>
          <w:spacing w:val="-40"/>
        </w:rPr>
      </w:r>
      <w:r>
        <w:rPr>
          <w:spacing w:val="-2"/>
        </w:rPr>
        <w:t>为购建或者生产符合资本化条件的资产而占用了一般借款的，企业应当根据累计资产支出超过专门借</w:t>
      </w:r>
      <w:r>
        <w:rPr>
          <w:w w:val="100"/>
        </w:rPr>
        <w:t> </w:t>
      </w:r>
      <w:r>
        <w:rPr/>
        <w:t>款部分的资产支出加权平均数乘以所占用一般借款的资本化率，计算确定一般借款应予资本化的利息金</w:t>
      </w:r>
      <w:r>
        <w:rPr>
          <w:spacing w:val="35"/>
        </w:rPr>
        <w:t> </w:t>
      </w:r>
      <w:r>
        <w:rPr>
          <w:spacing w:val="35"/>
        </w:rPr>
      </w:r>
      <w:r>
        <w:rPr>
          <w:spacing w:val="-2"/>
        </w:rPr>
        <w:t>额。资本化率应当根据一般借款加权平均利率计算确定。借款存在折价或者溢价的，按照实际利率法确定</w:t>
      </w:r>
    </w:p>
    <w:p>
      <w:pPr>
        <w:pStyle w:val="BodyText"/>
        <w:spacing w:line="240" w:lineRule="auto" w:before="48"/>
        <w:ind w:right="0"/>
        <w:jc w:val="left"/>
      </w:pPr>
      <w:r>
        <w:rPr/>
        <w:t>每一会计期间应摊销的折价或者溢价金额，调整每期利息金额。</w:t>
      </w:r>
    </w:p>
    <w:p>
      <w:pPr>
        <w:spacing w:line="240" w:lineRule="auto" w:before="5"/>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17"/>
        <w:rPr>
          <w:rFonts w:ascii="Microsoft JhengHei" w:hAnsi="Microsoft JhengHei" w:cs="Microsoft JhengHei" w:eastAsia="Microsoft JhengHei" w:hint="default"/>
          <w:b/>
          <w:bCs/>
          <w:sz w:val="18"/>
          <w:szCs w:val="18"/>
        </w:rPr>
      </w:pPr>
    </w:p>
    <w:p>
      <w:pPr>
        <w:pStyle w:val="Heading4"/>
        <w:spacing w:line="240" w:lineRule="auto"/>
        <w:ind w:left="575" w:right="0"/>
        <w:jc w:val="left"/>
        <w:rPr>
          <w:b w:val="0"/>
          <w:bCs w:val="0"/>
        </w:rPr>
      </w:pPr>
      <w:r>
        <w:rPr/>
        <w:t>①无形资产的计价方法</w:t>
      </w:r>
      <w:r>
        <w:rPr>
          <w:b w:val="0"/>
          <w:bCs w:val="0"/>
        </w:rPr>
      </w:r>
    </w:p>
    <w:p>
      <w:pPr>
        <w:pStyle w:val="BodyText"/>
        <w:spacing w:line="410" w:lineRule="auto" w:before="167"/>
        <w:ind w:right="137" w:firstLine="422"/>
        <w:jc w:val="both"/>
      </w:pPr>
      <w:r>
        <w:rPr>
          <w:spacing w:val="-2"/>
        </w:rPr>
        <w:t>外购无形资产的成本，包括购买价款、相关税费以及直接归属于使该项资产达到预定用途所发生的其</w:t>
      </w:r>
      <w:r>
        <w:rPr>
          <w:w w:val="100"/>
        </w:rPr>
        <w:t> </w:t>
      </w:r>
      <w:r>
        <w:rPr/>
        <w:t>他支出。</w:t>
      </w:r>
    </w:p>
    <w:p>
      <w:pPr>
        <w:pStyle w:val="BodyText"/>
        <w:spacing w:line="410" w:lineRule="auto" w:before="41"/>
        <w:ind w:right="142" w:firstLine="422"/>
        <w:jc w:val="both"/>
      </w:pPr>
      <w:r>
        <w:rPr>
          <w:spacing w:val="-2"/>
        </w:rPr>
        <w:t>投资者投入无形资产的成本，应当按照投资合同或协议约定的价值确定，但合同或协议约定价值不公</w:t>
      </w:r>
      <w:r>
        <w:rPr>
          <w:w w:val="100"/>
        </w:rPr>
        <w:t> </w:t>
      </w:r>
      <w:r>
        <w:rPr/>
        <w:t>允的除外。</w:t>
      </w:r>
    </w:p>
    <w:p>
      <w:pPr>
        <w:pStyle w:val="BodyText"/>
        <w:spacing w:line="410" w:lineRule="auto" w:before="41"/>
        <w:ind w:right="142" w:firstLine="422"/>
        <w:jc w:val="both"/>
      </w:pPr>
      <w:r>
        <w:rPr>
          <w:spacing w:val="-2"/>
        </w:rPr>
        <w:t>自行开发的无形资产，其成本包括开发阶段至达到预定用途前所发生的支出总额，但是对于以前期间</w:t>
      </w:r>
      <w:r>
        <w:rPr>
          <w:w w:val="100"/>
        </w:rPr>
        <w:t> </w:t>
      </w:r>
      <w:r>
        <w:rPr/>
        <w:t>已经费用化的支出不再调整。</w:t>
      </w:r>
    </w:p>
    <w:p>
      <w:pPr>
        <w:spacing w:after="0" w:line="410" w:lineRule="auto"/>
        <w:jc w:val="both"/>
        <w:sectPr>
          <w:pgSz w:w="11900" w:h="16840"/>
          <w:pgMar w:header="742" w:footer="984" w:top="1060" w:bottom="1180" w:left="980" w:right="980"/>
        </w:sectPr>
      </w:pPr>
    </w:p>
    <w:p>
      <w:pPr>
        <w:spacing w:line="240" w:lineRule="auto" w:before="0"/>
        <w:rPr>
          <w:rFonts w:ascii="宋体" w:hAnsi="宋体" w:cs="宋体" w:eastAsia="宋体" w:hint="default"/>
          <w:sz w:val="20"/>
          <w:szCs w:val="20"/>
        </w:rPr>
      </w:pPr>
    </w:p>
    <w:p>
      <w:pPr>
        <w:pStyle w:val="Heading4"/>
        <w:spacing w:line="240" w:lineRule="auto" w:before="115"/>
        <w:ind w:left="575" w:right="111"/>
        <w:jc w:val="left"/>
        <w:rPr>
          <w:b w:val="0"/>
          <w:bCs w:val="0"/>
        </w:rPr>
      </w:pPr>
      <w:r>
        <w:rPr/>
        <w:t>②使用寿命有限的无形资产的使用寿命估计情况</w:t>
      </w:r>
      <w:r>
        <w:rPr>
          <w:b w:val="0"/>
          <w:bCs w:val="0"/>
        </w:rPr>
      </w:r>
    </w:p>
    <w:p>
      <w:pPr>
        <w:pStyle w:val="BodyText"/>
        <w:spacing w:line="410" w:lineRule="auto" w:before="167"/>
        <w:ind w:right="111" w:firstLine="422"/>
        <w:jc w:val="left"/>
      </w:pPr>
      <w:r>
        <w:rPr/>
        <w:pict>
          <v:shape style="position:absolute;margin-left:56.16pt;margin-top:51.813648pt;width:485.9pt;height:86.2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09"/>
                    <w:gridCol w:w="2246"/>
                    <w:gridCol w:w="5141"/>
                  </w:tblGrid>
                  <w:tr>
                    <w:trPr>
                      <w:trHeight w:val="427" w:hRule="exact"/>
                    </w:trPr>
                    <w:tc>
                      <w:tcPr>
                        <w:tcW w:w="23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51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27"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5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pacing w:val="-3"/>
                            <w:sz w:val="18"/>
                            <w:szCs w:val="18"/>
                          </w:rPr>
                          <w:t>土地使用权年限</w:t>
                        </w:r>
                      </w:p>
                    </w:tc>
                  </w:tr>
                  <w:tr>
                    <w:trPr>
                      <w:trHeight w:val="427"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5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资产受益期限</w:t>
                        </w:r>
                      </w:p>
                    </w:tc>
                  </w:tr>
                  <w:tr>
                    <w:trPr>
                      <w:trHeight w:val="427"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专利技术</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5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资产受益期限</w:t>
                        </w:r>
                      </w:p>
                    </w:tc>
                  </w:tr>
                </w:tbl>
                <w:p>
                  <w:pPr/>
                </w:p>
              </w:txbxContent>
            </v:textbox>
            <w10:wrap type="none"/>
          </v:shape>
        </w:pict>
      </w:r>
      <w:r>
        <w:rPr>
          <w:spacing w:val="-2"/>
        </w:rPr>
        <w:t>土地使用权按使用年限50年平均摊销。外购土地及建筑物的价款难以在土地使用权与建筑物之间合理</w:t>
      </w:r>
      <w:r>
        <w:rPr>
          <w:w w:val="100"/>
        </w:rPr>
        <w:t> </w:t>
      </w:r>
      <w:r>
        <w:rPr/>
        <w:t>分配的，全部作为固定资产。软件按照使用年限10年平均摊销。专利技术按照使用年限10年平均摊销。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27"/>
        <w:ind w:left="575" w:right="111"/>
        <w:jc w:val="left"/>
        <w:rPr>
          <w:b w:val="0"/>
          <w:bCs w:val="0"/>
        </w:rPr>
      </w:pPr>
      <w:r>
        <w:rPr/>
        <w:t>③使用寿命不确定的无形资产的判断依据</w:t>
      </w:r>
      <w:r>
        <w:rPr>
          <w:b w:val="0"/>
          <w:bCs w:val="0"/>
        </w:rPr>
      </w:r>
    </w:p>
    <w:p>
      <w:pPr>
        <w:pStyle w:val="BodyText"/>
        <w:spacing w:line="240" w:lineRule="auto" w:before="171"/>
        <w:ind w:left="575" w:right="111"/>
        <w:jc w:val="left"/>
      </w:pPr>
      <w:r>
        <w:rPr/>
        <w:t>无法预见无形资产为企业带来未来经济利益期限的，应确认为使用寿命不确定的无形资产。</w:t>
      </w:r>
    </w:p>
    <w:p>
      <w:pPr>
        <w:pStyle w:val="Heading4"/>
        <w:spacing w:line="240" w:lineRule="auto" w:before="124"/>
        <w:ind w:left="575" w:right="111"/>
        <w:jc w:val="left"/>
        <w:rPr>
          <w:b w:val="0"/>
          <w:bCs w:val="0"/>
        </w:rPr>
      </w:pPr>
      <w:r>
        <w:rPr/>
        <w:t>④无形资产减值准备的计提</w:t>
      </w:r>
      <w:r>
        <w:rPr>
          <w:b w:val="0"/>
          <w:bCs w:val="0"/>
        </w:rPr>
      </w:r>
    </w:p>
    <w:p>
      <w:pPr>
        <w:pStyle w:val="BodyText"/>
        <w:spacing w:line="408" w:lineRule="auto" w:before="171"/>
        <w:ind w:right="222" w:firstLine="422"/>
        <w:jc w:val="both"/>
      </w:pPr>
      <w:r>
        <w:rPr>
          <w:spacing w:val="2"/>
        </w:rPr>
        <w:t>当无形资产的公允价值减去处置费用后的净额和资产预计未来现金流量的现值均低于无形资产账面</w:t>
      </w:r>
      <w:r>
        <w:rPr>
          <w:w w:val="100"/>
        </w:rPr>
        <w:t> </w:t>
      </w:r>
      <w:r>
        <w:rPr>
          <w:spacing w:val="-2"/>
        </w:rPr>
        <w:t>价值时，确认无形资产存在减值迹象。无形资产存在减值迹象的，其账面价值减记至可收回金额。可收回</w:t>
      </w:r>
      <w:r>
        <w:rPr>
          <w:spacing w:val="-35"/>
        </w:rPr>
        <w:t> </w:t>
      </w:r>
      <w:r>
        <w:rPr>
          <w:spacing w:val="-35"/>
        </w:rPr>
      </w:r>
      <w:r>
        <w:rPr/>
        <w:t>金额根据无形资产的公允价值减去处置费用后的净额与无形资产预计未来现金流量的现值两者之间较高</w:t>
      </w:r>
      <w:r>
        <w:rPr>
          <w:spacing w:val="58"/>
        </w:rPr>
        <w:t> </w:t>
      </w:r>
      <w:r>
        <w:rPr>
          <w:spacing w:val="58"/>
        </w:rPr>
      </w:r>
      <w:r>
        <w:rPr/>
        <w:t>者确定。</w:t>
      </w:r>
    </w:p>
    <w:p>
      <w:pPr>
        <w:spacing w:line="240" w:lineRule="auto" w:before="6"/>
        <w:rPr>
          <w:rFonts w:ascii="宋体" w:hAnsi="宋体" w:cs="宋体" w:eastAsia="宋体" w:hint="default"/>
          <w:sz w:val="15"/>
          <w:szCs w:val="15"/>
        </w:rPr>
      </w:pPr>
    </w:p>
    <w:p>
      <w:pPr>
        <w:pStyle w:val="Heading4"/>
        <w:spacing w:line="240" w:lineRule="auto"/>
        <w:ind w:right="111"/>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10" w:lineRule="auto"/>
        <w:ind w:right="111" w:firstLine="422"/>
        <w:jc w:val="left"/>
      </w:pPr>
      <w:r>
        <w:rPr>
          <w:spacing w:val="-2"/>
        </w:rPr>
        <w:t>根据内部研究开发项目支出的性质以及研发活动最终形成无形资产是否具有较大不确定性，分为研究</w:t>
      </w:r>
      <w:r>
        <w:rPr>
          <w:w w:val="100"/>
        </w:rPr>
        <w:t> </w:t>
      </w:r>
      <w:r>
        <w:rPr/>
        <w:t>阶段支出和开发阶段支出。</w:t>
      </w:r>
    </w:p>
    <w:p>
      <w:pPr>
        <w:pStyle w:val="BodyText"/>
        <w:spacing w:line="240" w:lineRule="auto" w:before="41"/>
        <w:ind w:left="575" w:right="111"/>
        <w:jc w:val="left"/>
      </w:pPr>
      <w:r>
        <w:rPr>
          <w:spacing w:val="-5"/>
        </w:rPr>
        <w:t>研究阶段的支出，于发生时计入当期损益；开发阶段的支出，同时满足下列条件的，确认为无形资产：</w:t>
      </w:r>
    </w:p>
    <w:p>
      <w:pPr>
        <w:spacing w:line="240" w:lineRule="auto" w:before="12"/>
        <w:rPr>
          <w:rFonts w:ascii="宋体" w:hAnsi="宋体" w:cs="宋体" w:eastAsia="宋体" w:hint="default"/>
          <w:sz w:val="14"/>
          <w:szCs w:val="14"/>
        </w:rPr>
      </w:pPr>
    </w:p>
    <w:p>
      <w:pPr>
        <w:pStyle w:val="BodyText"/>
        <w:spacing w:line="240" w:lineRule="auto"/>
        <w:ind w:left="575" w:right="111"/>
        <w:jc w:val="left"/>
      </w:pPr>
      <w:r>
        <w:rPr/>
        <w:t>①完成该无形资产以使其能够使用或出售在技术上具有可行性；</w:t>
      </w:r>
    </w:p>
    <w:p>
      <w:pPr>
        <w:spacing w:line="240" w:lineRule="auto" w:before="8"/>
        <w:rPr>
          <w:rFonts w:ascii="宋体" w:hAnsi="宋体" w:cs="宋体" w:eastAsia="宋体" w:hint="default"/>
          <w:sz w:val="14"/>
          <w:szCs w:val="14"/>
        </w:rPr>
      </w:pPr>
    </w:p>
    <w:p>
      <w:pPr>
        <w:pStyle w:val="BodyText"/>
        <w:spacing w:line="240" w:lineRule="auto"/>
        <w:ind w:left="575" w:right="111"/>
        <w:jc w:val="left"/>
      </w:pPr>
      <w:r>
        <w:rPr/>
        <w:t>②管理层具有完成该无形资产并使用或出售的意图；</w:t>
      </w:r>
    </w:p>
    <w:p>
      <w:pPr>
        <w:spacing w:line="240" w:lineRule="auto" w:before="12"/>
        <w:rPr>
          <w:rFonts w:ascii="宋体" w:hAnsi="宋体" w:cs="宋体" w:eastAsia="宋体" w:hint="default"/>
          <w:sz w:val="14"/>
          <w:szCs w:val="14"/>
        </w:rPr>
      </w:pPr>
    </w:p>
    <w:p>
      <w:pPr>
        <w:pStyle w:val="BodyText"/>
        <w:spacing w:line="240" w:lineRule="auto"/>
        <w:ind w:left="575" w:right="111"/>
        <w:jc w:val="left"/>
      </w:pPr>
      <w:r>
        <w:rPr/>
        <w:t>③能够证明该无形资产将如何产生经济利益；</w:t>
      </w:r>
    </w:p>
    <w:p>
      <w:pPr>
        <w:spacing w:line="240" w:lineRule="auto" w:before="8"/>
        <w:rPr>
          <w:rFonts w:ascii="宋体" w:hAnsi="宋体" w:cs="宋体" w:eastAsia="宋体" w:hint="default"/>
          <w:sz w:val="14"/>
          <w:szCs w:val="14"/>
        </w:rPr>
      </w:pPr>
    </w:p>
    <w:p>
      <w:pPr>
        <w:pStyle w:val="BodyText"/>
        <w:spacing w:line="410" w:lineRule="auto"/>
        <w:ind w:right="111" w:firstLine="422"/>
        <w:jc w:val="left"/>
      </w:pPr>
      <w:r>
        <w:rPr>
          <w:spacing w:val="-2"/>
        </w:rPr>
        <w:t>④有足够的技术、财务资源和其他资源支持，以完成该无形资产的开发，并有能力使用或出售该无形</w:t>
      </w:r>
      <w:r>
        <w:rPr>
          <w:w w:val="100"/>
        </w:rPr>
        <w:t> </w:t>
      </w:r>
      <w:r>
        <w:rPr/>
        <w:t>资产；</w:t>
      </w:r>
    </w:p>
    <w:p>
      <w:pPr>
        <w:pStyle w:val="BodyText"/>
        <w:spacing w:line="410" w:lineRule="auto" w:before="41"/>
        <w:ind w:left="575" w:right="111"/>
        <w:jc w:val="left"/>
      </w:pPr>
      <w:r>
        <w:rPr/>
        <w:t>⑤归属于该无形资产开发阶段的支出能够可靠地计量。</w:t>
      </w:r>
      <w:r>
        <w:rPr>
          <w:w w:val="100"/>
        </w:rPr>
        <w:t> </w:t>
      </w:r>
      <w:r>
        <w:rPr>
          <w:spacing w:val="-2"/>
        </w:rPr>
        <w:t>不满足上述条件的开发阶段的支出，于发生时计入当期损益。前期已计入损益的开发支出不在以后期</w:t>
      </w:r>
    </w:p>
    <w:p>
      <w:pPr>
        <w:pStyle w:val="BodyText"/>
        <w:spacing w:line="410" w:lineRule="auto" w:before="41"/>
        <w:ind w:right="111"/>
        <w:jc w:val="left"/>
      </w:pPr>
      <w:r>
        <w:rPr>
          <w:spacing w:val="-2"/>
        </w:rPr>
        <w:t>间确认为资产。已资本化的开发阶段的支出在资产负债表上列示为开发支出，自该项目达到预定可使用状</w:t>
      </w:r>
      <w:r>
        <w:rPr>
          <w:spacing w:val="-35"/>
        </w:rPr>
        <w:t> </w:t>
      </w:r>
      <w:r>
        <w:rPr>
          <w:spacing w:val="-35"/>
        </w:rPr>
      </w:r>
      <w:r>
        <w:rPr/>
        <w:t>态之日起转为无形资产。</w:t>
      </w:r>
    </w:p>
    <w:p>
      <w:pPr>
        <w:pStyle w:val="BodyText"/>
        <w:spacing w:line="240" w:lineRule="auto" w:before="41"/>
        <w:ind w:left="575" w:right="111"/>
        <w:jc w:val="left"/>
      </w:pPr>
      <w:r>
        <w:rPr/>
        <w:t>当开发支出的可收回金额低于其账面价值时，账面价值减记至可收回金额。</w:t>
      </w:r>
    </w:p>
    <w:p>
      <w:pPr>
        <w:spacing w:after="0" w:line="240" w:lineRule="auto"/>
        <w:jc w:val="left"/>
        <w:sectPr>
          <w:pgSz w:w="11900" w:h="16840"/>
          <w:pgMar w:header="742" w:footer="984" w:top="1060" w:bottom="1180" w:left="980" w:right="900"/>
        </w:sectPr>
      </w:pPr>
    </w:p>
    <w:p>
      <w:pPr>
        <w:spacing w:line="240" w:lineRule="auto" w:before="4"/>
        <w:rPr>
          <w:rFonts w:ascii="宋体" w:hAnsi="宋体" w:cs="宋体" w:eastAsia="宋体" w:hint="default"/>
          <w:sz w:val="25"/>
          <w:szCs w:val="25"/>
        </w:rPr>
      </w:pPr>
    </w:p>
    <w:p>
      <w:pPr>
        <w:pStyle w:val="Heading4"/>
        <w:spacing w:line="335" w:lineRule="exact"/>
        <w:ind w:right="0"/>
        <w:jc w:val="left"/>
        <w:rPr>
          <w:b w:val="0"/>
          <w:bCs w:val="0"/>
        </w:rPr>
      </w:pPr>
      <w:r>
        <w:rPr>
          <w:rFonts w:ascii="Times New Roman" w:hAnsi="Times New Roman" w:cs="Times New Roman" w:eastAsia="Times New Roman" w:hint="default"/>
        </w:rPr>
        <w:t>20</w:t>
      </w:r>
      <w:r>
        <w:rPr/>
        <w:t>、长期资产减值</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08" w:lineRule="auto"/>
        <w:ind w:right="142" w:firstLine="422"/>
        <w:jc w:val="both"/>
      </w:pPr>
      <w:r>
        <w:rPr>
          <w:spacing w:val="-2"/>
        </w:rPr>
        <w:t>在财务报表中单独列示的商誉和使用寿命不确定的无形资产，无论是否存在减值迹象，至少每年进行</w:t>
      </w:r>
      <w:r>
        <w:rPr>
          <w:w w:val="100"/>
        </w:rPr>
        <w:t> </w:t>
      </w:r>
      <w:r>
        <w:rPr>
          <w:spacing w:val="-2"/>
        </w:rPr>
        <w:t>减值测试。固定资产、无形资产、以成本模式计量的投资性房地产及长期股权投资等，于资产负债表日存</w:t>
      </w:r>
      <w:r>
        <w:rPr>
          <w:spacing w:val="-35"/>
        </w:rPr>
        <w:t> </w:t>
      </w:r>
      <w:r>
        <w:rPr>
          <w:spacing w:val="-35"/>
        </w:rPr>
      </w:r>
      <w:r>
        <w:rPr>
          <w:spacing w:val="-2"/>
        </w:rPr>
        <w:t>在减值迹象的，进行减值测试。减值测试结果表明资产的可收回金额低于其账面价值的，按其差额计提减</w:t>
      </w:r>
      <w:r>
        <w:rPr>
          <w:spacing w:val="-35"/>
        </w:rPr>
        <w:t> </w:t>
      </w:r>
      <w:r>
        <w:rPr>
          <w:spacing w:val="-35"/>
        </w:rPr>
      </w:r>
      <w:r>
        <w:rPr>
          <w:spacing w:val="-2"/>
        </w:rPr>
        <w:t>值准备并计入减值损失。可收回金额为资产的公允价值减去处置费用后的净额与资产预计未来现金流量的</w:t>
      </w:r>
      <w:r>
        <w:rPr>
          <w:spacing w:val="-34"/>
        </w:rPr>
        <w:t> </w:t>
      </w:r>
      <w:r>
        <w:rPr>
          <w:spacing w:val="-34"/>
        </w:rPr>
      </w:r>
      <w:r>
        <w:rPr>
          <w:spacing w:val="-2"/>
        </w:rPr>
        <w:t>现值两者之间的较高者。资产减值准备按单项资产为基础计算并确认，如果难以对单项资产的可收回金额</w:t>
      </w:r>
      <w:r>
        <w:rPr>
          <w:spacing w:val="-35"/>
        </w:rPr>
        <w:t> </w:t>
      </w:r>
      <w:r>
        <w:rPr>
          <w:spacing w:val="-35"/>
        </w:rPr>
      </w:r>
      <w:r>
        <w:rPr>
          <w:spacing w:val="-2"/>
        </w:rPr>
        <w:t>进行估计的，以该资产所属的资产组确定资产组的可收回金额。资产组是能够独立产生现金流入的最小资</w:t>
      </w:r>
      <w:r>
        <w:rPr>
          <w:spacing w:val="-35"/>
        </w:rPr>
        <w:t> </w:t>
      </w:r>
      <w:r>
        <w:rPr>
          <w:spacing w:val="-35"/>
        </w:rPr>
      </w:r>
      <w:r>
        <w:rPr/>
        <w:t>产组合。前述资产减值损失一经确认，如果在以后期间价值得以恢复，也不予转回。</w:t>
      </w:r>
    </w:p>
    <w:p>
      <w:pPr>
        <w:spacing w:line="240" w:lineRule="auto" w:before="1"/>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21</w:t>
      </w:r>
      <w:r>
        <w:rPr/>
        <w:t>、长期待摊费用</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405" w:lineRule="auto"/>
        <w:ind w:right="148" w:firstLine="422"/>
        <w:jc w:val="both"/>
      </w:pPr>
      <w:r>
        <w:rPr>
          <w:spacing w:val="2"/>
        </w:rPr>
        <w:t>长期待摊费用包括经营租入固定资产改良及其他已经发生但应由本期和以后各期负担的分摊期限在</w:t>
      </w:r>
      <w:r>
        <w:rPr>
          <w:w w:val="100"/>
        </w:rPr>
        <w:t> </w:t>
      </w:r>
      <w:r>
        <w:rPr/>
        <w:t>一年以上的各项费用，按预计受益期间分期平均摊销，并以实际支出减去累计摊销后的净额列示。</w:t>
      </w:r>
    </w:p>
    <w:p>
      <w:pPr>
        <w:spacing w:line="240" w:lineRule="auto" w:before="8"/>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22</w:t>
      </w:r>
      <w:r>
        <w:rPr/>
        <w:t>、职工薪酬</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408" w:lineRule="auto"/>
        <w:ind w:right="122" w:firstLine="422"/>
        <w:jc w:val="right"/>
      </w:pPr>
      <w:r>
        <w:rPr>
          <w:spacing w:val="-2"/>
        </w:rPr>
        <w:t>在职工为公司提供服务的会计期间，将实际发生的短期薪酬确认为负债，并计入当期损益或相关资产</w:t>
      </w:r>
      <w:r>
        <w:rPr>
          <w:w w:val="100"/>
        </w:rPr>
        <w:t> </w:t>
      </w:r>
      <w:r>
        <w:rPr>
          <w:spacing w:val="-2"/>
        </w:rPr>
        <w:t>成本。发生的职工福利费，在实际发生时根据实际发生额计入当期损益或相关资产成本。职工福利费为非</w:t>
      </w:r>
      <w:r>
        <w:rPr>
          <w:spacing w:val="-63"/>
        </w:rPr>
        <w:t> </w:t>
      </w:r>
      <w:r>
        <w:rPr>
          <w:spacing w:val="-63"/>
        </w:rPr>
      </w:r>
      <w:r>
        <w:rPr>
          <w:spacing w:val="-2"/>
        </w:rPr>
        <w:t>货币性福利的，按照公允价值计量。为职工缴纳的医疗保险费、工伤保险费、生育保险费等社会保险费和</w:t>
      </w:r>
      <w:r>
        <w:rPr>
          <w:spacing w:val="-63"/>
        </w:rPr>
        <w:t> </w:t>
      </w:r>
      <w:r>
        <w:rPr>
          <w:spacing w:val="-63"/>
        </w:rPr>
      </w:r>
      <w:r>
        <w:rPr>
          <w:spacing w:val="-2"/>
        </w:rPr>
        <w:t>住房公积金，以及按规定提取的工会经费和职工教育经费，在职工为公司提供服务的会计期间，根据规定</w:t>
      </w:r>
      <w:r>
        <w:rPr>
          <w:spacing w:val="-63"/>
        </w:rPr>
        <w:t> </w:t>
      </w:r>
      <w:r>
        <w:rPr>
          <w:spacing w:val="-63"/>
        </w:rPr>
      </w:r>
      <w:r>
        <w:rPr>
          <w:spacing w:val="-2"/>
        </w:rPr>
        <w:t>的计提基础和计提比例计算确定相应的职工薪酬金额，并确认相应负债，计入当期损益或相关资产成本。</w:t>
      </w:r>
      <w:r>
        <w:rPr>
          <w:spacing w:val="-23"/>
        </w:rPr>
        <w:t> </w:t>
      </w:r>
      <w:r>
        <w:rPr>
          <w:spacing w:val="-23"/>
        </w:rPr>
      </w:r>
      <w:r>
        <w:rPr>
          <w:spacing w:val="-2"/>
        </w:rPr>
        <w:t>在职工提供服务从而增加了其未来享有的带薪缺勤权利时，确认与累积带薪缺勤相关的职工薪酬，并</w:t>
      </w:r>
      <w:r>
        <w:rPr>
          <w:w w:val="100"/>
        </w:rPr>
        <w:t> </w:t>
      </w:r>
      <w:r>
        <w:rPr>
          <w:spacing w:val="-2"/>
        </w:rPr>
        <w:t>以累积未行使权利而增加的预期支付金额计量。在职工实际发生缺勤的会计期间确认与非累积带薪缺勤相</w:t>
      </w:r>
    </w:p>
    <w:p>
      <w:pPr>
        <w:pStyle w:val="BodyText"/>
        <w:spacing w:line="410" w:lineRule="auto" w:before="43"/>
        <w:ind w:left="575" w:right="2338" w:hanging="423"/>
        <w:jc w:val="left"/>
      </w:pPr>
      <w:r>
        <w:rPr/>
        <w:t>关的职工薪酬。</w:t>
      </w:r>
      <w:r>
        <w:rPr>
          <w:spacing w:val="-102"/>
        </w:rPr>
        <w:t> </w:t>
      </w:r>
      <w:r>
        <w:rPr>
          <w:spacing w:val="-102"/>
        </w:rPr>
      </w:r>
      <w:r>
        <w:rPr>
          <w:spacing w:val="-2"/>
        </w:rPr>
        <w:t>利润分享计划同时满足下列条件时，公司确认相关的应付职工薪酬：</w:t>
      </w:r>
    </w:p>
    <w:p>
      <w:pPr>
        <w:pStyle w:val="BodyText"/>
        <w:spacing w:line="240" w:lineRule="auto" w:before="41"/>
        <w:ind w:left="575" w:right="0"/>
        <w:jc w:val="left"/>
      </w:pPr>
      <w:r>
        <w:rPr/>
        <w:t>①因过去事项导致现在具有支付职工薪酬的法定义务或推定义务；</w:t>
      </w:r>
    </w:p>
    <w:p>
      <w:pPr>
        <w:spacing w:line="240" w:lineRule="auto" w:before="12"/>
        <w:rPr>
          <w:rFonts w:ascii="宋体" w:hAnsi="宋体" w:cs="宋体" w:eastAsia="宋体" w:hint="default"/>
          <w:sz w:val="14"/>
          <w:szCs w:val="14"/>
        </w:rPr>
      </w:pPr>
    </w:p>
    <w:p>
      <w:pPr>
        <w:pStyle w:val="BodyText"/>
        <w:spacing w:line="240" w:lineRule="auto"/>
        <w:ind w:left="575" w:right="0"/>
        <w:jc w:val="left"/>
      </w:pPr>
      <w:r>
        <w:rPr/>
        <w:t>②因利润分享计划所产生的应付职工薪酬义务金额能够可靠估计。</w:t>
      </w:r>
    </w:p>
    <w:p>
      <w:pPr>
        <w:spacing w:line="240" w:lineRule="auto" w:before="5"/>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240" w:lineRule="auto"/>
        <w:ind w:left="575" w:right="0"/>
        <w:jc w:val="left"/>
      </w:pPr>
      <w:r>
        <w:rPr/>
        <w:t>①设定提存计划</w:t>
      </w:r>
    </w:p>
    <w:p>
      <w:pPr>
        <w:spacing w:after="0" w:line="240" w:lineRule="auto"/>
        <w:jc w:val="left"/>
        <w:sectPr>
          <w:pgSz w:w="11900" w:h="16840"/>
          <w:pgMar w:header="742" w:footer="984" w:top="1060" w:bottom="118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08" w:lineRule="auto"/>
        <w:ind w:right="222" w:firstLine="422"/>
        <w:jc w:val="both"/>
      </w:pPr>
      <w:r>
        <w:rPr>
          <w:spacing w:val="-2"/>
        </w:rPr>
        <w:t>公司在职工为其提供服务的会计期间，将根据设定提存计划计算的应缴存金额确认为负债，并计入当</w:t>
      </w:r>
      <w:r>
        <w:rPr>
          <w:w w:val="100"/>
        </w:rPr>
        <w:t> </w:t>
      </w:r>
      <w:r>
        <w:rPr>
          <w:spacing w:val="-2"/>
        </w:rPr>
        <w:t>期损益或相关资产成本。根据设定提存计划，预期不会在职工提供相关服务的年度报告期结束后十二个月</w:t>
      </w:r>
      <w:r>
        <w:rPr>
          <w:spacing w:val="-35"/>
        </w:rPr>
        <w:t> </w:t>
      </w:r>
      <w:r>
        <w:rPr>
          <w:spacing w:val="-35"/>
        </w:rPr>
      </w:r>
      <w:r>
        <w:rPr/>
        <w:t>内支付全部应缴存金额的，公司将全部应缴存金额以折现后的金额计量应付职工薪酬。</w:t>
      </w:r>
    </w:p>
    <w:p>
      <w:pPr>
        <w:pStyle w:val="BodyText"/>
        <w:spacing w:line="410" w:lineRule="auto" w:before="43"/>
        <w:ind w:left="575" w:right="4453"/>
        <w:jc w:val="left"/>
      </w:pPr>
      <w:r>
        <w:rPr/>
        <w:t>②设定受益计划</w:t>
      </w:r>
      <w:r>
        <w:rPr>
          <w:spacing w:val="-102"/>
        </w:rPr>
        <w:t> </w:t>
      </w:r>
      <w:r>
        <w:rPr>
          <w:spacing w:val="-102"/>
        </w:rPr>
      </w:r>
      <w:r>
        <w:rPr>
          <w:spacing w:val="-2"/>
        </w:rPr>
        <w:t>公司对设定受益计划的会计处理包括下列四个步骤：</w:t>
      </w:r>
    </w:p>
    <w:p>
      <w:pPr>
        <w:pStyle w:val="BodyText"/>
        <w:spacing w:line="408" w:lineRule="auto" w:before="41"/>
        <w:ind w:right="222" w:firstLine="422"/>
        <w:jc w:val="both"/>
      </w:pPr>
      <w:r>
        <w:rPr/>
        <w:t>a）根据预期累计福利单位法，采用无偏且相互一致的精算假设对有关人口统计变量和财务变量等做</w:t>
      </w:r>
      <w:r>
        <w:rPr>
          <w:w w:val="100"/>
        </w:rPr>
        <w:t> </w:t>
      </w:r>
      <w:r>
        <w:rPr>
          <w:spacing w:val="-2"/>
        </w:rPr>
        <w:t>出估计，计量设定受益计划所产生的义务，并确定相关义务的归属期间。公司将设定受益计划所产生的义</w:t>
      </w:r>
      <w:r>
        <w:rPr>
          <w:spacing w:val="-35"/>
        </w:rPr>
        <w:t> </w:t>
      </w:r>
      <w:r>
        <w:rPr>
          <w:spacing w:val="-35"/>
        </w:rPr>
      </w:r>
      <w:r>
        <w:rPr/>
        <w:t>务予以折现，以确定设定受益计划义务的现值和当期服务成本。</w:t>
      </w:r>
    </w:p>
    <w:p>
      <w:pPr>
        <w:pStyle w:val="BodyText"/>
        <w:spacing w:line="408" w:lineRule="auto" w:before="48"/>
        <w:ind w:right="222" w:firstLine="422"/>
        <w:jc w:val="both"/>
      </w:pPr>
      <w:r>
        <w:rPr/>
        <w:t>b）设定受益计划存在资产的，公司将设定受益计划义务现值减去设定受益计划资产公允价值所形成</w:t>
      </w:r>
      <w:r>
        <w:rPr>
          <w:w w:val="100"/>
        </w:rPr>
        <w:t> </w:t>
      </w:r>
      <w:r>
        <w:rPr>
          <w:spacing w:val="-2"/>
        </w:rPr>
        <w:t>的赤字或盈余确认为一项设定受益计划净负债或净资产。设定受益计划存在盈余的，公司以设定受益计划</w:t>
      </w:r>
      <w:r>
        <w:rPr>
          <w:spacing w:val="-35"/>
        </w:rPr>
        <w:t> </w:t>
      </w:r>
      <w:r>
        <w:rPr>
          <w:spacing w:val="-35"/>
        </w:rPr>
      </w:r>
      <w:r>
        <w:rPr/>
        <w:t>的盈余和资产上限两项的孰低者计量设定受益计划净资产。</w:t>
      </w:r>
    </w:p>
    <w:p>
      <w:pPr>
        <w:pStyle w:val="BodyText"/>
        <w:spacing w:line="410" w:lineRule="auto" w:before="43"/>
        <w:ind w:left="575" w:right="2582"/>
        <w:jc w:val="left"/>
      </w:pPr>
      <w:r>
        <w:rPr/>
        <w:t>c）确定应当计入当期损益的金额。</w:t>
      </w:r>
      <w:r>
        <w:rPr>
          <w:spacing w:val="-103"/>
        </w:rPr>
        <w:t> </w:t>
      </w:r>
      <w:r>
        <w:rPr>
          <w:spacing w:val="-103"/>
        </w:rPr>
      </w:r>
      <w:r>
        <w:rPr>
          <w:spacing w:val="-1"/>
        </w:rPr>
        <w:t>d）确定应当计入其他综合收益的金额。</w:t>
      </w:r>
    </w:p>
    <w:p>
      <w:pPr>
        <w:pStyle w:val="BodyText"/>
        <w:spacing w:line="410" w:lineRule="auto" w:before="41"/>
        <w:ind w:right="222" w:firstLine="422"/>
        <w:jc w:val="both"/>
      </w:pPr>
      <w:r>
        <w:rPr>
          <w:spacing w:val="2"/>
        </w:rPr>
        <w:t>公司根据预期累计福利单位法确定的公式将设定受益计划产生的福利义务归属于职工提供服务的期</w:t>
      </w:r>
      <w:r>
        <w:rPr>
          <w:w w:val="100"/>
        </w:rPr>
        <w:t> </w:t>
      </w:r>
      <w:r>
        <w:rPr>
          <w:spacing w:val="-2"/>
        </w:rPr>
        <w:t>间，并计入当期损益或相关资产成本。当职工后续年度的服务将导致其享有的设定受益计划福利水平显著</w:t>
      </w:r>
      <w:r>
        <w:rPr>
          <w:spacing w:val="-35"/>
        </w:rPr>
        <w:t> </w:t>
      </w:r>
      <w:r>
        <w:rPr>
          <w:spacing w:val="-35"/>
        </w:rPr>
      </w:r>
      <w:r>
        <w:rPr>
          <w:spacing w:val="-2"/>
        </w:rPr>
        <w:t>高于以前年度时，按照直线法将累计设定受益计划义务分摊确认于职工提供服务而导致企业第一次产生设</w:t>
      </w:r>
      <w:r>
        <w:rPr>
          <w:spacing w:val="-34"/>
        </w:rPr>
        <w:t> </w:t>
      </w:r>
      <w:r>
        <w:rPr>
          <w:spacing w:val="-34"/>
        </w:rPr>
      </w:r>
      <w:r>
        <w:rPr/>
        <w:t>定受益计划福利义务至职工提供服务不再导致该福利义务显著增加的期间。</w:t>
      </w:r>
    </w:p>
    <w:p>
      <w:pPr>
        <w:pStyle w:val="BodyText"/>
        <w:spacing w:line="410" w:lineRule="auto" w:before="41"/>
        <w:ind w:right="217" w:firstLine="422"/>
        <w:jc w:val="both"/>
      </w:pPr>
      <w:r>
        <w:rPr>
          <w:spacing w:val="-2"/>
        </w:rPr>
        <w:t>报告期末，公司将设定受益计划产生的职工薪酬成本确认为：服务成本、设定受益计划净负债或净资</w:t>
      </w:r>
      <w:r>
        <w:rPr>
          <w:w w:val="100"/>
        </w:rPr>
        <w:t> </w:t>
      </w:r>
      <w:r>
        <w:rPr/>
        <w:t>产的利息净额，以及重新计量设定受益计划净负债或净资产所产生的变动。</w:t>
      </w:r>
    </w:p>
    <w:p>
      <w:pPr>
        <w:pStyle w:val="BodyText"/>
        <w:spacing w:line="410" w:lineRule="auto" w:before="41"/>
        <w:ind w:left="575" w:right="111"/>
        <w:jc w:val="left"/>
      </w:pPr>
      <w:r>
        <w:rPr>
          <w:spacing w:val="-2"/>
        </w:rPr>
        <w:t>在设定受益计划下，公司在下列日期孰早日将过去服务成本确认为当期费用：</w:t>
      </w:r>
      <w:r>
        <w:rPr>
          <w:spacing w:val="-38"/>
        </w:rPr>
        <w:t> </w:t>
      </w:r>
      <w:r>
        <w:rPr>
          <w:spacing w:val="-38"/>
        </w:rPr>
      </w:r>
      <w:r>
        <w:rPr/>
        <w:t>a）修改设定受益计划时。</w:t>
      </w:r>
    </w:p>
    <w:p>
      <w:pPr>
        <w:pStyle w:val="BodyText"/>
        <w:spacing w:line="410" w:lineRule="auto" w:before="41"/>
        <w:ind w:left="575" w:right="2582"/>
        <w:jc w:val="left"/>
      </w:pPr>
      <w:r>
        <w:rPr/>
        <w:t>b）企业确认相关重组费用或辞退福利时。</w:t>
      </w:r>
      <w:r>
        <w:rPr>
          <w:w w:val="100"/>
        </w:rPr>
        <w:t> </w:t>
      </w:r>
      <w:r>
        <w:rPr>
          <w:spacing w:val="-2"/>
        </w:rPr>
        <w:t>公司在设定受益计划结算时，确认一项结算利得或损失。</w:t>
      </w:r>
    </w:p>
    <w:p>
      <w:pPr>
        <w:spacing w:line="240" w:lineRule="auto" w:before="12"/>
        <w:rPr>
          <w:rFonts w:ascii="宋体" w:hAnsi="宋体" w:cs="宋体" w:eastAsia="宋体" w:hint="default"/>
          <w:sz w:val="14"/>
          <w:szCs w:val="14"/>
        </w:rPr>
      </w:pPr>
    </w:p>
    <w:p>
      <w:pPr>
        <w:pStyle w:val="Heading4"/>
        <w:spacing w:line="240" w:lineRule="auto"/>
        <w:ind w:right="111"/>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240" w:lineRule="auto"/>
        <w:ind w:left="575" w:right="111"/>
        <w:jc w:val="left"/>
      </w:pPr>
      <w:r>
        <w:rPr>
          <w:spacing w:val="-5"/>
        </w:rPr>
        <w:t>公司向职工提供辞退福利的，在下列两者孰早日确认辞退福利产生的职工薪酬负债，并计入当期损益：</w:t>
      </w:r>
    </w:p>
    <w:p>
      <w:pPr>
        <w:spacing w:line="240" w:lineRule="auto" w:before="8"/>
        <w:rPr>
          <w:rFonts w:ascii="宋体" w:hAnsi="宋体" w:cs="宋体" w:eastAsia="宋体" w:hint="default"/>
          <w:sz w:val="14"/>
          <w:szCs w:val="14"/>
        </w:rPr>
      </w:pPr>
    </w:p>
    <w:p>
      <w:pPr>
        <w:pStyle w:val="BodyText"/>
        <w:spacing w:line="240" w:lineRule="auto"/>
        <w:ind w:left="575" w:right="111"/>
        <w:jc w:val="left"/>
      </w:pPr>
      <w:r>
        <w:rPr/>
        <w:t>①公司不能单方面撤回因解除劳动关系计划或裁减建议所提供的辞退福利时。</w:t>
      </w:r>
    </w:p>
    <w:p>
      <w:pPr>
        <w:spacing w:line="240" w:lineRule="auto" w:before="12"/>
        <w:rPr>
          <w:rFonts w:ascii="宋体" w:hAnsi="宋体" w:cs="宋体" w:eastAsia="宋体" w:hint="default"/>
          <w:sz w:val="14"/>
          <w:szCs w:val="14"/>
        </w:rPr>
      </w:pPr>
    </w:p>
    <w:p>
      <w:pPr>
        <w:pStyle w:val="BodyText"/>
        <w:spacing w:line="405" w:lineRule="auto"/>
        <w:ind w:left="575" w:right="111"/>
        <w:jc w:val="left"/>
      </w:pPr>
      <w:r>
        <w:rPr/>
        <w:t>②公司确认与涉及支付辞退福利的重组相关的成本或费用时。</w:t>
      </w:r>
      <w:r>
        <w:rPr>
          <w:w w:val="100"/>
        </w:rPr>
        <w:t> </w:t>
      </w:r>
      <w:r>
        <w:rPr>
          <w:spacing w:val="-2"/>
        </w:rPr>
        <w:t>公司按照辞退计划条款的规定，合理预计并确认辞退福利产生的应付职工薪酬。</w:t>
      </w:r>
    </w:p>
    <w:p>
      <w:pPr>
        <w:spacing w:after="0" w:line="405" w:lineRule="auto"/>
        <w:jc w:val="left"/>
        <w:sectPr>
          <w:pgSz w:w="11900" w:h="16840"/>
          <w:pgMar w:header="742" w:footer="984" w:top="1060" w:bottom="1180" w:left="980" w:right="900"/>
        </w:sectPr>
      </w:pPr>
    </w:p>
    <w:p>
      <w:pPr>
        <w:spacing w:line="240" w:lineRule="auto" w:before="4"/>
        <w:rPr>
          <w:rFonts w:ascii="宋体" w:hAnsi="宋体" w:cs="宋体" w:eastAsia="宋体" w:hint="default"/>
          <w:sz w:val="25"/>
          <w:szCs w:val="25"/>
        </w:rPr>
      </w:pPr>
    </w:p>
    <w:p>
      <w:pPr>
        <w:pStyle w:val="Heading4"/>
        <w:spacing w:line="335" w:lineRule="exact"/>
        <w:ind w:right="0"/>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05" w:lineRule="auto"/>
        <w:ind w:right="0" w:firstLine="422"/>
        <w:jc w:val="left"/>
      </w:pPr>
      <w:r>
        <w:rPr>
          <w:spacing w:val="-2"/>
        </w:rPr>
        <w:t>公司向职工提供的其他长期职工福利，符合设定提存计划条件的，按照关于设定提存计划的有关政策</w:t>
      </w:r>
      <w:r>
        <w:rPr>
          <w:w w:val="100"/>
        </w:rPr>
        <w:t> </w:t>
      </w:r>
      <w:r>
        <w:rPr/>
        <w:t>进行处理。</w:t>
      </w:r>
    </w:p>
    <w:p>
      <w:pPr>
        <w:pStyle w:val="BodyText"/>
        <w:spacing w:line="405" w:lineRule="auto" w:before="50"/>
        <w:ind w:right="0" w:firstLine="422"/>
        <w:jc w:val="left"/>
      </w:pPr>
      <w:r>
        <w:rPr>
          <w:spacing w:val="-2"/>
        </w:rPr>
        <w:t>除上述情形外，公司按照关于设定受益计划的有关政策，确认和计量其他长期职工福利净负债或净资</w:t>
      </w:r>
      <w:r>
        <w:rPr>
          <w:w w:val="100"/>
        </w:rPr>
        <w:t> </w:t>
      </w:r>
      <w:r>
        <w:rPr/>
        <w:t>产。在报告期末，将其他长期职工福利产生的职工薪酬成本确认为下列组成部分：</w:t>
      </w:r>
    </w:p>
    <w:p>
      <w:pPr>
        <w:pStyle w:val="BodyText"/>
        <w:spacing w:line="240" w:lineRule="auto" w:before="50"/>
        <w:ind w:left="575" w:right="0"/>
        <w:jc w:val="left"/>
      </w:pPr>
      <w:r>
        <w:rPr/>
        <w:t>①服务成本。</w:t>
      </w:r>
    </w:p>
    <w:p>
      <w:pPr>
        <w:spacing w:line="240" w:lineRule="auto" w:before="8"/>
        <w:rPr>
          <w:rFonts w:ascii="宋体" w:hAnsi="宋体" w:cs="宋体" w:eastAsia="宋体" w:hint="default"/>
          <w:sz w:val="14"/>
          <w:szCs w:val="14"/>
        </w:rPr>
      </w:pPr>
    </w:p>
    <w:p>
      <w:pPr>
        <w:pStyle w:val="BodyText"/>
        <w:spacing w:line="240" w:lineRule="auto"/>
        <w:ind w:left="575" w:right="0"/>
        <w:jc w:val="left"/>
      </w:pPr>
      <w:r>
        <w:rPr/>
        <w:t>②其他长期职工福利净负债或净资产的利息净额。</w:t>
      </w:r>
    </w:p>
    <w:p>
      <w:pPr>
        <w:spacing w:line="240" w:lineRule="auto" w:before="12"/>
        <w:rPr>
          <w:rFonts w:ascii="宋体" w:hAnsi="宋体" w:cs="宋体" w:eastAsia="宋体" w:hint="default"/>
          <w:sz w:val="14"/>
          <w:szCs w:val="14"/>
        </w:rPr>
      </w:pPr>
    </w:p>
    <w:p>
      <w:pPr>
        <w:pStyle w:val="BodyText"/>
        <w:spacing w:line="408" w:lineRule="auto"/>
        <w:ind w:left="575" w:right="0"/>
        <w:jc w:val="left"/>
      </w:pPr>
      <w:r>
        <w:rPr/>
        <w:t>③重新计量其他长期职工福利净负债或净资产所产生的变动。</w:t>
      </w:r>
      <w:r>
        <w:rPr>
          <w:w w:val="100"/>
        </w:rPr>
        <w:t> </w:t>
      </w:r>
      <w:r>
        <w:rPr/>
        <w:t>为简化相关会计处理，上述项目的总净额应计入当期损益或相关资产成本。</w:t>
      </w:r>
      <w:r>
        <w:rPr>
          <w:w w:val="100"/>
        </w:rPr>
        <w:t> </w:t>
      </w:r>
      <w:r>
        <w:rPr>
          <w:spacing w:val="-2"/>
        </w:rPr>
        <w:t>长期残疾福利水平取决于职工提供服务期间长短的，公司在职工提供服务的期间确认应付长期残疾福</w:t>
      </w:r>
    </w:p>
    <w:p>
      <w:pPr>
        <w:pStyle w:val="BodyText"/>
        <w:spacing w:line="410" w:lineRule="auto" w:before="43"/>
        <w:ind w:right="0"/>
        <w:jc w:val="left"/>
      </w:pPr>
      <w:r>
        <w:rPr>
          <w:spacing w:val="-2"/>
        </w:rPr>
        <w:t>利义务；长期残疾福利与职工提供服务期间长短无关的，公司在导致职工长期残疾的事件发生的当期确认</w:t>
      </w:r>
      <w:r>
        <w:rPr>
          <w:spacing w:val="-35"/>
        </w:rPr>
        <w:t> </w:t>
      </w:r>
      <w:r>
        <w:rPr>
          <w:spacing w:val="-35"/>
        </w:rPr>
      </w:r>
      <w:r>
        <w:rPr/>
        <w:t>应付长期残疾福利义务。</w:t>
      </w:r>
    </w:p>
    <w:p>
      <w:pPr>
        <w:spacing w:line="240" w:lineRule="auto" w:before="12"/>
        <w:rPr>
          <w:rFonts w:ascii="宋体" w:hAnsi="宋体" w:cs="宋体" w:eastAsia="宋体" w:hint="default"/>
          <w:sz w:val="14"/>
          <w:szCs w:val="14"/>
        </w:rPr>
      </w:pPr>
    </w:p>
    <w:p>
      <w:pPr>
        <w:pStyle w:val="Heading4"/>
        <w:spacing w:line="240" w:lineRule="auto"/>
        <w:ind w:right="0"/>
        <w:jc w:val="left"/>
        <w:rPr>
          <w:b w:val="0"/>
          <w:bCs w:val="0"/>
        </w:rPr>
      </w:pPr>
      <w:r>
        <w:rPr>
          <w:rFonts w:ascii="Times New Roman" w:hAnsi="Times New Roman" w:cs="Times New Roman" w:eastAsia="Times New Roman" w:hint="default"/>
        </w:rPr>
        <w:t>23</w:t>
      </w:r>
      <w:r>
        <w:rPr/>
        <w:t>、预计负债</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10" w:lineRule="auto"/>
        <w:ind w:right="0" w:firstLine="422"/>
        <w:jc w:val="left"/>
      </w:pPr>
      <w:r>
        <w:rPr>
          <w:spacing w:val="-2"/>
        </w:rPr>
        <w:t>因产品质量保证、亏损合同等形成的现时义务，其履行很可能导致经济利益的流出，在该义务的金额</w:t>
      </w:r>
      <w:r>
        <w:rPr>
          <w:w w:val="100"/>
        </w:rPr>
        <w:t> </w:t>
      </w:r>
      <w:r>
        <w:rPr/>
        <w:t>能够可靠计量时，确认为预计负债。对于未来经营亏损，不确认预计负债。</w:t>
      </w:r>
    </w:p>
    <w:p>
      <w:pPr>
        <w:spacing w:line="240" w:lineRule="auto" w:before="8"/>
        <w:rPr>
          <w:rFonts w:ascii="宋体" w:hAnsi="宋体" w:cs="宋体" w:eastAsia="宋体" w:hint="default"/>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410" w:lineRule="auto"/>
        <w:ind w:right="142" w:firstLine="422"/>
        <w:jc w:val="both"/>
      </w:pPr>
      <w:r>
        <w:rPr>
          <w:spacing w:val="-2"/>
        </w:rPr>
        <w:t>预计负债按照履行相关现时义务所需支出的最佳估计数进行初始计量，并综合考虑与或有事项有关的</w:t>
      </w:r>
      <w:r>
        <w:rPr>
          <w:w w:val="100"/>
        </w:rPr>
        <w:t> </w:t>
      </w:r>
      <w:r>
        <w:rPr>
          <w:spacing w:val="-2"/>
        </w:rPr>
        <w:t>风险、不确定性和货币时间价值等因素。货币时间价值影响重大的，通过对相关未来现金流出进行折现后</w:t>
      </w:r>
      <w:r>
        <w:rPr>
          <w:spacing w:val="-35"/>
        </w:rPr>
        <w:t> </w:t>
      </w:r>
      <w:r>
        <w:rPr>
          <w:spacing w:val="-35"/>
        </w:rPr>
      </w:r>
      <w:r>
        <w:rPr>
          <w:spacing w:val="-2"/>
        </w:rPr>
        <w:t>确定最佳估计数；因随着时间推移所进行的折现还原而导致的预计负债账面价值的增加金额，确认为利息</w:t>
      </w:r>
      <w:r>
        <w:rPr>
          <w:spacing w:val="-35"/>
        </w:rPr>
        <w:t> </w:t>
      </w:r>
      <w:r>
        <w:rPr>
          <w:spacing w:val="-35"/>
        </w:rPr>
      </w:r>
      <w:r>
        <w:rPr/>
        <w:t>费用。</w:t>
      </w:r>
    </w:p>
    <w:p>
      <w:pPr>
        <w:pStyle w:val="BodyText"/>
        <w:spacing w:line="240" w:lineRule="auto" w:before="41"/>
        <w:ind w:left="575" w:right="0"/>
        <w:jc w:val="left"/>
      </w:pPr>
      <w:r>
        <w:rPr/>
        <w:t>于资产负债表日，对预计负债的账面价值进行复核并作适当调整，以反映当前的最佳估计数。</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24</w:t>
      </w:r>
      <w:r>
        <w:rPr/>
        <w:t>、股份支付</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）股份支付的种类</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10" w:lineRule="auto"/>
        <w:ind w:right="0" w:firstLine="422"/>
        <w:jc w:val="left"/>
      </w:pPr>
      <w:r>
        <w:rPr/>
        <w:t>根据结算方式分为以权益结算的涉及职工的股份支付、以现金结算的涉及职工的股份支付。1）以权</w:t>
      </w:r>
      <w:r>
        <w:rPr>
          <w:w w:val="100"/>
        </w:rPr>
        <w:t> </w:t>
      </w:r>
      <w:r>
        <w:rPr>
          <w:spacing w:val="-2"/>
        </w:rPr>
        <w:t>益结算的股份支付：公司的股票期权计划为用以换取职工提供服务的权益结算的股份支付，以授予职工的</w:t>
      </w:r>
    </w:p>
    <w:p>
      <w:pPr>
        <w:spacing w:after="0" w:line="410" w:lineRule="auto"/>
        <w:jc w:val="left"/>
        <w:sectPr>
          <w:pgSz w:w="11900" w:h="16840"/>
          <w:pgMar w:header="742" w:footer="984" w:top="1060" w:bottom="118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08" w:lineRule="auto"/>
        <w:ind w:right="142"/>
        <w:jc w:val="both"/>
      </w:pPr>
      <w:r>
        <w:rPr/>
        <w:t>权益工具在授予日的公允价值计量。在完成等待期内的服务或达</w:t>
      </w:r>
      <w:r>
        <w:rPr>
          <w:spacing w:val="62"/>
        </w:rPr>
        <w:t> </w:t>
      </w:r>
      <w:r>
        <w:rPr/>
        <w:t>到规定业绩条件才可行权，在等待期内</w:t>
      </w:r>
      <w:r>
        <w:rPr>
          <w:spacing w:val="-95"/>
        </w:rPr>
        <w:t> </w:t>
      </w:r>
      <w:r>
        <w:rPr>
          <w:spacing w:val="-95"/>
        </w:rPr>
      </w:r>
      <w:r>
        <w:rPr>
          <w:spacing w:val="-2"/>
        </w:rPr>
        <w:t>以对可行权权益工具数量的最佳估计为基础，按照权益工具授予日的公允价值，将当期取得的服务计入相</w:t>
      </w:r>
      <w:r>
        <w:rPr>
          <w:spacing w:val="-35"/>
        </w:rPr>
        <w:t> </w:t>
      </w:r>
      <w:r>
        <w:rPr>
          <w:spacing w:val="-35"/>
        </w:rPr>
      </w:r>
      <w:r>
        <w:rPr/>
        <w:t>关成本或费用，相应增加资本公积。</w:t>
      </w:r>
      <w:r>
        <w:rPr>
          <w:spacing w:val="30"/>
        </w:rPr>
        <w:t> </w:t>
      </w:r>
      <w:r>
        <w:rPr/>
        <w:t>2）以现金结算的股份支付：公司的股票增值权计划为以现金</w:t>
      </w:r>
      <w:r>
        <w:rPr>
          <w:spacing w:val="38"/>
        </w:rPr>
        <w:t> </w:t>
      </w:r>
      <w:r>
        <w:rPr/>
        <w:t>结算</w:t>
      </w:r>
      <w:r>
        <w:rPr>
          <w:spacing w:val="-100"/>
        </w:rPr>
        <w:t> </w:t>
      </w:r>
      <w:r>
        <w:rPr>
          <w:spacing w:val="-100"/>
        </w:rPr>
      </w:r>
      <w:r>
        <w:rPr>
          <w:spacing w:val="-2"/>
        </w:rPr>
        <w:t>的股份支付，按照公司承担的以本公司股份数量为基础确定的负债的公允价值计量。该以现金结算的股份</w:t>
      </w:r>
      <w:r>
        <w:rPr>
          <w:spacing w:val="-35"/>
        </w:rPr>
        <w:t> </w:t>
      </w:r>
      <w:r>
        <w:rPr>
          <w:spacing w:val="-35"/>
        </w:rPr>
      </w:r>
      <w:r>
        <w:rPr/>
        <w:t>支付须完成等</w:t>
      </w:r>
      <w:r>
        <w:rPr>
          <w:spacing w:val="62"/>
        </w:rPr>
        <w:t> </w:t>
      </w:r>
      <w:r>
        <w:rPr/>
        <w:t>待期内的服务或达到规定业绩条件以后才可行权，在等待期的每个资产负债表日以对可行</w:t>
      </w:r>
      <w:r>
        <w:rPr>
          <w:spacing w:val="-95"/>
        </w:rPr>
        <w:t> </w:t>
      </w:r>
      <w:r>
        <w:rPr>
          <w:spacing w:val="-95"/>
        </w:rPr>
      </w:r>
      <w:r>
        <w:rPr/>
        <w:t>权情况的最佳估计为基础，按照公</w:t>
      </w:r>
      <w:r>
        <w:rPr>
          <w:spacing w:val="62"/>
        </w:rPr>
        <w:t> </w:t>
      </w:r>
      <w:r>
        <w:rPr/>
        <w:t>司承担负债的公允价值金额，将当期取得的服务计入成本或费用，相</w:t>
      </w:r>
      <w:r>
        <w:rPr>
          <w:spacing w:val="-95"/>
        </w:rPr>
        <w:t> </w:t>
      </w:r>
      <w:r>
        <w:rPr>
          <w:spacing w:val="-95"/>
        </w:rPr>
      </w:r>
      <w:r>
        <w:rPr/>
        <w:t>应增加负债。在相关负债结算前的每个资产负债表日以</w:t>
      </w:r>
      <w:r>
        <w:rPr>
          <w:spacing w:val="62"/>
        </w:rPr>
        <w:t> </w:t>
      </w:r>
      <w:r>
        <w:rPr/>
        <w:t>及结算日，对负债的公允价值重新计量，其变动</w:t>
      </w:r>
      <w:r>
        <w:rPr>
          <w:spacing w:val="-95"/>
        </w:rPr>
        <w:t> </w:t>
      </w:r>
      <w:r>
        <w:rPr>
          <w:spacing w:val="-95"/>
        </w:rPr>
      </w:r>
      <w:r>
        <w:rPr/>
        <w:t>计入当期损益。</w:t>
      </w:r>
    </w:p>
    <w:p>
      <w:pPr>
        <w:spacing w:line="240" w:lineRule="auto" w:before="1"/>
        <w:rPr>
          <w:rFonts w:ascii="宋体" w:hAnsi="宋体" w:cs="宋体" w:eastAsia="宋体" w:hint="default"/>
          <w:sz w:val="15"/>
          <w:szCs w:val="15"/>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408" w:lineRule="auto"/>
        <w:ind w:right="142" w:firstLine="422"/>
        <w:jc w:val="both"/>
      </w:pPr>
      <w:r>
        <w:rPr>
          <w:spacing w:val="-2"/>
        </w:rPr>
        <w:t>对于授予职工的股份，其公允价值按公司股份的市场价格计量，同时考虑授予股份所依据的条款和条</w:t>
      </w:r>
      <w:r>
        <w:rPr>
          <w:w w:val="100"/>
        </w:rPr>
        <w:t> </w:t>
      </w:r>
      <w:r>
        <w:rPr/>
        <w:t>件（不包括市场条</w:t>
      </w:r>
      <w:r>
        <w:rPr>
          <w:spacing w:val="62"/>
        </w:rPr>
        <w:t> </w:t>
      </w:r>
      <w:r>
        <w:rPr/>
        <w:t>件之外的可行权条件）进行调整。对于授予职工的股票期权，通过期权定价模型估计</w:t>
      </w:r>
      <w:r>
        <w:rPr>
          <w:spacing w:val="-95"/>
        </w:rPr>
        <w:t> </w:t>
      </w:r>
      <w:r>
        <w:rPr>
          <w:spacing w:val="-95"/>
        </w:rPr>
      </w:r>
      <w:r>
        <w:rPr/>
        <w:t>所授予的期权的公允价值。</w:t>
      </w:r>
    </w:p>
    <w:p>
      <w:pPr>
        <w:spacing w:line="240" w:lineRule="auto" w:before="10"/>
        <w:rPr>
          <w:rFonts w:ascii="宋体" w:hAnsi="宋体" w:cs="宋体" w:eastAsia="宋体" w:hint="default"/>
          <w:sz w:val="14"/>
          <w:szCs w:val="14"/>
        </w:rPr>
      </w:pPr>
    </w:p>
    <w:p>
      <w:pPr>
        <w:pStyle w:val="Heading4"/>
        <w:spacing w:line="240" w:lineRule="auto"/>
        <w:ind w:right="0"/>
        <w:jc w:val="both"/>
        <w:rPr>
          <w:b w:val="0"/>
          <w:bCs w:val="0"/>
        </w:rPr>
      </w:pPr>
      <w:r>
        <w:rPr/>
        <w:t>（</w:t>
      </w:r>
      <w:r>
        <w:rPr>
          <w:rFonts w:ascii="Times New Roman" w:hAnsi="Times New Roman" w:cs="Times New Roman" w:eastAsia="Times New Roman" w:hint="default"/>
        </w:rPr>
        <w:t>3</w:t>
      </w:r>
      <w:r>
        <w:rPr/>
        <w:t>）确认可行权权益工具最佳估计的依据</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410" w:lineRule="auto"/>
        <w:ind w:right="118" w:firstLine="422"/>
        <w:jc w:val="both"/>
      </w:pPr>
      <w:r>
        <w:rPr>
          <w:spacing w:val="-2"/>
        </w:rPr>
        <w:t>在等待期内每个资产负债表日，公司根据最新取得的可行权职工人数变动等后续信息做出最佳估计，</w:t>
      </w:r>
      <w:r>
        <w:rPr>
          <w:w w:val="100"/>
        </w:rPr>
        <w:t> </w:t>
      </w:r>
      <w:r>
        <w:rPr/>
        <w:t>修正预计可行权的</w:t>
      </w:r>
      <w:r>
        <w:rPr>
          <w:spacing w:val="1"/>
        </w:rPr>
        <w:t> </w:t>
      </w:r>
      <w:r>
        <w:rPr/>
        <w:t>权益工具数量。</w:t>
      </w:r>
    </w:p>
    <w:p>
      <w:pPr>
        <w:spacing w:line="240" w:lineRule="auto" w:before="8"/>
        <w:rPr>
          <w:rFonts w:ascii="宋体" w:hAnsi="宋体" w:cs="宋体" w:eastAsia="宋体" w:hint="default"/>
          <w:sz w:val="14"/>
          <w:szCs w:val="14"/>
        </w:rPr>
      </w:pPr>
    </w:p>
    <w:p>
      <w:pPr>
        <w:pStyle w:val="Heading4"/>
        <w:spacing w:line="240" w:lineRule="auto"/>
        <w:ind w:right="0"/>
        <w:jc w:val="both"/>
        <w:rPr>
          <w:b w:val="0"/>
          <w:bCs w:val="0"/>
        </w:rPr>
      </w:pPr>
      <w:r>
        <w:rPr/>
        <w:t>（</w:t>
      </w:r>
      <w:r>
        <w:rPr>
          <w:rFonts w:ascii="Times New Roman" w:hAnsi="Times New Roman" w:cs="Times New Roman" w:eastAsia="Times New Roman" w:hint="default"/>
        </w:rPr>
        <w:t>4</w:t>
      </w:r>
      <w:r>
        <w:rPr/>
        <w:t>）实施、修改、终止股份支付计划的相关会计处理</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410" w:lineRule="auto"/>
        <w:ind w:right="143" w:firstLine="422"/>
        <w:jc w:val="both"/>
      </w:pPr>
      <w:r>
        <w:rPr>
          <w:spacing w:val="-2"/>
        </w:rPr>
        <w:t>以权益结算的涉及职工的股份支付，授予后立即可行权的，按照授予日权益工具的公允价值计入成本</w:t>
      </w:r>
      <w:r>
        <w:rPr>
          <w:w w:val="100"/>
        </w:rPr>
        <w:t> </w:t>
      </w:r>
      <w:r>
        <w:rPr>
          <w:spacing w:val="-2"/>
        </w:rPr>
        <w:t>费用和资本公积；授予后须完成等待期内的服务或达到规定业绩条件才可行权的，在等待期内的每个资产</w:t>
      </w:r>
      <w:r>
        <w:rPr>
          <w:spacing w:val="-35"/>
        </w:rPr>
        <w:t> </w:t>
      </w:r>
      <w:r>
        <w:rPr>
          <w:spacing w:val="-35"/>
        </w:rPr>
      </w:r>
      <w:r>
        <w:rPr>
          <w:spacing w:val="-2"/>
        </w:rPr>
        <w:t>负债表日，以对可行权权益工具数量的最佳估计为基础，按照权益工具授予日的公允价值，将当期取得的</w:t>
      </w:r>
      <w:r>
        <w:rPr>
          <w:spacing w:val="-35"/>
        </w:rPr>
        <w:t> </w:t>
      </w:r>
      <w:r>
        <w:rPr>
          <w:spacing w:val="-35"/>
        </w:rPr>
      </w:r>
      <w:r>
        <w:rPr/>
        <w:t>服务计入相关成本或费用和资本公积。</w:t>
      </w:r>
    </w:p>
    <w:p>
      <w:pPr>
        <w:pStyle w:val="BodyText"/>
        <w:spacing w:line="410" w:lineRule="auto" w:before="41"/>
        <w:ind w:right="143" w:firstLine="422"/>
        <w:jc w:val="both"/>
      </w:pPr>
      <w:r>
        <w:rPr>
          <w:spacing w:val="-2"/>
        </w:rPr>
        <w:t>以现金结算的涉及职工的股份支付，授予后立即可行权的，按照授予日本公司承担负债的公允价值计</w:t>
      </w:r>
      <w:r>
        <w:rPr>
          <w:w w:val="100"/>
        </w:rPr>
        <w:t> </w:t>
      </w:r>
      <w:r>
        <w:rPr>
          <w:spacing w:val="-2"/>
        </w:rPr>
        <w:t>入相关成本或费用和相应负债；授予后须完成等待期内的服务或达到规定业绩条件才可行权的，在等待期</w:t>
      </w:r>
      <w:r>
        <w:rPr>
          <w:spacing w:val="-35"/>
        </w:rPr>
        <w:t> </w:t>
      </w:r>
      <w:r>
        <w:rPr>
          <w:spacing w:val="-35"/>
        </w:rPr>
      </w:r>
      <w:r>
        <w:rPr>
          <w:spacing w:val="-2"/>
        </w:rPr>
        <w:t>内的每个资产负债表日，以对可行权情况的最佳估计为基础，按照本公司承担负债的公允价值金额，将当</w:t>
      </w:r>
      <w:r>
        <w:rPr>
          <w:spacing w:val="-35"/>
        </w:rPr>
        <w:t> </w:t>
      </w:r>
      <w:r>
        <w:rPr>
          <w:spacing w:val="-35"/>
        </w:rPr>
      </w:r>
      <w:r>
        <w:rPr/>
        <w:t>期取得的服务计入相关成本或费用和相应负债。</w:t>
      </w:r>
    </w:p>
    <w:p>
      <w:pPr>
        <w:pStyle w:val="BodyText"/>
        <w:spacing w:line="410" w:lineRule="auto" w:before="41"/>
        <w:ind w:right="142" w:firstLine="422"/>
        <w:jc w:val="both"/>
      </w:pPr>
      <w:r>
        <w:rPr>
          <w:spacing w:val="-2"/>
        </w:rPr>
        <w:t>如果股份支付计划的修改增加了所授予的权益工具的数量，应将增加的权益工具的公允价值相应地确</w:t>
      </w:r>
      <w:r>
        <w:rPr>
          <w:w w:val="100"/>
        </w:rPr>
        <w:t> </w:t>
      </w:r>
      <w:r>
        <w:rPr/>
        <w:t>认为取得服务的增加。</w:t>
      </w:r>
    </w:p>
    <w:p>
      <w:pPr>
        <w:pStyle w:val="BodyText"/>
        <w:spacing w:line="240" w:lineRule="auto" w:before="41"/>
        <w:ind w:left="575" w:right="0"/>
        <w:jc w:val="left"/>
      </w:pPr>
      <w:r>
        <w:rPr/>
        <w:t>如果公司按照有利于职工的方式修改可行权条件，如缩短等待期、变更或取消业绩条件（而非市场条</w:t>
      </w:r>
    </w:p>
    <w:p>
      <w:pPr>
        <w:spacing w:after="0" w:line="240" w:lineRule="auto"/>
        <w:jc w:val="left"/>
        <w:sectPr>
          <w:pgSz w:w="11900" w:h="16840"/>
          <w:pgMar w:header="742" w:footer="984" w:top="1060" w:bottom="118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08" w:lineRule="auto"/>
        <w:ind w:right="142"/>
        <w:jc w:val="both"/>
      </w:pPr>
      <w:r>
        <w:rPr>
          <w:spacing w:val="-2"/>
        </w:rPr>
        <w:t>件），公司在处理可行权条件时，应当考虑修改后的可行权条件。如果公司以减少股份支付公允价值总额</w:t>
      </w:r>
      <w:r>
        <w:rPr>
          <w:spacing w:val="-35"/>
        </w:rPr>
        <w:t> </w:t>
      </w:r>
      <w:r>
        <w:rPr>
          <w:spacing w:val="-35"/>
        </w:rPr>
      </w:r>
      <w:r>
        <w:rPr>
          <w:spacing w:val="-2"/>
        </w:rPr>
        <w:t>的方式或其他不利于职工的方式修改条款和条件，公司仍应继续对取得的服务进行会计处理，如同该变更</w:t>
      </w:r>
      <w:r>
        <w:rPr>
          <w:spacing w:val="-35"/>
        </w:rPr>
        <w:t> </w:t>
      </w:r>
      <w:r>
        <w:rPr>
          <w:spacing w:val="-35"/>
        </w:rPr>
      </w:r>
      <w:r>
        <w:rPr/>
        <w:t>从未发生，除非公司取消了部分或全部已授予的权益工具。</w:t>
      </w:r>
      <w:r>
        <w:rPr>
          <w:spacing w:val="63"/>
        </w:rPr>
        <w:t> </w:t>
      </w:r>
      <w:r>
        <w:rPr/>
        <w:t>在等待期内如果取消了授予的权益工具，对</w:t>
      </w:r>
      <w:r>
        <w:rPr>
          <w:spacing w:val="-95"/>
        </w:rPr>
        <w:t> </w:t>
      </w:r>
      <w:r>
        <w:rPr>
          <w:spacing w:val="-95"/>
        </w:rPr>
      </w:r>
      <w:r>
        <w:rPr>
          <w:spacing w:val="-2"/>
        </w:rPr>
        <w:t>取消所授予的权益性工具作为加速行权处理，剩余等待期内应确认的金额立即计入当期损益，同时确认资</w:t>
      </w:r>
      <w:r>
        <w:rPr>
          <w:spacing w:val="-35"/>
        </w:rPr>
        <w:t> </w:t>
      </w:r>
      <w:r>
        <w:rPr>
          <w:spacing w:val="-35"/>
        </w:rPr>
      </w:r>
      <w:r>
        <w:rPr>
          <w:spacing w:val="-2"/>
        </w:rPr>
        <w:t>本公积。职工或其他方能够选择满足非可行权条件但在等待期内未满足的，将其作为授予权益工具的取消</w:t>
      </w:r>
      <w:r>
        <w:rPr>
          <w:spacing w:val="-35"/>
        </w:rPr>
        <w:t> </w:t>
      </w:r>
      <w:r>
        <w:rPr>
          <w:spacing w:val="-35"/>
        </w:rPr>
      </w:r>
      <w:r>
        <w:rPr/>
        <w:t>处理。</w:t>
      </w:r>
    </w:p>
    <w:p>
      <w:pPr>
        <w:spacing w:line="240" w:lineRule="auto" w:before="6"/>
        <w:rPr>
          <w:rFonts w:ascii="宋体" w:hAnsi="宋体" w:cs="宋体" w:eastAsia="宋体" w:hint="default"/>
          <w:sz w:val="15"/>
          <w:szCs w:val="15"/>
        </w:rPr>
      </w:pPr>
    </w:p>
    <w:p>
      <w:pPr>
        <w:pStyle w:val="Heading4"/>
        <w:spacing w:line="240" w:lineRule="auto"/>
        <w:ind w:right="0"/>
        <w:jc w:val="both"/>
        <w:rPr>
          <w:b w:val="0"/>
          <w:bCs w:val="0"/>
        </w:rPr>
      </w:pPr>
      <w:r>
        <w:rPr>
          <w:rFonts w:ascii="Times New Roman" w:hAnsi="Times New Roman" w:cs="Times New Roman" w:eastAsia="Times New Roman" w:hint="default"/>
        </w:rPr>
        <w:t>25</w:t>
      </w:r>
      <w:r>
        <w:rPr/>
        <w:t>、收入</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408" w:lineRule="auto"/>
        <w:ind w:right="142" w:firstLine="422"/>
        <w:jc w:val="both"/>
      </w:pPr>
      <w:r>
        <w:rPr>
          <w:spacing w:val="-2"/>
        </w:rPr>
        <w:t>商品销售在商品所有权上的主要风险和报酬已转移给买方，本公司不再对该商品实施继续管理权和实</w:t>
      </w:r>
      <w:r>
        <w:rPr>
          <w:w w:val="100"/>
        </w:rPr>
        <w:t> </w:t>
      </w:r>
      <w:r>
        <w:rPr>
          <w:spacing w:val="-2"/>
        </w:rPr>
        <w:t>际控制权，与交易相关的经济利益很可能流入企业，并且与销售该商品相关的收入和成本能够可靠地计量</w:t>
      </w:r>
      <w:r>
        <w:rPr>
          <w:spacing w:val="-35"/>
        </w:rPr>
        <w:t> </w:t>
      </w:r>
      <w:r>
        <w:rPr>
          <w:spacing w:val="-35"/>
        </w:rPr>
      </w:r>
      <w:r>
        <w:rPr/>
        <w:t>时，确认营业收入的实现。</w:t>
      </w:r>
    </w:p>
    <w:p>
      <w:pPr>
        <w:spacing w:line="240" w:lineRule="auto" w:before="10"/>
        <w:rPr>
          <w:rFonts w:ascii="宋体" w:hAnsi="宋体" w:cs="宋体" w:eastAsia="宋体" w:hint="default"/>
          <w:sz w:val="14"/>
          <w:szCs w:val="14"/>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410" w:lineRule="auto"/>
        <w:ind w:right="142" w:firstLine="422"/>
        <w:jc w:val="both"/>
      </w:pPr>
      <w:r>
        <w:rPr>
          <w:spacing w:val="-2"/>
        </w:rPr>
        <w:t>让渡资产使用权取得的利息收入和使用费收入，在与交易相关的经济利益能够流入企业，且收入的金</w:t>
      </w:r>
      <w:r>
        <w:rPr>
          <w:w w:val="100"/>
        </w:rPr>
        <w:t> </w:t>
      </w:r>
      <w:r>
        <w:rPr/>
        <w:t>额能够可靠地计量时，确认收入的实现。</w:t>
      </w:r>
    </w:p>
    <w:p>
      <w:pPr>
        <w:spacing w:line="240" w:lineRule="auto" w:before="8"/>
        <w:rPr>
          <w:rFonts w:ascii="宋体" w:hAnsi="宋体" w:cs="宋体" w:eastAsia="宋体" w:hint="default"/>
          <w:sz w:val="14"/>
          <w:szCs w:val="14"/>
        </w:rPr>
      </w:pPr>
    </w:p>
    <w:p>
      <w:pPr>
        <w:pStyle w:val="Heading4"/>
        <w:spacing w:line="240" w:lineRule="auto"/>
        <w:ind w:right="0"/>
        <w:jc w:val="both"/>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408" w:lineRule="auto"/>
        <w:ind w:right="137" w:firstLine="422"/>
        <w:jc w:val="both"/>
      </w:pPr>
      <w:r>
        <w:rPr>
          <w:spacing w:val="-2"/>
        </w:rPr>
        <w:t>提供的劳务在同一会计年度开始并完成的，在劳务已经提供，收到价款或取得收取价款的证据时，确</w:t>
      </w:r>
      <w:r>
        <w:rPr>
          <w:w w:val="100"/>
        </w:rPr>
        <w:t> </w:t>
      </w:r>
      <w:r>
        <w:rPr>
          <w:spacing w:val="-2"/>
        </w:rPr>
        <w:t>认营业收入的实现；劳务的开始和完成分属不同会计年度的，在劳务合同的总收入、劳务的完成程度能够</w:t>
      </w:r>
      <w:r>
        <w:rPr>
          <w:spacing w:val="-35"/>
        </w:rPr>
        <w:t> </w:t>
      </w:r>
      <w:r>
        <w:rPr>
          <w:spacing w:val="-35"/>
        </w:rPr>
      </w:r>
      <w:r>
        <w:rPr>
          <w:spacing w:val="-2"/>
        </w:rPr>
        <w:t>可靠地确定，与交易相关的价款能够流入，已经发生的成本和为完成劳务将要发生的成本能够可靠地计量</w:t>
      </w:r>
      <w:r>
        <w:rPr>
          <w:spacing w:val="-35"/>
        </w:rPr>
        <w:t> </w:t>
      </w:r>
      <w:r>
        <w:rPr>
          <w:spacing w:val="-35"/>
        </w:rPr>
      </w:r>
      <w:r>
        <w:rPr>
          <w:spacing w:val="-2"/>
        </w:rPr>
        <w:t>时，按完工百分比法确认营业收入的实现；长期合同工程在合同结果已经能够合理地预见时，按结账时已</w:t>
      </w:r>
      <w:r>
        <w:rPr>
          <w:spacing w:val="-35"/>
        </w:rPr>
        <w:t> </w:t>
      </w:r>
      <w:r>
        <w:rPr>
          <w:spacing w:val="-35"/>
        </w:rPr>
      </w:r>
      <w:r>
        <w:rPr/>
        <w:t>完成工程进度的百分比法确认营业收入的实现。</w:t>
      </w:r>
    </w:p>
    <w:p>
      <w:pPr>
        <w:spacing w:line="240" w:lineRule="auto" w:before="6"/>
        <w:rPr>
          <w:rFonts w:ascii="宋体" w:hAnsi="宋体" w:cs="宋体" w:eastAsia="宋体" w:hint="default"/>
          <w:sz w:val="15"/>
          <w:szCs w:val="15"/>
        </w:rPr>
      </w:pPr>
    </w:p>
    <w:p>
      <w:pPr>
        <w:pStyle w:val="Heading4"/>
        <w:spacing w:line="240" w:lineRule="auto"/>
        <w:ind w:right="0"/>
        <w:jc w:val="both"/>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408" w:lineRule="auto"/>
        <w:ind w:right="141" w:firstLine="422"/>
        <w:jc w:val="both"/>
      </w:pPr>
      <w:r>
        <w:rPr>
          <w:spacing w:val="-2"/>
        </w:rPr>
        <w:t>与资产相关的政府补助，是指公司取得的、用于购建或以其他方式形成长期资产的政府补助。与资产</w:t>
      </w:r>
      <w:r>
        <w:rPr>
          <w:w w:val="100"/>
        </w:rPr>
        <w:t> </w:t>
      </w:r>
      <w:r>
        <w:rPr>
          <w:spacing w:val="-2"/>
        </w:rPr>
        <w:t>相关的政府补助，确认为递延收益，并在相关资产使用寿命内平均分配，计入当期损益。但是，按照名义</w:t>
      </w:r>
      <w:r>
        <w:rPr>
          <w:spacing w:val="-41"/>
        </w:rPr>
        <w:t> </w:t>
      </w:r>
      <w:r>
        <w:rPr>
          <w:spacing w:val="-41"/>
        </w:rPr>
      </w:r>
      <w:r>
        <w:rPr/>
        <w:t>金额计量的政府补助，直接计入当期损益。</w:t>
      </w:r>
    </w:p>
    <w:p>
      <w:pPr>
        <w:spacing w:after="0" w:line="408" w:lineRule="auto"/>
        <w:jc w:val="both"/>
        <w:sectPr>
          <w:pgSz w:w="11900" w:h="16840"/>
          <w:pgMar w:header="742" w:footer="984" w:top="1060" w:bottom="118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575" w:right="0"/>
        <w:jc w:val="left"/>
      </w:pPr>
      <w:r>
        <w:rPr/>
        <w:t>与资产相关的政府补助：</w:t>
      </w:r>
    </w:p>
    <w:p>
      <w:pPr>
        <w:spacing w:line="240" w:lineRule="auto" w:before="8"/>
        <w:rPr>
          <w:rFonts w:ascii="宋体" w:hAnsi="宋体" w:cs="宋体" w:eastAsia="宋体" w:hint="default"/>
          <w:sz w:val="14"/>
          <w:szCs w:val="14"/>
        </w:rPr>
      </w:pPr>
    </w:p>
    <w:p>
      <w:pPr>
        <w:pStyle w:val="BodyText"/>
        <w:spacing w:line="410" w:lineRule="auto"/>
        <w:ind w:right="137" w:firstLine="422"/>
        <w:jc w:val="both"/>
      </w:pPr>
      <w:r>
        <w:rPr>
          <w:spacing w:val="-2"/>
        </w:rPr>
        <w:t>①对于政府文件明确规定补助对象的，应当确认为递延收益，并在相关资产使用寿命内平均分配，计</w:t>
      </w:r>
      <w:r>
        <w:rPr>
          <w:w w:val="100"/>
        </w:rPr>
        <w:t> </w:t>
      </w:r>
      <w:r>
        <w:rPr/>
        <w:t>入当期损益；</w:t>
      </w:r>
    </w:p>
    <w:p>
      <w:pPr>
        <w:pStyle w:val="BodyText"/>
        <w:spacing w:line="408" w:lineRule="auto" w:before="41"/>
        <w:ind w:right="143" w:firstLine="422"/>
        <w:jc w:val="both"/>
      </w:pPr>
      <w:r>
        <w:rPr>
          <w:spacing w:val="-2"/>
        </w:rPr>
        <w:t>②对于政府文件未明确规定补助对象的，能够形成资产的，与资产价值相对应的政府补助部分作为与</w:t>
      </w:r>
      <w:r>
        <w:rPr>
          <w:w w:val="100"/>
        </w:rPr>
        <w:t> </w:t>
      </w:r>
      <w:r>
        <w:rPr>
          <w:spacing w:val="-2"/>
        </w:rPr>
        <w:t>资产相关的政府补助，其余部分作为与收益相关的政府补助；难以区分的，将政府补助整体作为与收益相</w:t>
      </w:r>
      <w:r>
        <w:rPr>
          <w:spacing w:val="-35"/>
        </w:rPr>
        <w:t> </w:t>
      </w:r>
      <w:r>
        <w:rPr>
          <w:spacing w:val="-35"/>
        </w:rPr>
      </w:r>
      <w:r>
        <w:rPr/>
        <w:t>关的政府补助。</w:t>
      </w:r>
    </w:p>
    <w:p>
      <w:pPr>
        <w:spacing w:line="240" w:lineRule="auto" w:before="6"/>
        <w:rPr>
          <w:rFonts w:ascii="宋体" w:hAnsi="宋体" w:cs="宋体" w:eastAsia="宋体" w:hint="default"/>
          <w:sz w:val="15"/>
          <w:szCs w:val="1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08" w:lineRule="auto"/>
        <w:ind w:right="122" w:firstLine="422"/>
        <w:jc w:val="both"/>
      </w:pPr>
      <w:r>
        <w:rPr>
          <w:spacing w:val="-2"/>
        </w:rPr>
        <w:t>与收益相关的政府补助，是指除与资产相关的政府补助之外的政府补助。与收益相关的政府补助，用</w:t>
      </w:r>
      <w:r>
        <w:rPr>
          <w:w w:val="100"/>
        </w:rPr>
        <w:t> </w:t>
      </w:r>
      <w:r>
        <w:rPr>
          <w:spacing w:val="-2"/>
        </w:rPr>
        <w:t>于补偿公司以后期间的相关费用或损失的，确认为递延收益，并在确认相关费用的期间，计入当期损益；</w:t>
      </w:r>
      <w:r>
        <w:rPr>
          <w:spacing w:val="-16"/>
        </w:rPr>
        <w:t> </w:t>
      </w:r>
      <w:r>
        <w:rPr>
          <w:spacing w:val="-16"/>
        </w:rPr>
      </w:r>
      <w:r>
        <w:rPr/>
        <w:t>用于补偿公司已发生的相关费用或损失的，直接计入当期损益。</w:t>
      </w:r>
    </w:p>
    <w:p>
      <w:pPr>
        <w:pStyle w:val="BodyText"/>
        <w:spacing w:line="408" w:lineRule="auto" w:before="48"/>
        <w:ind w:right="137" w:firstLine="422"/>
        <w:jc w:val="both"/>
      </w:pPr>
      <w:r>
        <w:rPr>
          <w:spacing w:val="-2"/>
        </w:rPr>
        <w:t>与收益相关的政府补助：①用于补偿公司以后期间的相关费用或损失的，确认为递延收益，并在确认</w:t>
      </w:r>
      <w:r>
        <w:rPr>
          <w:w w:val="100"/>
        </w:rPr>
        <w:t> </w:t>
      </w:r>
      <w:r>
        <w:rPr>
          <w:spacing w:val="-2"/>
        </w:rPr>
        <w:t>相关费用的期间，计入当期损益；②用于补偿公司已发生的相关费用或损失的，直接计入当期损益；③按</w:t>
      </w:r>
      <w:r>
        <w:rPr>
          <w:spacing w:val="-37"/>
        </w:rPr>
        <w:t> </w:t>
      </w:r>
      <w:r>
        <w:rPr>
          <w:spacing w:val="-37"/>
        </w:rPr>
      </w:r>
      <w:r>
        <w:rPr/>
        <w:t>照名义金额计量的政府补助，直接计入当期损益。</w:t>
      </w:r>
    </w:p>
    <w:p>
      <w:pPr>
        <w:spacing w:line="240" w:lineRule="auto" w:before="1"/>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408" w:lineRule="auto"/>
        <w:ind w:right="141" w:firstLine="422"/>
        <w:jc w:val="both"/>
      </w:pPr>
      <w:r>
        <w:rPr/>
        <w:t>递延所得税资产和递延所得税负债根据资产和负债的计税基础与其账面价值的差额(包括应纳税暂时</w:t>
      </w:r>
      <w:r>
        <w:rPr>
          <w:w w:val="100"/>
        </w:rPr>
        <w:t> </w:t>
      </w:r>
      <w:r>
        <w:rPr/>
        <w:t>性差异和可抵扣暂时性差异)计算确认。对于按照税法规定能够于以后年度抵减应纳税所得额的可抵扣亏</w:t>
      </w:r>
      <w:r>
        <w:rPr>
          <w:spacing w:val="-33"/>
        </w:rPr>
        <w:t> </w:t>
      </w:r>
      <w:r>
        <w:rPr>
          <w:spacing w:val="-33"/>
        </w:rPr>
      </w:r>
      <w:r>
        <w:rPr>
          <w:spacing w:val="-2"/>
        </w:rPr>
        <w:t>损，视同可抵扣暂时性差异。对于商誉的初始确认产生的暂时性差异，不确认相应的递延所得税负债。对</w:t>
      </w:r>
      <w:r>
        <w:rPr>
          <w:spacing w:val="-36"/>
        </w:rPr>
        <w:t> </w:t>
      </w:r>
      <w:r>
        <w:rPr>
          <w:spacing w:val="-36"/>
        </w:rPr>
      </w:r>
      <w:r>
        <w:rPr/>
        <w:t>于既不影响会计利润也不影响应纳税所得额(或可抵扣亏损)的非企业合并的交易中产生的资产或负债的</w:t>
      </w:r>
      <w:r>
        <w:rPr>
          <w:spacing w:val="61"/>
        </w:rPr>
        <w:t> </w:t>
      </w:r>
      <w:r>
        <w:rPr>
          <w:spacing w:val="61"/>
        </w:rPr>
      </w:r>
      <w:r>
        <w:rPr>
          <w:spacing w:val="-2"/>
        </w:rPr>
        <w:t>初始确认形成的暂时性差异，不确认相应的递延所得税资产和递延所得税负债。于资产负债表日，递延所</w:t>
      </w:r>
      <w:r>
        <w:rPr>
          <w:spacing w:val="-35"/>
        </w:rPr>
        <w:t> </w:t>
      </w:r>
      <w:r>
        <w:rPr>
          <w:spacing w:val="-35"/>
        </w:rPr>
      </w:r>
      <w:r>
        <w:rPr/>
        <w:t>得税资产和递延所得税负债，按照预期收回该资产或清偿该负债期间的适用税率计量。</w:t>
      </w:r>
    </w:p>
    <w:p>
      <w:pPr>
        <w:pStyle w:val="BodyText"/>
        <w:spacing w:line="405" w:lineRule="auto" w:before="48"/>
        <w:ind w:right="142" w:firstLine="422"/>
        <w:jc w:val="both"/>
      </w:pPr>
      <w:r>
        <w:rPr>
          <w:spacing w:val="-2"/>
        </w:rPr>
        <w:t>递延所得税资产的确认以本公司很可能取得用来抵扣可抵扣暂时性差异、可抵扣亏损和税款抵减的应</w:t>
      </w:r>
      <w:r>
        <w:rPr>
          <w:w w:val="100"/>
        </w:rPr>
        <w:t> </w:t>
      </w:r>
      <w:r>
        <w:rPr/>
        <w:t>纳税所得额为限。</w:t>
      </w:r>
    </w:p>
    <w:p>
      <w:pPr>
        <w:pStyle w:val="BodyText"/>
        <w:spacing w:line="408" w:lineRule="auto" w:before="50"/>
        <w:ind w:right="142" w:firstLine="422"/>
        <w:jc w:val="both"/>
      </w:pPr>
      <w:r>
        <w:rPr>
          <w:spacing w:val="-2"/>
        </w:rPr>
        <w:t>对子公司、联营企业及合营企业投资相关的暂时性差异产生的递延所得税资产和递延所得税负债，予</w:t>
      </w:r>
      <w:r>
        <w:rPr>
          <w:w w:val="100"/>
        </w:rPr>
        <w:t> </w:t>
      </w:r>
      <w:r>
        <w:rPr>
          <w:spacing w:val="-2"/>
        </w:rPr>
        <w:t>以确认。但本公司能够控制暂时性差异转回的时间且该暂时性差异在可预见的未来很可能不会转回的，不</w:t>
      </w:r>
      <w:r>
        <w:rPr>
          <w:spacing w:val="-35"/>
        </w:rPr>
        <w:t> </w:t>
      </w:r>
      <w:r>
        <w:rPr>
          <w:spacing w:val="-35"/>
        </w:rPr>
      </w:r>
      <w:r>
        <w:rPr/>
        <w:t>予确认。</w:t>
      </w:r>
    </w:p>
    <w:p>
      <w:pPr>
        <w:spacing w:after="0" w:line="408" w:lineRule="auto"/>
        <w:jc w:val="both"/>
        <w:sectPr>
          <w:pgSz w:w="11900" w:h="16840"/>
          <w:pgMar w:header="742" w:footer="984" w:top="1060" w:bottom="1180" w:left="980" w:right="980"/>
        </w:sectPr>
      </w:pPr>
    </w:p>
    <w:p>
      <w:pPr>
        <w:spacing w:line="240" w:lineRule="auto" w:before="4"/>
        <w:rPr>
          <w:rFonts w:ascii="宋体" w:hAnsi="宋体" w:cs="宋体" w:eastAsia="宋体" w:hint="default"/>
          <w:sz w:val="25"/>
          <w:szCs w:val="25"/>
        </w:rPr>
      </w:pPr>
    </w:p>
    <w:p>
      <w:pPr>
        <w:pStyle w:val="Heading4"/>
        <w:spacing w:line="335" w:lineRule="exact"/>
        <w:ind w:right="0"/>
        <w:jc w:val="left"/>
        <w:rPr>
          <w:b w:val="0"/>
          <w:bCs w:val="0"/>
        </w:rPr>
      </w:pPr>
      <w:r>
        <w:rPr>
          <w:rFonts w:ascii="Times New Roman" w:hAnsi="Times New Roman" w:cs="Times New Roman" w:eastAsia="Times New Roman" w:hint="default"/>
        </w:rPr>
        <w:t>28</w:t>
      </w:r>
      <w:r>
        <w:rPr/>
        <w:t>、租赁</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240" w:lineRule="auto"/>
        <w:ind w:left="575" w:right="0"/>
        <w:jc w:val="left"/>
      </w:pPr>
      <w:r>
        <w:rPr/>
        <w:t>经营租赁的租金支出在租赁期内按照直线法计入相关资产成本或当期损益。</w:t>
      </w:r>
    </w:p>
    <w:p>
      <w:pPr>
        <w:spacing w:line="240" w:lineRule="auto" w:before="5"/>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08" w:lineRule="auto"/>
        <w:ind w:right="142" w:firstLine="422"/>
        <w:jc w:val="both"/>
      </w:pPr>
      <w:r>
        <w:rPr>
          <w:spacing w:val="-2"/>
        </w:rPr>
        <w:t>按租赁资产的公允价值与最低租赁付款额的现值两者中较低者作为租入资产的入账价值，租入资产的</w:t>
      </w:r>
      <w:r>
        <w:rPr>
          <w:w w:val="100"/>
        </w:rPr>
        <w:t> </w:t>
      </w:r>
      <w:r>
        <w:rPr>
          <w:spacing w:val="-2"/>
        </w:rPr>
        <w:t>入账价值与最低租赁付款额之间的差额为未确认融资费用，在租赁期内按实际利率法摊销。最低租赁付款</w:t>
      </w:r>
      <w:r>
        <w:rPr>
          <w:spacing w:val="-35"/>
        </w:rPr>
        <w:t> </w:t>
      </w:r>
      <w:r>
        <w:rPr>
          <w:spacing w:val="-35"/>
        </w:rPr>
      </w:r>
      <w:r>
        <w:rPr/>
        <w:t>额扣除未确认融资费用后的余额以长期应付款列示。</w:t>
      </w:r>
    </w:p>
    <w:p>
      <w:pPr>
        <w:spacing w:line="240" w:lineRule="auto" w:before="6"/>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29</w:t>
      </w:r>
      <w:r>
        <w:rPr/>
        <w:t>、重要会计政策和会计估计变更</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240" w:lineRule="auto"/>
        <w:ind w:left="575" w:right="0"/>
        <w:jc w:val="left"/>
      </w:pPr>
      <w:r>
        <w:rPr/>
        <w:t>√ 适用 □</w:t>
      </w:r>
      <w:r>
        <w:rPr>
          <w:spacing w:val="3"/>
        </w:rPr>
        <w:t> </w:t>
      </w:r>
      <w:r>
        <w:rPr/>
        <w:t>不适用</w:t>
      </w:r>
    </w:p>
    <w:p>
      <w:pPr>
        <w:spacing w:line="240" w:lineRule="auto" w:before="6"/>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3192"/>
        <w:gridCol w:w="3187"/>
        <w:gridCol w:w="3192"/>
      </w:tblGrid>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8" w:right="0"/>
              <w:jc w:val="left"/>
              <w:rPr>
                <w:rFonts w:ascii="宋体" w:hAnsi="宋体" w:cs="宋体" w:eastAsia="宋体" w:hint="default"/>
                <w:sz w:val="18"/>
                <w:szCs w:val="18"/>
              </w:rPr>
            </w:pPr>
            <w:r>
              <w:rPr>
                <w:rFonts w:ascii="宋体" w:hAnsi="宋体" w:cs="宋体" w:eastAsia="宋体" w:hint="default"/>
                <w:spacing w:val="-3"/>
                <w:sz w:val="18"/>
                <w:szCs w:val="18"/>
              </w:rPr>
              <w:t>会计政策变更的内容和原因</w:t>
            </w:r>
          </w:p>
        </w:tc>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62" w:hRule="exact"/>
        </w:trPr>
        <w:tc>
          <w:tcPr>
            <w:tcW w:w="31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4"/>
                <w:sz w:val="18"/>
                <w:szCs w:val="18"/>
              </w:rPr>
              <w:t>根据财政部《关于印发修订</w:t>
            </w:r>
            <w:r>
              <w:rPr>
                <w:rFonts w:ascii="Times New Roman" w:hAnsi="Times New Roman" w:cs="Times New Roman" w:eastAsia="Times New Roman" w:hint="default"/>
                <w:spacing w:val="-4"/>
                <w:sz w:val="18"/>
                <w:szCs w:val="18"/>
              </w:rPr>
              <w:t>&lt;</w:t>
            </w:r>
            <w:r>
              <w:rPr>
                <w:rFonts w:ascii="宋体" w:hAnsi="宋体" w:cs="宋体" w:eastAsia="宋体" w:hint="default"/>
                <w:spacing w:val="-4"/>
                <w:sz w:val="18"/>
                <w:szCs w:val="18"/>
              </w:rPr>
              <w:t>企业会计准</w:t>
            </w:r>
          </w:p>
        </w:tc>
        <w:tc>
          <w:tcPr>
            <w:tcW w:w="3187" w:type="dxa"/>
            <w:tcBorders>
              <w:top w:val="single" w:sz="4" w:space="0" w:color="000000"/>
              <w:left w:val="single" w:sz="4" w:space="0" w:color="000000"/>
              <w:bottom w:val="nil" w:sz="6" w:space="0" w:color="auto"/>
              <w:right w:val="single" w:sz="4" w:space="0" w:color="000000"/>
            </w:tcBorders>
          </w:tcPr>
          <w:p>
            <w:pPr/>
          </w:p>
        </w:tc>
        <w:tc>
          <w:tcPr>
            <w:tcW w:w="3192" w:type="dxa"/>
            <w:tcBorders>
              <w:top w:val="single" w:sz="4" w:space="0" w:color="000000"/>
              <w:left w:val="single" w:sz="4" w:space="0" w:color="000000"/>
              <w:bottom w:val="nil" w:sz="6" w:space="0" w:color="auto"/>
              <w:right w:val="single" w:sz="4" w:space="0" w:color="000000"/>
            </w:tcBorders>
          </w:tcPr>
          <w:p>
            <w:pPr/>
          </w:p>
        </w:tc>
      </w:tr>
      <w:tr>
        <w:trPr>
          <w:trHeight w:val="310"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则第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长期股权投资</w:t>
            </w:r>
            <w:r>
              <w:rPr>
                <w:rFonts w:ascii="Times New Roman" w:hAnsi="Times New Roman" w:cs="Times New Roman" w:eastAsia="Times New Roman" w:hint="default"/>
                <w:spacing w:val="-5"/>
                <w:sz w:val="18"/>
                <w:szCs w:val="18"/>
              </w:rPr>
              <w:t>&gt;</w:t>
            </w:r>
            <w:r>
              <w:rPr>
                <w:rFonts w:ascii="宋体" w:hAnsi="宋体" w:cs="宋体" w:eastAsia="宋体" w:hint="default"/>
                <w:spacing w:val="-5"/>
                <w:sz w:val="18"/>
                <w:szCs w:val="18"/>
              </w:rPr>
              <w:t>的通知》等</w:t>
            </w:r>
          </w:p>
        </w:tc>
        <w:tc>
          <w:tcPr>
            <w:tcW w:w="3187" w:type="dxa"/>
            <w:tcBorders>
              <w:top w:val="nil" w:sz="6" w:space="0" w:color="auto"/>
              <w:left w:val="single" w:sz="4" w:space="0" w:color="000000"/>
              <w:bottom w:val="nil" w:sz="6" w:space="0" w:color="auto"/>
              <w:right w:val="single" w:sz="4" w:space="0" w:color="000000"/>
            </w:tcBorders>
          </w:tcPr>
          <w:p>
            <w:pPr/>
          </w:p>
        </w:tc>
        <w:tc>
          <w:tcPr>
            <w:tcW w:w="3192"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7 </w:t>
            </w:r>
            <w:r>
              <w:rPr>
                <w:rFonts w:ascii="宋体" w:hAnsi="宋体" w:cs="宋体" w:eastAsia="宋体" w:hint="default"/>
                <w:sz w:val="18"/>
                <w:szCs w:val="18"/>
              </w:rPr>
              <w:t>项通知（财会</w:t>
            </w:r>
            <w:r>
              <w:rPr>
                <w:rFonts w:ascii="Times New Roman" w:hAnsi="Times New Roman" w:cs="Times New Roman" w:eastAsia="Times New Roman" w:hint="default"/>
                <w:sz w:val="18"/>
                <w:szCs w:val="18"/>
              </w:rPr>
              <w:t>[2014]6~8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10~11</w:t>
            </w:r>
            <w:r>
              <w:rPr>
                <w:rFonts w:ascii="Times New Roman" w:hAnsi="Times New Roman" w:cs="Times New Roman" w:eastAsia="Times New Roman" w:hint="default"/>
                <w:spacing w:val="7"/>
                <w:sz w:val="18"/>
                <w:szCs w:val="18"/>
              </w:rPr>
              <w:t> </w:t>
            </w:r>
            <w:r>
              <w:rPr>
                <w:rFonts w:ascii="宋体" w:hAnsi="宋体" w:cs="宋体" w:eastAsia="宋体" w:hint="default"/>
                <w:spacing w:val="-20"/>
                <w:sz w:val="18"/>
                <w:szCs w:val="18"/>
              </w:rPr>
              <w:t>号、</w:t>
            </w:r>
            <w:r>
              <w:rPr>
                <w:rFonts w:ascii="宋体" w:hAnsi="宋体" w:cs="宋体" w:eastAsia="宋体" w:hint="default"/>
                <w:sz w:val="18"/>
                <w:szCs w:val="18"/>
              </w:rPr>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号、</w:t>
            </w:r>
            <w:r>
              <w:rPr>
                <w:rFonts w:ascii="Times New Roman" w:hAnsi="Times New Roman" w:cs="Times New Roman" w:eastAsia="Times New Roman" w:hint="default"/>
                <w:sz w:val="18"/>
                <w:szCs w:val="18"/>
              </w:rPr>
              <w:t>16 </w:t>
            </w:r>
            <w:r>
              <w:rPr>
                <w:rFonts w:ascii="宋体" w:hAnsi="宋体" w:cs="宋体" w:eastAsia="宋体" w:hint="default"/>
                <w:sz w:val="18"/>
                <w:szCs w:val="18"/>
              </w:rPr>
              <w:t>号）等规定，本公司自</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p>
        </w:tc>
        <w:tc>
          <w:tcPr>
            <w:tcW w:w="3187"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89"/>
              <w:jc w:val="left"/>
              <w:rPr>
                <w:rFonts w:ascii="宋体" w:hAnsi="宋体" w:cs="宋体" w:eastAsia="宋体" w:hint="default"/>
                <w:sz w:val="18"/>
                <w:szCs w:val="18"/>
              </w:rPr>
            </w:pPr>
            <w:r>
              <w:rPr>
                <w:rFonts w:ascii="宋体" w:hAnsi="宋体" w:cs="宋体" w:eastAsia="宋体" w:hint="default"/>
                <w:spacing w:val="-3"/>
                <w:sz w:val="18"/>
                <w:szCs w:val="18"/>
              </w:rPr>
              <w:t>经第三届董事会第六次会议及第三届监</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事会第四次会议审议通过。</w:t>
            </w:r>
          </w:p>
        </w:tc>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新准则对公司财务报表无重大影响</w:t>
            </w:r>
          </w:p>
        </w:tc>
      </w:tr>
      <w:tr>
        <w:trPr>
          <w:trHeight w:val="314" w:hRule="exact"/>
        </w:trPr>
        <w:tc>
          <w:tcPr>
            <w:tcW w:w="31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日起执行财政部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年发布的</w:t>
            </w:r>
          </w:p>
        </w:tc>
        <w:tc>
          <w:tcPr>
            <w:tcW w:w="3187" w:type="dxa"/>
            <w:tcBorders>
              <w:top w:val="nil" w:sz="6" w:space="0" w:color="auto"/>
              <w:left w:val="single" w:sz="4" w:space="0" w:color="000000"/>
              <w:bottom w:val="nil" w:sz="6" w:space="0" w:color="auto"/>
              <w:right w:val="single" w:sz="4" w:space="0" w:color="000000"/>
            </w:tcBorders>
          </w:tcPr>
          <w:p>
            <w:pPr/>
          </w:p>
        </w:tc>
        <w:tc>
          <w:tcPr>
            <w:tcW w:w="3192"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31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前述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1"/>
                <w:sz w:val="18"/>
                <w:szCs w:val="18"/>
              </w:rPr>
              <w:t> </w:t>
            </w:r>
            <w:r>
              <w:rPr>
                <w:rFonts w:ascii="宋体" w:hAnsi="宋体" w:cs="宋体" w:eastAsia="宋体" w:hint="default"/>
                <w:spacing w:val="-3"/>
                <w:sz w:val="18"/>
                <w:szCs w:val="18"/>
              </w:rPr>
              <w:t>项企业会计准则。</w:t>
            </w:r>
          </w:p>
        </w:tc>
        <w:tc>
          <w:tcPr>
            <w:tcW w:w="3187" w:type="dxa"/>
            <w:tcBorders>
              <w:top w:val="nil" w:sz="6" w:space="0" w:color="auto"/>
              <w:left w:val="single" w:sz="4" w:space="0" w:color="000000"/>
              <w:bottom w:val="single" w:sz="4" w:space="0" w:color="000000"/>
              <w:right w:val="single" w:sz="4" w:space="0" w:color="000000"/>
            </w:tcBorders>
          </w:tcPr>
          <w:p>
            <w:pPr/>
          </w:p>
        </w:tc>
        <w:tc>
          <w:tcPr>
            <w:tcW w:w="3192" w:type="dxa"/>
            <w:tcBorders>
              <w:top w:val="nil" w:sz="6" w:space="0" w:color="auto"/>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pict>
          <v:group style="position:absolute;margin-left:216.479996pt;margin-top:-80.084999pt;width:157.950pt;height:36.4pt;mso-position-horizontal-relative:page;mso-position-vertical-relative:paragraph;z-index:-880840" coordorigin="4330,-1602" coordsize="3159,728">
            <v:group style="position:absolute;left:4342;top:-1590;width:2;height:704" coordorigin="4342,-1590" coordsize="2,704">
              <v:shape style="position:absolute;left:4342;top:-1590;width:2;height:704" coordorigin="4342,-1590" coordsize="0,704" path="m4342,-1590l4342,-886e" filled="false" stroked="true" strokeweight="1.2pt" strokecolor="#ffffff">
                <v:path arrowok="t"/>
              </v:shape>
            </v:group>
            <v:group style="position:absolute;left:4354;top:-1590;width:3135;height:351" coordorigin="4354,-1590" coordsize="3135,351">
              <v:shape style="position:absolute;left:4354;top:-1590;width:3135;height:351" coordorigin="4354,-1590" coordsize="3135,351" path="m4354,-1240l7488,-1240,7488,-1590,4354,-1590,4354,-1240xe" filled="true" fillcolor="#ffffff" stroked="false">
                <v:path arrowok="t"/>
                <v:fill type="solid"/>
              </v:shape>
            </v:group>
            <w10:wrap type="none"/>
          </v:group>
        </w:pict>
      </w:r>
      <w:r>
        <w:rPr/>
        <w:t>（</w:t>
      </w:r>
      <w:r>
        <w:rPr>
          <w:rFonts w:ascii="Times New Roman" w:hAnsi="Times New Roman" w:cs="Times New Roman" w:eastAsia="Times New Roman" w:hint="default"/>
        </w:rPr>
        <w:t>2</w:t>
      </w:r>
      <w:r>
        <w:rPr/>
        <w:t>）重要会计估计变更</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240" w:lineRule="auto"/>
        <w:ind w:left="575" w:right="0"/>
        <w:jc w:val="left"/>
      </w:pPr>
      <w:r>
        <w:rPr/>
        <w:t>□ 适用 √</w:t>
      </w:r>
      <w:r>
        <w:rPr>
          <w:spacing w:val="3"/>
        </w:rPr>
        <w:t> </w:t>
      </w:r>
      <w:r>
        <w:rPr/>
        <w:t>不适用</w:t>
      </w:r>
    </w:p>
    <w:p>
      <w:pPr>
        <w:spacing w:line="240" w:lineRule="auto" w:before="9"/>
        <w:rPr>
          <w:rFonts w:ascii="宋体" w:hAnsi="宋体" w:cs="宋体" w:eastAsia="宋体" w:hint="default"/>
          <w:sz w:val="23"/>
          <w:szCs w:val="23"/>
        </w:rPr>
      </w:pPr>
    </w:p>
    <w:p>
      <w:pPr>
        <w:pStyle w:val="Heading3"/>
        <w:spacing w:line="240" w:lineRule="auto"/>
        <w:ind w:right="0"/>
        <w:jc w:val="left"/>
        <w:rPr>
          <w:b w:val="0"/>
          <w:bCs w:val="0"/>
        </w:rPr>
      </w:pPr>
      <w:r>
        <w:rPr/>
        <w:t>六、税项</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3178"/>
        <w:gridCol w:w="3202"/>
        <w:gridCol w:w="3192"/>
      </w:tblGrid>
      <w:tr>
        <w:trPr>
          <w:trHeight w:val="398"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178"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2" w:type="dxa"/>
            <w:vMerge w:val="restart"/>
            <w:tcBorders>
              <w:top w:val="single" w:sz="4" w:space="0" w:color="000000"/>
              <w:left w:val="single" w:sz="8" w:space="0" w:color="D2D2D2"/>
              <w:right w:val="single" w:sz="4" w:space="0" w:color="000000"/>
            </w:tcBorders>
          </w:tcPr>
          <w:p>
            <w:pPr>
              <w:pStyle w:val="TableParagraph"/>
              <w:spacing w:line="312" w:lineRule="auto" w:before="53"/>
              <w:ind w:left="28" w:right="31"/>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应纳税增值额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应纳税额按应纳税销售额</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3"/>
                <w:sz w:val="18"/>
                <w:szCs w:val="18"/>
              </w:rPr>
              <w:t>乘以适用税率扣除当期允计抵扣的进项</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税后的余额计算</w:t>
            </w:r>
            <w:r>
              <w:rPr>
                <w:rFonts w:ascii="Times New Roman" w:hAnsi="Times New Roman" w:cs="Times New Roman" w:eastAsia="Times New Roman" w:hint="default"/>
                <w:sz w:val="18"/>
                <w:szCs w:val="18"/>
              </w:rPr>
              <w:t>)</w:t>
            </w:r>
          </w:p>
        </w:tc>
        <w:tc>
          <w:tcPr>
            <w:tcW w:w="319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17%</w:t>
            </w:r>
          </w:p>
        </w:tc>
      </w:tr>
      <w:tr>
        <w:trPr>
          <w:trHeight w:val="393" w:hRule="exact"/>
        </w:trPr>
        <w:tc>
          <w:tcPr>
            <w:tcW w:w="31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vMerge/>
            <w:tcBorders>
              <w:left w:val="single" w:sz="8" w:space="0" w:color="D2D2D2"/>
              <w:right w:val="single" w:sz="4" w:space="0" w:color="000000"/>
            </w:tcBorders>
          </w:tcPr>
          <w:p>
            <w:pPr/>
          </w:p>
        </w:tc>
        <w:tc>
          <w:tcPr>
            <w:tcW w:w="3192" w:type="dxa"/>
            <w:vMerge/>
            <w:tcBorders>
              <w:left w:val="single" w:sz="4" w:space="0" w:color="000000"/>
              <w:right w:val="single" w:sz="4" w:space="0" w:color="000000"/>
            </w:tcBorders>
          </w:tcPr>
          <w:p>
            <w:pPr/>
          </w:p>
        </w:tc>
      </w:tr>
      <w:tr>
        <w:trPr>
          <w:trHeight w:val="317" w:hRule="exact"/>
        </w:trPr>
        <w:tc>
          <w:tcPr>
            <w:tcW w:w="3178"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2" w:type="dxa"/>
            <w:vMerge/>
            <w:tcBorders>
              <w:left w:val="single" w:sz="8" w:space="0" w:color="D2D2D2"/>
              <w:bottom w:val="single" w:sz="4" w:space="0" w:color="000000"/>
              <w:right w:val="single" w:sz="4" w:space="0" w:color="000000"/>
            </w:tcBorders>
          </w:tcPr>
          <w:p>
            <w:pPr/>
          </w:p>
        </w:tc>
        <w:tc>
          <w:tcPr>
            <w:tcW w:w="3192" w:type="dxa"/>
            <w:vMerge/>
            <w:tcBorders>
              <w:left w:val="single" w:sz="4" w:space="0" w:color="000000"/>
              <w:bottom w:val="single" w:sz="4" w:space="0" w:color="000000"/>
              <w:right w:val="single" w:sz="4" w:space="0" w:color="000000"/>
            </w:tcBorders>
          </w:tcPr>
          <w:p>
            <w:pP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20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应纳流转税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见详细说明</w:t>
            </w:r>
          </w:p>
        </w:tc>
      </w:tr>
    </w:tbl>
    <w:p>
      <w:pPr>
        <w:spacing w:after="0" w:line="240" w:lineRule="auto"/>
        <w:jc w:val="left"/>
        <w:rPr>
          <w:rFonts w:ascii="宋体" w:hAnsi="宋体" w:cs="宋体" w:eastAsia="宋体" w:hint="default"/>
          <w:sz w:val="18"/>
          <w:szCs w:val="18"/>
        </w:rPr>
        <w:sectPr>
          <w:pgSz w:w="11900" w:h="16840"/>
          <w:pgMar w:header="742" w:footer="984" w:top="1060" w:bottom="1180" w:left="980" w:right="980"/>
        </w:sectPr>
      </w:pPr>
    </w:p>
    <w:p>
      <w:pPr>
        <w:spacing w:line="240" w:lineRule="auto" w:before="0"/>
        <w:rPr>
          <w:rFonts w:ascii="Microsoft JhengHei" w:hAnsi="Microsoft JhengHei" w:cs="Microsoft JhengHei" w:eastAsia="Microsoft JhengHei" w:hint="default"/>
          <w:b/>
          <w:bCs/>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388" w:lineRule="auto"/>
        <w:ind w:right="202" w:firstLine="422"/>
        <w:jc w:val="both"/>
      </w:pPr>
      <w:r>
        <w:rPr>
          <w:spacing w:val="-3"/>
        </w:rPr>
        <w:t>本公司</w:t>
      </w:r>
      <w:r>
        <w:rPr>
          <w:rFonts w:ascii="Arial" w:hAnsi="Arial" w:cs="Arial" w:eastAsia="Arial" w:hint="default"/>
          <w:spacing w:val="-3"/>
        </w:rPr>
        <w:t>2014</w:t>
      </w:r>
      <w:r>
        <w:rPr>
          <w:spacing w:val="-3"/>
        </w:rPr>
        <w:t>年被评定为高新技术企业，取得由上海市科学技术委员会、上海市财政局、上海市国家税</w:t>
      </w:r>
      <w:r>
        <w:rPr>
          <w:w w:val="100"/>
        </w:rPr>
        <w:t> </w:t>
      </w:r>
      <w:r>
        <w:rPr>
          <w:spacing w:val="-3"/>
        </w:rPr>
        <w:t>务局和上海市地方税务局联合颁发的《高新技术企业证书》（证书编号：</w:t>
      </w:r>
      <w:r>
        <w:rPr>
          <w:rFonts w:ascii="Arial" w:hAnsi="Arial" w:cs="Arial" w:eastAsia="Arial" w:hint="default"/>
          <w:spacing w:val="-3"/>
        </w:rPr>
        <w:t>GR201431000055</w:t>
      </w:r>
      <w:r>
        <w:rPr>
          <w:spacing w:val="-3"/>
        </w:rPr>
        <w:t>）。按《中华</w:t>
      </w:r>
      <w:r>
        <w:rPr>
          <w:spacing w:val="-29"/>
        </w:rPr>
        <w:t> </w:t>
      </w:r>
      <w:r>
        <w:rPr>
          <w:spacing w:val="-29"/>
        </w:rPr>
      </w:r>
      <w:r>
        <w:rPr/>
        <w:t>人民共和国企业所得税法》规定，</w:t>
      </w:r>
      <w:r>
        <w:rPr>
          <w:rFonts w:ascii="Arial" w:hAnsi="Arial" w:cs="Arial" w:eastAsia="Arial" w:hint="default"/>
        </w:rPr>
        <w:t>2014</w:t>
      </w:r>
      <w:r>
        <w:rPr/>
        <w:t>年执行</w:t>
      </w:r>
      <w:r>
        <w:rPr>
          <w:rFonts w:ascii="Arial" w:hAnsi="Arial" w:cs="Arial" w:eastAsia="Arial" w:hint="default"/>
        </w:rPr>
        <w:t>15%</w:t>
      </w:r>
      <w:r>
        <w:rPr/>
        <w:t>的所得税税率。</w:t>
      </w:r>
    </w:p>
    <w:p>
      <w:pPr>
        <w:pStyle w:val="BodyText"/>
        <w:spacing w:line="388" w:lineRule="auto" w:before="30"/>
        <w:ind w:right="0" w:firstLine="422"/>
        <w:jc w:val="left"/>
      </w:pPr>
      <w:r>
        <w:rPr>
          <w:spacing w:val="-3"/>
        </w:rPr>
        <w:t>本公司下属子公司浙江安诺其助剂有限公司</w:t>
      </w:r>
      <w:r>
        <w:rPr>
          <w:rFonts w:ascii="Arial" w:hAnsi="Arial" w:cs="Arial" w:eastAsia="Arial" w:hint="default"/>
          <w:spacing w:val="-3"/>
        </w:rPr>
        <w:t>2013</w:t>
      </w:r>
      <w:r>
        <w:rPr>
          <w:spacing w:val="-3"/>
        </w:rPr>
        <w:t>年被评定为高新技术企业，按《中华人民共和国企业</w:t>
      </w:r>
      <w:r>
        <w:rPr>
          <w:w w:val="100"/>
        </w:rPr>
        <w:t> </w:t>
      </w:r>
      <w:r>
        <w:rPr/>
        <w:t>所得税法》规定，</w:t>
      </w:r>
      <w:r>
        <w:rPr>
          <w:rFonts w:ascii="Arial" w:hAnsi="Arial" w:cs="Arial" w:eastAsia="Arial" w:hint="default"/>
        </w:rPr>
        <w:t>2014</w:t>
      </w:r>
      <w:r>
        <w:rPr/>
        <w:t>年执行</w:t>
      </w:r>
      <w:r>
        <w:rPr>
          <w:rFonts w:ascii="Arial" w:hAnsi="Arial" w:cs="Arial" w:eastAsia="Arial" w:hint="default"/>
        </w:rPr>
        <w:t>15%</w:t>
      </w:r>
      <w:r>
        <w:rPr/>
        <w:t>的所得税税率。</w:t>
      </w:r>
    </w:p>
    <w:p>
      <w:pPr>
        <w:pStyle w:val="BodyText"/>
        <w:spacing w:line="408" w:lineRule="auto" w:before="30"/>
        <w:ind w:right="0" w:firstLine="422"/>
        <w:jc w:val="left"/>
      </w:pPr>
      <w:r>
        <w:rPr>
          <w:spacing w:val="-2"/>
        </w:rPr>
        <w:t>本公司下属子公司烟台安诺其纺织材料有限公司、东营安诺其纺织材料有限公司、嘉兴安诺其化工有</w:t>
      </w:r>
      <w:r>
        <w:rPr>
          <w:w w:val="100"/>
        </w:rPr>
        <w:t> </w:t>
      </w:r>
      <w:r>
        <w:rPr>
          <w:spacing w:val="-4"/>
        </w:rPr>
        <w:t>限公司、江苏安诺其化工有限公司和烟台安诺其精细化工有限公司按《中华人民和国企业所得税法》规定，</w:t>
      </w:r>
      <w:r>
        <w:rPr>
          <w:spacing w:val="-51"/>
        </w:rPr>
        <w:t> </w:t>
      </w:r>
      <w:r>
        <w:rPr>
          <w:spacing w:val="-51"/>
        </w:rPr>
      </w:r>
      <w:r>
        <w:rPr>
          <w:rFonts w:ascii="Arial" w:hAnsi="Arial" w:cs="Arial" w:eastAsia="Arial" w:hint="default"/>
        </w:rPr>
        <w:t>2014</w:t>
      </w:r>
      <w:r>
        <w:rPr/>
        <w:t>年执行</w:t>
      </w:r>
      <w:r>
        <w:rPr>
          <w:rFonts w:ascii="Arial" w:hAnsi="Arial" w:cs="Arial" w:eastAsia="Arial" w:hint="default"/>
        </w:rPr>
        <w:t>25%</w:t>
      </w:r>
      <w:r>
        <w:rPr/>
        <w:t>的所得税税率。</w:t>
      </w:r>
    </w:p>
    <w:p>
      <w:pPr>
        <w:pStyle w:val="Heading3"/>
        <w:spacing w:line="240" w:lineRule="auto" w:before="130"/>
        <w:ind w:right="0"/>
        <w:jc w:val="left"/>
        <w:rPr>
          <w:b w:val="0"/>
          <w:bCs w:val="0"/>
        </w:rPr>
      </w:pPr>
      <w:r>
        <w:rPr/>
        <w:t>七、合并财务报表项目注释</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0" w:right="20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2"/>
      </w:tblGrid>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112,798.07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110,435.47</w:t>
            </w:r>
          </w:p>
        </w:tc>
      </w:tr>
      <w:tr>
        <w:trPr>
          <w:trHeight w:val="398"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115,244,884.81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192,713,456.46</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5,100,000.00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5,170,000.00</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120,457,682.88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197,993,891.93</w:t>
            </w:r>
          </w:p>
        </w:tc>
      </w:tr>
    </w:tbl>
    <w:p>
      <w:pPr>
        <w:pStyle w:val="BodyText"/>
        <w:spacing w:line="405" w:lineRule="auto" w:before="66"/>
        <w:ind w:left="575" w:right="0"/>
        <w:jc w:val="left"/>
      </w:pPr>
      <w:r>
        <w:rPr/>
        <w:t>其他说明</w:t>
      </w:r>
      <w:r>
        <w:rPr>
          <w:spacing w:val="-101"/>
        </w:rPr>
        <w:t> </w:t>
      </w:r>
      <w:r>
        <w:rPr/>
        <w:t>货币资金期末数比期初数减少77,536,209.05元，减少比例为39.16%，主要原因为：公司本年募投项</w:t>
      </w:r>
    </w:p>
    <w:p>
      <w:pPr>
        <w:pStyle w:val="BodyText"/>
        <w:spacing w:line="240" w:lineRule="auto" w:before="50"/>
        <w:ind w:right="0"/>
        <w:jc w:val="left"/>
      </w:pPr>
      <w:r>
        <w:rPr/>
        <w:t>目投入及经营规模扩大投入所致。</w:t>
      </w:r>
    </w:p>
    <w:p>
      <w:pPr>
        <w:spacing w:line="240" w:lineRule="auto" w:before="5"/>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0" w:right="20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2"/>
      </w:tblGrid>
      <w:tr>
        <w:trPr>
          <w:trHeight w:val="401"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5"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121,277,300.19</w:t>
            </w:r>
          </w:p>
        </w:tc>
        <w:tc>
          <w:tcPr>
            <w:tcW w:w="3192"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61,851,797.84</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121,277,300.19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61,851,797.84</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20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00" w:h="16840"/>
          <w:pgMar w:header="742" w:footer="984" w:top="1060" w:bottom="1180" w:left="980" w:right="920"/>
        </w:sectPr>
      </w:pP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774"/>
        <w:gridCol w:w="4781"/>
      </w:tblGrid>
      <w:tr>
        <w:trPr>
          <w:trHeight w:val="403" w:hRule="exact"/>
        </w:trPr>
        <w:tc>
          <w:tcPr>
            <w:tcW w:w="4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期末已质押金额</w:t>
            </w:r>
          </w:p>
        </w:tc>
      </w:tr>
      <w:tr>
        <w:trPr>
          <w:trHeight w:val="403" w:hRule="exact"/>
        </w:trPr>
        <w:tc>
          <w:tcPr>
            <w:tcW w:w="4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2"/>
      </w:tblGrid>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78"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77" w:right="0"/>
              <w:jc w:val="left"/>
              <w:rPr>
                <w:rFonts w:ascii="宋体" w:hAnsi="宋体" w:cs="宋体" w:eastAsia="宋体" w:hint="default"/>
                <w:sz w:val="18"/>
                <w:szCs w:val="18"/>
              </w:rPr>
            </w:pPr>
            <w:r>
              <w:rPr>
                <w:rFonts w:ascii="宋体" w:hAnsi="宋体" w:cs="宋体" w:eastAsia="宋体" w:hint="default"/>
                <w:spacing w:val="-3"/>
                <w:sz w:val="18"/>
                <w:szCs w:val="18"/>
              </w:rPr>
              <w:t>期末未终止确认金额</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137,164,332.89</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137,164,332.89</w:t>
            </w:r>
          </w:p>
        </w:tc>
        <w:tc>
          <w:tcPr>
            <w:tcW w:w="31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2"/>
        <w:gridCol w:w="4793"/>
      </w:tblGrid>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4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6" w:right="0"/>
              <w:jc w:val="left"/>
              <w:rPr>
                <w:rFonts w:ascii="宋体" w:hAnsi="宋体" w:cs="宋体" w:eastAsia="宋体" w:hint="default"/>
                <w:sz w:val="18"/>
                <w:szCs w:val="18"/>
              </w:rPr>
            </w:pPr>
            <w:r>
              <w:rPr>
                <w:rFonts w:ascii="宋体" w:hAnsi="宋体" w:cs="宋体" w:eastAsia="宋体" w:hint="default"/>
                <w:spacing w:val="-3"/>
                <w:sz w:val="18"/>
                <w:szCs w:val="18"/>
              </w:rPr>
              <w:t>期末转应收账款金额</w:t>
            </w:r>
          </w:p>
        </w:tc>
      </w:tr>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405" w:lineRule="auto" w:before="66"/>
        <w:ind w:left="575" w:right="0"/>
        <w:jc w:val="left"/>
      </w:pPr>
      <w:r>
        <w:rPr/>
        <w:t>其他说明</w:t>
      </w:r>
      <w:r>
        <w:rPr>
          <w:spacing w:val="-101"/>
        </w:rPr>
        <w:t> </w:t>
      </w:r>
      <w:r>
        <w:rPr/>
        <w:t>应收票据期末数比期初数增加59,425,502.35元，增加比例为96.08%，主要原因为：随着报告期销售</w:t>
      </w:r>
    </w:p>
    <w:p>
      <w:pPr>
        <w:pStyle w:val="BodyText"/>
        <w:spacing w:line="240" w:lineRule="auto" w:before="50"/>
        <w:ind w:right="0"/>
        <w:jc w:val="left"/>
      </w:pPr>
      <w:r>
        <w:rPr/>
        <w:t>收入增长，收到客户到期支付的应收票据相应增加。</w:t>
      </w:r>
    </w:p>
    <w:p>
      <w:pPr>
        <w:spacing w:line="240" w:lineRule="auto" w:before="5"/>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0"/>
        <w:gridCol w:w="773"/>
        <w:gridCol w:w="763"/>
        <w:gridCol w:w="763"/>
        <w:gridCol w:w="763"/>
        <w:gridCol w:w="787"/>
        <w:gridCol w:w="653"/>
        <w:gridCol w:w="763"/>
        <w:gridCol w:w="816"/>
        <w:gridCol w:w="931"/>
        <w:gridCol w:w="931"/>
      </w:tblGrid>
      <w:tr>
        <w:trPr>
          <w:trHeight w:val="394" w:hRule="exact"/>
        </w:trPr>
        <w:tc>
          <w:tcPr>
            <w:tcW w:w="1610" w:type="dxa"/>
            <w:vMerge w:val="restart"/>
            <w:tcBorders>
              <w:top w:val="single" w:sz="4" w:space="0" w:color="000000"/>
              <w:left w:val="single" w:sz="4" w:space="0" w:color="000000"/>
              <w:right w:val="single" w:sz="4" w:space="0" w:color="000000"/>
            </w:tcBorders>
            <w:shd w:val="clear" w:color="auto" w:fill="D2D2D2"/>
          </w:tcPr>
          <w:p>
            <w:pPr/>
          </w:p>
        </w:tc>
        <w:tc>
          <w:tcPr>
            <w:tcW w:w="385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3" w:hRule="exact"/>
        </w:trPr>
        <w:tc>
          <w:tcPr>
            <w:tcW w:w="1610" w:type="dxa"/>
            <w:vMerge/>
            <w:tcBorders>
              <w:left w:val="single" w:sz="4" w:space="0" w:color="000000"/>
              <w:bottom w:val="nil" w:sz="6" w:space="0" w:color="auto"/>
              <w:right w:val="single" w:sz="4" w:space="0" w:color="000000"/>
            </w:tcBorders>
            <w:shd w:val="clear" w:color="auto" w:fill="D2D2D2"/>
          </w:tcPr>
          <w:p>
            <w:pPr/>
          </w:p>
        </w:tc>
        <w:tc>
          <w:tcPr>
            <w:tcW w:w="153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0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5" w:hRule="exact"/>
        </w:trPr>
        <w:tc>
          <w:tcPr>
            <w:tcW w:w="16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6"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7"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5" w:hRule="exact"/>
        </w:trPr>
        <w:tc>
          <w:tcPr>
            <w:tcW w:w="1610" w:type="dxa"/>
            <w:vMerge/>
            <w:tcBorders>
              <w:left w:val="single" w:sz="4" w:space="0" w:color="000000"/>
              <w:bottom w:val="single" w:sz="6" w:space="0" w:color="FFFFFF"/>
              <w:right w:val="single" w:sz="4" w:space="0" w:color="000000"/>
            </w:tcBorders>
            <w:shd w:val="clear" w:color="auto" w:fill="D2D2D2"/>
          </w:tcPr>
          <w:p>
            <w:pPr/>
          </w:p>
        </w:tc>
        <w:tc>
          <w:tcPr>
            <w:tcW w:w="773" w:type="dxa"/>
            <w:tcBorders>
              <w:top w:val="single" w:sz="4" w:space="0" w:color="000000"/>
              <w:left w:val="single" w:sz="4" w:space="0" w:color="000000"/>
              <w:bottom w:val="single" w:sz="6"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6"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6"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3" w:right="103" w:hanging="178"/>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81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610" w:type="dxa"/>
            <w:vMerge w:val="restart"/>
            <w:tcBorders>
              <w:top w:val="single" w:sz="6" w:space="0" w:color="FFFFFF"/>
              <w:left w:val="single" w:sz="4" w:space="0" w:color="000000"/>
              <w:right w:val="single" w:sz="4" w:space="0" w:color="000000"/>
            </w:tcBorders>
            <w:shd w:val="clear" w:color="auto" w:fill="D2D2D2"/>
          </w:tcPr>
          <w:p>
            <w:pPr/>
          </w:p>
        </w:tc>
        <w:tc>
          <w:tcPr>
            <w:tcW w:w="773" w:type="dxa"/>
            <w:vMerge w:val="restart"/>
            <w:tcBorders>
              <w:top w:val="single" w:sz="6" w:space="0" w:color="FFFFFF"/>
              <w:left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val="restart"/>
            <w:tcBorders>
              <w:top w:val="single" w:sz="6" w:space="0" w:color="FFFFFF"/>
              <w:left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6" w:space="0" w:color="FFFFFF"/>
              <w:left w:val="single" w:sz="4" w:space="0" w:color="000000"/>
              <w:right w:val="single" w:sz="4" w:space="0" w:color="000000"/>
            </w:tcBorders>
            <w:shd w:val="clear" w:color="auto" w:fill="D2D2D2"/>
          </w:tcPr>
          <w:p>
            <w:pPr>
              <w:pStyle w:val="TableParagraph"/>
              <w:spacing w:line="240" w:lineRule="auto" w:before="49"/>
              <w:ind w:left="19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7"/>
              <w:ind w:left="13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7"/>
              <w:ind w:left="19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7"/>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7"/>
              <w:ind w:left="9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1610" w:type="dxa"/>
            <w:vMerge/>
            <w:tcBorders>
              <w:left w:val="single" w:sz="4" w:space="0" w:color="000000"/>
              <w:right w:val="single" w:sz="4" w:space="0" w:color="000000"/>
            </w:tcBorders>
            <w:shd w:val="clear" w:color="auto" w:fill="D2D2D2"/>
          </w:tcPr>
          <w:p>
            <w:pPr/>
          </w:p>
        </w:tc>
        <w:tc>
          <w:tcPr>
            <w:tcW w:w="77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816" w:type="dxa"/>
            <w:vMerge/>
            <w:tcBorders>
              <w:left w:val="single" w:sz="4" w:space="0" w:color="000000"/>
              <w:bottom w:val="nil" w:sz="6" w:space="0" w:color="auto"/>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2" w:hRule="exact"/>
        </w:trPr>
        <w:tc>
          <w:tcPr>
            <w:tcW w:w="1610" w:type="dxa"/>
            <w:vMerge/>
            <w:tcBorders>
              <w:left w:val="single" w:sz="4" w:space="0" w:color="000000"/>
              <w:bottom w:val="single" w:sz="4" w:space="0" w:color="000000"/>
              <w:right w:val="single" w:sz="4" w:space="0" w:color="000000"/>
            </w:tcBorders>
            <w:shd w:val="clear" w:color="auto" w:fill="D2D2D2"/>
          </w:tcPr>
          <w:p>
            <w:pPr/>
          </w:p>
        </w:tc>
        <w:tc>
          <w:tcPr>
            <w:tcW w:w="77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81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42"/>
              <w:jc w:val="both"/>
              <w:rPr>
                <w:rFonts w:ascii="宋体" w:hAnsi="宋体" w:cs="宋体" w:eastAsia="宋体" w:hint="default"/>
                <w:sz w:val="18"/>
                <w:szCs w:val="18"/>
              </w:rPr>
            </w:pPr>
            <w:r>
              <w:rPr>
                <w:rFonts w:ascii="宋体" w:hAnsi="宋体" w:cs="宋体" w:eastAsia="宋体" w:hint="default"/>
                <w:spacing w:val="-2"/>
                <w:sz w:val="18"/>
                <w:szCs w:val="18"/>
              </w:rPr>
              <w:t>单项金额重大并单</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独计提坏账准备的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应收账款</w:t>
            </w:r>
          </w:p>
        </w:tc>
        <w:tc>
          <w:tcPr>
            <w:tcW w:w="7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733,317.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0.47%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733,317.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733,317</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.69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0.50%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586,654.1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146,663.54</w:t>
            </w:r>
          </w:p>
        </w:tc>
      </w:tr>
      <w:tr>
        <w:trPr>
          <w:trHeight w:val="1022" w:hRule="exact"/>
        </w:trPr>
        <w:tc>
          <w:tcPr>
            <w:tcW w:w="1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42"/>
              <w:jc w:val="both"/>
              <w:rPr>
                <w:rFonts w:ascii="宋体" w:hAnsi="宋体" w:cs="宋体" w:eastAsia="宋体" w:hint="default"/>
                <w:sz w:val="18"/>
                <w:szCs w:val="18"/>
              </w:rPr>
            </w:pPr>
            <w:r>
              <w:rPr>
                <w:rFonts w:ascii="宋体" w:hAnsi="宋体" w:cs="宋体" w:eastAsia="宋体" w:hint="default"/>
                <w:spacing w:val="-2"/>
                <w:sz w:val="18"/>
                <w:szCs w:val="18"/>
              </w:rPr>
              <w:t>按信用风险特征组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合计提坏账准备的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应收账款</w:t>
            </w:r>
          </w:p>
        </w:tc>
        <w:tc>
          <w:tcPr>
            <w:tcW w:w="7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154,600,</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435.30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99.10%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8,353,58</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1.90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5.40%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146,246,8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53.40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145,632</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,417.03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99.34%</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8,126,485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5.58%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137,505,93</w:t>
            </w:r>
          </w:p>
          <w:p>
            <w:pPr>
              <w:pStyle w:val="TableParagraph"/>
              <w:spacing w:line="240" w:lineRule="auto" w:before="105"/>
              <w:ind w:left="580" w:right="0"/>
              <w:jc w:val="left"/>
              <w:rPr>
                <w:rFonts w:ascii="Times New Roman" w:hAnsi="Times New Roman" w:cs="Times New Roman" w:eastAsia="Times New Roman" w:hint="default"/>
                <w:sz w:val="18"/>
                <w:szCs w:val="18"/>
              </w:rPr>
            </w:pPr>
            <w:r>
              <w:rPr>
                <w:rFonts w:ascii="Times New Roman"/>
                <w:sz w:val="18"/>
              </w:rPr>
              <w:t>1.44</w:t>
            </w:r>
          </w:p>
        </w:tc>
      </w:tr>
      <w:tr>
        <w:trPr>
          <w:trHeight w:val="1027" w:hRule="exact"/>
        </w:trPr>
        <w:tc>
          <w:tcPr>
            <w:tcW w:w="1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42"/>
              <w:jc w:val="both"/>
              <w:rPr>
                <w:rFonts w:ascii="宋体" w:hAnsi="宋体" w:cs="宋体" w:eastAsia="宋体" w:hint="default"/>
                <w:sz w:val="18"/>
                <w:szCs w:val="18"/>
              </w:rPr>
            </w:pPr>
            <w:r>
              <w:rPr>
                <w:rFonts w:ascii="宋体" w:hAnsi="宋体" w:cs="宋体" w:eastAsia="宋体" w:hint="default"/>
                <w:spacing w:val="-2"/>
                <w:sz w:val="18"/>
                <w:szCs w:val="18"/>
              </w:rPr>
              <w:t>单项金额不重大但</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单独计提坏账准备</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的应收账款</w:t>
            </w:r>
          </w:p>
        </w:tc>
        <w:tc>
          <w:tcPr>
            <w:tcW w:w="7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670,973.</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sz w:val="18"/>
              </w:rPr>
              <w:t>55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0.43%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670,973.</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sz w:val="18"/>
              </w:rPr>
              <w:t>55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234,995</w:t>
            </w:r>
          </w:p>
          <w:p>
            <w:pPr>
              <w:pStyle w:val="TableParagraph"/>
              <w:spacing w:line="240" w:lineRule="auto" w:before="110"/>
              <w:ind w:left="393" w:right="0"/>
              <w:jc w:val="lef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0.16%</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234,995.0</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5"/>
              <w:ind w:left="100" w:right="0"/>
              <w:jc w:val="left"/>
              <w:rPr>
                <w:rFonts w:ascii="Times New Roman" w:hAnsi="Times New Roman" w:cs="Times New Roman" w:eastAsia="Times New Roman" w:hint="default"/>
                <w:sz w:val="18"/>
                <w:szCs w:val="18"/>
              </w:rPr>
            </w:pPr>
            <w:r>
              <w:rPr>
                <w:rFonts w:ascii="Times New Roman"/>
                <w:sz w:val="18"/>
              </w:rPr>
              <w:t>156,004,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0" w:right="0"/>
              <w:jc w:val="left"/>
              <w:rPr>
                <w:rFonts w:ascii="Times New Roman" w:hAnsi="Times New Roman" w:cs="Times New Roman" w:eastAsia="Times New Roman" w:hint="default"/>
                <w:sz w:val="18"/>
                <w:szCs w:val="18"/>
              </w:rPr>
            </w:pPr>
            <w:r>
              <w:rPr>
                <w:rFonts w:ascii="Times New Roman"/>
                <w:sz w:val="18"/>
              </w:rPr>
              <w:t>9,757,87</w:t>
            </w: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2"/>
              <w:jc w:val="right"/>
              <w:rPr>
                <w:rFonts w:ascii="Times New Roman" w:hAnsi="Times New Roman" w:cs="Times New Roman" w:eastAsia="Times New Roman" w:hint="default"/>
                <w:sz w:val="18"/>
                <w:szCs w:val="18"/>
              </w:rPr>
            </w:pPr>
            <w:r>
              <w:rPr>
                <w:rFonts w:ascii="Times New Roman"/>
                <w:spacing w:val="-1"/>
                <w:sz w:val="18"/>
              </w:rPr>
              <w:t>146,246,8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8" w:right="0"/>
              <w:jc w:val="left"/>
              <w:rPr>
                <w:rFonts w:ascii="Times New Roman" w:hAnsi="Times New Roman" w:cs="Times New Roman" w:eastAsia="Times New Roman" w:hint="default"/>
                <w:sz w:val="18"/>
                <w:szCs w:val="18"/>
              </w:rPr>
            </w:pPr>
            <w:r>
              <w:rPr>
                <w:rFonts w:ascii="Times New Roman"/>
                <w:sz w:val="18"/>
              </w:rPr>
              <w:t>146,600</w:t>
            </w:r>
          </w:p>
        </w:tc>
        <w:tc>
          <w:tcPr>
            <w:tcW w:w="76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2" w:right="0"/>
              <w:jc w:val="left"/>
              <w:rPr>
                <w:rFonts w:ascii="Times New Roman" w:hAnsi="Times New Roman" w:cs="Times New Roman" w:eastAsia="Times New Roman" w:hint="default"/>
                <w:sz w:val="18"/>
                <w:szCs w:val="18"/>
              </w:rPr>
            </w:pPr>
            <w:r>
              <w:rPr>
                <w:rFonts w:ascii="Times New Roman"/>
                <w:sz w:val="18"/>
              </w:rPr>
              <w:t>8,948,134</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6" w:right="0"/>
              <w:jc w:val="center"/>
              <w:rPr>
                <w:rFonts w:ascii="Times New Roman" w:hAnsi="Times New Roman" w:cs="Times New Roman" w:eastAsia="Times New Roman" w:hint="default"/>
                <w:sz w:val="18"/>
                <w:szCs w:val="18"/>
              </w:rPr>
            </w:pPr>
            <w:r>
              <w:rPr>
                <w:rFonts w:ascii="Times New Roman"/>
                <w:sz w:val="18"/>
              </w:rPr>
              <w:t>137,652,59</w:t>
            </w:r>
          </w:p>
        </w:tc>
      </w:tr>
    </w:tbl>
    <w:p>
      <w:pPr>
        <w:spacing w:after="0" w:line="240" w:lineRule="auto"/>
        <w:jc w:val="center"/>
        <w:rPr>
          <w:rFonts w:ascii="Times New Roman" w:hAnsi="Times New Roman" w:cs="Times New Roman" w:eastAsia="Times New Roman" w:hint="default"/>
          <w:sz w:val="18"/>
          <w:szCs w:val="18"/>
        </w:rPr>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227" w:type="dxa"/>
        <w:tblLayout w:type="fixed"/>
        <w:tblCellMar>
          <w:top w:w="0" w:type="dxa"/>
          <w:left w:w="0" w:type="dxa"/>
          <w:bottom w:w="0" w:type="dxa"/>
          <w:right w:w="0" w:type="dxa"/>
        </w:tblCellMar>
        <w:tblLook w:val="01E0"/>
      </w:tblPr>
      <w:tblGrid>
        <w:gridCol w:w="1632"/>
        <w:gridCol w:w="763"/>
        <w:gridCol w:w="763"/>
        <w:gridCol w:w="763"/>
        <w:gridCol w:w="763"/>
        <w:gridCol w:w="787"/>
        <w:gridCol w:w="653"/>
        <w:gridCol w:w="763"/>
        <w:gridCol w:w="816"/>
        <w:gridCol w:w="931"/>
        <w:gridCol w:w="931"/>
      </w:tblGrid>
      <w:tr>
        <w:trPr>
          <w:trHeight w:val="360"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0" w:right="0"/>
              <w:jc w:val="left"/>
              <w:rPr>
                <w:rFonts w:ascii="Times New Roman" w:hAnsi="Times New Roman" w:cs="Times New Roman" w:eastAsia="Times New Roman" w:hint="default"/>
                <w:sz w:val="18"/>
                <w:szCs w:val="18"/>
              </w:rPr>
            </w:pPr>
            <w:r>
              <w:rPr>
                <w:rFonts w:ascii="Times New Roman"/>
                <w:sz w:val="18"/>
              </w:rPr>
              <w:t>726.54</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07" w:right="0"/>
              <w:jc w:val="left"/>
              <w:rPr>
                <w:rFonts w:ascii="Times New Roman" w:hAnsi="Times New Roman" w:cs="Times New Roman" w:eastAsia="Times New Roman" w:hint="default"/>
                <w:sz w:val="18"/>
                <w:szCs w:val="18"/>
              </w:rPr>
            </w:pPr>
            <w:r>
              <w:rPr>
                <w:rFonts w:ascii="Times New Roman"/>
                <w:sz w:val="18"/>
              </w:rPr>
              <w:t>3.14</w:t>
            </w: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50" w:right="0"/>
              <w:jc w:val="left"/>
              <w:rPr>
                <w:rFonts w:ascii="Times New Roman" w:hAnsi="Times New Roman" w:cs="Times New Roman" w:eastAsia="Times New Roman" w:hint="default"/>
                <w:sz w:val="18"/>
                <w:szCs w:val="18"/>
              </w:rPr>
            </w:pPr>
            <w:r>
              <w:rPr>
                <w:rFonts w:ascii="Times New Roman"/>
                <w:sz w:val="18"/>
              </w:rPr>
              <w:t>53.40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81" w:right="0"/>
              <w:jc w:val="left"/>
              <w:rPr>
                <w:rFonts w:ascii="Times New Roman" w:hAnsi="Times New Roman" w:cs="Times New Roman" w:eastAsia="Times New Roman" w:hint="default"/>
                <w:sz w:val="18"/>
                <w:szCs w:val="18"/>
              </w:rPr>
            </w:pPr>
            <w:r>
              <w:rPr>
                <w:rFonts w:ascii="Times New Roman"/>
                <w:sz w:val="18"/>
              </w:rPr>
              <w:t>,729.72</w:t>
            </w:r>
          </w:p>
        </w:tc>
        <w:tc>
          <w:tcPr>
            <w:tcW w:w="76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2"/>
              <w:jc w:val="right"/>
              <w:rPr>
                <w:rFonts w:ascii="Times New Roman" w:hAnsi="Times New Roman" w:cs="Times New Roman" w:eastAsia="Times New Roman" w:hint="default"/>
                <w:sz w:val="18"/>
                <w:szCs w:val="18"/>
              </w:rPr>
            </w:pPr>
            <w:r>
              <w:rPr>
                <w:rFonts w:ascii="Times New Roman"/>
                <w:sz w:val="18"/>
              </w:rPr>
              <w:t>.74</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80" w:right="0"/>
              <w:jc w:val="left"/>
              <w:rPr>
                <w:rFonts w:ascii="Times New Roman" w:hAnsi="Times New Roman" w:cs="Times New Roman" w:eastAsia="Times New Roman" w:hint="default"/>
                <w:sz w:val="18"/>
                <w:szCs w:val="18"/>
              </w:rPr>
            </w:pPr>
            <w:r>
              <w:rPr>
                <w:rFonts w:ascii="Times New Roman"/>
                <w:sz w:val="18"/>
              </w:rPr>
              <w:t>4.98</w:t>
            </w:r>
          </w:p>
        </w:tc>
      </w:tr>
    </w:tbl>
    <w:p>
      <w:pPr>
        <w:pStyle w:val="BodyText"/>
        <w:spacing w:line="240" w:lineRule="auto" w:before="66"/>
        <w:ind w:left="655" w:right="0"/>
        <w:jc w:val="left"/>
      </w:pPr>
      <w:r>
        <w:rPr/>
        <w:t>期末单项金额重大并单项计提坏账准备的应收账款：</w:t>
      </w:r>
    </w:p>
    <w:p>
      <w:pPr>
        <w:spacing w:line="240" w:lineRule="auto" w:before="12"/>
        <w:rPr>
          <w:rFonts w:ascii="宋体" w:hAnsi="宋体" w:cs="宋体" w:eastAsia="宋体" w:hint="default"/>
          <w:sz w:val="14"/>
          <w:szCs w:val="14"/>
        </w:rPr>
      </w:pPr>
    </w:p>
    <w:p>
      <w:pPr>
        <w:pStyle w:val="BodyText"/>
        <w:spacing w:line="240" w:lineRule="auto"/>
        <w:ind w:left="655" w:right="0"/>
        <w:jc w:val="left"/>
      </w:pPr>
      <w:r>
        <w:rPr/>
        <w:t>√ 适用 □</w:t>
      </w:r>
      <w:r>
        <w:rPr>
          <w:spacing w:val="3"/>
        </w:rPr>
        <w:t> </w:t>
      </w:r>
      <w:r>
        <w:rPr/>
        <w:t>不适用</w:t>
      </w:r>
    </w:p>
    <w:p>
      <w:pPr>
        <w:spacing w:line="240" w:lineRule="auto" w:before="0"/>
        <w:rPr>
          <w:rFonts w:ascii="宋体" w:hAnsi="宋体" w:cs="宋体" w:eastAsia="宋体" w:hint="default"/>
          <w:sz w:val="10"/>
          <w:szCs w:val="10"/>
        </w:rPr>
      </w:pPr>
    </w:p>
    <w:p>
      <w:pPr>
        <w:spacing w:before="46"/>
        <w:ind w:left="0" w:right="20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227"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403" w:hRule="exact"/>
        </w:trPr>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pacing w:val="-3"/>
                <w:sz w:val="18"/>
                <w:szCs w:val="18"/>
              </w:rPr>
              <w:t>应收账款（按单位）</w:t>
            </w:r>
          </w:p>
        </w:tc>
        <w:tc>
          <w:tcPr>
            <w:tcW w:w="76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5"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8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398"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F</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733,317.69</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733,317.69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33" w:right="0"/>
              <w:jc w:val="lef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该公司进入清算程序</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733,317.69</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733,317.69</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66"/>
        <w:ind w:left="655" w:right="0"/>
        <w:jc w:val="left"/>
      </w:pPr>
      <w:r>
        <w:rPr/>
        <w:t>组合中，按账龄分析法计提坏账准备的应收账款：</w:t>
      </w:r>
    </w:p>
    <w:p>
      <w:pPr>
        <w:spacing w:line="240" w:lineRule="auto" w:before="12"/>
        <w:rPr>
          <w:rFonts w:ascii="宋体" w:hAnsi="宋体" w:cs="宋体" w:eastAsia="宋体" w:hint="default"/>
          <w:sz w:val="14"/>
          <w:szCs w:val="14"/>
        </w:rPr>
      </w:pPr>
    </w:p>
    <w:p>
      <w:pPr>
        <w:pStyle w:val="BodyText"/>
        <w:spacing w:line="240" w:lineRule="auto"/>
        <w:ind w:left="655" w:right="0"/>
        <w:jc w:val="left"/>
      </w:pPr>
      <w:r>
        <w:rPr/>
        <w:t>√ 适用 □</w:t>
      </w:r>
      <w:r>
        <w:rPr>
          <w:spacing w:val="3"/>
        </w:rPr>
        <w:t> </w:t>
      </w:r>
      <w:r>
        <w:rPr/>
        <w:t>不适用</w:t>
      </w:r>
    </w:p>
    <w:p>
      <w:pPr>
        <w:spacing w:line="240" w:lineRule="auto" w:before="0"/>
        <w:rPr>
          <w:rFonts w:ascii="宋体" w:hAnsi="宋体" w:cs="宋体" w:eastAsia="宋体" w:hint="default"/>
          <w:sz w:val="10"/>
          <w:szCs w:val="10"/>
        </w:rPr>
      </w:pPr>
    </w:p>
    <w:p>
      <w:pPr>
        <w:spacing w:before="46"/>
        <w:ind w:left="0" w:right="20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227" w:type="dxa"/>
        <w:tblLayout w:type="fixed"/>
        <w:tblCellMar>
          <w:top w:w="0" w:type="dxa"/>
          <w:left w:w="0" w:type="dxa"/>
          <w:bottom w:w="0" w:type="dxa"/>
          <w:right w:w="0" w:type="dxa"/>
        </w:tblCellMar>
        <w:tblLook w:val="01E0"/>
      </w:tblPr>
      <w:tblGrid>
        <w:gridCol w:w="2390"/>
        <w:gridCol w:w="2395"/>
        <w:gridCol w:w="2390"/>
        <w:gridCol w:w="2390"/>
      </w:tblGrid>
      <w:tr>
        <w:trPr>
          <w:trHeight w:val="403" w:hRule="exact"/>
        </w:trPr>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2390" w:type="dxa"/>
            <w:vMerge/>
            <w:tcBorders>
              <w:left w:val="single" w:sz="4" w:space="0" w:color="000000"/>
              <w:bottom w:val="single" w:sz="4" w:space="0" w:color="000000"/>
              <w:right w:val="single" w:sz="4" w:space="0" w:color="000000"/>
            </w:tcBorders>
            <w:shd w:val="clear" w:color="auto" w:fill="D2D2D2"/>
          </w:tcPr>
          <w:p>
            <w:pP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6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年以内分项</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152,621,424.08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7,631,071.24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年以内小计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152,621,424.08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7,631,071.24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5.00%</w:t>
            </w:r>
          </w:p>
        </w:tc>
      </w:tr>
      <w:tr>
        <w:trPr>
          <w:trHeight w:val="398"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1,428,849.03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285,769.81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226,842.69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113,421.35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323,319.50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323,319.50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154,600,435.30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8,353,581.90</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405" w:lineRule="auto" w:before="66"/>
        <w:ind w:left="655" w:right="0"/>
        <w:jc w:val="left"/>
      </w:pPr>
      <w:r>
        <w:rPr/>
        <w:t>确定该组合依据的说明：</w:t>
      </w:r>
      <w:r>
        <w:rPr>
          <w:spacing w:val="-103"/>
        </w:rPr>
        <w:t> </w:t>
      </w:r>
      <w:r>
        <w:rPr>
          <w:spacing w:val="-103"/>
        </w:rPr>
      </w:r>
      <w:r>
        <w:rPr>
          <w:spacing w:val="2"/>
        </w:rPr>
        <w:t>按账龄组合计提坏账准备的应收账款确定依据未单项计提坏账准备的应收款项按账龄划分为若干组</w:t>
      </w:r>
    </w:p>
    <w:p>
      <w:pPr>
        <w:pStyle w:val="BodyText"/>
        <w:spacing w:line="408" w:lineRule="auto" w:before="50"/>
        <w:ind w:left="232" w:right="202"/>
        <w:jc w:val="both"/>
      </w:pPr>
      <w:r>
        <w:rPr>
          <w:spacing w:val="-2"/>
        </w:rPr>
        <w:t>合，根据以前年度与之相同或相类似的、具有类似信用风险特征的应收账款组合的实际损失率为基础，结</w:t>
      </w:r>
      <w:r>
        <w:rPr>
          <w:spacing w:val="-35"/>
        </w:rPr>
        <w:t> </w:t>
      </w:r>
      <w:r>
        <w:rPr>
          <w:spacing w:val="-35"/>
        </w:rPr>
      </w:r>
      <w:r>
        <w:rPr>
          <w:spacing w:val="-2"/>
        </w:rPr>
        <w:t>合现时情况确定各项组合计提坏账准备的比例，据此计算应计提的坏账准备。（含单项金额重大、单独进</w:t>
      </w:r>
      <w:r>
        <w:rPr>
          <w:spacing w:val="-35"/>
        </w:rPr>
        <w:t> </w:t>
      </w:r>
      <w:r>
        <w:rPr>
          <w:spacing w:val="-35"/>
        </w:rPr>
      </w:r>
      <w:r>
        <w:rPr/>
        <w:t>行减值测试未发生减值的应收账款）；</w:t>
      </w:r>
    </w:p>
    <w:p>
      <w:pPr>
        <w:pStyle w:val="BodyText"/>
        <w:spacing w:line="240" w:lineRule="auto" w:before="43"/>
        <w:ind w:left="655" w:right="0"/>
        <w:jc w:val="left"/>
      </w:pPr>
      <w:r>
        <w:rPr/>
        <w:t>组合中，采用余额百分比法计提坏账准备的应收账款：</w:t>
      </w:r>
    </w:p>
    <w:p>
      <w:pPr>
        <w:spacing w:line="240" w:lineRule="auto" w:before="12"/>
        <w:rPr>
          <w:rFonts w:ascii="宋体" w:hAnsi="宋体" w:cs="宋体" w:eastAsia="宋体" w:hint="default"/>
          <w:sz w:val="14"/>
          <w:szCs w:val="14"/>
        </w:rPr>
      </w:pPr>
    </w:p>
    <w:p>
      <w:pPr>
        <w:pStyle w:val="BodyText"/>
        <w:spacing w:line="405" w:lineRule="auto"/>
        <w:ind w:left="655" w:right="3084"/>
        <w:jc w:val="left"/>
      </w:pPr>
      <w:r>
        <w:rPr/>
        <w:t>□ 适用 √ 不适用</w:t>
      </w:r>
      <w:r>
        <w:rPr>
          <w:spacing w:val="-102"/>
        </w:rPr>
        <w:t> </w:t>
      </w:r>
      <w:r>
        <w:rPr>
          <w:spacing w:val="-102"/>
        </w:rPr>
      </w:r>
      <w:r>
        <w:rPr>
          <w:spacing w:val="-2"/>
        </w:rPr>
        <w:t>组合中，采用其他方法计提坏账准备的应收账款：</w:t>
      </w:r>
    </w:p>
    <w:p>
      <w:pPr>
        <w:pStyle w:val="BodyText"/>
        <w:spacing w:line="405" w:lineRule="auto" w:before="50"/>
        <w:ind w:left="232" w:right="0" w:firstLine="422"/>
        <w:jc w:val="left"/>
      </w:pPr>
      <w:r>
        <w:rPr>
          <w:spacing w:val="2"/>
        </w:rPr>
        <w:t>单项金额虽不重大但单项计提坏账准备的应收账款确定依据为除单项金额重大并单项计提坏账准备</w:t>
      </w:r>
      <w:r>
        <w:rPr>
          <w:w w:val="100"/>
        </w:rPr>
        <w:t> </w:t>
      </w:r>
      <w:r>
        <w:rPr/>
        <w:t>外单项认定进行减值测试计提坏账准备的应收账款；</w:t>
      </w:r>
    </w:p>
    <w:tbl>
      <w:tblPr>
        <w:tblW w:w="0" w:type="auto"/>
        <w:jc w:val="left"/>
        <w:tblInd w:w="117" w:type="dxa"/>
        <w:tblLayout w:type="fixed"/>
        <w:tblCellMar>
          <w:top w:w="0" w:type="dxa"/>
          <w:left w:w="0" w:type="dxa"/>
          <w:bottom w:w="0" w:type="dxa"/>
          <w:right w:w="0" w:type="dxa"/>
        </w:tblCellMar>
        <w:tblLook w:val="01E0"/>
      </w:tblPr>
      <w:tblGrid>
        <w:gridCol w:w="1973"/>
        <w:gridCol w:w="1973"/>
        <w:gridCol w:w="1968"/>
        <w:gridCol w:w="1973"/>
        <w:gridCol w:w="1968"/>
      </w:tblGrid>
      <w:tr>
        <w:trPr>
          <w:trHeight w:val="475" w:hRule="exact"/>
        </w:trPr>
        <w:tc>
          <w:tcPr>
            <w:tcW w:w="1973" w:type="dxa"/>
            <w:tcBorders>
              <w:top w:val="single" w:sz="2" w:space="0" w:color="000000"/>
              <w:left w:val="single" w:sz="2" w:space="0" w:color="000000"/>
              <w:bottom w:val="single" w:sz="6" w:space="0" w:color="000000"/>
              <w:right w:val="single" w:sz="6" w:space="0" w:color="000000"/>
            </w:tcBorders>
            <w:shd w:val="clear" w:color="auto" w:fill="BFBFBF"/>
          </w:tcPr>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应收账款内容</w:t>
            </w:r>
          </w:p>
        </w:tc>
        <w:tc>
          <w:tcPr>
            <w:tcW w:w="1973" w:type="dxa"/>
            <w:tcBorders>
              <w:top w:val="single" w:sz="2"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968" w:type="dxa"/>
            <w:tcBorders>
              <w:top w:val="single" w:sz="2"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76"/>
              <w:ind w:left="61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73" w:type="dxa"/>
            <w:tcBorders>
              <w:top w:val="single" w:sz="2"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68" w:type="dxa"/>
            <w:tcBorders>
              <w:top w:val="single" w:sz="2" w:space="0" w:color="000000"/>
              <w:left w:val="single" w:sz="6" w:space="0" w:color="000000"/>
              <w:bottom w:val="single" w:sz="6" w:space="0" w:color="000000"/>
              <w:right w:val="single" w:sz="2" w:space="0" w:color="000000"/>
            </w:tcBorders>
            <w:shd w:val="clear" w:color="auto" w:fill="BFBFBF"/>
          </w:tcPr>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85" w:hRule="exact"/>
        </w:trPr>
        <w:tc>
          <w:tcPr>
            <w:tcW w:w="1973" w:type="dxa"/>
            <w:tcBorders>
              <w:top w:val="single" w:sz="6" w:space="0" w:color="000000"/>
              <w:left w:val="single" w:sz="2" w:space="0" w:color="000000"/>
              <w:bottom w:val="single" w:sz="6" w:space="0" w:color="000000"/>
              <w:right w:val="single" w:sz="6" w:space="0" w:color="000000"/>
            </w:tcBorders>
          </w:tcPr>
          <w:p>
            <w:pPr>
              <w:pStyle w:val="TableParagraph"/>
              <w:spacing w:line="240" w:lineRule="auto" w:before="76"/>
              <w:ind w:left="7" w:right="0"/>
              <w:jc w:val="center"/>
              <w:rPr>
                <w:rFonts w:ascii="Arial" w:hAnsi="Arial" w:cs="Arial" w:eastAsia="Arial" w:hint="default"/>
                <w:sz w:val="18"/>
                <w:szCs w:val="18"/>
              </w:rPr>
            </w:pPr>
            <w:r>
              <w:rPr>
                <w:rFonts w:ascii="宋体" w:hAnsi="宋体" w:cs="宋体" w:eastAsia="宋体" w:hint="default"/>
                <w:sz w:val="18"/>
                <w:szCs w:val="18"/>
              </w:rPr>
              <w:t>客户</w:t>
            </w:r>
            <w:r>
              <w:rPr>
                <w:rFonts w:ascii="Arial" w:hAnsi="Arial" w:cs="Arial" w:eastAsia="Arial" w:hint="default"/>
                <w:sz w:val="18"/>
                <w:szCs w:val="18"/>
              </w:rPr>
              <w:t>G</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0"/>
              <w:jc w:val="center"/>
              <w:rPr>
                <w:rFonts w:ascii="Arial" w:hAnsi="Arial" w:cs="Arial" w:eastAsia="Arial" w:hint="default"/>
                <w:sz w:val="18"/>
                <w:szCs w:val="18"/>
              </w:rPr>
            </w:pPr>
            <w:r>
              <w:rPr>
                <w:rFonts w:ascii="Arial"/>
                <w:sz w:val="18"/>
              </w:rPr>
              <w:t>58,875.00</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576" w:right="0"/>
              <w:jc w:val="left"/>
              <w:rPr>
                <w:rFonts w:ascii="Arial" w:hAnsi="Arial" w:cs="Arial" w:eastAsia="Arial" w:hint="default"/>
                <w:sz w:val="18"/>
                <w:szCs w:val="18"/>
              </w:rPr>
            </w:pPr>
            <w:r>
              <w:rPr>
                <w:rFonts w:ascii="Arial"/>
                <w:sz w:val="18"/>
              </w:rPr>
              <w:t>58,875.00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5" w:right="0"/>
              <w:jc w:val="center"/>
              <w:rPr>
                <w:rFonts w:ascii="Arial" w:hAnsi="Arial" w:cs="Arial" w:eastAsia="Arial" w:hint="default"/>
                <w:sz w:val="18"/>
                <w:szCs w:val="18"/>
              </w:rPr>
            </w:pPr>
            <w:r>
              <w:rPr>
                <w:rFonts w:ascii="Arial"/>
                <w:sz w:val="18"/>
              </w:rPr>
              <w:t>100</w:t>
            </w:r>
          </w:p>
        </w:tc>
        <w:tc>
          <w:tcPr>
            <w:tcW w:w="1968"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pacing w:val="-3"/>
                <w:sz w:val="18"/>
                <w:szCs w:val="18"/>
              </w:rPr>
              <w:t>该公司进入清算程序</w:t>
            </w:r>
          </w:p>
        </w:tc>
      </w:tr>
    </w:tbl>
    <w:p>
      <w:pPr>
        <w:spacing w:after="0" w:line="240" w:lineRule="auto"/>
        <w:jc w:val="center"/>
        <w:rPr>
          <w:rFonts w:ascii="宋体" w:hAnsi="宋体" w:cs="宋体" w:eastAsia="宋体" w:hint="default"/>
          <w:sz w:val="18"/>
          <w:szCs w:val="18"/>
        </w:rPr>
        <w:sectPr>
          <w:pgSz w:w="11900" w:h="16840"/>
          <w:pgMar w:header="742" w:footer="984" w:top="1060" w:bottom="1180" w:left="900" w:right="920"/>
        </w:sectPr>
      </w:pPr>
    </w:p>
    <w:p>
      <w:pPr>
        <w:spacing w:line="240" w:lineRule="auto" w:before="11"/>
        <w:rPr>
          <w:rFonts w:ascii="宋体" w:hAnsi="宋体" w:cs="宋体" w:eastAsia="宋体" w:hint="default"/>
          <w:sz w:val="28"/>
          <w:szCs w:val="28"/>
        </w:rPr>
      </w:pPr>
    </w:p>
    <w:tbl>
      <w:tblPr>
        <w:tblW w:w="0" w:type="auto"/>
        <w:jc w:val="left"/>
        <w:tblInd w:w="117" w:type="dxa"/>
        <w:tblLayout w:type="fixed"/>
        <w:tblCellMar>
          <w:top w:w="0" w:type="dxa"/>
          <w:left w:w="0" w:type="dxa"/>
          <w:bottom w:w="0" w:type="dxa"/>
          <w:right w:w="0" w:type="dxa"/>
        </w:tblCellMar>
        <w:tblLook w:val="01E0"/>
      </w:tblPr>
      <w:tblGrid>
        <w:gridCol w:w="1973"/>
        <w:gridCol w:w="1973"/>
        <w:gridCol w:w="1968"/>
        <w:gridCol w:w="1973"/>
        <w:gridCol w:w="1968"/>
      </w:tblGrid>
      <w:tr>
        <w:trPr>
          <w:trHeight w:val="485" w:hRule="exact"/>
        </w:trPr>
        <w:tc>
          <w:tcPr>
            <w:tcW w:w="1973" w:type="dxa"/>
            <w:tcBorders>
              <w:top w:val="single" w:sz="6" w:space="0" w:color="000000"/>
              <w:left w:val="single" w:sz="2" w:space="0" w:color="000000"/>
              <w:bottom w:val="single" w:sz="6" w:space="0" w:color="000000"/>
              <w:right w:val="single" w:sz="6" w:space="0" w:color="000000"/>
            </w:tcBorders>
          </w:tcPr>
          <w:p>
            <w:pPr>
              <w:pStyle w:val="TableParagraph"/>
              <w:spacing w:line="240" w:lineRule="auto" w:before="92"/>
              <w:ind w:left="11" w:right="0"/>
              <w:jc w:val="center"/>
              <w:rPr>
                <w:rFonts w:ascii="Arial" w:hAnsi="Arial" w:cs="Arial" w:eastAsia="Arial" w:hint="default"/>
                <w:sz w:val="18"/>
                <w:szCs w:val="18"/>
              </w:rPr>
            </w:pPr>
            <w:r>
              <w:rPr>
                <w:rFonts w:ascii="宋体" w:hAnsi="宋体" w:cs="宋体" w:eastAsia="宋体" w:hint="default"/>
                <w:sz w:val="18"/>
                <w:szCs w:val="18"/>
              </w:rPr>
              <w:t>客户</w:t>
            </w:r>
            <w:r>
              <w:rPr>
                <w:rFonts w:ascii="Arial" w:hAnsi="Arial" w:cs="Arial" w:eastAsia="Arial" w:hint="default"/>
                <w:sz w:val="18"/>
                <w:szCs w:val="18"/>
              </w:rPr>
              <w:t>H</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sz w:val="18"/>
              </w:rPr>
              <w:t>94,350.00</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5" w:right="0"/>
              <w:jc w:val="center"/>
              <w:rPr>
                <w:rFonts w:ascii="Arial" w:hAnsi="Arial" w:cs="Arial" w:eastAsia="Arial" w:hint="default"/>
                <w:sz w:val="18"/>
                <w:szCs w:val="18"/>
              </w:rPr>
            </w:pPr>
            <w:r>
              <w:rPr>
                <w:rFonts w:ascii="Arial"/>
                <w:sz w:val="18"/>
              </w:rPr>
              <w:t>94,350.00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5" w:right="0"/>
              <w:jc w:val="center"/>
              <w:rPr>
                <w:rFonts w:ascii="Arial" w:hAnsi="Arial" w:cs="Arial" w:eastAsia="Arial" w:hint="default"/>
                <w:sz w:val="18"/>
                <w:szCs w:val="18"/>
              </w:rPr>
            </w:pPr>
            <w:r>
              <w:rPr>
                <w:rFonts w:ascii="Arial"/>
                <w:sz w:val="18"/>
              </w:rPr>
              <w:t>100</w:t>
            </w:r>
          </w:p>
        </w:tc>
        <w:tc>
          <w:tcPr>
            <w:tcW w:w="1968"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92"/>
              <w:ind w:right="166"/>
              <w:jc w:val="right"/>
              <w:rPr>
                <w:rFonts w:ascii="宋体" w:hAnsi="宋体" w:cs="宋体" w:eastAsia="宋体" w:hint="default"/>
                <w:sz w:val="18"/>
                <w:szCs w:val="18"/>
              </w:rPr>
            </w:pPr>
            <w:r>
              <w:rPr>
                <w:rFonts w:ascii="宋体" w:hAnsi="宋体" w:cs="宋体" w:eastAsia="宋体" w:hint="default"/>
                <w:spacing w:val="-3"/>
                <w:sz w:val="18"/>
                <w:szCs w:val="18"/>
              </w:rPr>
              <w:t>该公司进入清算程序</w:t>
            </w:r>
          </w:p>
        </w:tc>
      </w:tr>
      <w:tr>
        <w:trPr>
          <w:trHeight w:val="480" w:hRule="exact"/>
        </w:trPr>
        <w:tc>
          <w:tcPr>
            <w:tcW w:w="1973" w:type="dxa"/>
            <w:tcBorders>
              <w:top w:val="single" w:sz="6" w:space="0" w:color="000000"/>
              <w:left w:val="single" w:sz="2" w:space="0" w:color="000000"/>
              <w:bottom w:val="single" w:sz="6" w:space="0" w:color="000000"/>
              <w:right w:val="single" w:sz="6" w:space="0" w:color="000000"/>
            </w:tcBorders>
          </w:tcPr>
          <w:p>
            <w:pPr>
              <w:pStyle w:val="TableParagraph"/>
              <w:spacing w:line="240" w:lineRule="auto" w:before="92"/>
              <w:ind w:left="2" w:right="0"/>
              <w:jc w:val="center"/>
              <w:rPr>
                <w:rFonts w:ascii="Arial" w:hAnsi="Arial" w:cs="Arial" w:eastAsia="Arial" w:hint="default"/>
                <w:sz w:val="18"/>
                <w:szCs w:val="18"/>
              </w:rPr>
            </w:pPr>
            <w:r>
              <w:rPr>
                <w:rFonts w:ascii="宋体" w:hAnsi="宋体" w:cs="宋体" w:eastAsia="宋体" w:hint="default"/>
                <w:sz w:val="18"/>
                <w:szCs w:val="18"/>
              </w:rPr>
              <w:t>客户</w:t>
            </w:r>
            <w:r>
              <w:rPr>
                <w:rFonts w:ascii="Arial" w:hAnsi="Arial" w:cs="Arial" w:eastAsia="Arial" w:hint="default"/>
                <w:sz w:val="18"/>
                <w:szCs w:val="18"/>
              </w:rPr>
              <w:t>I</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2"/>
              <w:jc w:val="center"/>
              <w:rPr>
                <w:rFonts w:ascii="Arial" w:hAnsi="Arial" w:cs="Arial" w:eastAsia="Arial" w:hint="default"/>
                <w:sz w:val="18"/>
                <w:szCs w:val="18"/>
              </w:rPr>
            </w:pPr>
            <w:r>
              <w:rPr>
                <w:rFonts w:ascii="Arial"/>
                <w:sz w:val="18"/>
              </w:rPr>
              <w:t>173,845.00</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sz w:val="18"/>
              </w:rPr>
              <w:t>173,845.00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5" w:right="0"/>
              <w:jc w:val="center"/>
              <w:rPr>
                <w:rFonts w:ascii="Arial" w:hAnsi="Arial" w:cs="Arial" w:eastAsia="Arial" w:hint="default"/>
                <w:sz w:val="18"/>
                <w:szCs w:val="18"/>
              </w:rPr>
            </w:pPr>
            <w:r>
              <w:rPr>
                <w:rFonts w:ascii="Arial"/>
                <w:sz w:val="18"/>
              </w:rPr>
              <w:t>100</w:t>
            </w:r>
          </w:p>
        </w:tc>
        <w:tc>
          <w:tcPr>
            <w:tcW w:w="1968"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92"/>
              <w:ind w:right="166"/>
              <w:jc w:val="right"/>
              <w:rPr>
                <w:rFonts w:ascii="宋体" w:hAnsi="宋体" w:cs="宋体" w:eastAsia="宋体" w:hint="default"/>
                <w:sz w:val="18"/>
                <w:szCs w:val="18"/>
              </w:rPr>
            </w:pPr>
            <w:r>
              <w:rPr>
                <w:rFonts w:ascii="宋体" w:hAnsi="宋体" w:cs="宋体" w:eastAsia="宋体" w:hint="default"/>
                <w:spacing w:val="-3"/>
                <w:sz w:val="18"/>
                <w:szCs w:val="18"/>
              </w:rPr>
              <w:t>该公司进入清算程序</w:t>
            </w:r>
          </w:p>
        </w:tc>
      </w:tr>
      <w:tr>
        <w:trPr>
          <w:trHeight w:val="485" w:hRule="exact"/>
        </w:trPr>
        <w:tc>
          <w:tcPr>
            <w:tcW w:w="1973" w:type="dxa"/>
            <w:tcBorders>
              <w:top w:val="single" w:sz="6" w:space="0" w:color="000000"/>
              <w:left w:val="single" w:sz="2" w:space="0" w:color="000000"/>
              <w:bottom w:val="single" w:sz="6" w:space="0" w:color="000000"/>
              <w:right w:val="single" w:sz="6" w:space="0" w:color="000000"/>
            </w:tcBorders>
          </w:tcPr>
          <w:p>
            <w:pPr>
              <w:pStyle w:val="TableParagraph"/>
              <w:spacing w:line="240" w:lineRule="auto" w:before="92"/>
              <w:ind w:left="9" w:right="0"/>
              <w:jc w:val="center"/>
              <w:rPr>
                <w:rFonts w:ascii="Arial" w:hAnsi="Arial" w:cs="Arial" w:eastAsia="Arial" w:hint="default"/>
                <w:sz w:val="18"/>
                <w:szCs w:val="18"/>
              </w:rPr>
            </w:pPr>
            <w:r>
              <w:rPr>
                <w:rFonts w:ascii="宋体" w:hAnsi="宋体" w:cs="宋体" w:eastAsia="宋体" w:hint="default"/>
                <w:sz w:val="18"/>
                <w:szCs w:val="18"/>
              </w:rPr>
              <w:t>客户</w:t>
            </w:r>
            <w:r>
              <w:rPr>
                <w:rFonts w:ascii="Arial" w:hAnsi="Arial" w:cs="Arial" w:eastAsia="Arial" w:hint="default"/>
                <w:sz w:val="18"/>
                <w:szCs w:val="18"/>
              </w:rPr>
              <w:t>J</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2"/>
              <w:jc w:val="center"/>
              <w:rPr>
                <w:rFonts w:ascii="Arial" w:hAnsi="Arial" w:cs="Arial" w:eastAsia="Arial" w:hint="default"/>
                <w:sz w:val="18"/>
                <w:szCs w:val="18"/>
              </w:rPr>
            </w:pPr>
            <w:r>
              <w:rPr>
                <w:rFonts w:ascii="Arial"/>
                <w:sz w:val="18"/>
              </w:rPr>
              <w:t>153,725.00</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sz w:val="18"/>
              </w:rPr>
              <w:t>153,725.00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5" w:right="0"/>
              <w:jc w:val="center"/>
              <w:rPr>
                <w:rFonts w:ascii="Arial" w:hAnsi="Arial" w:cs="Arial" w:eastAsia="Arial" w:hint="default"/>
                <w:sz w:val="18"/>
                <w:szCs w:val="18"/>
              </w:rPr>
            </w:pPr>
            <w:r>
              <w:rPr>
                <w:rFonts w:ascii="Arial"/>
                <w:sz w:val="18"/>
              </w:rPr>
              <w:t>100</w:t>
            </w:r>
          </w:p>
        </w:tc>
        <w:tc>
          <w:tcPr>
            <w:tcW w:w="1968"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92"/>
              <w:ind w:right="166"/>
              <w:jc w:val="right"/>
              <w:rPr>
                <w:rFonts w:ascii="宋体" w:hAnsi="宋体" w:cs="宋体" w:eastAsia="宋体" w:hint="default"/>
                <w:sz w:val="18"/>
                <w:szCs w:val="18"/>
              </w:rPr>
            </w:pPr>
            <w:r>
              <w:rPr>
                <w:rFonts w:ascii="宋体" w:hAnsi="宋体" w:cs="宋体" w:eastAsia="宋体" w:hint="default"/>
                <w:spacing w:val="-3"/>
                <w:sz w:val="18"/>
                <w:szCs w:val="18"/>
              </w:rPr>
              <w:t>该公司进入清算程序</w:t>
            </w:r>
          </w:p>
        </w:tc>
      </w:tr>
      <w:tr>
        <w:trPr>
          <w:trHeight w:val="480" w:hRule="exact"/>
        </w:trPr>
        <w:tc>
          <w:tcPr>
            <w:tcW w:w="1973" w:type="dxa"/>
            <w:tcBorders>
              <w:top w:val="single" w:sz="6" w:space="0" w:color="000000"/>
              <w:left w:val="single" w:sz="2" w:space="0" w:color="000000"/>
              <w:bottom w:val="single" w:sz="6" w:space="0" w:color="000000"/>
              <w:right w:val="single" w:sz="6" w:space="0" w:color="000000"/>
            </w:tcBorders>
          </w:tcPr>
          <w:p>
            <w:pPr>
              <w:pStyle w:val="TableParagraph"/>
              <w:spacing w:line="240" w:lineRule="auto" w:before="92"/>
              <w:ind w:left="11" w:right="0"/>
              <w:jc w:val="center"/>
              <w:rPr>
                <w:rFonts w:ascii="Arial" w:hAnsi="Arial" w:cs="Arial" w:eastAsia="Arial" w:hint="default"/>
                <w:sz w:val="18"/>
                <w:szCs w:val="18"/>
              </w:rPr>
            </w:pPr>
            <w:r>
              <w:rPr>
                <w:rFonts w:ascii="宋体" w:hAnsi="宋体" w:cs="宋体" w:eastAsia="宋体" w:hint="default"/>
                <w:sz w:val="18"/>
                <w:szCs w:val="18"/>
              </w:rPr>
              <w:t>客户</w:t>
            </w:r>
            <w:r>
              <w:rPr>
                <w:rFonts w:ascii="Arial" w:hAnsi="Arial" w:cs="Arial" w:eastAsia="Arial" w:hint="default"/>
                <w:sz w:val="18"/>
                <w:szCs w:val="18"/>
              </w:rPr>
              <w:t>K</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sz w:val="18"/>
              </w:rPr>
              <w:t>55,600.00</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5" w:right="0"/>
              <w:jc w:val="center"/>
              <w:rPr>
                <w:rFonts w:ascii="Arial" w:hAnsi="Arial" w:cs="Arial" w:eastAsia="Arial" w:hint="default"/>
                <w:sz w:val="18"/>
                <w:szCs w:val="18"/>
              </w:rPr>
            </w:pPr>
            <w:r>
              <w:rPr>
                <w:rFonts w:ascii="Arial"/>
                <w:sz w:val="18"/>
              </w:rPr>
              <w:t>55,600.00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5" w:right="0"/>
              <w:jc w:val="center"/>
              <w:rPr>
                <w:rFonts w:ascii="Arial" w:hAnsi="Arial" w:cs="Arial" w:eastAsia="Arial" w:hint="default"/>
                <w:sz w:val="18"/>
                <w:szCs w:val="18"/>
              </w:rPr>
            </w:pPr>
            <w:r>
              <w:rPr>
                <w:rFonts w:ascii="Arial"/>
                <w:sz w:val="18"/>
              </w:rPr>
              <w:t>100</w:t>
            </w:r>
          </w:p>
        </w:tc>
        <w:tc>
          <w:tcPr>
            <w:tcW w:w="1968"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92"/>
              <w:ind w:right="166"/>
              <w:jc w:val="right"/>
              <w:rPr>
                <w:rFonts w:ascii="宋体" w:hAnsi="宋体" w:cs="宋体" w:eastAsia="宋体" w:hint="default"/>
                <w:sz w:val="18"/>
                <w:szCs w:val="18"/>
              </w:rPr>
            </w:pPr>
            <w:r>
              <w:rPr>
                <w:rFonts w:ascii="宋体" w:hAnsi="宋体" w:cs="宋体" w:eastAsia="宋体" w:hint="default"/>
                <w:spacing w:val="-3"/>
                <w:sz w:val="18"/>
                <w:szCs w:val="18"/>
              </w:rPr>
              <w:t>该公司进入清算程序</w:t>
            </w:r>
          </w:p>
        </w:tc>
      </w:tr>
      <w:tr>
        <w:trPr>
          <w:trHeight w:val="485" w:hRule="exact"/>
        </w:trPr>
        <w:tc>
          <w:tcPr>
            <w:tcW w:w="1973" w:type="dxa"/>
            <w:tcBorders>
              <w:top w:val="single" w:sz="6" w:space="0" w:color="000000"/>
              <w:left w:val="single" w:sz="2" w:space="0" w:color="000000"/>
              <w:bottom w:val="single" w:sz="6" w:space="0" w:color="000000"/>
              <w:right w:val="single" w:sz="6" w:space="0" w:color="000000"/>
            </w:tcBorders>
          </w:tcPr>
          <w:p>
            <w:pPr>
              <w:pStyle w:val="TableParagraph"/>
              <w:spacing w:line="240" w:lineRule="auto" w:before="92"/>
              <w:ind w:left="10" w:right="0"/>
              <w:jc w:val="center"/>
              <w:rPr>
                <w:rFonts w:ascii="Arial" w:hAnsi="Arial" w:cs="Arial" w:eastAsia="Arial" w:hint="default"/>
                <w:sz w:val="18"/>
                <w:szCs w:val="18"/>
              </w:rPr>
            </w:pPr>
            <w:r>
              <w:rPr>
                <w:rFonts w:ascii="宋体" w:hAnsi="宋体" w:cs="宋体" w:eastAsia="宋体" w:hint="default"/>
                <w:sz w:val="18"/>
                <w:szCs w:val="18"/>
              </w:rPr>
              <w:t>客户</w:t>
            </w:r>
            <w:r>
              <w:rPr>
                <w:rFonts w:ascii="Arial" w:hAnsi="Arial" w:cs="Arial" w:eastAsia="Arial" w:hint="default"/>
                <w:sz w:val="18"/>
                <w:szCs w:val="18"/>
              </w:rPr>
              <w:t>L</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sz w:val="18"/>
              </w:rPr>
              <w:t>37,275.00</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5" w:right="0"/>
              <w:jc w:val="center"/>
              <w:rPr>
                <w:rFonts w:ascii="Arial" w:hAnsi="Arial" w:cs="Arial" w:eastAsia="Arial" w:hint="default"/>
                <w:sz w:val="18"/>
                <w:szCs w:val="18"/>
              </w:rPr>
            </w:pPr>
            <w:r>
              <w:rPr>
                <w:rFonts w:ascii="Arial"/>
                <w:sz w:val="18"/>
              </w:rPr>
              <w:t>37,275.00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5" w:right="0"/>
              <w:jc w:val="center"/>
              <w:rPr>
                <w:rFonts w:ascii="Arial" w:hAnsi="Arial" w:cs="Arial" w:eastAsia="Arial" w:hint="default"/>
                <w:sz w:val="18"/>
                <w:szCs w:val="18"/>
              </w:rPr>
            </w:pPr>
            <w:r>
              <w:rPr>
                <w:rFonts w:ascii="Arial"/>
                <w:sz w:val="18"/>
              </w:rPr>
              <w:t>100</w:t>
            </w:r>
          </w:p>
        </w:tc>
        <w:tc>
          <w:tcPr>
            <w:tcW w:w="1968"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92"/>
              <w:ind w:right="166"/>
              <w:jc w:val="right"/>
              <w:rPr>
                <w:rFonts w:ascii="宋体" w:hAnsi="宋体" w:cs="宋体" w:eastAsia="宋体" w:hint="default"/>
                <w:sz w:val="18"/>
                <w:szCs w:val="18"/>
              </w:rPr>
            </w:pPr>
            <w:r>
              <w:rPr>
                <w:rFonts w:ascii="宋体" w:hAnsi="宋体" w:cs="宋体" w:eastAsia="宋体" w:hint="default"/>
                <w:spacing w:val="-3"/>
                <w:sz w:val="18"/>
                <w:szCs w:val="18"/>
              </w:rPr>
              <w:t>该公司进入清算程序</w:t>
            </w:r>
          </w:p>
        </w:tc>
      </w:tr>
      <w:tr>
        <w:trPr>
          <w:trHeight w:val="485" w:hRule="exact"/>
        </w:trPr>
        <w:tc>
          <w:tcPr>
            <w:tcW w:w="1973" w:type="dxa"/>
            <w:tcBorders>
              <w:top w:val="single" w:sz="6" w:space="0" w:color="000000"/>
              <w:left w:val="single" w:sz="2" w:space="0" w:color="000000"/>
              <w:bottom w:val="single" w:sz="6" w:space="0" w:color="000000"/>
              <w:right w:val="single" w:sz="6" w:space="0" w:color="000000"/>
            </w:tcBorders>
          </w:tcPr>
          <w:p>
            <w:pPr>
              <w:pStyle w:val="TableParagraph"/>
              <w:spacing w:line="240" w:lineRule="auto" w:before="92"/>
              <w:ind w:left="12" w:right="0"/>
              <w:jc w:val="center"/>
              <w:rPr>
                <w:rFonts w:ascii="Arial" w:hAnsi="Arial" w:cs="Arial" w:eastAsia="Arial" w:hint="default"/>
                <w:sz w:val="18"/>
                <w:szCs w:val="18"/>
              </w:rPr>
            </w:pPr>
            <w:r>
              <w:rPr>
                <w:rFonts w:ascii="宋体" w:hAnsi="宋体" w:cs="宋体" w:eastAsia="宋体" w:hint="default"/>
                <w:sz w:val="18"/>
                <w:szCs w:val="18"/>
              </w:rPr>
              <w:t>客户</w:t>
            </w:r>
            <w:r>
              <w:rPr>
                <w:rFonts w:ascii="Arial" w:hAnsi="Arial" w:cs="Arial" w:eastAsia="Arial" w:hint="default"/>
                <w:sz w:val="18"/>
                <w:szCs w:val="18"/>
              </w:rPr>
              <w:t>M</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sz w:val="18"/>
              </w:rPr>
              <w:t>20,175.00</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5" w:right="0"/>
              <w:jc w:val="center"/>
              <w:rPr>
                <w:rFonts w:ascii="Arial" w:hAnsi="Arial" w:cs="Arial" w:eastAsia="Arial" w:hint="default"/>
                <w:sz w:val="18"/>
                <w:szCs w:val="18"/>
              </w:rPr>
            </w:pPr>
            <w:r>
              <w:rPr>
                <w:rFonts w:ascii="Arial"/>
                <w:sz w:val="18"/>
              </w:rPr>
              <w:t>20,175.00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5" w:right="0"/>
              <w:jc w:val="center"/>
              <w:rPr>
                <w:rFonts w:ascii="Arial" w:hAnsi="Arial" w:cs="Arial" w:eastAsia="Arial" w:hint="default"/>
                <w:sz w:val="18"/>
                <w:szCs w:val="18"/>
              </w:rPr>
            </w:pPr>
            <w:r>
              <w:rPr>
                <w:rFonts w:ascii="Arial"/>
                <w:sz w:val="18"/>
              </w:rPr>
              <w:t>100</w:t>
            </w:r>
          </w:p>
        </w:tc>
        <w:tc>
          <w:tcPr>
            <w:tcW w:w="1968"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92"/>
              <w:ind w:right="166"/>
              <w:jc w:val="right"/>
              <w:rPr>
                <w:rFonts w:ascii="宋体" w:hAnsi="宋体" w:cs="宋体" w:eastAsia="宋体" w:hint="default"/>
                <w:sz w:val="18"/>
                <w:szCs w:val="18"/>
              </w:rPr>
            </w:pPr>
            <w:r>
              <w:rPr>
                <w:rFonts w:ascii="宋体" w:hAnsi="宋体" w:cs="宋体" w:eastAsia="宋体" w:hint="default"/>
                <w:spacing w:val="-3"/>
                <w:sz w:val="18"/>
                <w:szCs w:val="18"/>
              </w:rPr>
              <w:t>该公司进入清算程序</w:t>
            </w:r>
          </w:p>
        </w:tc>
      </w:tr>
      <w:tr>
        <w:trPr>
          <w:trHeight w:val="480" w:hRule="exact"/>
        </w:trPr>
        <w:tc>
          <w:tcPr>
            <w:tcW w:w="1973" w:type="dxa"/>
            <w:tcBorders>
              <w:top w:val="single" w:sz="6" w:space="0" w:color="000000"/>
              <w:left w:val="single" w:sz="2" w:space="0" w:color="000000"/>
              <w:bottom w:val="single" w:sz="6" w:space="0" w:color="000000"/>
              <w:right w:val="single" w:sz="6" w:space="0" w:color="000000"/>
            </w:tcBorders>
          </w:tcPr>
          <w:p>
            <w:pPr>
              <w:pStyle w:val="TableParagraph"/>
              <w:spacing w:line="240" w:lineRule="auto" w:before="92"/>
              <w:ind w:left="11" w:right="0"/>
              <w:jc w:val="center"/>
              <w:rPr>
                <w:rFonts w:ascii="Arial" w:hAnsi="Arial" w:cs="Arial" w:eastAsia="Arial" w:hint="default"/>
                <w:sz w:val="18"/>
                <w:szCs w:val="18"/>
              </w:rPr>
            </w:pPr>
            <w:r>
              <w:rPr>
                <w:rFonts w:ascii="宋体" w:hAnsi="宋体" w:cs="宋体" w:eastAsia="宋体" w:hint="default"/>
                <w:sz w:val="18"/>
                <w:szCs w:val="18"/>
              </w:rPr>
              <w:t>客户</w:t>
            </w:r>
            <w:r>
              <w:rPr>
                <w:rFonts w:ascii="Arial" w:hAnsi="Arial" w:cs="Arial" w:eastAsia="Arial" w:hint="default"/>
                <w:sz w:val="18"/>
                <w:szCs w:val="18"/>
              </w:rPr>
              <w:t>N</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sz w:val="18"/>
              </w:rPr>
              <w:t>43,356.55</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5" w:right="0"/>
              <w:jc w:val="center"/>
              <w:rPr>
                <w:rFonts w:ascii="Arial" w:hAnsi="Arial" w:cs="Arial" w:eastAsia="Arial" w:hint="default"/>
                <w:sz w:val="18"/>
                <w:szCs w:val="18"/>
              </w:rPr>
            </w:pPr>
            <w:r>
              <w:rPr>
                <w:rFonts w:ascii="Arial"/>
                <w:sz w:val="18"/>
              </w:rPr>
              <w:t>43,356.55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5" w:right="0"/>
              <w:jc w:val="center"/>
              <w:rPr>
                <w:rFonts w:ascii="Arial" w:hAnsi="Arial" w:cs="Arial" w:eastAsia="Arial" w:hint="default"/>
                <w:sz w:val="18"/>
                <w:szCs w:val="18"/>
              </w:rPr>
            </w:pPr>
            <w:r>
              <w:rPr>
                <w:rFonts w:ascii="Arial"/>
                <w:sz w:val="18"/>
              </w:rPr>
              <w:t>100</w:t>
            </w:r>
          </w:p>
        </w:tc>
        <w:tc>
          <w:tcPr>
            <w:tcW w:w="1968"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92"/>
              <w:ind w:right="166"/>
              <w:jc w:val="right"/>
              <w:rPr>
                <w:rFonts w:ascii="宋体" w:hAnsi="宋体" w:cs="宋体" w:eastAsia="宋体" w:hint="default"/>
                <w:sz w:val="18"/>
                <w:szCs w:val="18"/>
              </w:rPr>
            </w:pPr>
            <w:r>
              <w:rPr>
                <w:rFonts w:ascii="宋体" w:hAnsi="宋体" w:cs="宋体" w:eastAsia="宋体" w:hint="default"/>
                <w:spacing w:val="-3"/>
                <w:sz w:val="18"/>
                <w:szCs w:val="18"/>
              </w:rPr>
              <w:t>该公司进入清算程序</w:t>
            </w:r>
          </w:p>
        </w:tc>
      </w:tr>
      <w:tr>
        <w:trPr>
          <w:trHeight w:val="485" w:hRule="exact"/>
        </w:trPr>
        <w:tc>
          <w:tcPr>
            <w:tcW w:w="1973" w:type="dxa"/>
            <w:tcBorders>
              <w:top w:val="single" w:sz="6" w:space="0" w:color="000000"/>
              <w:left w:val="single" w:sz="2" w:space="0" w:color="000000"/>
              <w:bottom w:val="single" w:sz="6" w:space="0" w:color="000000"/>
              <w:right w:val="single" w:sz="6" w:space="0" w:color="000000"/>
            </w:tcBorders>
          </w:tcPr>
          <w:p>
            <w:pPr>
              <w:pStyle w:val="TableParagraph"/>
              <w:spacing w:line="240" w:lineRule="auto" w:before="92"/>
              <w:ind w:left="7" w:right="0"/>
              <w:jc w:val="center"/>
              <w:rPr>
                <w:rFonts w:ascii="Arial" w:hAnsi="Arial" w:cs="Arial" w:eastAsia="Arial" w:hint="default"/>
                <w:sz w:val="18"/>
                <w:szCs w:val="18"/>
              </w:rPr>
            </w:pPr>
            <w:r>
              <w:rPr>
                <w:rFonts w:ascii="宋体" w:hAnsi="宋体" w:cs="宋体" w:eastAsia="宋体" w:hint="default"/>
                <w:sz w:val="18"/>
                <w:szCs w:val="18"/>
              </w:rPr>
              <w:t>客户</w:t>
            </w:r>
            <w:r>
              <w:rPr>
                <w:rFonts w:ascii="Arial" w:hAnsi="Arial" w:cs="Arial" w:eastAsia="Arial" w:hint="default"/>
                <w:sz w:val="18"/>
                <w:szCs w:val="18"/>
              </w:rPr>
              <w:t>O</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sz w:val="18"/>
              </w:rPr>
              <w:t>23,325.00</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5" w:right="0"/>
              <w:jc w:val="center"/>
              <w:rPr>
                <w:rFonts w:ascii="Arial" w:hAnsi="Arial" w:cs="Arial" w:eastAsia="Arial" w:hint="default"/>
                <w:sz w:val="18"/>
                <w:szCs w:val="18"/>
              </w:rPr>
            </w:pPr>
            <w:r>
              <w:rPr>
                <w:rFonts w:ascii="Arial"/>
                <w:sz w:val="18"/>
              </w:rPr>
              <w:t>23,325.00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5" w:right="0"/>
              <w:jc w:val="center"/>
              <w:rPr>
                <w:rFonts w:ascii="Arial" w:hAnsi="Arial" w:cs="Arial" w:eastAsia="Arial" w:hint="default"/>
                <w:sz w:val="18"/>
                <w:szCs w:val="18"/>
              </w:rPr>
            </w:pPr>
            <w:r>
              <w:rPr>
                <w:rFonts w:ascii="Arial"/>
                <w:sz w:val="18"/>
              </w:rPr>
              <w:t>100</w:t>
            </w:r>
          </w:p>
        </w:tc>
        <w:tc>
          <w:tcPr>
            <w:tcW w:w="1968"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92"/>
              <w:ind w:right="166"/>
              <w:jc w:val="right"/>
              <w:rPr>
                <w:rFonts w:ascii="宋体" w:hAnsi="宋体" w:cs="宋体" w:eastAsia="宋体" w:hint="default"/>
                <w:sz w:val="18"/>
                <w:szCs w:val="18"/>
              </w:rPr>
            </w:pPr>
            <w:r>
              <w:rPr>
                <w:rFonts w:ascii="宋体" w:hAnsi="宋体" w:cs="宋体" w:eastAsia="宋体" w:hint="default"/>
                <w:spacing w:val="-3"/>
                <w:sz w:val="18"/>
                <w:szCs w:val="18"/>
              </w:rPr>
              <w:t>该公司进入清算程序</w:t>
            </w:r>
          </w:p>
        </w:tc>
      </w:tr>
      <w:tr>
        <w:trPr>
          <w:trHeight w:val="485" w:hRule="exact"/>
        </w:trPr>
        <w:tc>
          <w:tcPr>
            <w:tcW w:w="1973" w:type="dxa"/>
            <w:tcBorders>
              <w:top w:val="single" w:sz="6" w:space="0" w:color="000000"/>
              <w:left w:val="single" w:sz="2" w:space="0" w:color="000000"/>
              <w:bottom w:val="single" w:sz="6" w:space="0" w:color="000000"/>
              <w:right w:val="single" w:sz="6" w:space="0" w:color="000000"/>
            </w:tcBorders>
          </w:tcPr>
          <w:p>
            <w:pPr>
              <w:pStyle w:val="TableParagraph"/>
              <w:spacing w:line="240" w:lineRule="auto" w:before="92"/>
              <w:ind w:left="11" w:right="0"/>
              <w:jc w:val="center"/>
              <w:rPr>
                <w:rFonts w:ascii="Arial" w:hAnsi="Arial" w:cs="Arial" w:eastAsia="Arial" w:hint="default"/>
                <w:sz w:val="18"/>
                <w:szCs w:val="18"/>
              </w:rPr>
            </w:pPr>
            <w:r>
              <w:rPr>
                <w:rFonts w:ascii="宋体" w:hAnsi="宋体" w:cs="宋体" w:eastAsia="宋体" w:hint="default"/>
                <w:sz w:val="18"/>
                <w:szCs w:val="18"/>
              </w:rPr>
              <w:t>客户</w:t>
            </w:r>
            <w:r>
              <w:rPr>
                <w:rFonts w:ascii="Arial" w:hAnsi="Arial" w:cs="Arial" w:eastAsia="Arial" w:hint="default"/>
                <w:sz w:val="18"/>
                <w:szCs w:val="18"/>
              </w:rPr>
              <w:t>P</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sz w:val="18"/>
              </w:rPr>
              <w:t>10,447.00</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5" w:right="0"/>
              <w:jc w:val="center"/>
              <w:rPr>
                <w:rFonts w:ascii="Arial" w:hAnsi="Arial" w:cs="Arial" w:eastAsia="Arial" w:hint="default"/>
                <w:sz w:val="18"/>
                <w:szCs w:val="18"/>
              </w:rPr>
            </w:pPr>
            <w:r>
              <w:rPr>
                <w:rFonts w:ascii="Arial"/>
                <w:sz w:val="18"/>
              </w:rPr>
              <w:t>10,447.00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5" w:right="0"/>
              <w:jc w:val="center"/>
              <w:rPr>
                <w:rFonts w:ascii="Arial" w:hAnsi="Arial" w:cs="Arial" w:eastAsia="Arial" w:hint="default"/>
                <w:sz w:val="18"/>
                <w:szCs w:val="18"/>
              </w:rPr>
            </w:pPr>
            <w:r>
              <w:rPr>
                <w:rFonts w:ascii="Arial"/>
                <w:sz w:val="18"/>
              </w:rPr>
              <w:t>100</w:t>
            </w:r>
          </w:p>
        </w:tc>
        <w:tc>
          <w:tcPr>
            <w:tcW w:w="1968"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92"/>
              <w:ind w:right="166"/>
              <w:jc w:val="right"/>
              <w:rPr>
                <w:rFonts w:ascii="宋体" w:hAnsi="宋体" w:cs="宋体" w:eastAsia="宋体" w:hint="default"/>
                <w:sz w:val="18"/>
                <w:szCs w:val="18"/>
              </w:rPr>
            </w:pPr>
            <w:r>
              <w:rPr>
                <w:rFonts w:ascii="宋体" w:hAnsi="宋体" w:cs="宋体" w:eastAsia="宋体" w:hint="default"/>
                <w:spacing w:val="-3"/>
                <w:sz w:val="18"/>
                <w:szCs w:val="18"/>
              </w:rPr>
              <w:t>该公司进入清算程序</w:t>
            </w:r>
          </w:p>
        </w:tc>
      </w:tr>
      <w:tr>
        <w:trPr>
          <w:trHeight w:val="475" w:hRule="exact"/>
        </w:trPr>
        <w:tc>
          <w:tcPr>
            <w:tcW w:w="1973" w:type="dxa"/>
            <w:tcBorders>
              <w:top w:val="single" w:sz="6" w:space="0" w:color="000000"/>
              <w:left w:val="single" w:sz="2" w:space="0" w:color="000000"/>
              <w:bottom w:val="single" w:sz="2" w:space="0" w:color="000000"/>
              <w:right w:val="single" w:sz="6" w:space="0" w:color="000000"/>
            </w:tcBorders>
          </w:tcPr>
          <w:p>
            <w:pPr>
              <w:pStyle w:val="TableParagraph"/>
              <w:spacing w:line="240" w:lineRule="auto" w:before="92"/>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73" w:type="dxa"/>
            <w:tcBorders>
              <w:top w:val="single" w:sz="6" w:space="0" w:color="000000"/>
              <w:left w:val="single" w:sz="6" w:space="0" w:color="000000"/>
              <w:bottom w:val="single" w:sz="2" w:space="0" w:color="000000"/>
              <w:right w:val="single" w:sz="6" w:space="0" w:color="000000"/>
            </w:tcBorders>
          </w:tcPr>
          <w:p>
            <w:pPr>
              <w:pStyle w:val="TableParagraph"/>
              <w:spacing w:line="240" w:lineRule="auto" w:before="128"/>
              <w:ind w:right="2"/>
              <w:jc w:val="center"/>
              <w:rPr>
                <w:rFonts w:ascii="Arial" w:hAnsi="Arial" w:cs="Arial" w:eastAsia="Arial" w:hint="default"/>
                <w:sz w:val="18"/>
                <w:szCs w:val="18"/>
              </w:rPr>
            </w:pPr>
            <w:r>
              <w:rPr>
                <w:rFonts w:ascii="Arial"/>
                <w:sz w:val="18"/>
              </w:rPr>
              <w:t>670,973.55</w:t>
            </w:r>
          </w:p>
        </w:tc>
        <w:tc>
          <w:tcPr>
            <w:tcW w:w="1968" w:type="dxa"/>
            <w:tcBorders>
              <w:top w:val="single" w:sz="6" w:space="0" w:color="000000"/>
              <w:left w:val="single" w:sz="6" w:space="0" w:color="000000"/>
              <w:bottom w:val="single" w:sz="2" w:space="0" w:color="000000"/>
              <w:right w:val="single" w:sz="6" w:space="0" w:color="000000"/>
            </w:tcBorders>
          </w:tcPr>
          <w:p>
            <w:pPr>
              <w:pStyle w:val="TableParagraph"/>
              <w:spacing w:line="240" w:lineRule="auto" w:before="128"/>
              <w:ind w:right="0"/>
              <w:jc w:val="center"/>
              <w:rPr>
                <w:rFonts w:ascii="Arial" w:hAnsi="Arial" w:cs="Arial" w:eastAsia="Arial" w:hint="default"/>
                <w:sz w:val="18"/>
                <w:szCs w:val="18"/>
              </w:rPr>
            </w:pPr>
            <w:r>
              <w:rPr>
                <w:rFonts w:ascii="Arial"/>
                <w:sz w:val="18"/>
              </w:rPr>
              <w:t>670,973.55</w:t>
            </w:r>
          </w:p>
        </w:tc>
        <w:tc>
          <w:tcPr>
            <w:tcW w:w="1973" w:type="dxa"/>
            <w:tcBorders>
              <w:top w:val="single" w:sz="6" w:space="0" w:color="000000"/>
              <w:left w:val="single" w:sz="6" w:space="0" w:color="000000"/>
              <w:bottom w:val="single" w:sz="2" w:space="0" w:color="000000"/>
              <w:right w:val="single" w:sz="6" w:space="0" w:color="000000"/>
            </w:tcBorders>
          </w:tcPr>
          <w:p>
            <w:pPr>
              <w:pStyle w:val="TableParagraph"/>
              <w:spacing w:line="240" w:lineRule="auto" w:before="128"/>
              <w:ind w:left="5" w:right="0"/>
              <w:jc w:val="center"/>
              <w:rPr>
                <w:rFonts w:ascii="Arial" w:hAnsi="Arial" w:cs="Arial" w:eastAsia="Arial" w:hint="default"/>
                <w:sz w:val="18"/>
                <w:szCs w:val="18"/>
              </w:rPr>
            </w:pPr>
            <w:r>
              <w:rPr>
                <w:rFonts w:ascii="Arial"/>
                <w:sz w:val="18"/>
              </w:rPr>
              <w:t>100</w:t>
            </w:r>
          </w:p>
        </w:tc>
        <w:tc>
          <w:tcPr>
            <w:tcW w:w="1968" w:type="dxa"/>
            <w:tcBorders>
              <w:top w:val="single" w:sz="6" w:space="0" w:color="000000"/>
              <w:left w:val="single" w:sz="6" w:space="0" w:color="000000"/>
              <w:bottom w:val="single" w:sz="2" w:space="0" w:color="000000"/>
              <w:right w:val="single" w:sz="2" w:space="0" w:color="000000"/>
            </w:tcBorders>
          </w:tcPr>
          <w:p>
            <w:pPr>
              <w:pStyle w:val="TableParagraph"/>
              <w:spacing w:line="240" w:lineRule="auto" w:before="92"/>
              <w:ind w:right="166"/>
              <w:jc w:val="right"/>
              <w:rPr>
                <w:rFonts w:ascii="宋体" w:hAnsi="宋体" w:cs="宋体" w:eastAsia="宋体" w:hint="default"/>
                <w:sz w:val="18"/>
                <w:szCs w:val="18"/>
              </w:rPr>
            </w:pPr>
            <w:r>
              <w:rPr>
                <w:rFonts w:ascii="宋体" w:hAnsi="宋体" w:cs="宋体" w:eastAsia="宋体" w:hint="default"/>
                <w:spacing w:val="-3"/>
                <w:sz w:val="18"/>
                <w:szCs w:val="18"/>
              </w:rPr>
              <w:t>该公司进入清算程序</w:t>
            </w:r>
          </w:p>
        </w:tc>
      </w:tr>
    </w:tbl>
    <w:p>
      <w:pPr>
        <w:spacing w:line="240" w:lineRule="auto" w:before="3"/>
        <w:rPr>
          <w:rFonts w:ascii="宋体" w:hAnsi="宋体" w:cs="宋体" w:eastAsia="宋体" w:hint="default"/>
          <w:sz w:val="19"/>
          <w:szCs w:val="19"/>
        </w:rPr>
      </w:pPr>
    </w:p>
    <w:p>
      <w:pPr>
        <w:pStyle w:val="Heading4"/>
        <w:spacing w:line="335" w:lineRule="exact"/>
        <w:ind w:left="232"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405" w:lineRule="auto"/>
        <w:ind w:left="655" w:right="0"/>
        <w:jc w:val="left"/>
      </w:pPr>
      <w:r>
        <w:rPr>
          <w:spacing w:val="-1"/>
        </w:rPr>
        <w:t>本期计提坏账准备金额9,757,873.14元；本期收回或转回坏账准备金额0.00元。</w:t>
      </w:r>
      <w:r>
        <w:rPr>
          <w:spacing w:val="-63"/>
        </w:rPr>
        <w:t> </w:t>
      </w:r>
      <w:r>
        <w:rPr>
          <w:spacing w:val="-63"/>
        </w:rPr>
      </w:r>
      <w:r>
        <w:rPr/>
        <w:t>其中本期坏账准备收回或转回金额重要的：</w:t>
      </w:r>
    </w:p>
    <w:p>
      <w:pPr>
        <w:spacing w:before="37"/>
        <w:ind w:left="0" w:right="20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240" w:type="dxa"/>
        <w:tblLayout w:type="fixed"/>
        <w:tblCellMar>
          <w:top w:w="0" w:type="dxa"/>
          <w:left w:w="0" w:type="dxa"/>
          <w:bottom w:w="0" w:type="dxa"/>
          <w:right w:w="0" w:type="dxa"/>
        </w:tblCellMar>
        <w:tblLook w:val="01E0"/>
      </w:tblPr>
      <w:tblGrid>
        <w:gridCol w:w="3166"/>
        <w:gridCol w:w="3214"/>
        <w:gridCol w:w="3168"/>
      </w:tblGrid>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9" w:right="0"/>
              <w:jc w:val="left"/>
              <w:rPr>
                <w:rFonts w:ascii="宋体" w:hAnsi="宋体" w:cs="宋体" w:eastAsia="宋体" w:hint="default"/>
                <w:sz w:val="18"/>
                <w:szCs w:val="18"/>
              </w:rPr>
            </w:pPr>
            <w:r>
              <w:rPr>
                <w:rFonts w:ascii="宋体" w:hAnsi="宋体" w:cs="宋体" w:eastAsia="宋体" w:hint="default"/>
                <w:spacing w:val="-3"/>
                <w:sz w:val="18"/>
                <w:szCs w:val="18"/>
              </w:rPr>
              <w:t>收回或转回金额</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14" w:type="dxa"/>
            <w:tcBorders>
              <w:top w:val="single" w:sz="4" w:space="0" w:color="000000"/>
              <w:left w:val="single" w:sz="8" w:space="0" w:color="D2D2D2"/>
              <w:bottom w:val="single" w:sz="4" w:space="0" w:color="000000"/>
              <w:right w:val="single" w:sz="10" w:space="0" w:color="D2D2D2"/>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z w:val="18"/>
              </w:rPr>
              <w:t>0.00</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335" w:lineRule="exact"/>
        <w:ind w:left="232"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20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227" w:type="dxa"/>
        <w:tblLayout w:type="fixed"/>
        <w:tblCellMar>
          <w:top w:w="0" w:type="dxa"/>
          <w:left w:w="0" w:type="dxa"/>
          <w:bottom w:w="0" w:type="dxa"/>
          <w:right w:w="0" w:type="dxa"/>
        </w:tblCellMar>
        <w:tblLook w:val="01E0"/>
      </w:tblPr>
      <w:tblGrid>
        <w:gridCol w:w="4786"/>
        <w:gridCol w:w="4781"/>
      </w:tblGrid>
      <w:tr>
        <w:trPr>
          <w:trHeight w:val="403" w:hRule="exact"/>
        </w:trPr>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实际核销的应收账款（共</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户）</w:t>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277,216.59</w:t>
            </w:r>
          </w:p>
        </w:tc>
      </w:tr>
    </w:tbl>
    <w:p>
      <w:pPr>
        <w:pStyle w:val="BodyText"/>
        <w:spacing w:line="240" w:lineRule="auto" w:before="66"/>
        <w:ind w:left="655" w:right="0"/>
        <w:jc w:val="left"/>
      </w:pPr>
      <w:r>
        <w:rPr/>
        <w:t>其中重要的应收账款核销情况：</w:t>
      </w:r>
    </w:p>
    <w:p>
      <w:pPr>
        <w:spacing w:line="240" w:lineRule="auto" w:before="0"/>
        <w:rPr>
          <w:rFonts w:ascii="宋体" w:hAnsi="宋体" w:cs="宋体" w:eastAsia="宋体" w:hint="default"/>
          <w:sz w:val="10"/>
          <w:szCs w:val="10"/>
        </w:rPr>
      </w:pPr>
    </w:p>
    <w:p>
      <w:pPr>
        <w:spacing w:before="46"/>
        <w:ind w:left="0" w:right="20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240" w:type="dxa"/>
        <w:tblLayout w:type="fixed"/>
        <w:tblCellMar>
          <w:top w:w="0" w:type="dxa"/>
          <w:left w:w="0" w:type="dxa"/>
          <w:bottom w:w="0" w:type="dxa"/>
          <w:right w:w="0" w:type="dxa"/>
        </w:tblCellMar>
        <w:tblLook w:val="01E0"/>
      </w:tblPr>
      <w:tblGrid>
        <w:gridCol w:w="1586"/>
        <w:gridCol w:w="1594"/>
        <w:gridCol w:w="1594"/>
        <w:gridCol w:w="1594"/>
        <w:gridCol w:w="1606"/>
        <w:gridCol w:w="1572"/>
      </w:tblGrid>
      <w:tr>
        <w:trPr>
          <w:trHeight w:val="159" w:hRule="exact"/>
        </w:trPr>
        <w:tc>
          <w:tcPr>
            <w:tcW w:w="1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506" w:right="55" w:hanging="447"/>
              <w:jc w:val="left"/>
              <w:rPr>
                <w:rFonts w:ascii="宋体" w:hAnsi="宋体" w:cs="宋体" w:eastAsia="宋体" w:hint="default"/>
                <w:sz w:val="18"/>
                <w:szCs w:val="18"/>
              </w:rPr>
            </w:pPr>
            <w:r>
              <w:rPr>
                <w:rFonts w:ascii="宋体" w:hAnsi="宋体" w:cs="宋体" w:eastAsia="宋体" w:hint="default"/>
                <w:spacing w:val="-2"/>
                <w:sz w:val="18"/>
                <w:szCs w:val="18"/>
              </w:rPr>
              <w:t>款项是否由关联交</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易产生</w:t>
            </w:r>
          </w:p>
        </w:tc>
      </w:tr>
      <w:tr>
        <w:trPr>
          <w:trHeight w:val="394" w:hRule="exact"/>
        </w:trPr>
        <w:tc>
          <w:tcPr>
            <w:tcW w:w="15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6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14"/>
              <w:jc w:val="center"/>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572" w:type="dxa"/>
            <w:vMerge/>
            <w:tcBorders>
              <w:left w:val="single" w:sz="4" w:space="0" w:color="000000"/>
              <w:right w:val="single" w:sz="4" w:space="0" w:color="000000"/>
            </w:tcBorders>
            <w:shd w:val="clear" w:color="auto" w:fill="D2D2D2"/>
          </w:tcPr>
          <w:p>
            <w:pPr/>
          </w:p>
        </w:tc>
      </w:tr>
      <w:tr>
        <w:trPr>
          <w:trHeight w:val="158" w:hRule="exact"/>
        </w:trPr>
        <w:tc>
          <w:tcPr>
            <w:tcW w:w="158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72"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4"/>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3"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6"/>
              <w:jc w:val="center"/>
              <w:rPr>
                <w:rFonts w:ascii="Times New Roman" w:hAnsi="Times New Roman" w:cs="Times New Roman" w:eastAsia="Times New Roman" w:hint="default"/>
                <w:sz w:val="18"/>
                <w:szCs w:val="18"/>
              </w:rPr>
            </w:pPr>
            <w:r>
              <w:rPr>
                <w:rFonts w:ascii="Times New Roman"/>
                <w:sz w:val="18"/>
              </w:rPr>
              <w:t>--</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66"/>
        <w:ind w:left="655" w:right="0"/>
        <w:jc w:val="left"/>
      </w:pPr>
      <w:r>
        <w:rPr/>
        <w:t>应收账款核销说明：</w:t>
      </w:r>
    </w:p>
    <w:p>
      <w:pPr>
        <w:spacing w:line="240" w:lineRule="auto" w:before="8"/>
        <w:rPr>
          <w:rFonts w:ascii="宋体" w:hAnsi="宋体" w:cs="宋体" w:eastAsia="宋体" w:hint="default"/>
          <w:sz w:val="14"/>
          <w:szCs w:val="14"/>
        </w:rPr>
      </w:pPr>
    </w:p>
    <w:p>
      <w:pPr>
        <w:pStyle w:val="BodyText"/>
        <w:spacing w:line="398" w:lineRule="auto"/>
        <w:ind w:left="232" w:right="202" w:firstLine="422"/>
        <w:jc w:val="both"/>
      </w:pPr>
      <w:r>
        <w:rPr/>
        <w:t>根据《企业会计准则》</w:t>
      </w:r>
      <w:r>
        <w:rPr>
          <w:spacing w:val="-17"/>
        </w:rPr>
        <w:t> </w:t>
      </w:r>
      <w:r>
        <w:rPr/>
        <w:t>及公司会计政策的相关规定，公司及子公司对截至</w:t>
      </w:r>
      <w:r>
        <w:rPr>
          <w:rFonts w:ascii="Arial" w:hAnsi="Arial" w:cs="Arial" w:eastAsia="Arial" w:hint="default"/>
        </w:rPr>
        <w:t>2014</w:t>
      </w:r>
      <w:r>
        <w:rPr/>
        <w:t>年</w:t>
      </w:r>
      <w:r>
        <w:rPr>
          <w:rFonts w:ascii="Arial" w:hAnsi="Arial" w:cs="Arial" w:eastAsia="Arial" w:hint="default"/>
        </w:rPr>
        <w:t>12</w:t>
      </w:r>
      <w:r>
        <w:rPr/>
        <w:t>月</w:t>
      </w:r>
      <w:r>
        <w:rPr>
          <w:rFonts w:ascii="Arial" w:hAnsi="Arial" w:cs="Arial" w:eastAsia="Arial" w:hint="default"/>
        </w:rPr>
        <w:t>31</w:t>
      </w:r>
      <w:r>
        <w:rPr/>
        <w:t>日的应收账</w:t>
      </w:r>
      <w:r>
        <w:rPr>
          <w:w w:val="100"/>
        </w:rPr>
        <w:t> </w:t>
      </w:r>
      <w:r>
        <w:rPr>
          <w:spacing w:val="11"/>
        </w:rPr>
        <w:t>款进行清理，对其中呆滞、已取得法律诉讼判决无法收回的应收账款进行坏账核销，核销金额共计 </w:t>
      </w:r>
      <w:r>
        <w:rPr>
          <w:spacing w:val="11"/>
        </w:rPr>
      </w:r>
      <w:r>
        <w:rPr>
          <w:rFonts w:ascii="Arial" w:hAnsi="Arial" w:cs="Arial" w:eastAsia="Arial" w:hint="default"/>
        </w:rPr>
        <w:t>280,016.59</w:t>
      </w:r>
      <w:r>
        <w:rPr/>
        <w:t>元。</w:t>
      </w:r>
    </w:p>
    <w:p>
      <w:pPr>
        <w:spacing w:after="0" w:line="398" w:lineRule="auto"/>
        <w:jc w:val="both"/>
        <w:sectPr>
          <w:pgSz w:w="11900" w:h="16840"/>
          <w:pgMar w:header="742" w:footer="984" w:top="1060" w:bottom="1180" w:left="900" w:right="920"/>
        </w:sectPr>
      </w:pPr>
    </w:p>
    <w:p>
      <w:pPr>
        <w:spacing w:line="240" w:lineRule="auto" w:before="4"/>
        <w:rPr>
          <w:rFonts w:ascii="宋体" w:hAnsi="宋体" w:cs="宋体" w:eastAsia="宋体" w:hint="default"/>
          <w:sz w:val="25"/>
          <w:szCs w:val="25"/>
        </w:rPr>
      </w:pPr>
    </w:p>
    <w:p>
      <w:pPr>
        <w:pStyle w:val="Heading4"/>
        <w:spacing w:line="335" w:lineRule="exact"/>
        <w:ind w:left="232" w:right="2896"/>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3"/>
        <w:rPr>
          <w:rFonts w:ascii="Microsoft JhengHei" w:hAnsi="Microsoft JhengHei" w:cs="Microsoft JhengHei" w:eastAsia="Microsoft JhengHei" w:hint="default"/>
          <w:b/>
          <w:bCs/>
          <w:sz w:val="18"/>
          <w:szCs w:val="18"/>
        </w:rPr>
      </w:pPr>
    </w:p>
    <w:tbl>
      <w:tblPr>
        <w:tblW w:w="0" w:type="auto"/>
        <w:jc w:val="left"/>
        <w:tblInd w:w="117" w:type="dxa"/>
        <w:tblLayout w:type="fixed"/>
        <w:tblCellMar>
          <w:top w:w="0" w:type="dxa"/>
          <w:left w:w="0" w:type="dxa"/>
          <w:bottom w:w="0" w:type="dxa"/>
          <w:right w:w="0" w:type="dxa"/>
        </w:tblCellMar>
        <w:tblLook w:val="01E0"/>
      </w:tblPr>
      <w:tblGrid>
        <w:gridCol w:w="1642"/>
        <w:gridCol w:w="1642"/>
        <w:gridCol w:w="1642"/>
        <w:gridCol w:w="1642"/>
        <w:gridCol w:w="1646"/>
        <w:gridCol w:w="1642"/>
      </w:tblGrid>
      <w:tr>
        <w:trPr>
          <w:trHeight w:val="715" w:hRule="exact"/>
        </w:trPr>
        <w:tc>
          <w:tcPr>
            <w:tcW w:w="164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4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64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4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46"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16" w:lineRule="auto" w:before="53"/>
              <w:ind w:left="465" w:right="185" w:hanging="279"/>
              <w:jc w:val="left"/>
              <w:rPr>
                <w:rFonts w:ascii="Arial" w:hAnsi="Arial" w:cs="Arial" w:eastAsia="Arial" w:hint="default"/>
                <w:sz w:val="18"/>
                <w:szCs w:val="18"/>
              </w:rPr>
            </w:pPr>
            <w:r>
              <w:rPr>
                <w:rFonts w:ascii="宋体" w:hAnsi="宋体" w:cs="宋体" w:eastAsia="宋体" w:hint="default"/>
                <w:spacing w:val="-3"/>
                <w:sz w:val="18"/>
                <w:szCs w:val="18"/>
              </w:rPr>
              <w:t>占应收账款总额</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的比例</w:t>
            </w:r>
            <w:r>
              <w:rPr>
                <w:rFonts w:ascii="Arial" w:hAnsi="Arial" w:cs="Arial" w:eastAsia="Arial" w:hint="default"/>
                <w:sz w:val="18"/>
                <w:szCs w:val="18"/>
              </w:rPr>
              <w:t>%</w:t>
            </w:r>
          </w:p>
        </w:tc>
        <w:tc>
          <w:tcPr>
            <w:tcW w:w="164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98"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Arial" w:hAnsi="Arial" w:cs="Arial" w:eastAsia="Arial"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Arial" w:hAnsi="Arial" w:cs="Arial" w:eastAsia="Arial" w:hint="default"/>
                <w:sz w:val="18"/>
                <w:szCs w:val="18"/>
              </w:rPr>
              <w:t>A</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8,200,000.00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Arial" w:hAnsi="Arial" w:cs="Arial" w:eastAsia="Arial" w:hint="default"/>
                <w:sz w:val="18"/>
                <w:szCs w:val="18"/>
              </w:rPr>
              <w:t>1 </w:t>
            </w:r>
            <w:r>
              <w:rPr>
                <w:rFonts w:ascii="宋体" w:hAnsi="宋体" w:cs="宋体" w:eastAsia="宋体" w:hint="default"/>
                <w:sz w:val="18"/>
                <w:szCs w:val="18"/>
              </w:rPr>
              <w:t>年以内</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5.26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410,000.00</w:t>
            </w:r>
          </w:p>
        </w:tc>
      </w:tr>
      <w:tr>
        <w:trPr>
          <w:trHeight w:val="403"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Arial" w:hAnsi="Arial" w:cs="Arial" w:eastAsia="Arial"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Arial" w:hAnsi="Arial" w:cs="Arial" w:eastAsia="Arial" w:hint="default"/>
                <w:sz w:val="18"/>
                <w:szCs w:val="18"/>
              </w:rPr>
              <w:t>B</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7,863,400.00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Arial" w:hAnsi="Arial" w:cs="Arial" w:eastAsia="Arial" w:hint="default"/>
                <w:sz w:val="18"/>
                <w:szCs w:val="18"/>
              </w:rPr>
              <w:t>1 </w:t>
            </w:r>
            <w:r>
              <w:rPr>
                <w:rFonts w:ascii="宋体" w:hAnsi="宋体" w:cs="宋体" w:eastAsia="宋体" w:hint="default"/>
                <w:sz w:val="18"/>
                <w:szCs w:val="18"/>
              </w:rPr>
              <w:t>年以内</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5.04</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393,170.00</w:t>
            </w:r>
          </w:p>
        </w:tc>
      </w:tr>
      <w:tr>
        <w:trPr>
          <w:trHeight w:val="403"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Arial" w:hAnsi="Arial" w:cs="Arial" w:eastAsia="Arial"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Arial" w:hAnsi="Arial" w:cs="Arial" w:eastAsia="Arial" w:hint="default"/>
                <w:sz w:val="18"/>
                <w:szCs w:val="18"/>
              </w:rPr>
              <w:t>C</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4,152,166.12</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Arial" w:hAnsi="Arial" w:cs="Arial" w:eastAsia="Arial" w:hint="default"/>
                <w:sz w:val="18"/>
                <w:szCs w:val="18"/>
              </w:rPr>
              <w:t>1 </w:t>
            </w:r>
            <w:r>
              <w:rPr>
                <w:rFonts w:ascii="宋体" w:hAnsi="宋体" w:cs="宋体" w:eastAsia="宋体" w:hint="default"/>
                <w:sz w:val="18"/>
                <w:szCs w:val="18"/>
              </w:rPr>
              <w:t>年以内</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2.66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207,608.31</w:t>
            </w:r>
          </w:p>
        </w:tc>
      </w:tr>
      <w:tr>
        <w:trPr>
          <w:trHeight w:val="403"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Arial" w:hAnsi="Arial" w:cs="Arial" w:eastAsia="Arial"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Arial" w:hAnsi="Arial" w:cs="Arial" w:eastAsia="Arial" w:hint="default"/>
                <w:sz w:val="18"/>
                <w:szCs w:val="18"/>
              </w:rPr>
              <w:t>D</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3,762,512.50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Arial" w:hAnsi="Arial" w:cs="Arial" w:eastAsia="Arial" w:hint="default"/>
                <w:sz w:val="18"/>
                <w:szCs w:val="18"/>
              </w:rPr>
              <w:t>1 </w:t>
            </w:r>
            <w:r>
              <w:rPr>
                <w:rFonts w:ascii="宋体" w:hAnsi="宋体" w:cs="宋体" w:eastAsia="宋体" w:hint="default"/>
                <w:sz w:val="18"/>
                <w:szCs w:val="18"/>
              </w:rPr>
              <w:t>年以内</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2.41</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188,125.63</w:t>
            </w:r>
          </w:p>
        </w:tc>
      </w:tr>
      <w:tr>
        <w:trPr>
          <w:trHeight w:val="398"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Arial" w:hAnsi="Arial" w:cs="Arial" w:eastAsia="Arial"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Arial" w:hAnsi="Arial" w:cs="Arial" w:eastAsia="Arial" w:hint="default"/>
                <w:sz w:val="18"/>
                <w:szCs w:val="18"/>
              </w:rPr>
              <w:t>E</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2,956,405.20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Arial" w:hAnsi="Arial" w:cs="Arial" w:eastAsia="Arial" w:hint="default"/>
                <w:sz w:val="18"/>
                <w:szCs w:val="18"/>
              </w:rPr>
              <w:t>1 </w:t>
            </w:r>
            <w:r>
              <w:rPr>
                <w:rFonts w:ascii="宋体" w:hAnsi="宋体" w:cs="宋体" w:eastAsia="宋体" w:hint="default"/>
                <w:sz w:val="18"/>
                <w:szCs w:val="18"/>
              </w:rPr>
              <w:t>年以内</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1.9</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147,820.26</w:t>
            </w:r>
          </w:p>
        </w:tc>
      </w:tr>
      <w:tr>
        <w:trPr>
          <w:trHeight w:val="403"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642"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5" w:right="0"/>
              <w:jc w:val="center"/>
              <w:rPr>
                <w:rFonts w:ascii="Arial" w:hAnsi="Arial" w:cs="Arial" w:eastAsia="Arial" w:hint="default"/>
                <w:sz w:val="18"/>
                <w:szCs w:val="18"/>
              </w:rPr>
            </w:pPr>
            <w:r>
              <w:rPr>
                <w:rFonts w:ascii="Arial"/>
                <w:sz w:val="18"/>
              </w:rPr>
              <w:t>26,934,483.82</w:t>
            </w:r>
          </w:p>
        </w:tc>
        <w:tc>
          <w:tcPr>
            <w:tcW w:w="1642"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Arial" w:hAnsi="Arial" w:cs="Arial" w:eastAsia="Arial" w:hint="default"/>
                <w:sz w:val="18"/>
                <w:szCs w:val="18"/>
              </w:rPr>
            </w:pPr>
            <w:r>
              <w:rPr>
                <w:rFonts w:ascii="Arial"/>
                <w:sz w:val="18"/>
              </w:rPr>
              <w:t>17.27</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2"/>
              <w:jc w:val="center"/>
              <w:rPr>
                <w:rFonts w:ascii="Arial" w:hAnsi="Arial" w:cs="Arial" w:eastAsia="Arial" w:hint="default"/>
                <w:sz w:val="18"/>
                <w:szCs w:val="18"/>
              </w:rPr>
            </w:pPr>
            <w:r>
              <w:rPr>
                <w:rFonts w:ascii="Arial"/>
                <w:sz w:val="18"/>
              </w:rPr>
              <w:t>134,6724.2</w:t>
            </w:r>
          </w:p>
        </w:tc>
      </w:tr>
    </w:tbl>
    <w:p>
      <w:pPr>
        <w:spacing w:line="240" w:lineRule="auto" w:before="8"/>
        <w:rPr>
          <w:rFonts w:ascii="Microsoft JhengHei" w:hAnsi="Microsoft JhengHei" w:cs="Microsoft JhengHei" w:eastAsia="Microsoft JhengHei" w:hint="default"/>
          <w:b/>
          <w:bCs/>
          <w:sz w:val="14"/>
          <w:szCs w:val="14"/>
        </w:rPr>
      </w:pPr>
    </w:p>
    <w:p>
      <w:pPr>
        <w:pStyle w:val="Heading4"/>
        <w:spacing w:line="335" w:lineRule="exact"/>
        <w:ind w:left="232" w:right="2896"/>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240" w:lineRule="auto"/>
        <w:ind w:left="636" w:right="9212"/>
        <w:jc w:val="center"/>
      </w:pPr>
      <w:r>
        <w:rPr>
          <w:w w:val="100"/>
        </w:rPr>
        <w:t>无</w:t>
      </w:r>
    </w:p>
    <w:p>
      <w:pPr>
        <w:spacing w:line="240" w:lineRule="auto" w:before="9"/>
        <w:rPr>
          <w:rFonts w:ascii="宋体" w:hAnsi="宋体" w:cs="宋体" w:eastAsia="宋体" w:hint="default"/>
          <w:sz w:val="26"/>
          <w:szCs w:val="26"/>
        </w:rPr>
      </w:pPr>
    </w:p>
    <w:p>
      <w:pPr>
        <w:pStyle w:val="Heading4"/>
        <w:spacing w:line="240" w:lineRule="auto"/>
        <w:ind w:left="232" w:right="2896"/>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240" w:lineRule="auto"/>
        <w:ind w:left="636" w:right="9212"/>
        <w:jc w:val="center"/>
      </w:pPr>
      <w:r>
        <w:rPr>
          <w:w w:val="100"/>
        </w:rPr>
        <w:t>无</w:t>
      </w:r>
    </w:p>
    <w:p>
      <w:pPr>
        <w:spacing w:line="240" w:lineRule="auto" w:before="9"/>
        <w:rPr>
          <w:rFonts w:ascii="宋体" w:hAnsi="宋体" w:cs="宋体" w:eastAsia="宋体" w:hint="default"/>
          <w:sz w:val="26"/>
          <w:szCs w:val="26"/>
        </w:rPr>
      </w:pPr>
    </w:p>
    <w:p>
      <w:pPr>
        <w:pStyle w:val="Heading4"/>
        <w:spacing w:line="240" w:lineRule="auto"/>
        <w:ind w:left="232" w:right="2896"/>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4"/>
        <w:spacing w:line="240" w:lineRule="auto"/>
        <w:ind w:left="232" w:right="2896"/>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22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240" w:type="dxa"/>
        <w:tblLayout w:type="fixed"/>
        <w:tblCellMar>
          <w:top w:w="0" w:type="dxa"/>
          <w:left w:w="0" w:type="dxa"/>
          <w:bottom w:w="0" w:type="dxa"/>
          <w:right w:w="0" w:type="dxa"/>
        </w:tblCellMar>
        <w:tblLook w:val="01E0"/>
      </w:tblPr>
      <w:tblGrid>
        <w:gridCol w:w="1889"/>
        <w:gridCol w:w="1925"/>
        <w:gridCol w:w="1915"/>
        <w:gridCol w:w="1915"/>
        <w:gridCol w:w="1915"/>
      </w:tblGrid>
      <w:tr>
        <w:trPr>
          <w:trHeight w:val="197"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13"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5"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925" w:type="dxa"/>
            <w:tcBorders>
              <w:top w:val="single" w:sz="6"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28,755,128.05</w:t>
            </w:r>
          </w:p>
        </w:tc>
        <w:tc>
          <w:tcPr>
            <w:tcW w:w="191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96.23%</w:t>
            </w:r>
          </w:p>
        </w:tc>
        <w:tc>
          <w:tcPr>
            <w:tcW w:w="191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25,320,770.40</w:t>
            </w:r>
          </w:p>
        </w:tc>
        <w:tc>
          <w:tcPr>
            <w:tcW w:w="191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98.67%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2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893,916.85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2.99%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115,681.05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0.45%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92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6,681.05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0.02%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226,880.92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0.88%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92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226,880.92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0.76%</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5" w:type="dxa"/>
            <w:tcBorders>
              <w:top w:val="single" w:sz="4" w:space="0" w:color="000000"/>
              <w:left w:val="single" w:sz="8" w:space="0" w:color="D2D2D2"/>
              <w:bottom w:val="single" w:sz="4" w:space="0" w:color="000000"/>
              <w:right w:val="single" w:sz="10" w:space="0" w:color="D2D2D2"/>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29,882,606.87</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25,663,332.37</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335" w:lineRule="exact"/>
        <w:ind w:left="232" w:right="2896"/>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17" w:type="dxa"/>
        <w:tblLayout w:type="fixed"/>
        <w:tblCellMar>
          <w:top w:w="0" w:type="dxa"/>
          <w:left w:w="0" w:type="dxa"/>
          <w:bottom w:w="0" w:type="dxa"/>
          <w:right w:w="0" w:type="dxa"/>
        </w:tblCellMar>
        <w:tblLook w:val="01E0"/>
      </w:tblPr>
      <w:tblGrid>
        <w:gridCol w:w="1642"/>
        <w:gridCol w:w="1642"/>
        <w:gridCol w:w="1642"/>
        <w:gridCol w:w="1642"/>
        <w:gridCol w:w="1646"/>
        <w:gridCol w:w="1642"/>
      </w:tblGrid>
      <w:tr>
        <w:trPr>
          <w:trHeight w:val="710" w:hRule="exact"/>
        </w:trPr>
        <w:tc>
          <w:tcPr>
            <w:tcW w:w="164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449"/>
              <w:jc w:val="right"/>
              <w:rPr>
                <w:rFonts w:ascii="宋体" w:hAnsi="宋体" w:cs="宋体" w:eastAsia="宋体" w:hint="default"/>
                <w:sz w:val="18"/>
                <w:szCs w:val="18"/>
              </w:rPr>
            </w:pPr>
            <w:r>
              <w:rPr>
                <w:rFonts w:ascii="宋体" w:hAnsi="宋体" w:cs="宋体" w:eastAsia="宋体" w:hint="default"/>
                <w:spacing w:val="-2"/>
                <w:sz w:val="18"/>
                <w:szCs w:val="18"/>
              </w:rPr>
              <w:t>单位名称</w:t>
            </w:r>
          </w:p>
        </w:tc>
        <w:tc>
          <w:tcPr>
            <w:tcW w:w="164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64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4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16" w:lineRule="auto" w:before="53"/>
              <w:ind w:left="633" w:right="180" w:hanging="447"/>
              <w:jc w:val="left"/>
              <w:rPr>
                <w:rFonts w:ascii="宋体" w:hAnsi="宋体" w:cs="宋体" w:eastAsia="宋体" w:hint="default"/>
                <w:sz w:val="18"/>
                <w:szCs w:val="18"/>
              </w:rPr>
            </w:pPr>
            <w:r>
              <w:rPr>
                <w:rFonts w:ascii="宋体" w:hAnsi="宋体" w:cs="宋体" w:eastAsia="宋体" w:hint="default"/>
                <w:spacing w:val="-3"/>
                <w:sz w:val="18"/>
                <w:szCs w:val="18"/>
              </w:rPr>
              <w:t>占预付账款余额</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比例</w:t>
            </w:r>
          </w:p>
        </w:tc>
        <w:tc>
          <w:tcPr>
            <w:tcW w:w="1646"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164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03"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47"/>
              <w:jc w:val="righ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A</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10,456,836.00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34.99%</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3"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57"/>
              <w:jc w:val="righ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B</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7,698,883.87</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25.76%</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未到结算期</w:t>
            </w:r>
          </w:p>
        </w:tc>
      </w:tr>
    </w:tbl>
    <w:p>
      <w:pPr>
        <w:spacing w:after="0" w:line="240" w:lineRule="auto"/>
        <w:jc w:val="center"/>
        <w:rPr>
          <w:rFonts w:ascii="宋体" w:hAnsi="宋体" w:cs="宋体" w:eastAsia="宋体" w:hint="default"/>
          <w:sz w:val="18"/>
          <w:szCs w:val="18"/>
        </w:rPr>
        <w:sectPr>
          <w:pgSz w:w="11900" w:h="16840"/>
          <w:pgMar w:header="742" w:footer="984" w:top="1060" w:bottom="1180" w:left="900" w:right="900"/>
        </w:sectPr>
      </w:pPr>
    </w:p>
    <w:p>
      <w:pPr>
        <w:spacing w:line="240" w:lineRule="auto" w:before="12"/>
        <w:rPr>
          <w:rFonts w:ascii="Microsoft JhengHei" w:hAnsi="Microsoft JhengHei" w:cs="Microsoft JhengHei" w:eastAsia="Microsoft JhengHei" w:hint="default"/>
          <w:b/>
          <w:bCs/>
          <w:sz w:val="21"/>
          <w:szCs w:val="21"/>
        </w:rPr>
      </w:pPr>
    </w:p>
    <w:tbl>
      <w:tblPr>
        <w:tblW w:w="0" w:type="auto"/>
        <w:jc w:val="left"/>
        <w:tblInd w:w="117" w:type="dxa"/>
        <w:tblLayout w:type="fixed"/>
        <w:tblCellMar>
          <w:top w:w="0" w:type="dxa"/>
          <w:left w:w="0" w:type="dxa"/>
          <w:bottom w:w="0" w:type="dxa"/>
          <w:right w:w="0" w:type="dxa"/>
        </w:tblCellMar>
        <w:tblLook w:val="01E0"/>
      </w:tblPr>
      <w:tblGrid>
        <w:gridCol w:w="1642"/>
        <w:gridCol w:w="1642"/>
        <w:gridCol w:w="1642"/>
        <w:gridCol w:w="1642"/>
        <w:gridCol w:w="1646"/>
        <w:gridCol w:w="1642"/>
      </w:tblGrid>
      <w:tr>
        <w:trPr>
          <w:trHeight w:val="403"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C</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3,689,000.00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12.34%</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98"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D</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3,603,531.09</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12.06%</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3"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E</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820,000.00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2.74%</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3"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42"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26,268,250.96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87.90%</w:t>
            </w:r>
          </w:p>
        </w:tc>
        <w:tc>
          <w:tcPr>
            <w:tcW w:w="1646"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Microsoft JhengHei" w:hAnsi="Microsoft JhengHei" w:cs="Microsoft JhengHei" w:eastAsia="Microsoft JhengHei" w:hint="default"/>
          <w:b/>
          <w:bCs/>
          <w:sz w:val="14"/>
          <w:szCs w:val="14"/>
        </w:rPr>
      </w:pPr>
    </w:p>
    <w:p>
      <w:pPr>
        <w:pStyle w:val="Heading4"/>
        <w:spacing w:line="335" w:lineRule="exact"/>
        <w:ind w:left="232" w:right="2896"/>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4"/>
        <w:spacing w:line="240" w:lineRule="auto"/>
        <w:ind w:left="232" w:right="2896"/>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22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240" w:type="dxa"/>
        <w:tblLayout w:type="fixed"/>
        <w:tblCellMar>
          <w:top w:w="0" w:type="dxa"/>
          <w:left w:w="0" w:type="dxa"/>
          <w:bottom w:w="0" w:type="dxa"/>
          <w:right w:w="0" w:type="dxa"/>
        </w:tblCellMar>
        <w:tblLook w:val="01E0"/>
      </w:tblPr>
      <w:tblGrid>
        <w:gridCol w:w="3168"/>
        <w:gridCol w:w="3199"/>
        <w:gridCol w:w="3192"/>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382,794.97</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4" w:space="0" w:color="000000"/>
              <w:left w:val="single" w:sz="13" w:space="0" w:color="D2D2D2"/>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382,794.97</w:t>
            </w:r>
          </w:p>
        </w:tc>
      </w:tr>
    </w:tbl>
    <w:p>
      <w:pPr>
        <w:spacing w:line="240" w:lineRule="auto" w:before="3"/>
        <w:rPr>
          <w:rFonts w:ascii="宋体" w:hAnsi="宋体" w:cs="宋体" w:eastAsia="宋体" w:hint="default"/>
          <w:sz w:val="19"/>
          <w:szCs w:val="19"/>
        </w:rPr>
      </w:pPr>
    </w:p>
    <w:p>
      <w:pPr>
        <w:pStyle w:val="Heading4"/>
        <w:spacing w:line="335" w:lineRule="exact"/>
        <w:ind w:left="232" w:right="2896"/>
        <w:jc w:val="left"/>
        <w:rPr>
          <w:b w:val="0"/>
          <w:bCs w:val="0"/>
        </w:rPr>
      </w:pPr>
      <w:r>
        <w:rPr/>
        <w:t>（</w:t>
      </w:r>
      <w:r>
        <w:rPr>
          <w:rFonts w:ascii="Times New Roman" w:hAnsi="Times New Roman" w:cs="Times New Roman" w:eastAsia="Times New Roman" w:hint="default"/>
        </w:rPr>
        <w:t>2</w:t>
      </w:r>
      <w:r>
        <w:rPr/>
        <w:t>）重要逾期利息</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227" w:type="dxa"/>
        <w:tblLayout w:type="fixed"/>
        <w:tblCellMar>
          <w:top w:w="0" w:type="dxa"/>
          <w:left w:w="0" w:type="dxa"/>
          <w:bottom w:w="0" w:type="dxa"/>
          <w:right w:w="0" w:type="dxa"/>
        </w:tblCellMar>
        <w:tblLook w:val="01E0"/>
      </w:tblPr>
      <w:tblGrid>
        <w:gridCol w:w="1915"/>
        <w:gridCol w:w="1915"/>
        <w:gridCol w:w="1910"/>
        <w:gridCol w:w="1927"/>
        <w:gridCol w:w="1891"/>
      </w:tblGrid>
      <w:tr>
        <w:trPr>
          <w:trHeight w:val="158" w:hRule="exact"/>
        </w:trPr>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8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756" w:right="34" w:hanging="716"/>
              <w:jc w:val="left"/>
              <w:rPr>
                <w:rFonts w:ascii="宋体" w:hAnsi="宋体" w:cs="宋体" w:eastAsia="宋体" w:hint="default"/>
                <w:sz w:val="18"/>
                <w:szCs w:val="18"/>
              </w:rPr>
            </w:pPr>
            <w:r>
              <w:rPr>
                <w:rFonts w:ascii="宋体" w:hAnsi="宋体" w:cs="宋体" w:eastAsia="宋体" w:hint="default"/>
                <w:spacing w:val="-2"/>
                <w:sz w:val="18"/>
                <w:szCs w:val="18"/>
              </w:rPr>
              <w:t>是否发生减值及其判断</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依据</w:t>
            </w:r>
          </w:p>
        </w:tc>
      </w:tr>
      <w:tr>
        <w:trPr>
          <w:trHeight w:val="394" w:hRule="exact"/>
        </w:trPr>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逾期时间</w:t>
            </w:r>
          </w:p>
        </w:tc>
        <w:tc>
          <w:tcPr>
            <w:tcW w:w="19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right="10"/>
              <w:jc w:val="center"/>
              <w:rPr>
                <w:rFonts w:ascii="宋体" w:hAnsi="宋体" w:cs="宋体" w:eastAsia="宋体" w:hint="default"/>
                <w:sz w:val="18"/>
                <w:szCs w:val="18"/>
              </w:rPr>
            </w:pPr>
            <w:r>
              <w:rPr>
                <w:rFonts w:ascii="宋体" w:hAnsi="宋体" w:cs="宋体" w:eastAsia="宋体" w:hint="default"/>
                <w:sz w:val="18"/>
                <w:szCs w:val="18"/>
              </w:rPr>
              <w:t>逾期原因</w:t>
            </w:r>
          </w:p>
        </w:tc>
        <w:tc>
          <w:tcPr>
            <w:tcW w:w="1891" w:type="dxa"/>
            <w:vMerge/>
            <w:tcBorders>
              <w:left w:val="single" w:sz="4" w:space="0" w:color="000000"/>
              <w:right w:val="single" w:sz="4" w:space="0" w:color="000000"/>
            </w:tcBorders>
            <w:shd w:val="clear" w:color="auto" w:fill="D2D2D2"/>
          </w:tcPr>
          <w:p>
            <w:pPr/>
          </w:p>
        </w:tc>
      </w:tr>
      <w:tr>
        <w:trPr>
          <w:trHeight w:val="163" w:hRule="exact"/>
        </w:trPr>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89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10" w:space="0" w:color="D2D2D2"/>
              <w:bottom w:val="single" w:sz="4" w:space="0" w:color="000000"/>
              <w:right w:val="single" w:sz="12" w:space="0" w:color="D2D2D2"/>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4"/>
              <w:jc w:val="center"/>
              <w:rPr>
                <w:rFonts w:ascii="Times New Roman" w:hAnsi="Times New Roman" w:cs="Times New Roman" w:eastAsia="Times New Roman" w:hint="default"/>
                <w:sz w:val="18"/>
                <w:szCs w:val="18"/>
              </w:rPr>
            </w:pPr>
            <w:r>
              <w:rPr>
                <w:rFonts w:ascii="Times New Roman"/>
                <w:sz w:val="18"/>
              </w:rPr>
              <w:t>--</w:t>
            </w:r>
          </w:p>
        </w:tc>
        <w:tc>
          <w:tcPr>
            <w:tcW w:w="1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1"/>
              <w:jc w:val="center"/>
              <w:rPr>
                <w:rFonts w:ascii="Times New Roman" w:hAnsi="Times New Roman" w:cs="Times New Roman" w:eastAsia="Times New Roman" w:hint="default"/>
                <w:sz w:val="18"/>
                <w:szCs w:val="18"/>
              </w:rPr>
            </w:pPr>
            <w:r>
              <w:rPr>
                <w:rFonts w:ascii="Times New Roman"/>
                <w:sz w:val="18"/>
              </w:rPr>
              <w:t>--</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Microsoft JhengHei" w:hAnsi="Microsoft JhengHei" w:cs="Microsoft JhengHei" w:eastAsia="Microsoft JhengHei" w:hint="default"/>
          <w:b/>
          <w:bCs/>
          <w:sz w:val="14"/>
          <w:szCs w:val="14"/>
        </w:rPr>
      </w:pPr>
    </w:p>
    <w:p>
      <w:pPr>
        <w:pStyle w:val="Heading4"/>
        <w:spacing w:line="335" w:lineRule="exact"/>
        <w:ind w:left="232" w:right="2896"/>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4"/>
        <w:spacing w:line="240" w:lineRule="auto"/>
        <w:ind w:left="232" w:right="2896"/>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22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240" w:type="dxa"/>
        <w:tblLayout w:type="fixed"/>
        <w:tblCellMar>
          <w:top w:w="0" w:type="dxa"/>
          <w:left w:w="0" w:type="dxa"/>
          <w:bottom w:w="0" w:type="dxa"/>
          <w:right w:w="0" w:type="dxa"/>
        </w:tblCellMar>
        <w:tblLook w:val="01E0"/>
      </w:tblPr>
      <w:tblGrid>
        <w:gridCol w:w="1610"/>
        <w:gridCol w:w="773"/>
        <w:gridCol w:w="763"/>
        <w:gridCol w:w="763"/>
        <w:gridCol w:w="763"/>
        <w:gridCol w:w="787"/>
        <w:gridCol w:w="653"/>
        <w:gridCol w:w="763"/>
        <w:gridCol w:w="816"/>
        <w:gridCol w:w="931"/>
        <w:gridCol w:w="931"/>
      </w:tblGrid>
      <w:tr>
        <w:trPr>
          <w:trHeight w:val="398" w:hRule="exact"/>
        </w:trPr>
        <w:tc>
          <w:tcPr>
            <w:tcW w:w="1610" w:type="dxa"/>
            <w:vMerge w:val="restart"/>
            <w:tcBorders>
              <w:top w:val="single" w:sz="4" w:space="0" w:color="000000"/>
              <w:left w:val="single" w:sz="4" w:space="0" w:color="000000"/>
              <w:right w:val="single" w:sz="4" w:space="0" w:color="000000"/>
            </w:tcBorders>
            <w:shd w:val="clear" w:color="auto" w:fill="D2D2D2"/>
          </w:tcPr>
          <w:p>
            <w:pPr/>
          </w:p>
        </w:tc>
        <w:tc>
          <w:tcPr>
            <w:tcW w:w="385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9" w:hRule="exact"/>
        </w:trPr>
        <w:tc>
          <w:tcPr>
            <w:tcW w:w="1610" w:type="dxa"/>
            <w:vMerge/>
            <w:tcBorders>
              <w:left w:val="single" w:sz="4" w:space="0" w:color="000000"/>
              <w:bottom w:val="nil" w:sz="6" w:space="0" w:color="auto"/>
              <w:right w:val="single" w:sz="4" w:space="0" w:color="000000"/>
            </w:tcBorders>
            <w:shd w:val="clear" w:color="auto" w:fill="D2D2D2"/>
          </w:tcPr>
          <w:p>
            <w:pPr/>
          </w:p>
        </w:tc>
        <w:tc>
          <w:tcPr>
            <w:tcW w:w="153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0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7" w:hRule="exact"/>
        </w:trPr>
        <w:tc>
          <w:tcPr>
            <w:tcW w:w="16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6"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7"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0" w:type="dxa"/>
            <w:vMerge/>
            <w:tcBorders>
              <w:left w:val="single" w:sz="4" w:space="0" w:color="000000"/>
              <w:bottom w:val="single" w:sz="6" w:space="0" w:color="FFFFFF"/>
              <w:right w:val="single" w:sz="4" w:space="0" w:color="000000"/>
            </w:tcBorders>
            <w:shd w:val="clear" w:color="auto" w:fill="D2D2D2"/>
          </w:tcPr>
          <w:p>
            <w:pPr/>
          </w:p>
        </w:tc>
        <w:tc>
          <w:tcPr>
            <w:tcW w:w="773" w:type="dxa"/>
            <w:tcBorders>
              <w:top w:val="single" w:sz="4" w:space="0" w:color="000000"/>
              <w:left w:val="single" w:sz="4" w:space="0" w:color="000000"/>
              <w:bottom w:val="single" w:sz="6"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6"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6"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83" w:right="103" w:hanging="178"/>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81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86" w:hRule="exact"/>
        </w:trPr>
        <w:tc>
          <w:tcPr>
            <w:tcW w:w="1610" w:type="dxa"/>
            <w:vMerge w:val="restart"/>
            <w:tcBorders>
              <w:top w:val="single" w:sz="6" w:space="0" w:color="FFFFFF"/>
              <w:left w:val="single" w:sz="4" w:space="0" w:color="000000"/>
              <w:right w:val="single" w:sz="4" w:space="0" w:color="000000"/>
            </w:tcBorders>
            <w:shd w:val="clear" w:color="auto" w:fill="D2D2D2"/>
          </w:tcPr>
          <w:p>
            <w:pPr/>
          </w:p>
        </w:tc>
        <w:tc>
          <w:tcPr>
            <w:tcW w:w="773" w:type="dxa"/>
            <w:vMerge w:val="restart"/>
            <w:tcBorders>
              <w:top w:val="single" w:sz="6" w:space="0" w:color="FFFFFF"/>
              <w:left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val="restart"/>
            <w:tcBorders>
              <w:top w:val="single" w:sz="6" w:space="0" w:color="FFFFFF"/>
              <w:left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6" w:space="0" w:color="FFFFFF"/>
              <w:left w:val="single" w:sz="4" w:space="0" w:color="000000"/>
              <w:right w:val="single" w:sz="4" w:space="0" w:color="000000"/>
            </w:tcBorders>
            <w:shd w:val="clear" w:color="auto" w:fill="D2D2D2"/>
          </w:tcPr>
          <w:p>
            <w:pPr>
              <w:pStyle w:val="TableParagraph"/>
              <w:spacing w:line="240" w:lineRule="auto" w:before="49"/>
              <w:ind w:left="19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7"/>
              <w:ind w:left="13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7"/>
              <w:ind w:left="19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7"/>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7"/>
              <w:ind w:left="9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10" w:type="dxa"/>
            <w:vMerge/>
            <w:tcBorders>
              <w:left w:val="single" w:sz="4" w:space="0" w:color="000000"/>
              <w:right w:val="single" w:sz="4" w:space="0" w:color="000000"/>
            </w:tcBorders>
            <w:shd w:val="clear" w:color="auto" w:fill="D2D2D2"/>
          </w:tcPr>
          <w:p>
            <w:pPr/>
          </w:p>
        </w:tc>
        <w:tc>
          <w:tcPr>
            <w:tcW w:w="77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816" w:type="dxa"/>
            <w:vMerge/>
            <w:tcBorders>
              <w:left w:val="single" w:sz="4" w:space="0" w:color="000000"/>
              <w:bottom w:val="nil" w:sz="6" w:space="0" w:color="auto"/>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4" w:hRule="exact"/>
        </w:trPr>
        <w:tc>
          <w:tcPr>
            <w:tcW w:w="1610" w:type="dxa"/>
            <w:vMerge/>
            <w:tcBorders>
              <w:left w:val="single" w:sz="4" w:space="0" w:color="000000"/>
              <w:bottom w:val="single" w:sz="4" w:space="0" w:color="000000"/>
              <w:right w:val="single" w:sz="4" w:space="0" w:color="000000"/>
            </w:tcBorders>
            <w:shd w:val="clear" w:color="auto" w:fill="D2D2D2"/>
          </w:tcPr>
          <w:p>
            <w:pPr/>
          </w:p>
        </w:tc>
        <w:tc>
          <w:tcPr>
            <w:tcW w:w="77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81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42"/>
              <w:jc w:val="both"/>
              <w:rPr>
                <w:rFonts w:ascii="宋体" w:hAnsi="宋体" w:cs="宋体" w:eastAsia="宋体" w:hint="default"/>
                <w:sz w:val="18"/>
                <w:szCs w:val="18"/>
              </w:rPr>
            </w:pPr>
            <w:r>
              <w:rPr>
                <w:rFonts w:ascii="宋体" w:hAnsi="宋体" w:cs="宋体" w:eastAsia="宋体" w:hint="default"/>
                <w:spacing w:val="-2"/>
                <w:sz w:val="18"/>
                <w:szCs w:val="18"/>
              </w:rPr>
              <w:t>按信用风险特征组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合计提坏账准备的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其他应收款</w:t>
            </w:r>
          </w:p>
        </w:tc>
        <w:tc>
          <w:tcPr>
            <w:tcW w:w="7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5,882,21</w:t>
            </w:r>
          </w:p>
          <w:p>
            <w:pPr>
              <w:pStyle w:val="TableParagraph"/>
              <w:spacing w:line="240" w:lineRule="auto" w:before="110"/>
              <w:ind w:left="408" w:right="0"/>
              <w:jc w:val="left"/>
              <w:rPr>
                <w:rFonts w:ascii="Times New Roman" w:hAnsi="Times New Roman" w:cs="Times New Roman" w:eastAsia="Times New Roman" w:hint="default"/>
                <w:sz w:val="18"/>
                <w:szCs w:val="18"/>
              </w:rPr>
            </w:pPr>
            <w:r>
              <w:rPr>
                <w:rFonts w:ascii="Times New Roman"/>
                <w:sz w:val="18"/>
              </w:rPr>
              <w:t>7.45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1,089,81</w:t>
            </w:r>
          </w:p>
          <w:p>
            <w:pPr>
              <w:pStyle w:val="TableParagraph"/>
              <w:spacing w:line="240" w:lineRule="auto" w:before="110"/>
              <w:ind w:left="407" w:right="0"/>
              <w:jc w:val="left"/>
              <w:rPr>
                <w:rFonts w:ascii="Times New Roman" w:hAnsi="Times New Roman" w:cs="Times New Roman" w:eastAsia="Times New Roman" w:hint="default"/>
                <w:sz w:val="18"/>
                <w:szCs w:val="18"/>
              </w:rPr>
            </w:pPr>
            <w:r>
              <w:rPr>
                <w:rFonts w:ascii="Times New Roman"/>
                <w:sz w:val="18"/>
              </w:rPr>
              <w:t>5.32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19.14%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4,792,402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.13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7,910,2</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57.26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392,271.4</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35" w:right="0"/>
              <w:jc w:val="left"/>
              <w:rPr>
                <w:rFonts w:ascii="Times New Roman" w:hAnsi="Times New Roman" w:cs="Times New Roman" w:eastAsia="Times New Roman" w:hint="default"/>
                <w:sz w:val="18"/>
                <w:szCs w:val="18"/>
              </w:rPr>
            </w:pPr>
            <w:r>
              <w:rPr>
                <w:rFonts w:ascii="Times New Roman"/>
                <w:sz w:val="18"/>
              </w:rPr>
              <w:t>13.69%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7,517,985.8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159" w:hRule="exact"/>
        </w:trPr>
        <w:tc>
          <w:tcPr>
            <w:tcW w:w="1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3" w:type="dxa"/>
            <w:vMerge w:val="restart"/>
            <w:tcBorders>
              <w:top w:val="single" w:sz="4" w:space="0" w:color="000000"/>
              <w:left w:val="single" w:sz="8" w:space="0" w:color="D2D2D2"/>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5,882,21</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7.45</w:t>
            </w:r>
          </w:p>
        </w:tc>
        <w:tc>
          <w:tcPr>
            <w:tcW w:w="763" w:type="dxa"/>
            <w:vMerge w:val="restart"/>
            <w:tcBorders>
              <w:top w:val="single" w:sz="4" w:space="0" w:color="000000"/>
              <w:left w:val="single" w:sz="4" w:space="0" w:color="000000"/>
              <w:right w:val="single" w:sz="4" w:space="0" w:color="000000"/>
            </w:tcBorders>
          </w:tcPr>
          <w:p>
            <w:pP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1,089,81</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5.32</w:t>
            </w:r>
          </w:p>
        </w:tc>
        <w:tc>
          <w:tcPr>
            <w:tcW w:w="763" w:type="dxa"/>
            <w:vMerge w:val="restart"/>
            <w:tcBorders>
              <w:top w:val="single" w:sz="4" w:space="0" w:color="000000"/>
              <w:left w:val="single" w:sz="4" w:space="0" w:color="000000"/>
              <w:right w:val="single" w:sz="4" w:space="0" w:color="000000"/>
            </w:tcBorders>
          </w:tcPr>
          <w:p>
            <w:pP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4,792,402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.13</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96"/>
              <w:ind w:left="71" w:right="0"/>
              <w:jc w:val="center"/>
              <w:rPr>
                <w:rFonts w:ascii="Times New Roman" w:hAnsi="Times New Roman" w:cs="Times New Roman" w:eastAsia="Times New Roman" w:hint="default"/>
                <w:sz w:val="18"/>
                <w:szCs w:val="18"/>
              </w:rPr>
            </w:pPr>
            <w:r>
              <w:rPr>
                <w:rFonts w:ascii="Times New Roman"/>
                <w:sz w:val="18"/>
              </w:rPr>
              <w:t>7,910,2</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57.26</w:t>
            </w:r>
          </w:p>
        </w:tc>
        <w:tc>
          <w:tcPr>
            <w:tcW w:w="763" w:type="dxa"/>
            <w:vMerge w:val="restart"/>
            <w:tcBorders>
              <w:top w:val="single" w:sz="4" w:space="0" w:color="000000"/>
              <w:left w:val="single" w:sz="4" w:space="0" w:color="000000"/>
              <w:right w:val="single" w:sz="4" w:space="0" w:color="000000"/>
            </w:tcBorders>
          </w:tcPr>
          <w:p>
            <w:pP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392,271.4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931"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7,517,985.8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393" w:hRule="exact"/>
        </w:trPr>
        <w:tc>
          <w:tcPr>
            <w:tcW w:w="16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3" w:type="dxa"/>
            <w:vMerge/>
            <w:tcBorders>
              <w:left w:val="single" w:sz="8" w:space="0" w:color="D2D2D2"/>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3" w:hRule="exact"/>
        </w:trPr>
        <w:tc>
          <w:tcPr>
            <w:tcW w:w="1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3" w:type="dxa"/>
            <w:vMerge/>
            <w:tcBorders>
              <w:left w:val="single" w:sz="8" w:space="0" w:color="D2D2D2"/>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pStyle w:val="BodyText"/>
        <w:spacing w:line="240" w:lineRule="auto" w:before="66"/>
        <w:ind w:left="655" w:right="2896"/>
        <w:jc w:val="left"/>
      </w:pPr>
      <w:r>
        <w:rPr/>
        <w:t>期末单项金额重大并单项计提坏账准备的其他应收款：</w:t>
      </w:r>
    </w:p>
    <w:p>
      <w:pPr>
        <w:spacing w:line="240" w:lineRule="auto" w:before="8"/>
        <w:rPr>
          <w:rFonts w:ascii="宋体" w:hAnsi="宋体" w:cs="宋体" w:eastAsia="宋体" w:hint="default"/>
          <w:sz w:val="14"/>
          <w:szCs w:val="14"/>
        </w:rPr>
      </w:pPr>
    </w:p>
    <w:p>
      <w:pPr>
        <w:pStyle w:val="BodyText"/>
        <w:spacing w:line="410" w:lineRule="auto"/>
        <w:ind w:left="655" w:right="2896"/>
        <w:jc w:val="left"/>
      </w:pPr>
      <w:r>
        <w:rPr/>
        <w:t>□ 适用 √ 不适用</w:t>
      </w:r>
      <w:r>
        <w:rPr>
          <w:spacing w:val="-102"/>
        </w:rPr>
        <w:t> </w:t>
      </w:r>
      <w:r>
        <w:rPr>
          <w:spacing w:val="-102"/>
        </w:rPr>
      </w:r>
      <w:r>
        <w:rPr>
          <w:spacing w:val="-2"/>
        </w:rPr>
        <w:t>组合中，按账龄分析法计提坏账准备的其他应收款：</w:t>
      </w:r>
    </w:p>
    <w:p>
      <w:pPr>
        <w:pStyle w:val="BodyText"/>
        <w:spacing w:line="240" w:lineRule="auto" w:before="41"/>
        <w:ind w:left="655" w:right="2896"/>
        <w:jc w:val="left"/>
      </w:pPr>
      <w:r>
        <w:rPr/>
        <w:t>√ 适用 □</w:t>
      </w:r>
      <w:r>
        <w:rPr>
          <w:spacing w:val="3"/>
        </w:rPr>
        <w:t> </w:t>
      </w:r>
      <w:r>
        <w:rPr/>
        <w:t>不适用</w:t>
      </w:r>
    </w:p>
    <w:p>
      <w:pPr>
        <w:spacing w:after="0" w:line="240" w:lineRule="auto"/>
        <w:jc w:val="left"/>
        <w:sectPr>
          <w:pgSz w:w="11900" w:h="16840"/>
          <w:pgMar w:header="742" w:footer="984" w:top="1060" w:bottom="1180" w:left="900" w:right="900"/>
        </w:sectPr>
      </w:pPr>
    </w:p>
    <w:p>
      <w:pPr>
        <w:spacing w:line="240" w:lineRule="auto" w:before="6"/>
        <w:rPr>
          <w:rFonts w:ascii="宋体" w:hAnsi="宋体" w:cs="宋体" w:eastAsia="宋体" w:hint="default"/>
          <w:sz w:val="26"/>
          <w:szCs w:val="2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0"/>
        <w:gridCol w:w="2395"/>
        <w:gridCol w:w="2390"/>
        <w:gridCol w:w="2390"/>
      </w:tblGrid>
      <w:tr>
        <w:trPr>
          <w:trHeight w:val="403" w:hRule="exact"/>
        </w:trPr>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0" w:type="dxa"/>
            <w:vMerge/>
            <w:tcBorders>
              <w:left w:val="single" w:sz="4" w:space="0" w:color="000000"/>
              <w:bottom w:val="single" w:sz="4" w:space="0" w:color="000000"/>
              <w:right w:val="single" w:sz="4" w:space="0" w:color="000000"/>
            </w:tcBorders>
            <w:shd w:val="clear" w:color="auto" w:fill="D2D2D2"/>
          </w:tcPr>
          <w:p>
            <w:pP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9"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年以内分项</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3,216,484.90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160,758.26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8"/>
              <w:jc w:val="right"/>
              <w:rPr>
                <w:rFonts w:ascii="Times New Roman" w:hAnsi="Times New Roman" w:cs="Times New Roman" w:eastAsia="Times New Roman" w:hint="default"/>
                <w:sz w:val="18"/>
                <w:szCs w:val="18"/>
              </w:rPr>
            </w:pPr>
            <w:r>
              <w:rPr>
                <w:rFonts w:ascii="Times New Roman"/>
                <w:spacing w:val="-1"/>
                <w:sz w:val="18"/>
              </w:rPr>
              <w:t>5.00%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年以内小计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3,216,484.90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160,758.26</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1,017,835.29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203,567.06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91,230.00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45,615.00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50.00%</w:t>
            </w:r>
          </w:p>
        </w:tc>
      </w:tr>
      <w:tr>
        <w:trPr>
          <w:trHeight w:val="398"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679,875.00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679,875.00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5,005,425.19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1,089,815.32</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410" w:lineRule="auto" w:before="66"/>
        <w:ind w:left="575" w:right="0"/>
        <w:jc w:val="left"/>
      </w:pPr>
      <w:r>
        <w:rPr/>
        <w:t>确定该组合依据的说明：</w:t>
      </w:r>
      <w:r>
        <w:rPr>
          <w:spacing w:val="-103"/>
        </w:rPr>
        <w:t> </w:t>
      </w:r>
      <w:r>
        <w:rPr>
          <w:spacing w:val="-103"/>
        </w:rPr>
      </w:r>
      <w:r>
        <w:rPr>
          <w:spacing w:val="-2"/>
        </w:rPr>
        <w:t>按款项账龄的组合：未单项计提坏账准备的其他应收款按账龄划分为若干组合，根据以前年度与之相</w:t>
      </w:r>
    </w:p>
    <w:p>
      <w:pPr>
        <w:pStyle w:val="BodyText"/>
        <w:spacing w:line="408" w:lineRule="auto" w:before="41"/>
        <w:ind w:right="122"/>
        <w:jc w:val="both"/>
      </w:pPr>
      <w:r>
        <w:rPr>
          <w:spacing w:val="-2"/>
        </w:rPr>
        <w:t>同或相类似的、具有类似信用风险特征的应收账款组合的实际损失率为基础，结合现时情况确定各项组合</w:t>
      </w:r>
      <w:r>
        <w:rPr>
          <w:spacing w:val="-35"/>
        </w:rPr>
        <w:t> </w:t>
      </w:r>
      <w:r>
        <w:rPr>
          <w:spacing w:val="-35"/>
        </w:rPr>
      </w:r>
      <w:r>
        <w:rPr>
          <w:spacing w:val="-2"/>
        </w:rPr>
        <w:t>计提坏账准备的比例，据此计算应计提的坏账准备。（含单项金额重大、单独进行减值测试未发生减值，</w:t>
      </w:r>
      <w:r>
        <w:rPr>
          <w:spacing w:val="-16"/>
        </w:rPr>
        <w:t> </w:t>
      </w:r>
      <w:r>
        <w:rPr>
          <w:spacing w:val="-16"/>
        </w:rPr>
      </w:r>
      <w:r>
        <w:rPr/>
        <w:t>包含在具有类似信用风险特征的应收款项组合中进行减值测试的其他应收款）；</w:t>
      </w:r>
    </w:p>
    <w:p>
      <w:pPr>
        <w:pStyle w:val="BodyText"/>
        <w:spacing w:line="240" w:lineRule="auto" w:before="48"/>
        <w:ind w:left="575" w:right="0"/>
        <w:jc w:val="left"/>
      </w:pPr>
      <w:r>
        <w:rPr/>
        <w:t>组合中，采用余额百分比法计提坏账准备的其他应收款：</w:t>
      </w:r>
    </w:p>
    <w:p>
      <w:pPr>
        <w:spacing w:line="240" w:lineRule="auto" w:before="8"/>
        <w:rPr>
          <w:rFonts w:ascii="宋体" w:hAnsi="宋体" w:cs="宋体" w:eastAsia="宋体" w:hint="default"/>
          <w:sz w:val="14"/>
          <w:szCs w:val="14"/>
        </w:rPr>
      </w:pPr>
    </w:p>
    <w:p>
      <w:pPr>
        <w:pStyle w:val="BodyText"/>
        <w:spacing w:line="410" w:lineRule="auto"/>
        <w:ind w:left="575" w:right="4422"/>
        <w:jc w:val="left"/>
      </w:pPr>
      <w:r>
        <w:rPr/>
        <w:t>□ 适用 √ 不适用</w:t>
      </w:r>
      <w:r>
        <w:rPr>
          <w:spacing w:val="-102"/>
        </w:rPr>
        <w:t> </w:t>
      </w:r>
      <w:r>
        <w:rPr>
          <w:spacing w:val="-102"/>
        </w:rPr>
      </w:r>
      <w:r>
        <w:rPr>
          <w:spacing w:val="-2"/>
        </w:rPr>
        <w:t>组合中，采用其他方法计提坏账准备的其他应收款：</w:t>
      </w:r>
    </w:p>
    <w:p>
      <w:pPr>
        <w:pStyle w:val="BodyText"/>
        <w:spacing w:line="240" w:lineRule="auto" w:before="41"/>
        <w:ind w:left="575" w:right="0"/>
        <w:jc w:val="left"/>
      </w:pPr>
      <w:r>
        <w:rPr/>
        <w:t>□ 适用 √</w:t>
      </w:r>
      <w:r>
        <w:rPr>
          <w:spacing w:val="3"/>
        </w:rPr>
        <w:t> </w:t>
      </w:r>
      <w:r>
        <w:rPr/>
        <w:t>不适用</w:t>
      </w:r>
    </w:p>
    <w:p>
      <w:pPr>
        <w:spacing w:line="240" w:lineRule="auto" w:before="9"/>
        <w:rPr>
          <w:rFonts w:ascii="宋体" w:hAnsi="宋体" w:cs="宋体" w:eastAsia="宋体" w:hint="default"/>
          <w:sz w:val="26"/>
          <w:szCs w:val="26"/>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405" w:lineRule="auto"/>
        <w:ind w:left="575" w:right="0"/>
        <w:jc w:val="left"/>
      </w:pPr>
      <w:r>
        <w:rPr>
          <w:spacing w:val="-1"/>
        </w:rPr>
        <w:t>本期计提坏账准备金额1,089,815.32元；本期收回或转回坏账准备金额0.00元。</w:t>
      </w:r>
      <w:r>
        <w:rPr>
          <w:spacing w:val="-63"/>
        </w:rPr>
        <w:t> </w:t>
      </w:r>
      <w:r>
        <w:rPr>
          <w:spacing w:val="-63"/>
        </w:rPr>
      </w:r>
      <w:r>
        <w:rPr/>
        <w:t>其中本期坏账准备转回或收回金额重要的：</w:t>
      </w:r>
    </w:p>
    <w:p>
      <w:pPr>
        <w:spacing w:before="37"/>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8"/>
        <w:gridCol w:w="3202"/>
        <w:gridCol w:w="3168"/>
      </w:tblGrid>
      <w:tr>
        <w:trPr>
          <w:trHeight w:val="398"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7"/>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57" w:right="0"/>
              <w:jc w:val="left"/>
              <w:rPr>
                <w:rFonts w:ascii="宋体" w:hAnsi="宋体" w:cs="宋体" w:eastAsia="宋体" w:hint="default"/>
                <w:sz w:val="18"/>
                <w:szCs w:val="18"/>
              </w:rPr>
            </w:pPr>
            <w:r>
              <w:rPr>
                <w:rFonts w:ascii="宋体" w:hAnsi="宋体" w:cs="宋体" w:eastAsia="宋体" w:hint="default"/>
                <w:spacing w:val="-3"/>
                <w:sz w:val="18"/>
                <w:szCs w:val="18"/>
              </w:rPr>
              <w:t>转回或收回金额</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8" w:space="0" w:color="D2D2D2"/>
              <w:bottom w:val="single" w:sz="4" w:space="0" w:color="000000"/>
              <w:right w:val="single" w:sz="10" w:space="0" w:color="D2D2D2"/>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z w:val="18"/>
              </w:rPr>
              <w:t>0.00</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1"/>
        <w:gridCol w:w="4786"/>
      </w:tblGrid>
      <w:tr>
        <w:trPr>
          <w:trHeight w:val="394"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8" w:hRule="exact"/>
        </w:trPr>
        <w:tc>
          <w:tcPr>
            <w:tcW w:w="4781" w:type="dxa"/>
            <w:tcBorders>
              <w:top w:val="single" w:sz="6" w:space="0" w:color="000000"/>
              <w:left w:val="single" w:sz="4" w:space="0" w:color="000000"/>
              <w:bottom w:val="single" w:sz="4" w:space="0" w:color="000000"/>
              <w:right w:val="single" w:sz="4" w:space="0" w:color="000000"/>
            </w:tcBorders>
          </w:tcPr>
          <w:p>
            <w:pPr/>
          </w:p>
        </w:tc>
        <w:tc>
          <w:tcPr>
            <w:tcW w:w="478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0.00</w:t>
            </w:r>
          </w:p>
        </w:tc>
      </w:tr>
    </w:tbl>
    <w:p>
      <w:pPr>
        <w:spacing w:before="53"/>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582"/>
        <w:gridCol w:w="1594"/>
        <w:gridCol w:w="1594"/>
        <w:gridCol w:w="1594"/>
        <w:gridCol w:w="1608"/>
        <w:gridCol w:w="1572"/>
      </w:tblGrid>
      <w:tr>
        <w:trPr>
          <w:trHeight w:val="157" w:hRule="exact"/>
        </w:trPr>
        <w:tc>
          <w:tcPr>
            <w:tcW w:w="15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508" w:right="58" w:hanging="452"/>
              <w:jc w:val="left"/>
              <w:rPr>
                <w:rFonts w:ascii="宋体" w:hAnsi="宋体" w:cs="宋体" w:eastAsia="宋体" w:hint="default"/>
                <w:sz w:val="18"/>
                <w:szCs w:val="18"/>
              </w:rPr>
            </w:pPr>
            <w:r>
              <w:rPr>
                <w:rFonts w:ascii="宋体" w:hAnsi="宋体" w:cs="宋体" w:eastAsia="宋体" w:hint="default"/>
                <w:spacing w:val="-2"/>
                <w:sz w:val="18"/>
                <w:szCs w:val="18"/>
              </w:rPr>
              <w:t>款项是否由关联交</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易产生</w:t>
            </w:r>
          </w:p>
        </w:tc>
      </w:tr>
      <w:tr>
        <w:trPr>
          <w:trHeight w:val="394" w:hRule="exact"/>
        </w:trPr>
        <w:tc>
          <w:tcPr>
            <w:tcW w:w="15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41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pacing w:val="-3"/>
                <w:sz w:val="18"/>
                <w:szCs w:val="18"/>
              </w:rPr>
              <w:t>其他应收款性质</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42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6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right="7"/>
              <w:jc w:val="center"/>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572" w:type="dxa"/>
            <w:vMerge/>
            <w:tcBorders>
              <w:left w:val="single" w:sz="4" w:space="0" w:color="000000"/>
              <w:right w:val="single" w:sz="4" w:space="0" w:color="000000"/>
            </w:tcBorders>
            <w:shd w:val="clear" w:color="auto" w:fill="D2D2D2"/>
          </w:tcPr>
          <w:p>
            <w:pPr/>
          </w:p>
        </w:tc>
      </w:tr>
      <w:tr>
        <w:trPr>
          <w:trHeight w:val="158" w:hRule="exact"/>
        </w:trPr>
        <w:tc>
          <w:tcPr>
            <w:tcW w:w="15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72"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3"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8" w:space="0" w:color="D2D2D2"/>
              <w:bottom w:val="single" w:sz="4" w:space="0" w:color="000000"/>
              <w:right w:val="single" w:sz="10" w:space="0" w:color="D2D2D2"/>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3" w:right="0"/>
              <w:jc w:val="center"/>
              <w:rPr>
                <w:rFonts w:ascii="Times New Roman" w:hAnsi="Times New Roman" w:cs="Times New Roman" w:eastAsia="Times New Roman" w:hint="default"/>
                <w:sz w:val="18"/>
                <w:szCs w:val="18"/>
              </w:rPr>
            </w:pPr>
            <w:r>
              <w:rPr>
                <w:rFonts w:ascii="Times New Roman"/>
                <w:sz w:val="18"/>
              </w:rPr>
              <w:t>--</w:t>
            </w:r>
          </w:p>
        </w:tc>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9"/>
              <w:jc w:val="center"/>
              <w:rPr>
                <w:rFonts w:ascii="Times New Roman" w:hAnsi="Times New Roman" w:cs="Times New Roman" w:eastAsia="Times New Roman" w:hint="default"/>
                <w:sz w:val="18"/>
                <w:szCs w:val="18"/>
              </w:rPr>
            </w:pPr>
            <w:r>
              <w:rPr>
                <w:rFonts w:ascii="Times New Roman"/>
                <w:sz w:val="18"/>
              </w:rPr>
              <w:t>--</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4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4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按款项性质的组合</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876,792.26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5,045,385.64</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按款项账龄的组合</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5,005,425.19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2,864,871.62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5,882,217.45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7,910,257.26</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4"/>
        <w:gridCol w:w="1594"/>
        <w:gridCol w:w="1598"/>
        <w:gridCol w:w="1594"/>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1" w:right="70"/>
              <w:jc w:val="left"/>
              <w:rPr>
                <w:rFonts w:ascii="宋体" w:hAnsi="宋体" w:cs="宋体" w:eastAsia="宋体" w:hint="default"/>
                <w:sz w:val="18"/>
                <w:szCs w:val="18"/>
              </w:rPr>
            </w:pPr>
            <w:r>
              <w:rPr>
                <w:rFonts w:ascii="宋体" w:hAnsi="宋体" w:cs="宋体" w:eastAsia="宋体" w:hint="default"/>
                <w:spacing w:val="-2"/>
                <w:sz w:val="18"/>
                <w:szCs w:val="18"/>
              </w:rPr>
              <w:t>占其他应收款期末</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余额合计数的比例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0"/>
              <w:jc w:val="right"/>
              <w:rPr>
                <w:rFonts w:ascii="宋体" w:hAnsi="宋体" w:cs="宋体" w:eastAsia="宋体" w:hint="default"/>
                <w:sz w:val="18"/>
                <w:szCs w:val="18"/>
              </w:rPr>
            </w:pPr>
            <w:r>
              <w:rPr>
                <w:rFonts w:ascii="宋体" w:hAnsi="宋体" w:cs="宋体" w:eastAsia="宋体" w:hint="default"/>
                <w:spacing w:val="-2"/>
                <w:sz w:val="18"/>
                <w:szCs w:val="18"/>
              </w:rPr>
              <w:t>坏账准备期末余额</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河口区供电公司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往来单位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1,475,365.87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25.08%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73,768.29</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13"/>
              <w:jc w:val="left"/>
              <w:rPr>
                <w:rFonts w:ascii="宋体" w:hAnsi="宋体" w:cs="宋体" w:eastAsia="宋体" w:hint="default"/>
                <w:sz w:val="18"/>
                <w:szCs w:val="18"/>
              </w:rPr>
            </w:pPr>
            <w:r>
              <w:rPr>
                <w:rFonts w:ascii="宋体" w:hAnsi="宋体" w:cs="宋体" w:eastAsia="宋体" w:hint="default"/>
                <w:spacing w:val="-2"/>
                <w:sz w:val="18"/>
                <w:szCs w:val="18"/>
              </w:rPr>
              <w:t>山东经济开发区管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理委员会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往来单位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850,850.00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42,542.50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3"/>
              <w:jc w:val="left"/>
              <w:rPr>
                <w:rFonts w:ascii="宋体" w:hAnsi="宋体" w:cs="宋体" w:eastAsia="宋体" w:hint="default"/>
                <w:sz w:val="18"/>
                <w:szCs w:val="18"/>
              </w:rPr>
            </w:pPr>
            <w:r>
              <w:rPr>
                <w:rFonts w:ascii="宋体" w:hAnsi="宋体" w:cs="宋体" w:eastAsia="宋体" w:hint="default"/>
                <w:spacing w:val="-2"/>
                <w:sz w:val="18"/>
                <w:szCs w:val="18"/>
              </w:rPr>
              <w:t>河口区住房和城乡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建设局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往来单位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390,355.00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19,517.75</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3"/>
              <w:jc w:val="left"/>
              <w:rPr>
                <w:rFonts w:ascii="宋体" w:hAnsi="宋体" w:cs="宋体" w:eastAsia="宋体" w:hint="default"/>
                <w:sz w:val="18"/>
                <w:szCs w:val="18"/>
              </w:rPr>
            </w:pPr>
            <w:r>
              <w:rPr>
                <w:rFonts w:ascii="宋体" w:hAnsi="宋体" w:cs="宋体" w:eastAsia="宋体" w:hint="default"/>
                <w:spacing w:val="-2"/>
                <w:sz w:val="18"/>
                <w:szCs w:val="18"/>
              </w:rPr>
              <w:t>桐乡市人民法院立</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案庭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往来单位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250,611.50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12,530.58</w:t>
            </w:r>
          </w:p>
        </w:tc>
      </w:tr>
      <w:tr>
        <w:trPr>
          <w:trHeight w:val="71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3"/>
              <w:jc w:val="left"/>
              <w:rPr>
                <w:rFonts w:ascii="宋体" w:hAnsi="宋体" w:cs="宋体" w:eastAsia="宋体" w:hint="default"/>
                <w:sz w:val="18"/>
                <w:szCs w:val="18"/>
              </w:rPr>
            </w:pPr>
            <w:r>
              <w:rPr>
                <w:rFonts w:ascii="宋体" w:hAnsi="宋体" w:cs="宋体" w:eastAsia="宋体" w:hint="default"/>
                <w:spacing w:val="-2"/>
                <w:sz w:val="18"/>
                <w:szCs w:val="18"/>
              </w:rPr>
              <w:t>蓬莱市渤海管道燃</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气有限公司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往来单位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241,868.73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3"/>
                <w:sz w:val="18"/>
              </w:rPr>
              <w:t>4.11%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12,093.44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3,209,051.10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54.55%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160,452.56</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8"/>
        <w:gridCol w:w="1915"/>
        <w:gridCol w:w="1915"/>
        <w:gridCol w:w="1925"/>
        <w:gridCol w:w="1894"/>
      </w:tblGrid>
      <w:tr>
        <w:trPr>
          <w:trHeight w:val="159" w:hRule="exact"/>
        </w:trPr>
        <w:tc>
          <w:tcPr>
            <w:tcW w:w="18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8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667" w:right="38" w:hanging="629"/>
              <w:jc w:val="left"/>
              <w:rPr>
                <w:rFonts w:ascii="宋体" w:hAnsi="宋体" w:cs="宋体" w:eastAsia="宋体" w:hint="default"/>
                <w:sz w:val="18"/>
                <w:szCs w:val="18"/>
              </w:rPr>
            </w:pPr>
            <w:r>
              <w:rPr>
                <w:rFonts w:ascii="宋体" w:hAnsi="宋体" w:cs="宋体" w:eastAsia="宋体" w:hint="default"/>
                <w:spacing w:val="-2"/>
                <w:sz w:val="18"/>
                <w:szCs w:val="18"/>
              </w:rPr>
              <w:t>预计收取的时间、金额</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及依据</w:t>
            </w:r>
          </w:p>
        </w:tc>
      </w:tr>
      <w:tr>
        <w:trPr>
          <w:trHeight w:val="388" w:hRule="exact"/>
        </w:trPr>
        <w:tc>
          <w:tcPr>
            <w:tcW w:w="18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5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期末账龄</w:t>
            </w:r>
          </w:p>
        </w:tc>
        <w:tc>
          <w:tcPr>
            <w:tcW w:w="1894" w:type="dxa"/>
            <w:vMerge/>
            <w:tcBorders>
              <w:left w:val="single" w:sz="4" w:space="0" w:color="000000"/>
              <w:right w:val="single" w:sz="4" w:space="0" w:color="000000"/>
            </w:tcBorders>
            <w:shd w:val="clear" w:color="auto" w:fill="D2D2D2"/>
          </w:tcPr>
          <w:p>
            <w:pPr/>
          </w:p>
        </w:tc>
      </w:tr>
      <w:tr>
        <w:trPr>
          <w:trHeight w:val="163" w:hRule="exact"/>
        </w:trPr>
        <w:tc>
          <w:tcPr>
            <w:tcW w:w="18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z w:val="18"/>
              </w:rPr>
              <w:t>0.00</w:t>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9"/>
              <w:jc w:val="center"/>
              <w:rPr>
                <w:rFonts w:ascii="Times New Roman" w:hAnsi="Times New Roman" w:cs="Times New Roman" w:eastAsia="Times New Roman" w:hint="default"/>
                <w:sz w:val="18"/>
                <w:szCs w:val="18"/>
              </w:rPr>
            </w:pPr>
            <w:r>
              <w:rPr>
                <w:rFonts w:ascii="Times New Roman"/>
                <w:sz w:val="18"/>
              </w:rPr>
              <w:t>--</w:t>
            </w: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58"/>
        <w:gridCol w:w="1378"/>
        <w:gridCol w:w="1368"/>
        <w:gridCol w:w="1368"/>
        <w:gridCol w:w="1363"/>
        <w:gridCol w:w="1368"/>
        <w:gridCol w:w="1368"/>
      </w:tblGrid>
      <w:tr>
        <w:trPr>
          <w:trHeight w:val="197" w:hRule="exact"/>
        </w:trPr>
        <w:tc>
          <w:tcPr>
            <w:tcW w:w="135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2" w:hRule="exact"/>
        </w:trPr>
        <w:tc>
          <w:tcPr>
            <w:tcW w:w="13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4" w:type="dxa"/>
            <w:gridSpan w:val="3"/>
            <w:vMerge/>
            <w:tcBorders>
              <w:left w:val="single" w:sz="4" w:space="0" w:color="000000"/>
              <w:bottom w:val="single" w:sz="4" w:space="0" w:color="000000"/>
              <w:right w:val="single" w:sz="4" w:space="0" w:color="000000"/>
            </w:tcBorders>
            <w:shd w:val="clear" w:color="auto" w:fill="D2D2D2"/>
          </w:tcPr>
          <w:p>
            <w:pPr/>
          </w:p>
        </w:tc>
        <w:tc>
          <w:tcPr>
            <w:tcW w:w="4099" w:type="dxa"/>
            <w:gridSpan w:val="3"/>
            <w:vMerge/>
            <w:tcBorders>
              <w:left w:val="single" w:sz="4" w:space="0" w:color="000000"/>
              <w:bottom w:val="single" w:sz="4" w:space="0" w:color="000000"/>
              <w:right w:val="single" w:sz="4" w:space="0" w:color="000000"/>
            </w:tcBorders>
            <w:shd w:val="clear" w:color="auto" w:fill="D2D2D2"/>
          </w:tcPr>
          <w:p>
            <w:pPr/>
          </w:p>
        </w:tc>
      </w:tr>
      <w:tr>
        <w:trPr>
          <w:trHeight w:val="192" w:hRule="exact"/>
        </w:trPr>
        <w:tc>
          <w:tcPr>
            <w:tcW w:w="1358" w:type="dxa"/>
            <w:vMerge/>
            <w:tcBorders>
              <w:left w:val="single" w:sz="4" w:space="0" w:color="000000"/>
              <w:bottom w:val="nil" w:sz="6" w:space="0" w:color="auto"/>
              <w:right w:val="single" w:sz="4" w:space="0" w:color="000000"/>
            </w:tcBorders>
            <w:shd w:val="clear" w:color="auto" w:fill="D2D2D2"/>
          </w:tcPr>
          <w:p>
            <w:pPr/>
          </w:p>
        </w:tc>
        <w:tc>
          <w:tcPr>
            <w:tcW w:w="13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12" w:hRule="exact"/>
        </w:trPr>
        <w:tc>
          <w:tcPr>
            <w:tcW w:w="13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3"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57,628,156.49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57,628,156.49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37,812,374.25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37,812,374.25</w:t>
            </w: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18,338,229.56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18,338,229.56</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9,912,743.61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9,912,743.61</w:t>
            </w: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115,670,052.92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1,555,527.74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114,114,525.18</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105,031,910.16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489,087.02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104,542,823.14</w:t>
            </w:r>
          </w:p>
        </w:tc>
      </w:tr>
      <w:tr>
        <w:trPr>
          <w:trHeight w:val="398"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1,279,810.41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1,279,810.41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1,609,067.40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1,609,067.40</w:t>
            </w: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2,858,620.69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2,858,620.69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2,294,215.00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2,294,215.00</w:t>
            </w: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195,774,870.07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1,555,527.74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194,219,342.33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156,660,310.42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489,087.02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156,171,223.40</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6"/>
        <w:gridCol w:w="1368"/>
        <w:gridCol w:w="1368"/>
        <w:gridCol w:w="1368"/>
        <w:gridCol w:w="1363"/>
        <w:gridCol w:w="1368"/>
        <w:gridCol w:w="1368"/>
      </w:tblGrid>
      <w:tr>
        <w:trPr>
          <w:trHeight w:val="197"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2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15"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6" w:type="dxa"/>
            <w:gridSpan w:val="2"/>
            <w:vMerge/>
            <w:tcBorders>
              <w:left w:val="single" w:sz="4" w:space="0" w:color="000000"/>
              <w:bottom w:val="single" w:sz="4" w:space="0" w:color="000000"/>
              <w:right w:val="single" w:sz="4" w:space="0" w:color="000000"/>
            </w:tcBorders>
            <w:shd w:val="clear" w:color="auto" w:fill="D2D2D2"/>
          </w:tcPr>
          <w:p>
            <w:pPr/>
          </w:p>
        </w:tc>
        <w:tc>
          <w:tcPr>
            <w:tcW w:w="2731"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其他</w:t>
            </w:r>
          </w:p>
        </w:tc>
        <w:tc>
          <w:tcPr>
            <w:tcW w:w="13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20"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217"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3"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489,087.02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2,614,231.96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1,547,791.24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1,555,527.74</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489,087.02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2,614,231.96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1,547,791.24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1,555,527.74</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8</w:t>
      </w:r>
      <w:r>
        <w:rPr/>
        <w:t>、固定资产</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10"/>
        <w:gridCol w:w="1205"/>
        <w:gridCol w:w="1200"/>
        <w:gridCol w:w="1195"/>
        <w:gridCol w:w="1195"/>
        <w:gridCol w:w="1286"/>
        <w:gridCol w:w="1363"/>
      </w:tblGrid>
      <w:tr>
        <w:trPr>
          <w:trHeight w:val="403" w:hRule="exact"/>
        </w:trPr>
        <w:tc>
          <w:tcPr>
            <w:tcW w:w="2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2"/>
                <w:sz w:val="18"/>
                <w:szCs w:val="18"/>
              </w:rPr>
              <w:t>房屋及建筑物</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其他</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20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148,049,239.87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123,900,447.45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5,852,407.58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13,173,491.17</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290,975,586.07</w:t>
            </w:r>
          </w:p>
        </w:tc>
      </w:tr>
      <w:tr>
        <w:trPr>
          <w:trHeight w:val="398" w:hRule="exact"/>
        </w:trPr>
        <w:tc>
          <w:tcPr>
            <w:tcW w:w="2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20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12,472,452.18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13,927,627.27</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5,402,425.96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1,867,708.22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33,670,213.63</w:t>
            </w:r>
          </w:p>
        </w:tc>
      </w:tr>
      <w:tr>
        <w:trPr>
          <w:trHeight w:val="403" w:hRule="exact"/>
        </w:trPr>
        <w:tc>
          <w:tcPr>
            <w:tcW w:w="2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0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408,258.64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1,070,834.59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2,421,315.40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820,397.94</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15,122,614.41</w:t>
            </w:r>
          </w:p>
        </w:tc>
      </w:tr>
      <w:tr>
        <w:trPr>
          <w:trHeight w:val="403" w:hRule="exact"/>
        </w:trPr>
        <w:tc>
          <w:tcPr>
            <w:tcW w:w="2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）在建工程转入</w:t>
            </w:r>
          </w:p>
        </w:tc>
        <w:tc>
          <w:tcPr>
            <w:tcW w:w="120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12,064,193.54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12,856,792.68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2,981,110.56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1,047,310.28</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28,949,407.06</w:t>
            </w:r>
          </w:p>
        </w:tc>
      </w:tr>
      <w:tr>
        <w:trPr>
          <w:trHeight w:val="403" w:hRule="exact"/>
        </w:trPr>
        <w:tc>
          <w:tcPr>
            <w:tcW w:w="2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20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158,294.40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5,488,866.62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699,813.11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44,794.35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6,391,768.48</w:t>
            </w:r>
          </w:p>
        </w:tc>
      </w:tr>
      <w:tr>
        <w:trPr>
          <w:trHeight w:val="398" w:hRule="exact"/>
        </w:trPr>
        <w:tc>
          <w:tcPr>
            <w:tcW w:w="2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158,294.40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5,488,866.62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699,813.11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44,794.35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6,391,768.48</w:t>
            </w:r>
          </w:p>
        </w:tc>
      </w:tr>
      <w:tr>
        <w:trPr>
          <w:trHeight w:val="403" w:hRule="exact"/>
        </w:trPr>
        <w:tc>
          <w:tcPr>
            <w:tcW w:w="2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20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160,363,397.65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132,339,208.10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10,555,020.43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14,996,405.04</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318,254,031.22</w:t>
            </w:r>
          </w:p>
        </w:tc>
      </w:tr>
      <w:tr>
        <w:trPr>
          <w:trHeight w:val="403" w:hRule="exact"/>
        </w:trPr>
        <w:tc>
          <w:tcPr>
            <w:tcW w:w="2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20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28,405,670.46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35,739,362.05</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3,872,996.33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7,792,317.71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75,810,346.55</w:t>
            </w:r>
          </w:p>
        </w:tc>
      </w:tr>
      <w:tr>
        <w:trPr>
          <w:trHeight w:val="403" w:hRule="exact"/>
        </w:trPr>
        <w:tc>
          <w:tcPr>
            <w:tcW w:w="2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20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7,435,854.93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11,969,485.42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1,169,074.27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1,795,989.79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22,370,404.41</w:t>
            </w:r>
          </w:p>
        </w:tc>
      </w:tr>
      <w:tr>
        <w:trPr>
          <w:trHeight w:val="398" w:hRule="exact"/>
        </w:trPr>
        <w:tc>
          <w:tcPr>
            <w:tcW w:w="2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0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7,435,854.93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11,969,485.42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1,169,074.27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1,795,989.79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22,370,404.41</w:t>
            </w:r>
          </w:p>
        </w:tc>
      </w:tr>
      <w:tr>
        <w:trPr>
          <w:trHeight w:val="403" w:hRule="exact"/>
        </w:trPr>
        <w:tc>
          <w:tcPr>
            <w:tcW w:w="2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20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86,002.84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2,344,717.96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527,872.60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25,834.43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2,984,427.82</w:t>
            </w:r>
          </w:p>
        </w:tc>
      </w:tr>
      <w:tr>
        <w:trPr>
          <w:trHeight w:val="403" w:hRule="exact"/>
        </w:trPr>
        <w:tc>
          <w:tcPr>
            <w:tcW w:w="2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20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86,002.84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2,344,717.96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527,872.60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25,834.43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2,984,427.82</w:t>
            </w:r>
          </w:p>
        </w:tc>
      </w:tr>
      <w:tr>
        <w:trPr>
          <w:trHeight w:val="403" w:hRule="exact"/>
        </w:trPr>
        <w:tc>
          <w:tcPr>
            <w:tcW w:w="2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205"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35,755,522.55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45,364,129.52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4,514,198.00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9,562,473.07</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95,196,323.14</w:t>
            </w:r>
          </w:p>
        </w:tc>
      </w:tr>
    </w:tbl>
    <w:p>
      <w:pPr>
        <w:spacing w:after="0" w:line="240" w:lineRule="auto"/>
        <w:jc w:val="right"/>
        <w:rPr>
          <w:rFonts w:ascii="Times New Roman" w:hAnsi="Times New Roman" w:cs="Times New Roman" w:eastAsia="Times New Roman" w:hint="default"/>
          <w:sz w:val="18"/>
          <w:szCs w:val="18"/>
        </w:rPr>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31"/>
        <w:gridCol w:w="1195"/>
        <w:gridCol w:w="1200"/>
        <w:gridCol w:w="1195"/>
        <w:gridCol w:w="1195"/>
        <w:gridCol w:w="1286"/>
        <w:gridCol w:w="1363"/>
      </w:tblGrid>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期末账面价值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124,607,875.10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center"/>
              <w:rPr>
                <w:rFonts w:ascii="Times New Roman" w:hAnsi="Times New Roman" w:cs="Times New Roman" w:eastAsia="Times New Roman" w:hint="default"/>
                <w:sz w:val="18"/>
                <w:szCs w:val="18"/>
              </w:rPr>
            </w:pPr>
            <w:r>
              <w:rPr>
                <w:rFonts w:ascii="Times New Roman"/>
                <w:sz w:val="18"/>
              </w:rPr>
              <w:t>86,975,078.58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6,040,822.43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5,433,931.97</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223,057,708.08</w:t>
            </w:r>
          </w:p>
        </w:tc>
      </w:tr>
      <w:tr>
        <w:trPr>
          <w:trHeight w:val="403" w:hRule="exact"/>
        </w:trPr>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期初账面价值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119,643,569.41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center"/>
              <w:rPr>
                <w:rFonts w:ascii="Times New Roman" w:hAnsi="Times New Roman" w:cs="Times New Roman" w:eastAsia="Times New Roman" w:hint="default"/>
                <w:sz w:val="18"/>
                <w:szCs w:val="18"/>
              </w:rPr>
            </w:pPr>
            <w:r>
              <w:rPr>
                <w:rFonts w:ascii="Times New Roman"/>
                <w:sz w:val="18"/>
              </w:rPr>
              <w:t>88,161,085.40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1,979,411.25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5,381,173.46</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215,165,239.52</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86"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东营安诺其厂房</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19,201,254.21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房屋产证尚在办理中</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江苏安诺其厂房</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7,092,641.74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房屋产证尚在办理中</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26,293,895.95</w:t>
            </w:r>
          </w:p>
        </w:tc>
        <w:tc>
          <w:tcPr>
            <w:tcW w:w="31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9</w:t>
      </w:r>
      <w:r>
        <w:rPr/>
        <w:t>、在建工程</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8"/>
        <w:gridCol w:w="1363"/>
        <w:gridCol w:w="1368"/>
        <w:gridCol w:w="1368"/>
      </w:tblGrid>
      <w:tr>
        <w:trPr>
          <w:trHeight w:val="398"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410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烟台年产</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3,000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吨分散染料项目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5,116,022.20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5,116,022.20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东营年产</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5,500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3"/>
                <w:sz w:val="18"/>
                <w:szCs w:val="18"/>
              </w:rPr>
              <w:t>吨染料滤饼项目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268,010.21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268,010.21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2,156,649.88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2,156,649.88</w:t>
            </w:r>
          </w:p>
        </w:tc>
      </w:tr>
      <w:tr>
        <w:trPr>
          <w:trHeight w:val="357" w:hRule="exact"/>
        </w:trPr>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东营年产染料滤</w:t>
            </w: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3" w:type="dxa"/>
            <w:tcBorders>
              <w:top w:val="single" w:sz="4" w:space="0" w:color="000000"/>
              <w:left w:val="single" w:sz="4" w:space="0" w:color="000000"/>
              <w:bottom w:val="nil" w:sz="6" w:space="0" w:color="auto"/>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饼</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吨及分</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散染料</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48,929.25</w:t>
            </w:r>
          </w:p>
        </w:tc>
        <w:tc>
          <w:tcPr>
            <w:tcW w:w="1368"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48,929.25</w:t>
            </w:r>
          </w:p>
        </w:tc>
        <w:tc>
          <w:tcPr>
            <w:tcW w:w="13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189,613.01</w:t>
            </w:r>
          </w:p>
        </w:tc>
        <w:tc>
          <w:tcPr>
            <w:tcW w:w="1368"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189,613.01</w:t>
            </w:r>
          </w:p>
        </w:tc>
      </w:tr>
      <w:tr>
        <w:trPr>
          <w:trHeight w:val="349" w:hRule="exact"/>
        </w:trPr>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3" w:type="dxa"/>
            <w:tcBorders>
              <w:top w:val="nil" w:sz="6" w:space="0" w:color="auto"/>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4" w:right="7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吨分</w:t>
            </w:r>
            <w:r>
              <w:rPr>
                <w:rFonts w:ascii="宋体" w:hAnsi="宋体" w:cs="宋体" w:eastAsia="宋体" w:hint="default"/>
                <w:w w:val="101"/>
                <w:sz w:val="18"/>
                <w:szCs w:val="18"/>
              </w:rPr>
              <w:t> </w:t>
            </w:r>
            <w:r>
              <w:rPr>
                <w:rFonts w:ascii="宋体" w:hAnsi="宋体" w:cs="宋体" w:eastAsia="宋体" w:hint="default"/>
                <w:sz w:val="18"/>
                <w:szCs w:val="18"/>
              </w:rPr>
              <w:t>散染料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37,225,469.23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37,225,469.23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6,191,706.45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6,191,706.45</w:t>
            </w:r>
          </w:p>
        </w:tc>
      </w:tr>
      <w:tr>
        <w:trPr>
          <w:trHeight w:val="362" w:hRule="exact"/>
        </w:trPr>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30000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吨精</w:t>
            </w: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3"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r>
      <w:tr>
        <w:trPr>
          <w:trHeight w:val="314"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pacing w:val="-3"/>
                <w:sz w:val="18"/>
                <w:szCs w:val="18"/>
              </w:rPr>
              <w:t>细化工中间体项</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60,685,454.13</w:t>
            </w:r>
          </w:p>
        </w:tc>
        <w:tc>
          <w:tcPr>
            <w:tcW w:w="1368"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60,685,454.13</w:t>
            </w:r>
          </w:p>
        </w:tc>
        <w:tc>
          <w:tcPr>
            <w:tcW w:w="1363"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r>
      <w:tr>
        <w:trPr>
          <w:trHeight w:val="351" w:hRule="exact"/>
        </w:trPr>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w w:val="101"/>
                <w:sz w:val="18"/>
                <w:szCs w:val="18"/>
              </w:rPr>
              <w:t>目</w:t>
            </w:r>
            <w:r>
              <w:rPr>
                <w:rFonts w:ascii="宋体" w:hAnsi="宋体" w:cs="宋体" w:eastAsia="宋体" w:hint="default"/>
                <w:sz w:val="18"/>
                <w:szCs w:val="18"/>
              </w:rPr>
            </w: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3"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厂房工程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2,789,695.52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2,789,695.52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1,567,259.19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1,567,259.19</w:t>
            </w:r>
          </w:p>
        </w:tc>
      </w:tr>
      <w:tr>
        <w:trPr>
          <w:trHeight w:val="39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设备工程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12,603,316.27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12,603,316.27</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10,592,867.39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10,592,867.39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113,620,874.61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113,620,874.61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25,814,118.12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25,814,118.12</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7"/>
        <w:gridCol w:w="734"/>
        <w:gridCol w:w="737"/>
        <w:gridCol w:w="737"/>
        <w:gridCol w:w="734"/>
        <w:gridCol w:w="737"/>
        <w:gridCol w:w="737"/>
        <w:gridCol w:w="734"/>
        <w:gridCol w:w="737"/>
        <w:gridCol w:w="737"/>
        <w:gridCol w:w="725"/>
      </w:tblGrid>
      <w:tr>
        <w:trPr>
          <w:trHeight w:val="381"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91" w:right="0"/>
              <w:jc w:val="left"/>
              <w:rPr>
                <w:rFonts w:ascii="宋体" w:hAnsi="宋体" w:cs="宋体" w:eastAsia="宋体" w:hint="default"/>
                <w:sz w:val="18"/>
                <w:szCs w:val="18"/>
              </w:rPr>
            </w:pPr>
            <w:r>
              <w:rPr>
                <w:rFonts w:ascii="宋体" w:hAnsi="宋体" w:cs="宋体" w:eastAsia="宋体" w:hint="default"/>
                <w:sz w:val="18"/>
                <w:szCs w:val="18"/>
              </w:rPr>
              <w:t>项目名</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88"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96" w:right="0"/>
              <w:jc w:val="left"/>
              <w:rPr>
                <w:rFonts w:ascii="宋体" w:hAnsi="宋体" w:cs="宋体" w:eastAsia="宋体" w:hint="default"/>
                <w:sz w:val="18"/>
                <w:szCs w:val="18"/>
              </w:rPr>
            </w:pPr>
            <w:r>
              <w:rPr>
                <w:rFonts w:ascii="宋体" w:hAnsi="宋体" w:cs="宋体" w:eastAsia="宋体" w:hint="default"/>
                <w:sz w:val="18"/>
                <w:szCs w:val="18"/>
              </w:rPr>
              <w:t>期初余</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93" w:right="0"/>
              <w:jc w:val="left"/>
              <w:rPr>
                <w:rFonts w:ascii="宋体" w:hAnsi="宋体" w:cs="宋体" w:eastAsia="宋体" w:hint="default"/>
                <w:sz w:val="18"/>
                <w:szCs w:val="18"/>
              </w:rPr>
            </w:pPr>
            <w:r>
              <w:rPr>
                <w:rFonts w:ascii="宋体" w:hAnsi="宋体" w:cs="宋体" w:eastAsia="宋体" w:hint="default"/>
                <w:sz w:val="18"/>
                <w:szCs w:val="18"/>
              </w:rPr>
              <w:t>本期增</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93" w:right="0"/>
              <w:jc w:val="left"/>
              <w:rPr>
                <w:rFonts w:ascii="宋体" w:hAnsi="宋体" w:cs="宋体" w:eastAsia="宋体" w:hint="default"/>
                <w:sz w:val="18"/>
                <w:szCs w:val="18"/>
              </w:rPr>
            </w:pPr>
            <w:r>
              <w:rPr>
                <w:rFonts w:ascii="宋体" w:hAnsi="宋体" w:cs="宋体" w:eastAsia="宋体" w:hint="default"/>
                <w:sz w:val="18"/>
                <w:szCs w:val="18"/>
              </w:rPr>
              <w:t>本期转</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96" w:right="0"/>
              <w:jc w:val="left"/>
              <w:rPr>
                <w:rFonts w:ascii="宋体" w:hAnsi="宋体" w:cs="宋体" w:eastAsia="宋体" w:hint="default"/>
                <w:sz w:val="18"/>
                <w:szCs w:val="18"/>
              </w:rPr>
            </w:pPr>
            <w:r>
              <w:rPr>
                <w:rFonts w:ascii="宋体" w:hAnsi="宋体" w:cs="宋体" w:eastAsia="宋体" w:hint="default"/>
                <w:sz w:val="18"/>
                <w:szCs w:val="18"/>
              </w:rPr>
              <w:t>本期其</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93" w:right="0"/>
              <w:jc w:val="left"/>
              <w:rPr>
                <w:rFonts w:ascii="宋体" w:hAnsi="宋体" w:cs="宋体" w:eastAsia="宋体" w:hint="default"/>
                <w:sz w:val="18"/>
                <w:szCs w:val="18"/>
              </w:rPr>
            </w:pPr>
            <w:r>
              <w:rPr>
                <w:rFonts w:ascii="宋体" w:hAnsi="宋体" w:cs="宋体" w:eastAsia="宋体" w:hint="default"/>
                <w:sz w:val="18"/>
                <w:szCs w:val="18"/>
              </w:rPr>
              <w:t>期末余</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93" w:right="0"/>
              <w:jc w:val="left"/>
              <w:rPr>
                <w:rFonts w:ascii="宋体" w:hAnsi="宋体" w:cs="宋体" w:eastAsia="宋体" w:hint="default"/>
                <w:sz w:val="18"/>
                <w:szCs w:val="18"/>
              </w:rPr>
            </w:pPr>
            <w:r>
              <w:rPr>
                <w:rFonts w:ascii="宋体" w:hAnsi="宋体" w:cs="宋体" w:eastAsia="宋体" w:hint="default"/>
                <w:sz w:val="18"/>
                <w:szCs w:val="18"/>
              </w:rPr>
              <w:t>工程累</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96" w:right="0"/>
              <w:jc w:val="left"/>
              <w:rPr>
                <w:rFonts w:ascii="宋体" w:hAnsi="宋体" w:cs="宋体" w:eastAsia="宋体" w:hint="default"/>
                <w:sz w:val="18"/>
                <w:szCs w:val="18"/>
              </w:rPr>
            </w:pPr>
            <w:r>
              <w:rPr>
                <w:rFonts w:ascii="宋体" w:hAnsi="宋体" w:cs="宋体" w:eastAsia="宋体" w:hint="default"/>
                <w:sz w:val="18"/>
                <w:szCs w:val="18"/>
              </w:rPr>
              <w:t>工程进</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93" w:right="0"/>
              <w:jc w:val="left"/>
              <w:rPr>
                <w:rFonts w:ascii="宋体" w:hAnsi="宋体" w:cs="宋体" w:eastAsia="宋体" w:hint="default"/>
                <w:sz w:val="18"/>
                <w:szCs w:val="18"/>
              </w:rPr>
            </w:pPr>
            <w:r>
              <w:rPr>
                <w:rFonts w:ascii="宋体" w:hAnsi="宋体" w:cs="宋体" w:eastAsia="宋体" w:hint="default"/>
                <w:sz w:val="18"/>
                <w:szCs w:val="18"/>
              </w:rPr>
              <w:t>利息资</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pacing w:val="-11"/>
                <w:sz w:val="18"/>
                <w:szCs w:val="18"/>
              </w:rPr>
              <w:t>其中：本</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96" w:right="0"/>
              <w:jc w:val="left"/>
              <w:rPr>
                <w:rFonts w:ascii="宋体" w:hAnsi="宋体" w:cs="宋体" w:eastAsia="宋体" w:hint="default"/>
                <w:sz w:val="18"/>
                <w:szCs w:val="18"/>
              </w:rPr>
            </w:pPr>
            <w:r>
              <w:rPr>
                <w:rFonts w:ascii="宋体" w:hAnsi="宋体" w:cs="宋体" w:eastAsia="宋体" w:hint="default"/>
                <w:sz w:val="18"/>
                <w:szCs w:val="18"/>
              </w:rPr>
              <w:t>本期利</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93" w:right="0"/>
              <w:jc w:val="left"/>
              <w:rPr>
                <w:rFonts w:ascii="宋体" w:hAnsi="宋体" w:cs="宋体" w:eastAsia="宋体" w:hint="default"/>
                <w:sz w:val="18"/>
                <w:szCs w:val="18"/>
              </w:rPr>
            </w:pPr>
            <w:r>
              <w:rPr>
                <w:rFonts w:ascii="宋体" w:hAnsi="宋体" w:cs="宋体" w:eastAsia="宋体" w:hint="default"/>
                <w:sz w:val="18"/>
                <w:szCs w:val="18"/>
              </w:rPr>
              <w:t>资金来</w:t>
            </w:r>
          </w:p>
        </w:tc>
      </w:tr>
    </w:tbl>
    <w:p>
      <w:pPr>
        <w:spacing w:after="0" w:line="240" w:lineRule="auto"/>
        <w:jc w:val="left"/>
        <w:rPr>
          <w:rFonts w:ascii="宋体" w:hAnsi="宋体" w:cs="宋体" w:eastAsia="宋体" w:hint="default"/>
          <w:sz w:val="18"/>
          <w:szCs w:val="18"/>
        </w:rPr>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4"/>
        <w:gridCol w:w="734"/>
        <w:gridCol w:w="734"/>
        <w:gridCol w:w="739"/>
        <w:gridCol w:w="734"/>
        <w:gridCol w:w="734"/>
        <w:gridCol w:w="739"/>
        <w:gridCol w:w="734"/>
        <w:gridCol w:w="734"/>
        <w:gridCol w:w="739"/>
        <w:gridCol w:w="734"/>
        <w:gridCol w:w="734"/>
        <w:gridCol w:w="739"/>
      </w:tblGrid>
      <w:tr>
        <w:trPr>
          <w:trHeight w:val="984"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2"/>
              <w:jc w:val="center"/>
              <w:rPr>
                <w:rFonts w:ascii="宋体" w:hAnsi="宋体" w:cs="宋体" w:eastAsia="宋体" w:hint="default"/>
                <w:sz w:val="18"/>
                <w:szCs w:val="18"/>
              </w:rPr>
            </w:pPr>
            <w:r>
              <w:rPr>
                <w:rFonts w:ascii="宋体" w:hAnsi="宋体" w:cs="宋体" w:eastAsia="宋体" w:hint="default"/>
                <w:w w:val="101"/>
                <w:sz w:val="18"/>
                <w:szCs w:val="18"/>
              </w:rPr>
              <w:t>称</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91" w:right="0"/>
              <w:jc w:val="left"/>
              <w:rPr>
                <w:rFonts w:ascii="宋体" w:hAnsi="宋体" w:cs="宋体" w:eastAsia="宋体" w:hint="default"/>
                <w:sz w:val="18"/>
                <w:szCs w:val="18"/>
              </w:rPr>
            </w:pPr>
            <w:r>
              <w:rPr>
                <w:rFonts w:ascii="宋体" w:hAnsi="宋体" w:cs="宋体" w:eastAsia="宋体" w:hint="default"/>
                <w:sz w:val="18"/>
                <w:szCs w:val="18"/>
              </w:rPr>
              <w:t>加金额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1" w:right="89"/>
              <w:jc w:val="center"/>
              <w:rPr>
                <w:rFonts w:ascii="宋体" w:hAnsi="宋体" w:cs="宋体" w:eastAsia="宋体" w:hint="default"/>
                <w:sz w:val="18"/>
                <w:szCs w:val="18"/>
              </w:rPr>
            </w:pPr>
            <w:r>
              <w:rPr>
                <w:rFonts w:ascii="宋体" w:hAnsi="宋体" w:cs="宋体" w:eastAsia="宋体" w:hint="default"/>
                <w:spacing w:val="-2"/>
                <w:sz w:val="18"/>
                <w:szCs w:val="18"/>
              </w:rPr>
              <w:t>入固定</w:t>
            </w:r>
            <w:r>
              <w:rPr>
                <w:rFonts w:ascii="宋体" w:hAnsi="宋体" w:cs="宋体" w:eastAsia="宋体" w:hint="default"/>
                <w:w w:val="101"/>
                <w:sz w:val="18"/>
                <w:szCs w:val="18"/>
              </w:rPr>
              <w:t> </w:t>
            </w:r>
            <w:r>
              <w:rPr>
                <w:rFonts w:ascii="宋体" w:hAnsi="宋体" w:cs="宋体" w:eastAsia="宋体" w:hint="default"/>
                <w:spacing w:val="-2"/>
                <w:sz w:val="18"/>
                <w:szCs w:val="18"/>
              </w:rPr>
              <w:t>资产金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10"/>
              <w:ind w:left="182" w:right="84" w:hanging="87"/>
              <w:jc w:val="left"/>
              <w:rPr>
                <w:rFonts w:ascii="宋体" w:hAnsi="宋体" w:cs="宋体" w:eastAsia="宋体" w:hint="default"/>
                <w:sz w:val="18"/>
                <w:szCs w:val="18"/>
              </w:rPr>
            </w:pPr>
            <w:r>
              <w:rPr>
                <w:rFonts w:ascii="宋体" w:hAnsi="宋体" w:cs="宋体" w:eastAsia="宋体" w:hint="default"/>
                <w:sz w:val="18"/>
                <w:szCs w:val="18"/>
              </w:rPr>
              <w:t>他减少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金额</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1" w:right="89"/>
              <w:jc w:val="both"/>
              <w:rPr>
                <w:rFonts w:ascii="宋体" w:hAnsi="宋体" w:cs="宋体" w:eastAsia="宋体" w:hint="default"/>
                <w:sz w:val="18"/>
                <w:szCs w:val="18"/>
              </w:rPr>
            </w:pPr>
            <w:r>
              <w:rPr>
                <w:rFonts w:ascii="宋体" w:hAnsi="宋体" w:cs="宋体" w:eastAsia="宋体" w:hint="default"/>
                <w:sz w:val="18"/>
                <w:szCs w:val="18"/>
              </w:rPr>
              <w:t>计投入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占预算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73" w:right="0"/>
              <w:jc w:val="left"/>
              <w:rPr>
                <w:rFonts w:ascii="宋体" w:hAnsi="宋体" w:cs="宋体" w:eastAsia="宋体" w:hint="default"/>
                <w:sz w:val="18"/>
                <w:szCs w:val="18"/>
              </w:rPr>
            </w:pPr>
            <w:r>
              <w:rPr>
                <w:rFonts w:ascii="宋体" w:hAnsi="宋体" w:cs="宋体" w:eastAsia="宋体" w:hint="default"/>
                <w:w w:val="101"/>
                <w:sz w:val="18"/>
                <w:szCs w:val="18"/>
              </w:rPr>
              <w:t>度</w:t>
            </w:r>
            <w:r>
              <w:rPr>
                <w:rFonts w:ascii="宋体" w:hAnsi="宋体" w:cs="宋体" w:eastAsia="宋体" w:hint="default"/>
                <w:sz w:val="18"/>
                <w:szCs w:val="18"/>
              </w:rPr>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10"/>
              <w:ind w:left="91" w:right="89" w:firstLine="4"/>
              <w:jc w:val="left"/>
              <w:rPr>
                <w:rFonts w:ascii="宋体" w:hAnsi="宋体" w:cs="宋体" w:eastAsia="宋体" w:hint="default"/>
                <w:sz w:val="18"/>
                <w:szCs w:val="18"/>
              </w:rPr>
            </w:pPr>
            <w:r>
              <w:rPr>
                <w:rFonts w:ascii="宋体" w:hAnsi="宋体" w:cs="宋体" w:eastAsia="宋体" w:hint="default"/>
                <w:sz w:val="18"/>
                <w:szCs w:val="18"/>
              </w:rPr>
              <w:t>本化累</w:t>
            </w:r>
            <w:r>
              <w:rPr>
                <w:rFonts w:ascii="宋体" w:hAnsi="宋体" w:cs="宋体" w:eastAsia="宋体" w:hint="default"/>
                <w:w w:val="101"/>
                <w:sz w:val="18"/>
                <w:szCs w:val="18"/>
              </w:rPr>
              <w:t> </w:t>
            </w:r>
            <w:r>
              <w:rPr>
                <w:rFonts w:ascii="宋体" w:hAnsi="宋体" w:cs="宋体" w:eastAsia="宋体" w:hint="default"/>
                <w:sz w:val="18"/>
                <w:szCs w:val="18"/>
              </w:rPr>
              <w:t>计金额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91" w:right="89"/>
              <w:jc w:val="both"/>
              <w:rPr>
                <w:rFonts w:ascii="宋体" w:hAnsi="宋体" w:cs="宋体" w:eastAsia="宋体" w:hint="default"/>
                <w:sz w:val="18"/>
                <w:szCs w:val="18"/>
              </w:rPr>
            </w:pPr>
            <w:r>
              <w:rPr>
                <w:rFonts w:ascii="宋体" w:hAnsi="宋体" w:cs="宋体" w:eastAsia="宋体" w:hint="default"/>
                <w:sz w:val="18"/>
                <w:szCs w:val="18"/>
              </w:rPr>
              <w:t>期利息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资本化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10"/>
              <w:ind w:left="182" w:right="84" w:hanging="87"/>
              <w:jc w:val="left"/>
              <w:rPr>
                <w:rFonts w:ascii="宋体" w:hAnsi="宋体" w:cs="宋体" w:eastAsia="宋体" w:hint="default"/>
                <w:sz w:val="18"/>
                <w:szCs w:val="18"/>
              </w:rPr>
            </w:pPr>
            <w:r>
              <w:rPr>
                <w:rFonts w:ascii="宋体" w:hAnsi="宋体" w:cs="宋体" w:eastAsia="宋体" w:hint="default"/>
                <w:sz w:val="18"/>
                <w:szCs w:val="18"/>
              </w:rPr>
              <w:t>息资本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化率</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73" w:right="0"/>
              <w:jc w:val="left"/>
              <w:rPr>
                <w:rFonts w:ascii="宋体" w:hAnsi="宋体" w:cs="宋体" w:eastAsia="宋体" w:hint="default"/>
                <w:sz w:val="18"/>
                <w:szCs w:val="18"/>
              </w:rPr>
            </w:pPr>
            <w:r>
              <w:rPr>
                <w:rFonts w:ascii="宋体" w:hAnsi="宋体" w:cs="宋体" w:eastAsia="宋体" w:hint="default"/>
                <w:w w:val="101"/>
                <w:sz w:val="18"/>
                <w:szCs w:val="18"/>
              </w:rPr>
              <w:t>源</w:t>
            </w:r>
            <w:r>
              <w:rPr>
                <w:rFonts w:ascii="宋体" w:hAnsi="宋体" w:cs="宋体" w:eastAsia="宋体" w:hint="default"/>
                <w:sz w:val="18"/>
                <w:szCs w:val="18"/>
              </w:rPr>
            </w:r>
          </w:p>
        </w:tc>
      </w:tr>
      <w:tr>
        <w:trPr>
          <w:trHeight w:val="359" w:hRule="exact"/>
        </w:trPr>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烟台</w:t>
            </w: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9"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9"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9"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9" w:type="dxa"/>
            <w:vMerge w:val="restart"/>
            <w:tcBorders>
              <w:top w:val="single" w:sz="4" w:space="0" w:color="000000"/>
              <w:left w:val="single" w:sz="4" w:space="0" w:color="000000"/>
              <w:right w:val="single" w:sz="4" w:space="0" w:color="000000"/>
            </w:tcBorders>
          </w:tcPr>
          <w:p>
            <w:pPr/>
          </w:p>
        </w:tc>
      </w:tr>
      <w:tr>
        <w:trPr>
          <w:trHeight w:val="317" w:hRule="exact"/>
        </w:trPr>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7"/>
              <w:jc w:val="right"/>
              <w:rPr>
                <w:rFonts w:ascii="Times New Roman" w:hAnsi="Times New Roman" w:cs="Times New Roman" w:eastAsia="Times New Roman" w:hint="default"/>
                <w:sz w:val="18"/>
                <w:szCs w:val="18"/>
              </w:rPr>
            </w:pPr>
            <w:r>
              <w:rPr>
                <w:rFonts w:ascii="Times New Roman"/>
                <w:spacing w:val="-1"/>
                <w:sz w:val="18"/>
              </w:rPr>
              <w:t>55,049,5</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2"/>
              <w:jc w:val="right"/>
              <w:rPr>
                <w:rFonts w:ascii="Times New Roman" w:hAnsi="Times New Roman" w:cs="Times New Roman" w:eastAsia="Times New Roman" w:hint="default"/>
                <w:sz w:val="18"/>
                <w:szCs w:val="18"/>
              </w:rPr>
            </w:pPr>
            <w:r>
              <w:rPr>
                <w:rFonts w:ascii="Times New Roman"/>
                <w:spacing w:val="-2"/>
                <w:sz w:val="18"/>
              </w:rPr>
              <w:t>5,116,02</w:t>
            </w:r>
          </w:p>
        </w:tc>
        <w:tc>
          <w:tcPr>
            <w:tcW w:w="739"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7"/>
              <w:jc w:val="right"/>
              <w:rPr>
                <w:rFonts w:ascii="Times New Roman" w:hAnsi="Times New Roman" w:cs="Times New Roman" w:eastAsia="Times New Roman" w:hint="default"/>
                <w:sz w:val="18"/>
                <w:szCs w:val="18"/>
              </w:rPr>
            </w:pPr>
            <w:r>
              <w:rPr>
                <w:rFonts w:ascii="Times New Roman"/>
                <w:spacing w:val="-2"/>
                <w:sz w:val="18"/>
              </w:rPr>
              <w:t>5,116,02</w:t>
            </w:r>
          </w:p>
        </w:tc>
        <w:tc>
          <w:tcPr>
            <w:tcW w:w="734"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r>
      <w:tr>
        <w:trPr>
          <w:trHeight w:val="317" w:hRule="exact"/>
        </w:trPr>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分散染</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pacing w:val="-1"/>
                <w:sz w:val="18"/>
              </w:rPr>
              <w:t>00.00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7"/>
              <w:jc w:val="right"/>
              <w:rPr>
                <w:rFonts w:ascii="Times New Roman" w:hAnsi="Times New Roman" w:cs="Times New Roman" w:eastAsia="Times New Roman" w:hint="default"/>
                <w:sz w:val="18"/>
                <w:szCs w:val="18"/>
              </w:rPr>
            </w:pPr>
            <w:r>
              <w:rPr>
                <w:rFonts w:ascii="Times New Roman"/>
                <w:sz w:val="18"/>
              </w:rPr>
              <w:t>2.20</w:t>
            </w:r>
          </w:p>
        </w:tc>
        <w:tc>
          <w:tcPr>
            <w:tcW w:w="739"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z w:val="18"/>
              </w:rPr>
              <w:t>2.20</w:t>
            </w:r>
          </w:p>
        </w:tc>
        <w:tc>
          <w:tcPr>
            <w:tcW w:w="734"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r>
      <w:tr>
        <w:trPr>
          <w:trHeight w:val="346" w:hRule="exact"/>
        </w:trPr>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料项目</w:t>
            </w: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r>
      <w:tr>
        <w:trPr>
          <w:trHeight w:val="357" w:hRule="exact"/>
        </w:trPr>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东营</w:t>
            </w: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9"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9"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9"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9" w:type="dxa"/>
            <w:vMerge w:val="restart"/>
            <w:tcBorders>
              <w:top w:val="single" w:sz="4" w:space="0" w:color="000000"/>
              <w:left w:val="single" w:sz="4" w:space="0" w:color="000000"/>
              <w:right w:val="single" w:sz="4" w:space="0" w:color="000000"/>
            </w:tcBorders>
          </w:tcPr>
          <w:p>
            <w:pPr/>
          </w:p>
        </w:tc>
      </w:tr>
      <w:tr>
        <w:trPr>
          <w:trHeight w:val="317" w:hRule="exact"/>
        </w:trPr>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9"/>
              <w:jc w:val="right"/>
              <w:rPr>
                <w:rFonts w:ascii="Times New Roman" w:hAnsi="Times New Roman" w:cs="Times New Roman" w:eastAsia="Times New Roman" w:hint="default"/>
                <w:sz w:val="18"/>
                <w:szCs w:val="18"/>
              </w:rPr>
            </w:pPr>
            <w:r>
              <w:rPr>
                <w:rFonts w:ascii="Times New Roman"/>
                <w:spacing w:val="-2"/>
                <w:sz w:val="18"/>
              </w:rPr>
              <w:t>113,856,</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2"/>
              <w:jc w:val="right"/>
              <w:rPr>
                <w:rFonts w:ascii="Times New Roman" w:hAnsi="Times New Roman" w:cs="Times New Roman" w:eastAsia="Times New Roman" w:hint="default"/>
                <w:sz w:val="18"/>
                <w:szCs w:val="18"/>
              </w:rPr>
            </w:pPr>
            <w:r>
              <w:rPr>
                <w:rFonts w:ascii="Times New Roman"/>
                <w:spacing w:val="-1"/>
                <w:sz w:val="18"/>
              </w:rPr>
              <w:t>2,156,64</w:t>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9"/>
              <w:jc w:val="right"/>
              <w:rPr>
                <w:rFonts w:ascii="Times New Roman" w:hAnsi="Times New Roman" w:cs="Times New Roman" w:eastAsia="Times New Roman" w:hint="default"/>
                <w:sz w:val="18"/>
                <w:szCs w:val="18"/>
              </w:rPr>
            </w:pPr>
            <w:r>
              <w:rPr>
                <w:rFonts w:ascii="Times New Roman"/>
                <w:spacing w:val="-1"/>
                <w:sz w:val="18"/>
              </w:rPr>
              <w:t>720,491.</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18"/>
                <w:szCs w:val="18"/>
              </w:rPr>
            </w:pPr>
            <w:r>
              <w:rPr>
                <w:rFonts w:ascii="Times New Roman"/>
                <w:spacing w:val="-1"/>
                <w:sz w:val="18"/>
              </w:rPr>
              <w:t>2,609,13</w:t>
            </w:r>
          </w:p>
        </w:tc>
        <w:tc>
          <w:tcPr>
            <w:tcW w:w="734" w:type="dxa"/>
            <w:vMerge/>
            <w:tcBorders>
              <w:left w:val="single" w:sz="4" w:space="0" w:color="000000"/>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9"/>
              <w:jc w:val="right"/>
              <w:rPr>
                <w:rFonts w:ascii="Times New Roman" w:hAnsi="Times New Roman" w:cs="Times New Roman" w:eastAsia="Times New Roman" w:hint="default"/>
                <w:sz w:val="18"/>
                <w:szCs w:val="18"/>
              </w:rPr>
            </w:pPr>
            <w:r>
              <w:rPr>
                <w:rFonts w:ascii="Times New Roman"/>
                <w:spacing w:val="-1"/>
                <w:sz w:val="18"/>
              </w:rPr>
              <w:t>268,010.</w:t>
            </w: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r>
      <w:tr>
        <w:trPr>
          <w:trHeight w:val="314" w:hRule="exact"/>
        </w:trPr>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染料滤</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9.88</w:t>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53</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1.20</w:t>
            </w:r>
          </w:p>
        </w:tc>
        <w:tc>
          <w:tcPr>
            <w:tcW w:w="734" w:type="dxa"/>
            <w:vMerge/>
            <w:tcBorders>
              <w:left w:val="single" w:sz="4" w:space="0" w:color="000000"/>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21</w:t>
            </w: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r>
      <w:tr>
        <w:trPr>
          <w:trHeight w:val="351" w:hRule="exact"/>
        </w:trPr>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饼项目</w:t>
            </w: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9"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9"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r>
      <w:tr>
        <w:trPr>
          <w:trHeight w:val="357" w:hRule="exact"/>
        </w:trPr>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东营染</w:t>
            </w: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9"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9"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9"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9" w:type="dxa"/>
            <w:vMerge w:val="restart"/>
            <w:tcBorders>
              <w:top w:val="single" w:sz="4" w:space="0" w:color="000000"/>
              <w:left w:val="single" w:sz="4" w:space="0" w:color="000000"/>
              <w:right w:val="single" w:sz="4" w:space="0" w:color="000000"/>
            </w:tcBorders>
          </w:tcPr>
          <w:p>
            <w:pPr/>
          </w:p>
        </w:tc>
      </w:tr>
      <w:tr>
        <w:trPr>
          <w:trHeight w:val="310" w:hRule="exact"/>
        </w:trPr>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料滤饼</w:t>
            </w:r>
          </w:p>
        </w:tc>
        <w:tc>
          <w:tcPr>
            <w:tcW w:w="734"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r>
      <w:tr>
        <w:trPr>
          <w:trHeight w:val="936" w:hRule="exact"/>
        </w:trPr>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w:t>
            </w:r>
          </w:p>
          <w:p>
            <w:pPr>
              <w:pStyle w:val="TableParagraph"/>
              <w:spacing w:line="316" w:lineRule="auto" w:before="63"/>
              <w:ind w:left="24" w:right="156"/>
              <w:jc w:val="left"/>
              <w:rPr>
                <w:rFonts w:ascii="宋体" w:hAnsi="宋体" w:cs="宋体" w:eastAsia="宋体" w:hint="default"/>
                <w:sz w:val="18"/>
                <w:szCs w:val="18"/>
              </w:rPr>
            </w:pPr>
            <w:r>
              <w:rPr>
                <w:rFonts w:ascii="宋体" w:hAnsi="宋体" w:cs="宋体" w:eastAsia="宋体" w:hint="default"/>
                <w:sz w:val="18"/>
                <w:szCs w:val="18"/>
              </w:rPr>
              <w:t>及分散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染料</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49,530,0</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189,613.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01</w:t>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114,000.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254,683.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76</w:t>
            </w:r>
          </w:p>
        </w:tc>
        <w:tc>
          <w:tcPr>
            <w:tcW w:w="734" w:type="dxa"/>
            <w:vMerge/>
            <w:tcBorders>
              <w:left w:val="single" w:sz="4" w:space="0" w:color="000000"/>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48,929.2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r>
      <w:tr>
        <w:trPr>
          <w:trHeight w:val="319" w:hRule="exact"/>
        </w:trPr>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w:t>
            </w:r>
          </w:p>
        </w:tc>
        <w:tc>
          <w:tcPr>
            <w:tcW w:w="734"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r>
      <w:tr>
        <w:trPr>
          <w:trHeight w:val="353" w:hRule="exact"/>
        </w:trPr>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9"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9"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r>
      <w:tr>
        <w:trPr>
          <w:trHeight w:val="357" w:hRule="exact"/>
        </w:trPr>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东营年</w:t>
            </w: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9"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9"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9"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9" w:type="dxa"/>
            <w:vMerge w:val="restart"/>
            <w:tcBorders>
              <w:top w:val="single" w:sz="4" w:space="0" w:color="000000"/>
              <w:left w:val="single" w:sz="4" w:space="0" w:color="000000"/>
              <w:right w:val="single" w:sz="4" w:space="0" w:color="000000"/>
            </w:tcBorders>
          </w:tcPr>
          <w:p>
            <w:pPr/>
          </w:p>
        </w:tc>
      </w:tr>
      <w:tr>
        <w:trPr>
          <w:trHeight w:val="631" w:hRule="exact"/>
        </w:trPr>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产</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25000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吨分散</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50" w:right="0"/>
              <w:jc w:val="center"/>
              <w:rPr>
                <w:rFonts w:ascii="Times New Roman" w:hAnsi="Times New Roman" w:cs="Times New Roman" w:eastAsia="Times New Roman" w:hint="default"/>
                <w:sz w:val="18"/>
                <w:szCs w:val="18"/>
              </w:rPr>
            </w:pPr>
            <w:r>
              <w:rPr>
                <w:rFonts w:ascii="Times New Roman"/>
                <w:sz w:val="18"/>
              </w:rPr>
              <w:t>101,655,</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76" w:right="0"/>
              <w:jc w:val="left"/>
              <w:rPr>
                <w:rFonts w:ascii="Times New Roman" w:hAnsi="Times New Roman" w:cs="Times New Roman" w:eastAsia="Times New Roman" w:hint="default"/>
                <w:sz w:val="18"/>
                <w:szCs w:val="18"/>
              </w:rPr>
            </w:pPr>
            <w:r>
              <w:rPr>
                <w:rFonts w:ascii="Times New Roman"/>
                <w:sz w:val="18"/>
              </w:rPr>
              <w:t>6,191,70</w:t>
            </w:r>
          </w:p>
          <w:p>
            <w:pPr>
              <w:pStyle w:val="TableParagraph"/>
              <w:spacing w:line="240" w:lineRule="auto" w:before="105"/>
              <w:ind w:left="384" w:right="0"/>
              <w:jc w:val="left"/>
              <w:rPr>
                <w:rFonts w:ascii="Times New Roman" w:hAnsi="Times New Roman" w:cs="Times New Roman" w:eastAsia="Times New Roman" w:hint="default"/>
                <w:sz w:val="18"/>
                <w:szCs w:val="18"/>
              </w:rPr>
            </w:pPr>
            <w:r>
              <w:rPr>
                <w:rFonts w:ascii="Times New Roman"/>
                <w:sz w:val="18"/>
              </w:rPr>
              <w:t>6.45</w:t>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76" w:right="0"/>
              <w:jc w:val="left"/>
              <w:rPr>
                <w:rFonts w:ascii="Times New Roman" w:hAnsi="Times New Roman" w:cs="Times New Roman" w:eastAsia="Times New Roman" w:hint="default"/>
                <w:sz w:val="18"/>
                <w:szCs w:val="18"/>
              </w:rPr>
            </w:pPr>
            <w:r>
              <w:rPr>
                <w:rFonts w:ascii="Times New Roman"/>
                <w:sz w:val="18"/>
              </w:rPr>
              <w:t>31,317,7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41.38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9"/>
              <w:jc w:val="right"/>
              <w:rPr>
                <w:rFonts w:ascii="Times New Roman" w:hAnsi="Times New Roman" w:cs="Times New Roman" w:eastAsia="Times New Roman" w:hint="default"/>
                <w:sz w:val="18"/>
                <w:szCs w:val="18"/>
              </w:rPr>
            </w:pPr>
            <w:r>
              <w:rPr>
                <w:rFonts w:ascii="Times New Roman"/>
                <w:spacing w:val="-1"/>
                <w:sz w:val="18"/>
              </w:rPr>
              <w:t>283,978.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60</w:t>
            </w:r>
          </w:p>
        </w:tc>
        <w:tc>
          <w:tcPr>
            <w:tcW w:w="734" w:type="dxa"/>
            <w:vMerge/>
            <w:tcBorders>
              <w:left w:val="single" w:sz="4" w:space="0" w:color="000000"/>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76" w:right="0"/>
              <w:jc w:val="left"/>
              <w:rPr>
                <w:rFonts w:ascii="Times New Roman" w:hAnsi="Times New Roman" w:cs="Times New Roman" w:eastAsia="Times New Roman" w:hint="default"/>
                <w:sz w:val="18"/>
                <w:szCs w:val="18"/>
              </w:rPr>
            </w:pPr>
            <w:r>
              <w:rPr>
                <w:rFonts w:ascii="Times New Roman"/>
                <w:sz w:val="18"/>
              </w:rPr>
              <w:t>37,225,4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69.23</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113" w:right="0"/>
              <w:jc w:val="center"/>
              <w:rPr>
                <w:rFonts w:ascii="Times New Roman" w:hAnsi="Times New Roman" w:cs="Times New Roman" w:eastAsia="Times New Roman" w:hint="default"/>
                <w:sz w:val="18"/>
                <w:szCs w:val="18"/>
              </w:rPr>
            </w:pPr>
            <w:r>
              <w:rPr>
                <w:rFonts w:ascii="Times New Roman"/>
                <w:sz w:val="18"/>
              </w:rPr>
              <w:t>36.62%</w:t>
            </w:r>
          </w:p>
        </w:tc>
        <w:tc>
          <w:tcPr>
            <w:tcW w:w="734"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r>
      <w:tr>
        <w:trPr>
          <w:trHeight w:val="346" w:hRule="exact"/>
        </w:trPr>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染料</w:t>
            </w: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9"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9"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r>
      <w:tr>
        <w:trPr>
          <w:trHeight w:val="359" w:hRule="exact"/>
        </w:trPr>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年产</w:t>
            </w: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9"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9"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9"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9" w:type="dxa"/>
            <w:vMerge w:val="restart"/>
            <w:tcBorders>
              <w:top w:val="single" w:sz="4" w:space="0" w:color="000000"/>
              <w:left w:val="single" w:sz="4" w:space="0" w:color="000000"/>
              <w:right w:val="single" w:sz="4" w:space="0" w:color="000000"/>
            </w:tcBorders>
          </w:tcPr>
          <w:p>
            <w:pPr/>
          </w:p>
        </w:tc>
      </w:tr>
      <w:tr>
        <w:trPr>
          <w:trHeight w:val="938" w:hRule="exact"/>
        </w:trPr>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吨</w:t>
            </w:r>
          </w:p>
          <w:p>
            <w:pPr>
              <w:pStyle w:val="TableParagraph"/>
              <w:spacing w:line="316" w:lineRule="auto" w:before="63"/>
              <w:ind w:left="24" w:right="156"/>
              <w:jc w:val="left"/>
              <w:rPr>
                <w:rFonts w:ascii="宋体" w:hAnsi="宋体" w:cs="宋体" w:eastAsia="宋体" w:hint="default"/>
                <w:sz w:val="18"/>
                <w:szCs w:val="18"/>
              </w:rPr>
            </w:pPr>
            <w:r>
              <w:rPr>
                <w:rFonts w:ascii="宋体" w:hAnsi="宋体" w:cs="宋体" w:eastAsia="宋体" w:hint="default"/>
                <w:sz w:val="18"/>
                <w:szCs w:val="18"/>
              </w:rPr>
              <w:t>精细化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工中间</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10"/>
              <w:ind w:left="177" w:right="0"/>
              <w:jc w:val="center"/>
              <w:rPr>
                <w:rFonts w:ascii="Times New Roman" w:hAnsi="Times New Roman" w:cs="Times New Roman" w:eastAsia="Times New Roman" w:hint="default"/>
                <w:sz w:val="18"/>
                <w:szCs w:val="18"/>
              </w:rPr>
            </w:pPr>
            <w:r>
              <w:rPr>
                <w:rFonts w:ascii="Times New Roman"/>
                <w:sz w:val="18"/>
              </w:rPr>
              <w:t>000.00</w:t>
            </w:r>
          </w:p>
        </w:tc>
        <w:tc>
          <w:tcPr>
            <w:tcW w:w="734" w:type="dxa"/>
            <w:vMerge/>
            <w:tcBorders>
              <w:left w:val="single" w:sz="4" w:space="0" w:color="000000"/>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61,339,0</w:t>
            </w:r>
          </w:p>
          <w:p>
            <w:pPr>
              <w:pStyle w:val="TableParagraph"/>
              <w:spacing w:line="240" w:lineRule="auto" w:before="110"/>
              <w:ind w:left="297" w:right="0"/>
              <w:jc w:val="left"/>
              <w:rPr>
                <w:rFonts w:ascii="Times New Roman" w:hAnsi="Times New Roman" w:cs="Times New Roman" w:eastAsia="Times New Roman" w:hint="default"/>
                <w:sz w:val="18"/>
                <w:szCs w:val="18"/>
              </w:rPr>
            </w:pPr>
            <w:r>
              <w:rPr>
                <w:rFonts w:ascii="Times New Roman"/>
                <w:sz w:val="18"/>
              </w:rPr>
              <w:t>19.09</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653,564.</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sz w:val="18"/>
              </w:rPr>
              <w:t>96</w:t>
            </w:r>
          </w:p>
        </w:tc>
        <w:tc>
          <w:tcPr>
            <w:tcW w:w="734" w:type="dxa"/>
            <w:vMerge/>
            <w:tcBorders>
              <w:left w:val="single" w:sz="4" w:space="0" w:color="000000"/>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60,685,4</w:t>
            </w:r>
          </w:p>
          <w:p>
            <w:pPr>
              <w:pStyle w:val="TableParagraph"/>
              <w:spacing w:line="240" w:lineRule="auto" w:before="110"/>
              <w:ind w:left="297" w:right="0"/>
              <w:jc w:val="left"/>
              <w:rPr>
                <w:rFonts w:ascii="Times New Roman" w:hAnsi="Times New Roman" w:cs="Times New Roman" w:eastAsia="Times New Roman" w:hint="default"/>
                <w:sz w:val="18"/>
                <w:szCs w:val="18"/>
              </w:rPr>
            </w:pPr>
            <w:r>
              <w:rPr>
                <w:rFonts w:ascii="Times New Roman"/>
                <w:sz w:val="18"/>
              </w:rPr>
              <w:t>54.13</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13" w:right="0"/>
              <w:jc w:val="center"/>
              <w:rPr>
                <w:rFonts w:ascii="Times New Roman" w:hAnsi="Times New Roman" w:cs="Times New Roman" w:eastAsia="Times New Roman" w:hint="default"/>
                <w:sz w:val="18"/>
                <w:szCs w:val="18"/>
              </w:rPr>
            </w:pPr>
            <w:r>
              <w:rPr>
                <w:rFonts w:ascii="Times New Roman"/>
                <w:sz w:val="18"/>
              </w:rPr>
              <w:t>12.14%</w:t>
            </w:r>
          </w:p>
        </w:tc>
        <w:tc>
          <w:tcPr>
            <w:tcW w:w="734"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r>
      <w:tr>
        <w:trPr>
          <w:trHeight w:val="354" w:hRule="exact"/>
        </w:trPr>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体项目</w:t>
            </w: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9"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9"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r>
      <w:tr>
        <w:trPr>
          <w:trHeight w:val="364" w:hRule="exact"/>
        </w:trPr>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厂房工</w:t>
            </w:r>
          </w:p>
        </w:tc>
        <w:tc>
          <w:tcPr>
            <w:tcW w:w="734"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1,567,25</w:t>
            </w:r>
          </w:p>
        </w:tc>
        <w:tc>
          <w:tcPr>
            <w:tcW w:w="7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10,348,3</w:t>
            </w: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9,084,63</w:t>
            </w: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41,250.0</w:t>
            </w:r>
          </w:p>
        </w:tc>
        <w:tc>
          <w:tcPr>
            <w:tcW w:w="7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2,789,69</w:t>
            </w:r>
          </w:p>
        </w:tc>
        <w:tc>
          <w:tcPr>
            <w:tcW w:w="734"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9"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9" w:type="dxa"/>
            <w:vMerge w:val="restart"/>
            <w:tcBorders>
              <w:top w:val="single" w:sz="4" w:space="0" w:color="000000"/>
              <w:left w:val="single" w:sz="4" w:space="0" w:color="000000"/>
              <w:right w:val="single" w:sz="4" w:space="0" w:color="000000"/>
            </w:tcBorders>
          </w:tcPr>
          <w:p>
            <w:pPr/>
          </w:p>
        </w:tc>
      </w:tr>
      <w:tr>
        <w:trPr>
          <w:trHeight w:val="351" w:hRule="exact"/>
        </w:trPr>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w w:val="101"/>
                <w:sz w:val="18"/>
                <w:szCs w:val="18"/>
              </w:rPr>
              <w:t>程</w:t>
            </w:r>
            <w:r>
              <w:rPr>
                <w:rFonts w:ascii="宋体" w:hAnsi="宋体" w:cs="宋体" w:eastAsia="宋体" w:hint="default"/>
                <w:sz w:val="18"/>
                <w:szCs w:val="18"/>
              </w:rPr>
            </w:r>
          </w:p>
        </w:tc>
        <w:tc>
          <w:tcPr>
            <w:tcW w:w="734"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z w:val="18"/>
              </w:rPr>
              <w:t>9.19</w:t>
            </w:r>
          </w:p>
        </w:tc>
        <w:tc>
          <w:tcPr>
            <w:tcW w:w="7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17.75</w:t>
            </w: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z w:val="18"/>
              </w:rPr>
              <w:t>1.42</w:t>
            </w: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z w:val="18"/>
              </w:rPr>
              <w:t>5.52</w:t>
            </w:r>
          </w:p>
        </w:tc>
        <w:tc>
          <w:tcPr>
            <w:tcW w:w="734"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r>
      <w:tr>
        <w:trPr>
          <w:trHeight w:val="364" w:hRule="exact"/>
        </w:trPr>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设备工</w:t>
            </w:r>
          </w:p>
        </w:tc>
        <w:tc>
          <w:tcPr>
            <w:tcW w:w="734"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10,592,8</w:t>
            </w:r>
          </w:p>
        </w:tc>
        <w:tc>
          <w:tcPr>
            <w:tcW w:w="7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12,984,8</w:t>
            </w: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10,947,3</w:t>
            </w: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27,002.1</w:t>
            </w:r>
          </w:p>
        </w:tc>
        <w:tc>
          <w:tcPr>
            <w:tcW w:w="7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12,603,3</w:t>
            </w:r>
          </w:p>
        </w:tc>
        <w:tc>
          <w:tcPr>
            <w:tcW w:w="734"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9"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9" w:type="dxa"/>
            <w:vMerge w:val="restart"/>
            <w:tcBorders>
              <w:top w:val="single" w:sz="4" w:space="0" w:color="000000"/>
              <w:left w:val="single" w:sz="4" w:space="0" w:color="000000"/>
              <w:right w:val="single" w:sz="4" w:space="0" w:color="000000"/>
            </w:tcBorders>
          </w:tcPr>
          <w:p>
            <w:pPr/>
          </w:p>
        </w:tc>
      </w:tr>
      <w:tr>
        <w:trPr>
          <w:trHeight w:val="351" w:hRule="exact"/>
        </w:trPr>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w w:val="101"/>
                <w:sz w:val="18"/>
                <w:szCs w:val="18"/>
              </w:rPr>
              <w:t>程</w:t>
            </w:r>
            <w:r>
              <w:rPr>
                <w:rFonts w:ascii="宋体" w:hAnsi="宋体" w:cs="宋体" w:eastAsia="宋体" w:hint="default"/>
                <w:sz w:val="18"/>
                <w:szCs w:val="18"/>
              </w:rPr>
            </w:r>
          </w:p>
        </w:tc>
        <w:tc>
          <w:tcPr>
            <w:tcW w:w="734"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67.39</w:t>
            </w:r>
          </w:p>
        </w:tc>
        <w:tc>
          <w:tcPr>
            <w:tcW w:w="7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45.92</w:t>
            </w: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94.92</w:t>
            </w: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7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pacing w:val="-1"/>
                <w:sz w:val="18"/>
              </w:rPr>
              <w:t>16.27</w:t>
            </w:r>
          </w:p>
        </w:tc>
        <w:tc>
          <w:tcPr>
            <w:tcW w:w="734"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r>
      <w:tr>
        <w:trPr>
          <w:trHeight w:val="710"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0" w:right="0"/>
              <w:jc w:val="center"/>
              <w:rPr>
                <w:rFonts w:ascii="Times New Roman" w:hAnsi="Times New Roman" w:cs="Times New Roman" w:eastAsia="Times New Roman" w:hint="default"/>
                <w:sz w:val="18"/>
                <w:szCs w:val="18"/>
              </w:rPr>
            </w:pPr>
            <w:r>
              <w:rPr>
                <w:rFonts w:ascii="Times New Roman"/>
                <w:sz w:val="18"/>
              </w:rPr>
              <w:t>820,090,</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600.00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25,814,1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18.12</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0" w:right="0"/>
              <w:jc w:val="center"/>
              <w:rPr>
                <w:rFonts w:ascii="Times New Roman" w:hAnsi="Times New Roman" w:cs="Times New Roman" w:eastAsia="Times New Roman" w:hint="default"/>
                <w:sz w:val="18"/>
                <w:szCs w:val="18"/>
              </w:rPr>
            </w:pPr>
            <w:r>
              <w:rPr>
                <w:rFonts w:ascii="Times New Roman"/>
                <w:sz w:val="18"/>
              </w:rPr>
              <w:t>116,824,</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415.67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28,949,4</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07.06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68,252.1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0" w:right="0"/>
              <w:jc w:val="center"/>
              <w:rPr>
                <w:rFonts w:ascii="Times New Roman" w:hAnsi="Times New Roman" w:cs="Times New Roman" w:eastAsia="Times New Roman" w:hint="default"/>
                <w:sz w:val="18"/>
                <w:szCs w:val="18"/>
              </w:rPr>
            </w:pPr>
            <w:r>
              <w:rPr>
                <w:rFonts w:ascii="Times New Roman"/>
                <w:sz w:val="18"/>
              </w:rPr>
              <w:t>113,620,</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874.61</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w:t>
            </w:r>
          </w:p>
        </w:tc>
        <w:tc>
          <w:tcPr>
            <w:tcW w:w="739"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14"/>
        <w:gridCol w:w="3168"/>
      </w:tblGrid>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5"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14" w:type="dxa"/>
            <w:tcBorders>
              <w:top w:val="single" w:sz="4" w:space="0" w:color="000000"/>
              <w:left w:val="single" w:sz="8" w:space="0" w:color="D2D2D2"/>
              <w:bottom w:val="single" w:sz="4" w:space="0" w:color="000000"/>
              <w:right w:val="single" w:sz="10" w:space="0" w:color="D2D2D2"/>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z w:val="18"/>
              </w:rPr>
              <w:t>0.00</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66"/>
        <w:ind w:left="575" w:right="0"/>
        <w:jc w:val="left"/>
      </w:pPr>
      <w:r>
        <w:rPr/>
        <w:t>其他说明</w:t>
      </w:r>
    </w:p>
    <w:p>
      <w:pPr>
        <w:spacing w:after="0" w:line="240" w:lineRule="auto"/>
        <w:jc w:val="left"/>
        <w:sectPr>
          <w:pgSz w:w="11900" w:h="16840"/>
          <w:pgMar w:header="742" w:footer="984" w:top="1060" w:bottom="118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405" w:lineRule="auto"/>
        <w:ind w:right="0" w:firstLine="422"/>
        <w:jc w:val="left"/>
      </w:pPr>
      <w:r>
        <w:rPr>
          <w:spacing w:val="-2"/>
        </w:rPr>
        <w:t>在建工程期末数比期初数增加87,806,756.49元，增加比例为340.15%，主要原因为：子公司烟台精细</w:t>
      </w:r>
      <w:r>
        <w:rPr>
          <w:w w:val="100"/>
        </w:rPr>
        <w:t> </w:t>
      </w:r>
      <w:r>
        <w:rPr/>
        <w:t>化工30000吨精细化工中间体项目和东营年产25000吨分散染料建设中。</w:t>
      </w:r>
    </w:p>
    <w:p>
      <w:pPr>
        <w:spacing w:line="240" w:lineRule="auto" w:before="8"/>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10</w:t>
      </w:r>
      <w:r>
        <w:rPr/>
        <w:t>、工程物资</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1,378,872.38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783,355.07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1,378,872.38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783,355.07</w:t>
            </w:r>
          </w:p>
        </w:tc>
      </w:tr>
    </w:tbl>
    <w:p>
      <w:pPr>
        <w:pStyle w:val="BodyText"/>
        <w:spacing w:line="405" w:lineRule="auto" w:before="66"/>
        <w:ind w:left="575" w:right="0"/>
        <w:jc w:val="left"/>
      </w:pPr>
      <w:r>
        <w:rPr/>
        <w:t>其他说明：</w:t>
      </w:r>
      <w:r>
        <w:rPr>
          <w:spacing w:val="-100"/>
        </w:rPr>
        <w:t> </w:t>
      </w:r>
      <w:r>
        <w:rPr>
          <w:spacing w:val="-2"/>
        </w:rPr>
        <w:t>工程物资期末数比期初数增加595,517.31元，增加比例为76.02%，主要原因为：报告期内子公司烟台</w:t>
      </w:r>
    </w:p>
    <w:p>
      <w:pPr>
        <w:pStyle w:val="BodyText"/>
        <w:spacing w:line="405" w:lineRule="auto" w:before="50"/>
        <w:ind w:right="0"/>
        <w:jc w:val="left"/>
      </w:pPr>
      <w:r>
        <w:rPr>
          <w:spacing w:val="3"/>
        </w:rPr>
        <w:t>精细化工30000吨精细化工中间体项目和东营年产25000吨分散染料项目实施建设,采购工程储备材料所</w:t>
      </w:r>
      <w:r>
        <w:rPr>
          <w:spacing w:val="5"/>
        </w:rPr>
        <w:t> </w:t>
      </w:r>
      <w:r>
        <w:rPr>
          <w:spacing w:val="5"/>
        </w:rPr>
      </w:r>
      <w:r>
        <w:rPr/>
        <w:t>致。</w:t>
      </w:r>
    </w:p>
    <w:p>
      <w:pPr>
        <w:spacing w:line="240" w:lineRule="auto" w:before="8"/>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11</w:t>
      </w:r>
      <w:r>
        <w:rPr/>
        <w:t>、无形资产</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41"/>
        <w:gridCol w:w="1406"/>
        <w:gridCol w:w="1368"/>
        <w:gridCol w:w="1382"/>
        <w:gridCol w:w="1382"/>
        <w:gridCol w:w="1579"/>
      </w:tblGrid>
      <w:tr>
        <w:trPr>
          <w:trHeight w:val="403" w:hRule="exact"/>
        </w:trPr>
        <w:tc>
          <w:tcPr>
            <w:tcW w:w="2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2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406"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23,749,690.74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50,366.67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4,788,521.16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317,944.45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28,906,523.02</w:t>
            </w:r>
          </w:p>
        </w:tc>
      </w:tr>
      <w:tr>
        <w:trPr>
          <w:trHeight w:val="403" w:hRule="exact"/>
        </w:trPr>
        <w:tc>
          <w:tcPr>
            <w:tcW w:w="2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406"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8,859,500.00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736,284.32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9,595,784.32</w:t>
            </w:r>
          </w:p>
        </w:tc>
      </w:tr>
      <w:tr>
        <w:trPr>
          <w:trHeight w:val="398" w:hRule="exact"/>
        </w:trPr>
        <w:tc>
          <w:tcPr>
            <w:tcW w:w="2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06"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8,859,500.00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736,284.32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9,595,784.32</w:t>
            </w:r>
          </w:p>
        </w:tc>
      </w:tr>
      <w:tr>
        <w:trPr>
          <w:trHeight w:val="403" w:hRule="exact"/>
        </w:trPr>
        <w:tc>
          <w:tcPr>
            <w:tcW w:w="2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406"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32,609,190.74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50,366.67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4,788,521.16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1,054,228.77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38,502,307.34</w:t>
            </w:r>
          </w:p>
        </w:tc>
      </w:tr>
      <w:tr>
        <w:trPr>
          <w:trHeight w:val="403" w:hRule="exact"/>
        </w:trPr>
        <w:tc>
          <w:tcPr>
            <w:tcW w:w="2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406"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2,220,090.78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45,366.58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1,117,321.52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53,195.57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3,435,974.45</w:t>
            </w:r>
          </w:p>
        </w:tc>
      </w:tr>
      <w:tr>
        <w:trPr>
          <w:trHeight w:val="403" w:hRule="exact"/>
        </w:trPr>
        <w:tc>
          <w:tcPr>
            <w:tcW w:w="2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406"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618,650.78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5,000.09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478,852.08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62,356.10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1,164,859.05</w:t>
            </w:r>
          </w:p>
        </w:tc>
      </w:tr>
      <w:tr>
        <w:trPr>
          <w:trHeight w:val="398" w:hRule="exact"/>
        </w:trPr>
        <w:tc>
          <w:tcPr>
            <w:tcW w:w="2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06"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618,650.78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5,000.09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478,852.08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62,356.10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1,164,859.05</w:t>
            </w:r>
          </w:p>
        </w:tc>
      </w:tr>
      <w:tr>
        <w:trPr>
          <w:trHeight w:val="403" w:hRule="exact"/>
        </w:trPr>
        <w:tc>
          <w:tcPr>
            <w:tcW w:w="2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406"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2,838,741.56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50,366.67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1,596,173.60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115,551.67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4,600,833.50</w:t>
            </w:r>
          </w:p>
        </w:tc>
      </w:tr>
      <w:tr>
        <w:trPr>
          <w:trHeight w:val="403" w:hRule="exact"/>
        </w:trPr>
        <w:tc>
          <w:tcPr>
            <w:tcW w:w="2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期末账面价值</w:t>
            </w:r>
          </w:p>
        </w:tc>
        <w:tc>
          <w:tcPr>
            <w:tcW w:w="1406"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29,770,449.18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0.00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3,192,347.56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938,677.10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33,901,473.84</w:t>
            </w:r>
          </w:p>
        </w:tc>
      </w:tr>
      <w:tr>
        <w:trPr>
          <w:trHeight w:val="403" w:hRule="exact"/>
        </w:trPr>
        <w:tc>
          <w:tcPr>
            <w:tcW w:w="2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期初账面价值</w:t>
            </w:r>
          </w:p>
        </w:tc>
        <w:tc>
          <w:tcPr>
            <w:tcW w:w="1406"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21,529,599.96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5,000.09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3,671,199.64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264,748.88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25,470,548.57</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本期末通过公司内部研发形成的无形资产占无形资产余额的比例</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0.00%</w:t>
      </w:r>
      <w:r>
        <w:rPr>
          <w:rFonts w:ascii="宋体" w:hAnsi="宋体" w:cs="宋体" w:eastAsia="宋体" w:hint="default"/>
          <w:sz w:val="18"/>
          <w:szCs w:val="18"/>
        </w:rPr>
        <w:t>。</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12</w:t>
      </w:r>
      <w:r>
        <w:rPr/>
        <w:t>、商誉</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8"/>
        <w:gridCol w:w="1363"/>
        <w:gridCol w:w="1368"/>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8" w:right="46"/>
              <w:jc w:val="center"/>
              <w:rPr>
                <w:rFonts w:ascii="宋体" w:hAnsi="宋体" w:cs="宋体" w:eastAsia="宋体" w:hint="default"/>
                <w:sz w:val="18"/>
                <w:szCs w:val="18"/>
              </w:rPr>
            </w:pPr>
            <w:r>
              <w:rPr>
                <w:rFonts w:ascii="宋体" w:hAnsi="宋体" w:cs="宋体" w:eastAsia="宋体" w:hint="default"/>
                <w:spacing w:val="-3"/>
                <w:sz w:val="18"/>
                <w:szCs w:val="18"/>
              </w:rPr>
              <w:t>被投资单位名称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或形成商誉的事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项</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pacing w:val="-3"/>
                <w:sz w:val="18"/>
                <w:szCs w:val="18"/>
              </w:rPr>
              <w:t>企业合并形成的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其他</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处置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浙江安诺其助剂</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7,016,357.36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7,016,357.36</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江苏安诺其化工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2,872,800.81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2,872,800.81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9,889,158.17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9,889,158.17</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4"/>
        <w:gridCol w:w="1380"/>
        <w:gridCol w:w="1368"/>
        <w:gridCol w:w="1368"/>
        <w:gridCol w:w="1363"/>
        <w:gridCol w:w="1368"/>
        <w:gridCol w:w="1368"/>
      </w:tblGrid>
      <w:tr>
        <w:trPr>
          <w:trHeight w:val="312"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6" w:right="34"/>
              <w:jc w:val="center"/>
              <w:rPr>
                <w:rFonts w:ascii="宋体" w:hAnsi="宋体" w:cs="宋体" w:eastAsia="宋体" w:hint="default"/>
                <w:sz w:val="18"/>
                <w:szCs w:val="18"/>
              </w:rPr>
            </w:pPr>
            <w:r>
              <w:rPr>
                <w:rFonts w:ascii="宋体" w:hAnsi="宋体" w:cs="宋体" w:eastAsia="宋体" w:hint="default"/>
                <w:spacing w:val="-3"/>
                <w:sz w:val="18"/>
                <w:szCs w:val="18"/>
              </w:rPr>
              <w:t>被投资单位名称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或形成商誉的事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项</w:t>
            </w:r>
          </w:p>
        </w:tc>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1" w:hRule="exact"/>
        </w:trPr>
        <w:tc>
          <w:tcPr>
            <w:tcW w:w="1344" w:type="dxa"/>
            <w:vMerge/>
            <w:tcBorders>
              <w:left w:val="single" w:sz="4" w:space="0" w:color="000000"/>
              <w:right w:val="single" w:sz="4" w:space="0" w:color="000000"/>
            </w:tcBorders>
            <w:shd w:val="clear" w:color="auto" w:fill="D2D2D2"/>
          </w:tcPr>
          <w:p>
            <w:pP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2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6" w:type="dxa"/>
            <w:gridSpan w:val="2"/>
            <w:vMerge/>
            <w:tcBorders>
              <w:left w:val="single" w:sz="4" w:space="0" w:color="000000"/>
              <w:bottom w:val="single" w:sz="4" w:space="0" w:color="000000"/>
              <w:right w:val="single" w:sz="4" w:space="0" w:color="000000"/>
            </w:tcBorders>
            <w:shd w:val="clear" w:color="auto" w:fill="D2D2D2"/>
          </w:tcPr>
          <w:p>
            <w:pPr/>
          </w:p>
        </w:tc>
        <w:tc>
          <w:tcPr>
            <w:tcW w:w="2731"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47" w:hRule="exact"/>
        </w:trPr>
        <w:tc>
          <w:tcPr>
            <w:tcW w:w="1344" w:type="dxa"/>
            <w:vMerge/>
            <w:tcBorders>
              <w:left w:val="single" w:sz="4" w:space="0" w:color="000000"/>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其他</w:t>
            </w:r>
          </w:p>
        </w:tc>
        <w:tc>
          <w:tcPr>
            <w:tcW w:w="13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right="7"/>
              <w:jc w:val="center"/>
              <w:rPr>
                <w:rFonts w:ascii="宋体" w:hAnsi="宋体" w:cs="宋体" w:eastAsia="宋体" w:hint="default"/>
                <w:sz w:val="18"/>
                <w:szCs w:val="18"/>
              </w:rPr>
            </w:pPr>
            <w:r>
              <w:rPr>
                <w:rFonts w:ascii="宋体" w:hAnsi="宋体" w:cs="宋体" w:eastAsia="宋体" w:hint="default"/>
                <w:sz w:val="18"/>
                <w:szCs w:val="18"/>
              </w:rPr>
              <w:t>处置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right="2"/>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nil" w:sz="6" w:space="0" w:color="auto"/>
              <w:right w:val="single" w:sz="4" w:space="0" w:color="000000"/>
            </w:tcBorders>
            <w:shd w:val="clear" w:color="auto" w:fill="D2D2D2"/>
          </w:tcPr>
          <w:p>
            <w:pPr/>
          </w:p>
        </w:tc>
      </w:tr>
      <w:tr>
        <w:trPr>
          <w:trHeight w:val="322"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3"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8" w:space="0" w:color="D2D2D2"/>
              <w:left w:val="single" w:sz="4" w:space="0" w:color="000000"/>
              <w:bottom w:val="single" w:sz="4" w:space="0" w:color="000000"/>
              <w:right w:val="single" w:sz="4" w:space="0" w:color="000000"/>
            </w:tcBorders>
          </w:tcPr>
          <w:p>
            <w:pPr/>
          </w:p>
        </w:tc>
        <w:tc>
          <w:tcPr>
            <w:tcW w:w="1368" w:type="dxa"/>
            <w:tcBorders>
              <w:top w:val="single" w:sz="48" w:space="0" w:color="D2D2D2"/>
              <w:left w:val="single" w:sz="4" w:space="0" w:color="000000"/>
              <w:bottom w:val="single" w:sz="4" w:space="0" w:color="000000"/>
              <w:right w:val="single" w:sz="4" w:space="0" w:color="000000"/>
            </w:tcBorders>
          </w:tcPr>
          <w:p>
            <w:pPr/>
          </w:p>
        </w:tc>
        <w:tc>
          <w:tcPr>
            <w:tcW w:w="1363" w:type="dxa"/>
            <w:tcBorders>
              <w:top w:val="single" w:sz="48" w:space="0" w:color="D2D2D2"/>
              <w:left w:val="single" w:sz="4" w:space="0" w:color="000000"/>
              <w:bottom w:val="single" w:sz="4" w:space="0" w:color="000000"/>
              <w:right w:val="single" w:sz="4" w:space="0" w:color="000000"/>
            </w:tcBorders>
          </w:tcPr>
          <w:p>
            <w:pPr/>
          </w:p>
        </w:tc>
        <w:tc>
          <w:tcPr>
            <w:tcW w:w="1368" w:type="dxa"/>
            <w:tcBorders>
              <w:top w:val="single" w:sz="48" w:space="0" w:color="D2D2D2"/>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410" w:lineRule="auto" w:before="66"/>
        <w:ind w:left="575" w:right="0"/>
        <w:jc w:val="left"/>
      </w:pPr>
      <w:r>
        <w:rPr/>
        <w:t>说明商誉减值测试过程、参数及商誉减值损失的确认方法：</w:t>
      </w:r>
      <w:r>
        <w:rPr>
          <w:w w:val="100"/>
        </w:rPr>
        <w:t> </w:t>
      </w:r>
      <w:r>
        <w:rPr>
          <w:spacing w:val="-2"/>
        </w:rPr>
        <w:t>本公司董事会认为：本年年末对商誉进行了测试，按估计未来来自资产组的现金流量，同时选择恰当</w:t>
      </w:r>
    </w:p>
    <w:p>
      <w:pPr>
        <w:pStyle w:val="BodyText"/>
        <w:spacing w:line="240" w:lineRule="auto" w:before="41"/>
        <w:ind w:right="0"/>
        <w:jc w:val="left"/>
      </w:pPr>
      <w:r>
        <w:rPr/>
        <w:t>的折现率计算未来现金流量的现值与商誉原值进行测试比较，未发现减值迹象，故无需计提减值准备.</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13</w:t>
      </w:r>
      <w:r>
        <w:rPr/>
        <w:t>、长期待摊费用</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8"/>
        <w:gridCol w:w="1594"/>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4"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3"/>
              <w:jc w:val="left"/>
              <w:rPr>
                <w:rFonts w:ascii="宋体" w:hAnsi="宋体" w:cs="宋体" w:eastAsia="宋体" w:hint="default"/>
                <w:sz w:val="18"/>
                <w:szCs w:val="18"/>
              </w:rPr>
            </w:pPr>
            <w:r>
              <w:rPr>
                <w:rFonts w:ascii="宋体" w:hAnsi="宋体" w:cs="宋体" w:eastAsia="宋体" w:hint="default"/>
                <w:spacing w:val="-2"/>
                <w:sz w:val="18"/>
                <w:szCs w:val="18"/>
              </w:rPr>
              <w:t>院士工作站项目费</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用</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116,666.76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116,666.76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116,666.76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116,666.76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14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30"/>
        <w:gridCol w:w="1910"/>
        <w:gridCol w:w="1915"/>
        <w:gridCol w:w="1915"/>
      </w:tblGrid>
      <w:tr>
        <w:trPr>
          <w:trHeight w:val="197"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40"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30"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r>
      <w:tr>
        <w:trPr>
          <w:trHeight w:val="213"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30" w:type="dxa"/>
            <w:vMerge/>
            <w:tcBorders>
              <w:left w:val="single" w:sz="4" w:space="0" w:color="000000"/>
              <w:bottom w:val="single" w:sz="4" w:space="0" w:color="000000"/>
              <w:right w:val="single" w:sz="4" w:space="0" w:color="000000"/>
            </w:tcBorders>
            <w:shd w:val="clear" w:color="auto" w:fill="D2D2D2"/>
          </w:tcPr>
          <w:p>
            <w:pPr/>
          </w:p>
        </w:tc>
        <w:tc>
          <w:tcPr>
            <w:tcW w:w="1910"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30" w:type="dxa"/>
            <w:tcBorders>
              <w:top w:val="single" w:sz="6"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12,403,216.20</w:t>
            </w:r>
          </w:p>
        </w:tc>
        <w:tc>
          <w:tcPr>
            <w:tcW w:w="191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2,289,681.85</w:t>
            </w:r>
          </w:p>
        </w:tc>
        <w:tc>
          <w:tcPr>
            <w:tcW w:w="191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9,829,493.21</w:t>
            </w:r>
          </w:p>
        </w:tc>
        <w:tc>
          <w:tcPr>
            <w:tcW w:w="191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1,814,297.22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内部交易未实现利润</w:t>
            </w:r>
          </w:p>
        </w:tc>
        <w:tc>
          <w:tcPr>
            <w:tcW w:w="1930"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1,019,647.59</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176,867.08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1,497,555.36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373,899.54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30"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2,185,646.72</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546,411.68</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0"/>
        <w:gridCol w:w="1920"/>
        <w:gridCol w:w="1910"/>
        <w:gridCol w:w="1915"/>
        <w:gridCol w:w="1915"/>
      </w:tblGrid>
      <w:tr>
        <w:trPr>
          <w:trHeight w:val="403"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企业合并</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1,544,115.64</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386,028.91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1,856,823.56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464,205.90</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17,152,626.15</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3,398,989.52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13,183,872.13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2,652,402.66</w:t>
            </w:r>
          </w:p>
        </w:tc>
      </w:tr>
    </w:tbl>
    <w:p>
      <w:pPr>
        <w:spacing w:line="240" w:lineRule="auto" w:before="3"/>
        <w:rPr>
          <w:rFonts w:ascii="宋体" w:hAnsi="宋体" w:cs="宋体" w:eastAsia="宋体" w:hint="default"/>
          <w:sz w:val="19"/>
          <w:szCs w:val="19"/>
        </w:rPr>
      </w:pPr>
    </w:p>
    <w:p>
      <w:pPr>
        <w:pStyle w:val="Heading4"/>
        <w:spacing w:line="335" w:lineRule="exact"/>
        <w:ind w:right="111"/>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22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8"/>
        <w:gridCol w:w="1910"/>
        <w:gridCol w:w="1915"/>
        <w:gridCol w:w="1915"/>
      </w:tblGrid>
      <w:tr>
        <w:trPr>
          <w:trHeight w:val="197"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1"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8"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28"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3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r>
      <w:tr>
        <w:trPr>
          <w:trHeight w:val="21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8" w:type="dxa"/>
            <w:vMerge/>
            <w:tcBorders>
              <w:left w:val="single" w:sz="4" w:space="0" w:color="000000"/>
              <w:bottom w:val="single" w:sz="4" w:space="0" w:color="000000"/>
              <w:right w:val="single" w:sz="4" w:space="0" w:color="000000"/>
            </w:tcBorders>
            <w:shd w:val="clear" w:color="auto" w:fill="D2D2D2"/>
          </w:tcPr>
          <w:p>
            <w:pPr/>
          </w:p>
        </w:tc>
        <w:tc>
          <w:tcPr>
            <w:tcW w:w="1910"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710"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72"/>
              <w:jc w:val="left"/>
              <w:rPr>
                <w:rFonts w:ascii="宋体" w:hAnsi="宋体" w:cs="宋体" w:eastAsia="宋体" w:hint="default"/>
                <w:sz w:val="18"/>
                <w:szCs w:val="18"/>
              </w:rPr>
            </w:pPr>
            <w:r>
              <w:rPr>
                <w:rFonts w:ascii="宋体" w:hAnsi="宋体" w:cs="宋体" w:eastAsia="宋体" w:hint="default"/>
                <w:spacing w:val="-2"/>
                <w:sz w:val="18"/>
                <w:szCs w:val="18"/>
              </w:rPr>
              <w:t>非同一控制企业合并资</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产评估增值</w:t>
            </w:r>
          </w:p>
        </w:tc>
        <w:tc>
          <w:tcPr>
            <w:tcW w:w="191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13,657,185.26</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2,513,122.92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14,587,466.32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2,664,576.50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13,657,185.26</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2,513,122.92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14,587,466.32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2,664,576.50</w:t>
            </w:r>
          </w:p>
        </w:tc>
      </w:tr>
    </w:tbl>
    <w:p>
      <w:pPr>
        <w:spacing w:line="240" w:lineRule="auto" w:before="3"/>
        <w:rPr>
          <w:rFonts w:ascii="宋体" w:hAnsi="宋体" w:cs="宋体" w:eastAsia="宋体" w:hint="default"/>
          <w:sz w:val="19"/>
          <w:szCs w:val="19"/>
        </w:rPr>
      </w:pPr>
    </w:p>
    <w:p>
      <w:pPr>
        <w:pStyle w:val="Heading4"/>
        <w:spacing w:line="335" w:lineRule="exact"/>
        <w:ind w:right="111"/>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22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0"/>
        <w:gridCol w:w="1910"/>
        <w:gridCol w:w="1915"/>
        <w:gridCol w:w="1915"/>
      </w:tblGrid>
      <w:tr>
        <w:trPr>
          <w:trHeight w:val="158"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22" w:right="50" w:hanging="360"/>
              <w:jc w:val="left"/>
              <w:rPr>
                <w:rFonts w:ascii="宋体" w:hAnsi="宋体" w:cs="宋体" w:eastAsia="宋体" w:hint="default"/>
                <w:sz w:val="18"/>
                <w:szCs w:val="18"/>
              </w:rPr>
            </w:pPr>
            <w:r>
              <w:rPr>
                <w:rFonts w:ascii="宋体" w:hAnsi="宋体" w:cs="宋体" w:eastAsia="宋体" w:hint="default"/>
                <w:spacing w:val="-2"/>
                <w:sz w:val="18"/>
                <w:szCs w:val="18"/>
              </w:rPr>
              <w:t>递延所得税资产和负债</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期末互抵金额</w:t>
            </w:r>
          </w:p>
        </w:tc>
        <w:tc>
          <w:tcPr>
            <w:tcW w:w="191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16" w:right="46" w:hanging="269"/>
              <w:jc w:val="left"/>
              <w:rPr>
                <w:rFonts w:ascii="宋体" w:hAnsi="宋体" w:cs="宋体" w:eastAsia="宋体" w:hint="default"/>
                <w:sz w:val="18"/>
                <w:szCs w:val="18"/>
              </w:rPr>
            </w:pPr>
            <w:r>
              <w:rPr>
                <w:rFonts w:ascii="宋体" w:hAnsi="宋体" w:cs="宋体" w:eastAsia="宋体" w:hint="default"/>
                <w:spacing w:val="-2"/>
                <w:sz w:val="18"/>
                <w:szCs w:val="18"/>
              </w:rPr>
              <w:t>抵销后递延所得税资产</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或负债期末余额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07" w:right="46" w:hanging="356"/>
              <w:jc w:val="left"/>
              <w:rPr>
                <w:rFonts w:ascii="宋体" w:hAnsi="宋体" w:cs="宋体" w:eastAsia="宋体" w:hint="default"/>
                <w:sz w:val="18"/>
                <w:szCs w:val="18"/>
              </w:rPr>
            </w:pPr>
            <w:r>
              <w:rPr>
                <w:rFonts w:ascii="宋体" w:hAnsi="宋体" w:cs="宋体" w:eastAsia="宋体" w:hint="default"/>
                <w:spacing w:val="-2"/>
                <w:sz w:val="18"/>
                <w:szCs w:val="18"/>
              </w:rPr>
              <w:t>递延所得税资产和负债</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期初互抵金额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21" w:right="46" w:hanging="269"/>
              <w:jc w:val="left"/>
              <w:rPr>
                <w:rFonts w:ascii="宋体" w:hAnsi="宋体" w:cs="宋体" w:eastAsia="宋体" w:hint="default"/>
                <w:sz w:val="18"/>
                <w:szCs w:val="18"/>
              </w:rPr>
            </w:pPr>
            <w:r>
              <w:rPr>
                <w:rFonts w:ascii="宋体" w:hAnsi="宋体" w:cs="宋体" w:eastAsia="宋体" w:hint="default"/>
                <w:spacing w:val="-2"/>
                <w:sz w:val="18"/>
                <w:szCs w:val="18"/>
              </w:rPr>
              <w:t>抵销后递延所得税资产</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或负债期初余额</w:t>
            </w:r>
          </w:p>
        </w:tc>
      </w:tr>
      <w:tr>
        <w:trPr>
          <w:trHeight w:val="394"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vMerge/>
            <w:tcBorders>
              <w:left w:val="single" w:sz="4" w:space="0" w:color="000000"/>
              <w:right w:val="single" w:sz="4" w:space="0" w:color="000000"/>
            </w:tcBorders>
            <w:shd w:val="clear" w:color="auto" w:fill="D2D2D2"/>
          </w:tcPr>
          <w:p>
            <w:pPr/>
          </w:p>
        </w:tc>
        <w:tc>
          <w:tcPr>
            <w:tcW w:w="1910" w:type="dxa"/>
            <w:vMerge/>
            <w:tcBorders>
              <w:left w:val="single" w:sz="4" w:space="0" w:color="000000"/>
              <w:right w:val="single" w:sz="4" w:space="0" w:color="000000"/>
            </w:tcBorders>
            <w:shd w:val="clear" w:color="auto" w:fill="D2D2D2"/>
          </w:tcPr>
          <w:p>
            <w:pPr/>
          </w:p>
        </w:tc>
        <w:tc>
          <w:tcPr>
            <w:tcW w:w="1915" w:type="dxa"/>
            <w:vMerge/>
            <w:tcBorders>
              <w:left w:val="single" w:sz="4" w:space="0" w:color="000000"/>
              <w:right w:val="single" w:sz="4" w:space="0" w:color="000000"/>
            </w:tcBorders>
            <w:shd w:val="clear" w:color="auto" w:fill="D2D2D2"/>
          </w:tcPr>
          <w:p>
            <w:pPr/>
          </w:p>
        </w:tc>
        <w:tc>
          <w:tcPr>
            <w:tcW w:w="1915" w:type="dxa"/>
            <w:vMerge/>
            <w:tcBorders>
              <w:left w:val="single" w:sz="4" w:space="0" w:color="000000"/>
              <w:right w:val="single" w:sz="4" w:space="0" w:color="000000"/>
            </w:tcBorders>
            <w:shd w:val="clear" w:color="auto" w:fill="D2D2D2"/>
          </w:tcPr>
          <w:p>
            <w:pPr/>
          </w:p>
        </w:tc>
      </w:tr>
      <w:tr>
        <w:trPr>
          <w:trHeight w:val="163"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30" w:type="dxa"/>
            <w:vMerge/>
            <w:tcBorders>
              <w:left w:val="single" w:sz="4" w:space="0" w:color="000000"/>
              <w:bottom w:val="single" w:sz="4" w:space="0" w:color="000000"/>
              <w:right w:val="single" w:sz="4" w:space="0" w:color="000000"/>
            </w:tcBorders>
            <w:shd w:val="clear" w:color="auto" w:fill="D2D2D2"/>
          </w:tcPr>
          <w:p>
            <w:pPr/>
          </w:p>
        </w:tc>
        <w:tc>
          <w:tcPr>
            <w:tcW w:w="1910"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30" w:type="dxa"/>
            <w:tcBorders>
              <w:top w:val="single" w:sz="4" w:space="0" w:color="000000"/>
              <w:left w:val="single" w:sz="8" w:space="0" w:color="D2D2D2"/>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3,398,989.52</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2,652,402.66</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930" w:type="dxa"/>
            <w:tcBorders>
              <w:top w:val="single" w:sz="4" w:space="0" w:color="000000"/>
              <w:left w:val="single" w:sz="8" w:space="0" w:color="D2D2D2"/>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2,513,122.92</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2,664,576.50</w:t>
            </w:r>
          </w:p>
        </w:tc>
      </w:tr>
    </w:tbl>
    <w:p>
      <w:pPr>
        <w:spacing w:line="240" w:lineRule="auto" w:before="3"/>
        <w:rPr>
          <w:rFonts w:ascii="宋体" w:hAnsi="宋体" w:cs="宋体" w:eastAsia="宋体" w:hint="default"/>
          <w:sz w:val="19"/>
          <w:szCs w:val="19"/>
        </w:rPr>
      </w:pPr>
    </w:p>
    <w:p>
      <w:pPr>
        <w:pStyle w:val="Heading4"/>
        <w:spacing w:line="335" w:lineRule="exact"/>
        <w:ind w:right="111"/>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22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2"/>
      </w:tblGrid>
      <w:tr>
        <w:trPr>
          <w:trHeight w:val="400"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z w:val="18"/>
              </w:rPr>
              <w:t>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410" w:lineRule="auto" w:before="66"/>
        <w:ind w:left="575" w:right="111"/>
        <w:jc w:val="left"/>
      </w:pPr>
      <w:r>
        <w:rPr/>
        <w:t>其他说明：</w:t>
      </w:r>
      <w:r>
        <w:rPr>
          <w:spacing w:val="-100"/>
        </w:rPr>
        <w:t> </w:t>
      </w:r>
      <w:r>
        <w:rPr>
          <w:spacing w:val="-5"/>
        </w:rPr>
        <w:t>递延所得税负债产生的原因为：公司购买浙江安诺其以及江苏永庆的股权，属于非同一控制下的合并，</w:t>
      </w:r>
    </w:p>
    <w:p>
      <w:pPr>
        <w:pStyle w:val="BodyText"/>
        <w:spacing w:line="410" w:lineRule="auto" w:before="41"/>
        <w:ind w:left="575" w:right="231" w:hanging="423"/>
        <w:jc w:val="left"/>
      </w:pPr>
      <w:r>
        <w:rPr/>
        <w:t>根据并购日可辨认资产公允价值与计税基础间差额形成的应纳税暂时性差异确认递延所得税负债。</w:t>
      </w:r>
      <w:r>
        <w:rPr>
          <w:w w:val="100"/>
        </w:rPr>
        <w:t> </w:t>
      </w:r>
      <w:r>
        <w:rPr/>
        <w:t>递延所得税资产-企业合并产生的原因为：公司购买江苏永庆的股权，属于非同一控制下的合并，根</w:t>
      </w:r>
    </w:p>
    <w:p>
      <w:pPr>
        <w:pStyle w:val="BodyText"/>
        <w:spacing w:line="240" w:lineRule="auto" w:before="41"/>
        <w:ind w:right="111"/>
        <w:jc w:val="left"/>
      </w:pPr>
      <w:r>
        <w:rPr/>
        <w:t>据并购日可辨认资产公允价值与计税基础间差额形成的应纳税暂时性差异确认递延所得税资产。</w:t>
      </w:r>
    </w:p>
    <w:p>
      <w:pPr>
        <w:spacing w:line="240" w:lineRule="auto" w:before="9"/>
        <w:rPr>
          <w:rFonts w:ascii="宋体" w:hAnsi="宋体" w:cs="宋体" w:eastAsia="宋体" w:hint="default"/>
          <w:sz w:val="26"/>
          <w:szCs w:val="26"/>
        </w:rPr>
      </w:pPr>
    </w:p>
    <w:p>
      <w:pPr>
        <w:pStyle w:val="Heading4"/>
        <w:spacing w:line="240" w:lineRule="auto"/>
        <w:ind w:right="111"/>
        <w:jc w:val="left"/>
        <w:rPr>
          <w:b w:val="0"/>
          <w:bCs w:val="0"/>
        </w:rPr>
      </w:pPr>
      <w:r>
        <w:rPr>
          <w:rFonts w:ascii="Times New Roman" w:hAnsi="Times New Roman" w:cs="Times New Roman" w:eastAsia="Times New Roman" w:hint="default"/>
        </w:rPr>
        <w:t>15</w:t>
      </w:r>
      <w:r>
        <w:rPr/>
        <w:t>、其他非流动资产</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0" w:right="22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预付土地款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24,810,276.00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23,000,000.00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24,810,276.00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23,000,000.00</w:t>
            </w:r>
          </w:p>
        </w:tc>
      </w:tr>
    </w:tbl>
    <w:p>
      <w:pPr>
        <w:spacing w:after="0" w:line="240" w:lineRule="auto"/>
        <w:jc w:val="right"/>
        <w:rPr>
          <w:rFonts w:ascii="Times New Roman" w:hAnsi="Times New Roman" w:cs="Times New Roman" w:eastAsia="Times New Roman" w:hint="default"/>
          <w:sz w:val="18"/>
          <w:szCs w:val="18"/>
        </w:rPr>
        <w:sectPr>
          <w:pgSz w:w="11900" w:h="16840"/>
          <w:pgMar w:header="742" w:footer="984" w:top="1060" w:bottom="1180" w:left="980" w:right="9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40" w:lineRule="auto"/>
        <w:ind w:left="0" w:right="223"/>
        <w:jc w:val="right"/>
      </w:pPr>
      <w:r>
        <w:rPr>
          <w:spacing w:val="-2"/>
        </w:rPr>
        <w:t>其他说明：期末其他非流动资产为本公司预付东营土地储备中心以及蓬莱市北沟镇人民政府土地款.</w:t>
      </w:r>
    </w:p>
    <w:p>
      <w:pPr>
        <w:spacing w:line="240" w:lineRule="auto" w:before="5"/>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16</w:t>
      </w:r>
      <w:r>
        <w:rPr/>
        <w:t>、短期借款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2"/>
      </w:tblGrid>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25,000,000.00</w:t>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25,000,000.00</w:t>
            </w:r>
          </w:p>
        </w:tc>
        <w:tc>
          <w:tcPr>
            <w:tcW w:w="31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66"/>
        <w:ind w:left="575" w:right="0"/>
        <w:jc w:val="left"/>
      </w:pPr>
      <w:r>
        <w:rPr/>
        <w:t>短期借款分类的说明：信用借款系子公司烟台安诺其纺织材料有限公司提供担保取得.</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17</w:t>
      </w:r>
      <w:r>
        <w:rPr/>
        <w:t>、应付票据</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2"/>
      </w:tblGrid>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22,000,000.00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22,000,000.00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25,000,000.00</w:t>
            </w:r>
          </w:p>
        </w:tc>
      </w:tr>
    </w:tbl>
    <w:p>
      <w:pPr>
        <w:spacing w:before="53"/>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本期末已到期未支付的应付票据总额为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18</w:t>
      </w:r>
      <w:r>
        <w:rPr/>
        <w:t>、应付账款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33,297,661.71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47,438,935.24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161,842.92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56,921.59</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33,459,504.63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47,495,856.83</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年的重要应付账款</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14"/>
        <w:gridCol w:w="3168"/>
      </w:tblGrid>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14" w:type="dxa"/>
            <w:tcBorders>
              <w:top w:val="single" w:sz="4" w:space="0" w:color="000000"/>
              <w:left w:val="single" w:sz="8" w:space="0" w:color="D2D2D2"/>
              <w:bottom w:val="single" w:sz="4" w:space="0" w:color="000000"/>
              <w:right w:val="single" w:sz="10" w:space="0" w:color="D2D2D2"/>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0.00</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66"/>
        <w:ind w:left="575" w:right="0"/>
        <w:jc w:val="left"/>
      </w:pPr>
      <w:r>
        <w:rPr/>
        <w:t>其他说明：本报告期应付账款中无应付持有公司5%以上(含5%)表决权股份的股东款项或关联方款项。</w:t>
      </w:r>
    </w:p>
    <w:p>
      <w:pPr>
        <w:spacing w:after="0" w:line="240" w:lineRule="auto"/>
        <w:jc w:val="left"/>
        <w:sectPr>
          <w:pgSz w:w="11900" w:h="16840"/>
          <w:pgMar w:header="742" w:footer="984" w:top="1060" w:bottom="1180" w:left="980" w:right="980"/>
        </w:sectPr>
      </w:pPr>
    </w:p>
    <w:p>
      <w:pPr>
        <w:spacing w:line="240" w:lineRule="auto" w:before="4"/>
        <w:rPr>
          <w:rFonts w:ascii="宋体" w:hAnsi="宋体" w:cs="宋体" w:eastAsia="宋体" w:hint="default"/>
          <w:sz w:val="25"/>
          <w:szCs w:val="25"/>
        </w:rPr>
      </w:pPr>
    </w:p>
    <w:p>
      <w:pPr>
        <w:pStyle w:val="Heading4"/>
        <w:spacing w:line="335" w:lineRule="exact"/>
        <w:ind w:right="0"/>
        <w:jc w:val="left"/>
        <w:rPr>
          <w:b w:val="0"/>
          <w:bCs w:val="0"/>
        </w:rPr>
      </w:pPr>
      <w:r>
        <w:rPr>
          <w:rFonts w:ascii="Times New Roman" w:hAnsi="Times New Roman" w:cs="Times New Roman" w:eastAsia="Times New Roman" w:hint="default"/>
        </w:rPr>
        <w:t>19</w:t>
      </w:r>
      <w:r>
        <w:rPr/>
        <w:t>、预收款项</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7,280,297.69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2,395,947.18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148,124.55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7,280,297.69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2,544,071.73</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年的重要预收款项</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14"/>
        <w:gridCol w:w="3168"/>
      </w:tblGrid>
      <w:tr>
        <w:trPr>
          <w:trHeight w:val="398"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14" w:type="dxa"/>
            <w:tcBorders>
              <w:top w:val="single" w:sz="4" w:space="0" w:color="000000"/>
              <w:left w:val="single" w:sz="8" w:space="0" w:color="D2D2D2"/>
              <w:bottom w:val="single" w:sz="4" w:space="0" w:color="000000"/>
              <w:right w:val="single" w:sz="10" w:space="0" w:color="D2D2D2"/>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0.00</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20</w:t>
      </w:r>
      <w:r>
        <w:rPr/>
        <w:t>、应付职工薪酬</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30"/>
        <w:gridCol w:w="1910"/>
        <w:gridCol w:w="1915"/>
        <w:gridCol w:w="1915"/>
      </w:tblGrid>
      <w:tr>
        <w:trPr>
          <w:trHeight w:val="39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8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30"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4,097,690.58</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59,326,374.73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52,875,800.63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10,548,264.68</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2"/>
              <w:jc w:val="left"/>
              <w:rPr>
                <w:rFonts w:ascii="宋体" w:hAnsi="宋体" w:cs="宋体" w:eastAsia="宋体" w:hint="default"/>
                <w:sz w:val="18"/>
                <w:szCs w:val="18"/>
              </w:rPr>
            </w:pPr>
            <w:r>
              <w:rPr>
                <w:rFonts w:ascii="宋体" w:hAnsi="宋体" w:cs="宋体" w:eastAsia="宋体" w:hint="default"/>
                <w:spacing w:val="-3"/>
                <w:sz w:val="18"/>
                <w:szCs w:val="18"/>
              </w:rPr>
              <w:t>二、离职后福利</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设定提</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存计划</w:t>
            </w:r>
          </w:p>
        </w:tc>
        <w:tc>
          <w:tcPr>
            <w:tcW w:w="1930"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58,886.29</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5,176,982.48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5,237,995.89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-2,127.12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4,156,576.87</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64,503,357.21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58,113,796.52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10,546,137.56</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30"/>
        <w:gridCol w:w="1910"/>
        <w:gridCol w:w="1915"/>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8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、工资、奖金、津贴和</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补贴</w:t>
            </w:r>
          </w:p>
        </w:tc>
        <w:tc>
          <w:tcPr>
            <w:tcW w:w="1930"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4,091,514.89</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51,007,697.12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44,548,475.45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10,550,736.56</w:t>
            </w:r>
          </w:p>
        </w:tc>
      </w:tr>
      <w:tr>
        <w:trPr>
          <w:trHeight w:val="39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30" w:type="dxa"/>
            <w:tcBorders>
              <w:top w:val="single" w:sz="4" w:space="0" w:color="000000"/>
              <w:left w:val="single" w:sz="8" w:space="0" w:color="D2D2D2"/>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2,229,424.87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2,229,424.87</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30"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12,791.69</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2,889,808.89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2,903,560.46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-959.88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0"/>
              <w:jc w:val="right"/>
              <w:rPr>
                <w:rFonts w:ascii="宋体" w:hAnsi="宋体" w:cs="宋体" w:eastAsia="宋体" w:hint="default"/>
                <w:sz w:val="18"/>
                <w:szCs w:val="18"/>
              </w:rPr>
            </w:pPr>
            <w:r>
              <w:rPr>
                <w:rFonts w:ascii="宋体" w:hAnsi="宋体" w:cs="宋体" w:eastAsia="宋体" w:hint="default"/>
                <w:spacing w:val="-2"/>
                <w:sz w:val="18"/>
                <w:szCs w:val="18"/>
              </w:rPr>
              <w:t>其中：医疗保险费</w:t>
            </w:r>
          </w:p>
        </w:tc>
        <w:tc>
          <w:tcPr>
            <w:tcW w:w="1930"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13,157.22</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2,403,455.38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2,417,414.99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-802.40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0"/>
              <w:jc w:val="right"/>
              <w:rPr>
                <w:rFonts w:ascii="宋体" w:hAnsi="宋体" w:cs="宋体" w:eastAsia="宋体" w:hint="default"/>
                <w:sz w:val="18"/>
                <w:szCs w:val="18"/>
              </w:rPr>
            </w:pPr>
            <w:r>
              <w:rPr>
                <w:rFonts w:ascii="宋体" w:hAnsi="宋体" w:cs="宋体" w:eastAsia="宋体" w:hint="default"/>
                <w:spacing w:val="-2"/>
                <w:sz w:val="18"/>
                <w:szCs w:val="18"/>
              </w:rPr>
              <w:t>工伤保险费</w:t>
            </w:r>
          </w:p>
        </w:tc>
        <w:tc>
          <w:tcPr>
            <w:tcW w:w="1930"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-136.88</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259,796.86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259,731.90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-71.92</w:t>
            </w:r>
          </w:p>
        </w:tc>
      </w:tr>
      <w:tr>
        <w:trPr>
          <w:trHeight w:val="39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0"/>
              <w:jc w:val="right"/>
              <w:rPr>
                <w:rFonts w:ascii="宋体" w:hAnsi="宋体" w:cs="宋体" w:eastAsia="宋体" w:hint="default"/>
                <w:sz w:val="18"/>
                <w:szCs w:val="18"/>
              </w:rPr>
            </w:pPr>
            <w:r>
              <w:rPr>
                <w:rFonts w:ascii="宋体" w:hAnsi="宋体" w:cs="宋体" w:eastAsia="宋体" w:hint="default"/>
                <w:spacing w:val="-2"/>
                <w:sz w:val="18"/>
                <w:szCs w:val="18"/>
              </w:rPr>
              <w:t>生育保险费</w:t>
            </w:r>
          </w:p>
        </w:tc>
        <w:tc>
          <w:tcPr>
            <w:tcW w:w="1930"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-228.65</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226,556.65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226,413.57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-85.57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30"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-6,616.00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1,510,291.21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1,505,187.21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-1,512.00</w:t>
            </w:r>
          </w:p>
        </w:tc>
      </w:tr>
    </w:tbl>
    <w:p>
      <w:pPr>
        <w:spacing w:after="0" w:line="240" w:lineRule="auto"/>
        <w:jc w:val="right"/>
        <w:rPr>
          <w:rFonts w:ascii="Times New Roman" w:hAnsi="Times New Roman" w:cs="Times New Roman" w:eastAsia="Times New Roman" w:hint="default"/>
          <w:sz w:val="18"/>
          <w:szCs w:val="18"/>
        </w:rPr>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0"/>
        <w:gridCol w:w="1920"/>
        <w:gridCol w:w="1910"/>
        <w:gridCol w:w="1915"/>
        <w:gridCol w:w="1915"/>
      </w:tblGrid>
      <w:tr>
        <w:trPr>
          <w:trHeight w:val="715"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、工会经费和职工教育</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经费</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1,611,930.64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1,611,930.64</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77,222.00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77,222.00</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36" w:right="0"/>
              <w:jc w:val="left"/>
              <w:rPr>
                <w:rFonts w:ascii="Times New Roman" w:hAnsi="Times New Roman" w:cs="Times New Roman" w:eastAsia="Times New Roman" w:hint="default"/>
                <w:sz w:val="18"/>
                <w:szCs w:val="18"/>
              </w:rPr>
            </w:pPr>
            <w:r>
              <w:rPr>
                <w:rFonts w:ascii="Times New Roman"/>
                <w:sz w:val="18"/>
              </w:rPr>
              <w:t>4,097,690.58</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59,326,374.73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52,875,800.63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40" w:right="0"/>
              <w:jc w:val="left"/>
              <w:rPr>
                <w:rFonts w:ascii="Times New Roman" w:hAnsi="Times New Roman" w:cs="Times New Roman" w:eastAsia="Times New Roman" w:hint="default"/>
                <w:sz w:val="18"/>
                <w:szCs w:val="18"/>
              </w:rPr>
            </w:pPr>
            <w:r>
              <w:rPr>
                <w:rFonts w:ascii="Times New Roman"/>
                <w:sz w:val="18"/>
              </w:rPr>
              <w:t>10,548,264.68</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30"/>
        <w:gridCol w:w="1910"/>
        <w:gridCol w:w="1915"/>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8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30"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55,599.06</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4,838,217.61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4,895,754.55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-1,937.88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30"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3,287.23</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338,764.87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342,241.34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-189.24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58,886.29</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5,176,982.48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5,237,995.89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-2,127.12</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21</w:t>
      </w:r>
      <w:r>
        <w:rPr/>
        <w:t>、应交税费</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3,256,191.01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-7,844,303.11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449,533.15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4,889,286.57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118,894.61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109,091.74</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49,123.66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64,614.00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159,334.25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57,481.24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房产税及印花税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116,978.89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126,018.59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3,122.21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58,257.67</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4,257.67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5,544.35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综合基金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33,120.05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21,330.36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44,440.28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0.01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222,982.08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5,958.60</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4,457,977.86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-2,506,719.98</w:t>
            </w:r>
          </w:p>
        </w:tc>
      </w:tr>
    </w:tbl>
    <w:p>
      <w:pPr>
        <w:pStyle w:val="BodyText"/>
        <w:spacing w:line="410" w:lineRule="auto" w:before="66"/>
        <w:ind w:right="0" w:firstLine="422"/>
        <w:jc w:val="left"/>
      </w:pPr>
      <w:r>
        <w:rPr>
          <w:spacing w:val="-2"/>
        </w:rPr>
        <w:t>其他说明：应交税费本期增加比例为277.84%，变动原因：公司销售收入大幅增加,相应增加增值税销</w:t>
      </w:r>
      <w:r>
        <w:rPr>
          <w:w w:val="100"/>
        </w:rPr>
        <w:t> </w:t>
      </w:r>
      <w:r>
        <w:rPr/>
        <w:t>项税额。</w:t>
      </w:r>
    </w:p>
    <w:p>
      <w:pPr>
        <w:spacing w:line="240" w:lineRule="auto" w:before="12"/>
        <w:rPr>
          <w:rFonts w:ascii="宋体" w:hAnsi="宋体" w:cs="宋体" w:eastAsia="宋体" w:hint="default"/>
          <w:sz w:val="14"/>
          <w:szCs w:val="14"/>
        </w:rPr>
      </w:pPr>
    </w:p>
    <w:p>
      <w:pPr>
        <w:pStyle w:val="Heading4"/>
        <w:spacing w:line="240" w:lineRule="auto"/>
        <w:ind w:right="0"/>
        <w:jc w:val="left"/>
        <w:rPr>
          <w:b w:val="0"/>
          <w:bCs w:val="0"/>
        </w:rPr>
      </w:pPr>
      <w:r>
        <w:rPr>
          <w:rFonts w:ascii="Times New Roman" w:hAnsi="Times New Roman" w:cs="Times New Roman" w:eastAsia="Times New Roman" w:hint="default"/>
        </w:rPr>
        <w:t>22</w:t>
      </w:r>
      <w:r>
        <w:rPr/>
        <w:t>、其他应付款</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25,465,275.24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9,575,915.06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704,518.35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783,070.66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26,169,793.59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10,358,985.72</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2</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年的重要其他应付款</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14"/>
        <w:gridCol w:w="3168"/>
      </w:tblGrid>
      <w:tr>
        <w:trPr>
          <w:trHeight w:val="398"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14" w:type="dxa"/>
            <w:tcBorders>
              <w:top w:val="single" w:sz="4" w:space="0" w:color="000000"/>
              <w:left w:val="single" w:sz="8" w:space="0" w:color="D2D2D2"/>
              <w:bottom w:val="single" w:sz="4" w:space="0" w:color="000000"/>
              <w:right w:val="single" w:sz="10" w:space="0" w:color="D2D2D2"/>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0.00</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410" w:lineRule="auto" w:before="66"/>
        <w:ind w:right="0" w:firstLine="422"/>
        <w:jc w:val="left"/>
      </w:pPr>
      <w:r>
        <w:rPr>
          <w:spacing w:val="-2"/>
        </w:rPr>
        <w:t>其他说明：其他应付款期末数比期初数增加15,799,266.27元，增加比例为152.52%，主要原因为：股</w:t>
      </w:r>
      <w:r>
        <w:rPr>
          <w:w w:val="100"/>
        </w:rPr>
        <w:t> </w:t>
      </w:r>
      <w:r>
        <w:rPr/>
        <w:t>权激励相关回购义务全额确认的负债以及应付的工程款增加。</w:t>
      </w:r>
    </w:p>
    <w:p>
      <w:pPr>
        <w:spacing w:line="240" w:lineRule="auto" w:before="12"/>
        <w:rPr>
          <w:rFonts w:ascii="宋体" w:hAnsi="宋体" w:cs="宋体" w:eastAsia="宋体" w:hint="default"/>
          <w:sz w:val="14"/>
          <w:szCs w:val="14"/>
        </w:rPr>
      </w:pPr>
    </w:p>
    <w:p>
      <w:pPr>
        <w:pStyle w:val="Heading4"/>
        <w:spacing w:line="240" w:lineRule="auto"/>
        <w:ind w:right="0"/>
        <w:jc w:val="left"/>
        <w:rPr>
          <w:b w:val="0"/>
          <w:bCs w:val="0"/>
        </w:rPr>
      </w:pPr>
      <w:r>
        <w:rPr>
          <w:rFonts w:ascii="Times New Roman" w:hAnsi="Times New Roman" w:cs="Times New Roman" w:eastAsia="Times New Roman" w:hint="default"/>
        </w:rPr>
        <w:t>23</w:t>
      </w:r>
      <w:r>
        <w:rPr/>
        <w:t>、股本</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0" w:right="146"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3"/>
        <w:gridCol w:w="1207"/>
        <w:gridCol w:w="1188"/>
        <w:gridCol w:w="1195"/>
        <w:gridCol w:w="1195"/>
        <w:gridCol w:w="1195"/>
        <w:gridCol w:w="1183"/>
        <w:gridCol w:w="1207"/>
      </w:tblGrid>
      <w:tr>
        <w:trPr>
          <w:trHeight w:val="196" w:hRule="exact"/>
        </w:trPr>
        <w:tc>
          <w:tcPr>
            <w:tcW w:w="1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pacing w:val="-3"/>
                <w:sz w:val="18"/>
                <w:szCs w:val="18"/>
              </w:rPr>
              <w:t>本次变动增减（</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1183" w:type="dxa"/>
            <w:vMerge w:val="restart"/>
            <w:tcBorders>
              <w:top w:val="nil" w:sz="6" w:space="0" w:color="auto"/>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3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7"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4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183" w:type="dxa"/>
            <w:vMerge/>
            <w:tcBorders>
              <w:left w:val="single" w:sz="4" w:space="0" w:color="000000"/>
              <w:bottom w:val="nil" w:sz="6" w:space="0" w:color="auto"/>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18"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6"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11" w:hRule="exact"/>
        </w:trPr>
        <w:tc>
          <w:tcPr>
            <w:tcW w:w="1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3"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163,566,000.00</w:t>
            </w:r>
          </w:p>
        </w:tc>
        <w:tc>
          <w:tcPr>
            <w:tcW w:w="118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163,566,000.00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6" w:right="0"/>
              <w:jc w:val="left"/>
              <w:rPr>
                <w:rFonts w:ascii="Times New Roman" w:hAnsi="Times New Roman" w:cs="Times New Roman" w:eastAsia="Times New Roman" w:hint="default"/>
                <w:sz w:val="18"/>
                <w:szCs w:val="18"/>
              </w:rPr>
            </w:pPr>
            <w:r>
              <w:rPr>
                <w:rFonts w:ascii="Times New Roman"/>
                <w:sz w:val="18"/>
              </w:rPr>
              <w:t>2,030,000.00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pacing w:val="-1"/>
                <w:sz w:val="18"/>
              </w:rPr>
              <w:t>165,596,000.00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0" w:right="0"/>
              <w:jc w:val="left"/>
              <w:rPr>
                <w:rFonts w:ascii="Times New Roman" w:hAnsi="Times New Roman" w:cs="Times New Roman" w:eastAsia="Times New Roman" w:hint="default"/>
                <w:sz w:val="18"/>
                <w:szCs w:val="18"/>
              </w:rPr>
            </w:pPr>
            <w:r>
              <w:rPr>
                <w:rFonts w:ascii="Times New Roman"/>
                <w:sz w:val="18"/>
              </w:rPr>
              <w:t>329,162,000.00</w:t>
            </w:r>
          </w:p>
        </w:tc>
      </w:tr>
    </w:tbl>
    <w:p>
      <w:pPr>
        <w:pStyle w:val="BodyText"/>
        <w:spacing w:line="240" w:lineRule="auto" w:before="66"/>
        <w:ind w:left="575" w:right="0"/>
        <w:jc w:val="left"/>
      </w:pPr>
      <w:r>
        <w:rPr/>
        <w:t>其他说明：</w:t>
      </w:r>
      <w:r>
        <w:rPr>
          <w:rFonts w:ascii="Arial" w:hAnsi="Arial" w:cs="Arial" w:eastAsia="Arial" w:hint="default"/>
        </w:rPr>
        <w:t>2014</w:t>
      </w:r>
      <w:r>
        <w:rPr>
          <w:rFonts w:ascii="Arial" w:hAnsi="Arial" w:cs="Arial" w:eastAsia="Arial" w:hint="default"/>
          <w:spacing w:val="-1"/>
        </w:rPr>
        <w:t> </w:t>
      </w:r>
      <w:r>
        <w:rPr/>
        <w:t>年</w:t>
      </w:r>
      <w:r>
        <w:rPr>
          <w:spacing w:val="-45"/>
        </w:rPr>
        <w:t> </w:t>
      </w:r>
      <w:r>
        <w:rPr>
          <w:rFonts w:ascii="Arial" w:hAnsi="Arial" w:cs="Arial" w:eastAsia="Arial" w:hint="default"/>
        </w:rPr>
        <w:t>4 </w:t>
      </w:r>
      <w:r>
        <w:rPr/>
        <w:t>月</w:t>
      </w:r>
      <w:r>
        <w:rPr>
          <w:spacing w:val="-40"/>
        </w:rPr>
        <w:t> </w:t>
      </w:r>
      <w:r>
        <w:rPr>
          <w:rFonts w:ascii="Arial" w:hAnsi="Arial" w:cs="Arial" w:eastAsia="Arial" w:hint="default"/>
        </w:rPr>
        <w:t>18 </w:t>
      </w:r>
      <w:r>
        <w:rPr/>
        <w:t>日，公司</w:t>
      </w:r>
      <w:r>
        <w:rPr>
          <w:spacing w:val="-45"/>
        </w:rPr>
        <w:t> </w:t>
      </w:r>
      <w:r>
        <w:rPr>
          <w:rFonts w:ascii="Arial" w:hAnsi="Arial" w:cs="Arial" w:eastAsia="Arial" w:hint="default"/>
        </w:rPr>
        <w:t>2013</w:t>
      </w:r>
      <w:r>
        <w:rPr>
          <w:rFonts w:ascii="Arial" w:hAnsi="Arial" w:cs="Arial" w:eastAsia="Arial" w:hint="default"/>
          <w:spacing w:val="-1"/>
        </w:rPr>
        <w:t> </w:t>
      </w:r>
      <w:r>
        <w:rPr/>
        <w:t>年年度股东大会审议通过了《公司</w:t>
      </w:r>
      <w:r>
        <w:rPr>
          <w:spacing w:val="-45"/>
        </w:rPr>
        <w:t> </w:t>
      </w:r>
      <w:r>
        <w:rPr>
          <w:rFonts w:ascii="Arial" w:hAnsi="Arial" w:cs="Arial" w:eastAsia="Arial" w:hint="default"/>
          <w:spacing w:val="-3"/>
        </w:rPr>
        <w:t>2013</w:t>
      </w:r>
      <w:r>
        <w:rPr>
          <w:rFonts w:ascii="Arial" w:hAnsi="Arial" w:cs="Arial" w:eastAsia="Arial" w:hint="default"/>
          <w:spacing w:val="-1"/>
        </w:rPr>
        <w:t> </w:t>
      </w:r>
      <w:r>
        <w:rPr/>
        <w:t>年度利润分配预</w:t>
      </w:r>
    </w:p>
    <w:p>
      <w:pPr>
        <w:pStyle w:val="BodyText"/>
        <w:spacing w:line="240" w:lineRule="auto" w:before="180"/>
        <w:ind w:right="0"/>
        <w:jc w:val="both"/>
      </w:pPr>
      <w:r>
        <w:rPr>
          <w:w w:val="100"/>
        </w:rPr>
        <w:t>案</w:t>
      </w:r>
      <w:r>
        <w:rPr>
          <w:spacing w:val="-106"/>
          <w:w w:val="100"/>
        </w:rPr>
        <w:t>》</w:t>
      </w:r>
      <w:r>
        <w:rPr>
          <w:spacing w:val="-5"/>
          <w:w w:val="100"/>
        </w:rPr>
        <w:t>，</w:t>
      </w:r>
      <w:r>
        <w:rPr>
          <w:w w:val="100"/>
        </w:rPr>
        <w:t>以公</w:t>
      </w:r>
      <w:r>
        <w:rPr>
          <w:spacing w:val="-5"/>
          <w:w w:val="100"/>
        </w:rPr>
        <w:t>司</w:t>
      </w:r>
      <w:r>
        <w:rPr>
          <w:w w:val="100"/>
        </w:rPr>
        <w:t>总股本</w:t>
      </w:r>
      <w:r>
        <w:rPr/>
        <w:t> </w:t>
      </w:r>
      <w:r>
        <w:rPr>
          <w:rFonts w:ascii="Arial" w:hAnsi="Arial" w:cs="Arial" w:eastAsia="Arial" w:hint="default"/>
          <w:spacing w:val="-3"/>
          <w:w w:val="100"/>
        </w:rPr>
        <w:t>163</w:t>
      </w:r>
      <w:r>
        <w:rPr>
          <w:rFonts w:ascii="Arial" w:hAnsi="Arial" w:cs="Arial" w:eastAsia="Arial" w:hint="default"/>
          <w:spacing w:val="-2"/>
          <w:w w:val="100"/>
        </w:rPr>
        <w:t>,</w:t>
      </w:r>
      <w:r>
        <w:rPr>
          <w:rFonts w:ascii="Arial" w:hAnsi="Arial" w:cs="Arial" w:eastAsia="Arial" w:hint="default"/>
          <w:spacing w:val="-3"/>
          <w:w w:val="100"/>
        </w:rPr>
        <w:t>566</w:t>
      </w:r>
      <w:r>
        <w:rPr>
          <w:rFonts w:ascii="Arial" w:hAnsi="Arial" w:cs="Arial" w:eastAsia="Arial" w:hint="default"/>
          <w:spacing w:val="-2"/>
          <w:w w:val="100"/>
        </w:rPr>
        <w:t>,</w:t>
      </w:r>
      <w:r>
        <w:rPr>
          <w:rFonts w:ascii="Arial" w:hAnsi="Arial" w:cs="Arial" w:eastAsia="Arial" w:hint="default"/>
          <w:spacing w:val="2"/>
          <w:w w:val="100"/>
        </w:rPr>
        <w:t>0</w:t>
      </w:r>
      <w:r>
        <w:rPr>
          <w:rFonts w:ascii="Arial" w:hAnsi="Arial" w:cs="Arial" w:eastAsia="Arial" w:hint="default"/>
          <w:spacing w:val="-3"/>
          <w:w w:val="100"/>
        </w:rPr>
        <w:t>0</w:t>
      </w:r>
      <w:r>
        <w:rPr>
          <w:rFonts w:ascii="Arial" w:hAnsi="Arial" w:cs="Arial" w:eastAsia="Arial" w:hint="default"/>
          <w:w w:val="100"/>
        </w:rPr>
        <w:t>0</w:t>
      </w:r>
      <w:r>
        <w:rPr>
          <w:rFonts w:ascii="Arial" w:hAnsi="Arial" w:cs="Arial" w:eastAsia="Arial" w:hint="default"/>
        </w:rPr>
        <w:t> </w:t>
      </w:r>
      <w:r>
        <w:rPr>
          <w:rFonts w:ascii="Arial" w:hAnsi="Arial" w:cs="Arial" w:eastAsia="Arial" w:hint="default"/>
          <w:spacing w:val="-14"/>
        </w:rPr>
        <w:t> </w:t>
      </w:r>
      <w:r>
        <w:rPr>
          <w:w w:val="100"/>
        </w:rPr>
        <w:t>股为基数</w:t>
      </w:r>
      <w:r>
        <w:rPr>
          <w:spacing w:val="-5"/>
          <w:w w:val="100"/>
        </w:rPr>
        <w:t>，</w:t>
      </w:r>
      <w:r>
        <w:rPr>
          <w:w w:val="100"/>
        </w:rPr>
        <w:t>向全</w:t>
      </w:r>
      <w:r>
        <w:rPr>
          <w:spacing w:val="-5"/>
          <w:w w:val="100"/>
        </w:rPr>
        <w:t>体</w:t>
      </w:r>
      <w:r>
        <w:rPr>
          <w:w w:val="100"/>
        </w:rPr>
        <w:t>股东每</w:t>
      </w:r>
      <w:r>
        <w:rPr>
          <w:spacing w:val="-53"/>
        </w:rPr>
        <w:t> </w:t>
      </w:r>
      <w:r>
        <w:rPr>
          <w:rFonts w:ascii="Arial" w:hAnsi="Arial" w:cs="Arial" w:eastAsia="Arial" w:hint="default"/>
          <w:spacing w:val="-3"/>
          <w:w w:val="100"/>
        </w:rPr>
        <w:t>1</w:t>
      </w:r>
      <w:r>
        <w:rPr>
          <w:rFonts w:ascii="Arial" w:hAnsi="Arial" w:cs="Arial" w:eastAsia="Arial" w:hint="default"/>
          <w:w w:val="100"/>
        </w:rPr>
        <w:t>0</w:t>
      </w:r>
      <w:r>
        <w:rPr>
          <w:rFonts w:ascii="Arial" w:hAnsi="Arial" w:cs="Arial" w:eastAsia="Arial" w:hint="default"/>
        </w:rPr>
        <w:t> </w:t>
      </w:r>
      <w:r>
        <w:rPr>
          <w:rFonts w:ascii="Arial" w:hAnsi="Arial" w:cs="Arial" w:eastAsia="Arial" w:hint="default"/>
          <w:spacing w:val="-14"/>
        </w:rPr>
        <w:t> </w:t>
      </w:r>
      <w:r>
        <w:rPr>
          <w:w w:val="100"/>
        </w:rPr>
        <w:t>股派发</w:t>
      </w:r>
      <w:r>
        <w:rPr>
          <w:spacing w:val="-5"/>
          <w:w w:val="100"/>
        </w:rPr>
        <w:t>现</w:t>
      </w:r>
      <w:r>
        <w:rPr>
          <w:w w:val="100"/>
        </w:rPr>
        <w:t>金股利</w:t>
      </w:r>
      <w:r>
        <w:rPr/>
        <w:t> </w:t>
      </w:r>
      <w:r>
        <w:rPr>
          <w:rFonts w:ascii="Arial" w:hAnsi="Arial" w:cs="Arial" w:eastAsia="Arial" w:hint="default"/>
          <w:w w:val="100"/>
        </w:rPr>
        <w:t>1</w:t>
      </w:r>
      <w:r>
        <w:rPr>
          <w:rFonts w:ascii="Arial" w:hAnsi="Arial" w:cs="Arial" w:eastAsia="Arial" w:hint="default"/>
        </w:rPr>
        <w:t> </w:t>
      </w:r>
      <w:r>
        <w:rPr>
          <w:rFonts w:ascii="Arial" w:hAnsi="Arial" w:cs="Arial" w:eastAsia="Arial" w:hint="default"/>
          <w:spacing w:val="-14"/>
        </w:rPr>
        <w:t> </w:t>
      </w:r>
      <w:r>
        <w:rPr>
          <w:spacing w:val="-5"/>
          <w:w w:val="100"/>
        </w:rPr>
        <w:t>元</w:t>
      </w:r>
      <w:r>
        <w:rPr>
          <w:w w:val="100"/>
        </w:rPr>
        <w:t>人民</w:t>
      </w:r>
      <w:r>
        <w:rPr>
          <w:spacing w:val="-5"/>
          <w:w w:val="100"/>
        </w:rPr>
        <w:t>币</w:t>
      </w:r>
      <w:r>
        <w:rPr>
          <w:w w:val="100"/>
        </w:rPr>
        <w:t>（</w:t>
      </w:r>
      <w:r>
        <w:rPr>
          <w:spacing w:val="-5"/>
          <w:w w:val="100"/>
        </w:rPr>
        <w:t>含</w:t>
      </w:r>
      <w:r>
        <w:rPr>
          <w:spacing w:val="-1"/>
          <w:w w:val="100"/>
        </w:rPr>
        <w:t>税</w:t>
      </w:r>
      <w:r>
        <w:rPr>
          <w:spacing w:val="-106"/>
          <w:w w:val="100"/>
        </w:rPr>
        <w:t>）</w:t>
      </w:r>
      <w:r>
        <w:rPr>
          <w:spacing w:val="-5"/>
          <w:w w:val="100"/>
        </w:rPr>
        <w:t>，</w:t>
      </w:r>
      <w:r>
        <w:rPr>
          <w:w w:val="100"/>
        </w:rPr>
        <w:t>合</w:t>
      </w:r>
    </w:p>
    <w:p>
      <w:pPr>
        <w:pStyle w:val="BodyText"/>
        <w:spacing w:line="240" w:lineRule="auto" w:before="176"/>
        <w:ind w:right="0"/>
        <w:jc w:val="both"/>
      </w:pPr>
      <w:r>
        <w:rPr/>
        <w:t>计派发现金额 </w:t>
      </w:r>
      <w:r>
        <w:rPr>
          <w:rFonts w:ascii="Arial" w:hAnsi="Arial" w:cs="Arial" w:eastAsia="Arial" w:hint="default"/>
          <w:spacing w:val="-3"/>
        </w:rPr>
        <w:t>16,356,600</w:t>
      </w:r>
      <w:r>
        <w:rPr>
          <w:rFonts w:ascii="Arial" w:hAnsi="Arial" w:cs="Arial" w:eastAsia="Arial" w:hint="default"/>
          <w:spacing w:val="46"/>
        </w:rPr>
        <w:t> </w:t>
      </w:r>
      <w:r>
        <w:rPr/>
        <w:t>元，其余未分配利润结转下年；同时进行资本公积金转增股本，以公司总股本</w:t>
      </w:r>
    </w:p>
    <w:p>
      <w:pPr>
        <w:pStyle w:val="BodyText"/>
        <w:spacing w:line="240" w:lineRule="auto" w:before="180"/>
        <w:ind w:right="0"/>
        <w:jc w:val="both"/>
      </w:pPr>
      <w:r>
        <w:rPr>
          <w:rFonts w:ascii="Arial" w:hAnsi="Arial" w:cs="Arial" w:eastAsia="Arial" w:hint="default"/>
        </w:rPr>
        <w:t>163,566,000  </w:t>
      </w:r>
      <w:r>
        <w:rPr/>
        <w:t>股为基数向全体股东每 </w:t>
      </w:r>
      <w:r>
        <w:rPr>
          <w:rFonts w:ascii="Arial" w:hAnsi="Arial" w:cs="Arial" w:eastAsia="Arial" w:hint="default"/>
        </w:rPr>
        <w:t>10  </w:t>
      </w:r>
      <w:r>
        <w:rPr/>
        <w:t>股转增 </w:t>
      </w:r>
      <w:r>
        <w:rPr>
          <w:rFonts w:ascii="Arial" w:hAnsi="Arial" w:cs="Arial" w:eastAsia="Arial" w:hint="default"/>
        </w:rPr>
        <w:t>10  </w:t>
      </w:r>
      <w:r>
        <w:rPr/>
        <w:t>股，共计转增 </w:t>
      </w:r>
      <w:r>
        <w:rPr>
          <w:rFonts w:ascii="Arial" w:hAnsi="Arial" w:cs="Arial" w:eastAsia="Arial" w:hint="default"/>
          <w:spacing w:val="-3"/>
        </w:rPr>
        <w:t>163,566,000</w:t>
      </w:r>
      <w:r>
        <w:rPr>
          <w:rFonts w:ascii="Arial" w:hAnsi="Arial" w:cs="Arial" w:eastAsia="Arial" w:hint="default"/>
          <w:spacing w:val="38"/>
        </w:rPr>
        <w:t> </w:t>
      </w:r>
      <w:r>
        <w:rPr/>
        <w:t>股，转增后公司总股本</w:t>
      </w:r>
    </w:p>
    <w:p>
      <w:pPr>
        <w:pStyle w:val="BodyText"/>
        <w:spacing w:line="388" w:lineRule="auto" w:before="176"/>
        <w:ind w:left="575" w:right="0" w:hanging="423"/>
        <w:jc w:val="left"/>
      </w:pPr>
      <w:r>
        <w:rPr/>
        <w:t>由原来的</w:t>
      </w:r>
      <w:r>
        <w:rPr>
          <w:spacing w:val="-53"/>
        </w:rPr>
        <w:t> </w:t>
      </w:r>
      <w:r>
        <w:rPr>
          <w:rFonts w:ascii="Arial" w:hAnsi="Arial" w:cs="Arial" w:eastAsia="Arial" w:hint="default"/>
          <w:spacing w:val="-3"/>
        </w:rPr>
        <w:t>163,566,000</w:t>
      </w:r>
      <w:r>
        <w:rPr>
          <w:rFonts w:ascii="Arial" w:hAnsi="Arial" w:cs="Arial" w:eastAsia="Arial" w:hint="default"/>
          <w:spacing w:val="44"/>
        </w:rPr>
        <w:t> </w:t>
      </w:r>
      <w:r>
        <w:rPr/>
        <w:t>股增加至 </w:t>
      </w:r>
      <w:r>
        <w:rPr>
          <w:rFonts w:ascii="Arial" w:hAnsi="Arial" w:cs="Arial" w:eastAsia="Arial" w:hint="default"/>
        </w:rPr>
        <w:t>327,132,000</w:t>
      </w:r>
      <w:r>
        <w:rPr>
          <w:rFonts w:ascii="Arial" w:hAnsi="Arial" w:cs="Arial" w:eastAsia="Arial" w:hint="default"/>
          <w:spacing w:val="44"/>
        </w:rPr>
        <w:t> </w:t>
      </w:r>
      <w:r>
        <w:rPr/>
        <w:t>股。</w:t>
      </w:r>
      <w:r>
        <w:rPr>
          <w:spacing w:val="-90"/>
        </w:rPr>
        <w:t> </w:t>
      </w:r>
      <w:r>
        <w:rPr>
          <w:spacing w:val="-6"/>
          <w:w w:val="100"/>
        </w:rPr>
        <w:t>公司于</w:t>
      </w:r>
      <w:r>
        <w:rPr>
          <w:rFonts w:ascii="Arial" w:hAnsi="Arial" w:cs="Arial" w:eastAsia="Arial" w:hint="default"/>
          <w:spacing w:val="-6"/>
          <w:w w:val="100"/>
        </w:rPr>
        <w:t>2014</w:t>
      </w:r>
      <w:r>
        <w:rPr>
          <w:spacing w:val="-6"/>
          <w:w w:val="100"/>
        </w:rPr>
        <w:t>年</w:t>
      </w:r>
      <w:r>
        <w:rPr>
          <w:rFonts w:ascii="Arial" w:hAnsi="Arial" w:cs="Arial" w:eastAsia="Arial" w:hint="default"/>
          <w:spacing w:val="-6"/>
          <w:w w:val="100"/>
        </w:rPr>
        <w:t>12</w:t>
      </w:r>
      <w:r>
        <w:rPr>
          <w:spacing w:val="-6"/>
          <w:w w:val="100"/>
        </w:rPr>
        <w:t>月</w:t>
      </w:r>
      <w:r>
        <w:rPr>
          <w:rFonts w:ascii="Arial" w:hAnsi="Arial" w:cs="Arial" w:eastAsia="Arial" w:hint="default"/>
          <w:spacing w:val="-6"/>
          <w:w w:val="100"/>
        </w:rPr>
        <w:t>8</w:t>
      </w:r>
      <w:r>
        <w:rPr>
          <w:spacing w:val="-6"/>
          <w:w w:val="100"/>
        </w:rPr>
        <w:t>日分别召开第三届董事会第三次会议和第三届监事会第三次会议，审议通过了《关</w:t>
      </w:r>
    </w:p>
    <w:p>
      <w:pPr>
        <w:pStyle w:val="BodyText"/>
        <w:spacing w:line="398" w:lineRule="auto" w:before="30"/>
        <w:ind w:right="149"/>
        <w:jc w:val="both"/>
      </w:pPr>
      <w:r>
        <w:rPr/>
        <w:t>于股权激励计划涉及的首次授予股票期权数量与行权价格及预留股票期权与限制性股票数量进行调整的</w:t>
      </w:r>
      <w:r>
        <w:rPr>
          <w:spacing w:val="59"/>
        </w:rPr>
        <w:t> </w:t>
      </w:r>
      <w:r>
        <w:rPr>
          <w:spacing w:val="59"/>
        </w:rPr>
      </w:r>
      <w:r>
        <w:rPr>
          <w:spacing w:val="-7"/>
          <w:w w:val="100"/>
        </w:rPr>
        <w:t>议案》、《关于向激励对象授予预留股票期权和限制性股票的议案》，本次授予限制性股票的激励对象为</w:t>
      </w:r>
      <w:r>
        <w:rPr>
          <w:rFonts w:ascii="Arial" w:hAnsi="Arial" w:cs="Arial" w:eastAsia="Arial" w:hint="default"/>
          <w:spacing w:val="-7"/>
          <w:w w:val="100"/>
        </w:rPr>
        <w:t>36</w:t>
      </w:r>
      <w:r>
        <w:rPr>
          <w:rFonts w:ascii="Arial" w:hAnsi="Arial" w:cs="Arial" w:eastAsia="Arial" w:hint="default"/>
          <w:spacing w:val="-41"/>
          <w:w w:val="100"/>
        </w:rPr>
        <w:t> </w:t>
      </w:r>
      <w:r>
        <w:rPr>
          <w:rFonts w:ascii="Arial" w:hAnsi="Arial" w:cs="Arial" w:eastAsia="Arial" w:hint="default"/>
          <w:spacing w:val="-41"/>
          <w:w w:val="100"/>
        </w:rPr>
      </w:r>
      <w:r>
        <w:rPr/>
        <w:t>人，本次授予限制性股票数为</w:t>
      </w:r>
      <w:r>
        <w:rPr>
          <w:rFonts w:ascii="Arial" w:hAnsi="Arial" w:cs="Arial" w:eastAsia="Arial" w:hint="default"/>
        </w:rPr>
        <w:t>92</w:t>
      </w:r>
      <w:r>
        <w:rPr/>
        <w:t>万股；经上述股份变更事项后，本公司股本变更为</w:t>
      </w:r>
      <w:r>
        <w:rPr>
          <w:rFonts w:ascii="Arial" w:hAnsi="Arial" w:cs="Arial" w:eastAsia="Arial" w:hint="default"/>
        </w:rPr>
        <w:t>328,052,000</w:t>
      </w:r>
      <w:r>
        <w:rPr/>
        <w:t>元。</w:t>
      </w:r>
    </w:p>
    <w:p>
      <w:pPr>
        <w:pStyle w:val="BodyText"/>
        <w:spacing w:line="388" w:lineRule="auto" w:before="25"/>
        <w:ind w:right="142" w:firstLine="422"/>
        <w:jc w:val="both"/>
        <w:rPr>
          <w:rFonts w:ascii="Arial" w:hAnsi="Arial" w:cs="Arial" w:eastAsia="Arial" w:hint="default"/>
        </w:rPr>
      </w:pPr>
      <w:r>
        <w:rPr>
          <w:spacing w:val="-6"/>
          <w:w w:val="100"/>
        </w:rPr>
        <w:t>公司于</w:t>
      </w:r>
      <w:r>
        <w:rPr>
          <w:rFonts w:ascii="Arial" w:hAnsi="Arial" w:cs="Arial" w:eastAsia="Arial" w:hint="default"/>
          <w:spacing w:val="-6"/>
          <w:w w:val="100"/>
        </w:rPr>
        <w:t>2014</w:t>
      </w:r>
      <w:r>
        <w:rPr>
          <w:spacing w:val="-6"/>
          <w:w w:val="100"/>
        </w:rPr>
        <w:t>年</w:t>
      </w:r>
      <w:r>
        <w:rPr>
          <w:rFonts w:ascii="Arial" w:hAnsi="Arial" w:cs="Arial" w:eastAsia="Arial" w:hint="default"/>
          <w:spacing w:val="-6"/>
          <w:w w:val="100"/>
        </w:rPr>
        <w:t>12</w:t>
      </w:r>
      <w:r>
        <w:rPr>
          <w:spacing w:val="-6"/>
          <w:w w:val="100"/>
        </w:rPr>
        <w:t>月</w:t>
      </w:r>
      <w:r>
        <w:rPr>
          <w:rFonts w:ascii="Arial" w:hAnsi="Arial" w:cs="Arial" w:eastAsia="Arial" w:hint="default"/>
          <w:spacing w:val="-6"/>
          <w:w w:val="100"/>
        </w:rPr>
        <w:t>8</w:t>
      </w:r>
      <w:r>
        <w:rPr>
          <w:spacing w:val="-6"/>
          <w:w w:val="100"/>
        </w:rPr>
        <w:t>日分别召开第三届董事会第三次会议和第三届监事会第三次会议，审议通过了《关</w:t>
      </w:r>
      <w:r>
        <w:rPr>
          <w:w w:val="100"/>
        </w:rPr>
        <w:t> </w:t>
      </w:r>
      <w:r>
        <w:rPr>
          <w:spacing w:val="-6"/>
          <w:w w:val="100"/>
        </w:rPr>
        <w:t>于股票期权与限制性股票激励计划第一个行权</w:t>
      </w:r>
      <w:r>
        <w:rPr>
          <w:rFonts w:ascii="Arial" w:hAnsi="Arial" w:cs="Arial" w:eastAsia="Arial" w:hint="default"/>
          <w:spacing w:val="-6"/>
          <w:w w:val="100"/>
        </w:rPr>
        <w:t>/</w:t>
      </w:r>
      <w:r>
        <w:rPr>
          <w:spacing w:val="-6"/>
          <w:w w:val="100"/>
        </w:rPr>
        <w:t>解锁期可行权</w:t>
      </w:r>
      <w:r>
        <w:rPr>
          <w:rFonts w:ascii="Arial" w:hAnsi="Arial" w:cs="Arial" w:eastAsia="Arial" w:hint="default"/>
          <w:spacing w:val="-6"/>
          <w:w w:val="100"/>
        </w:rPr>
        <w:t>/</w:t>
      </w:r>
      <w:r>
        <w:rPr>
          <w:spacing w:val="-6"/>
          <w:w w:val="100"/>
        </w:rPr>
        <w:t>解锁的议案》，同意对满足第一个行权</w:t>
      </w:r>
      <w:r>
        <w:rPr>
          <w:rFonts w:ascii="Arial" w:hAnsi="Arial" w:cs="Arial" w:eastAsia="Arial" w:hint="default"/>
          <w:spacing w:val="-6"/>
          <w:w w:val="100"/>
        </w:rPr>
        <w:t>/</w:t>
      </w:r>
      <w:r>
        <w:rPr>
          <w:spacing w:val="-6"/>
          <w:w w:val="100"/>
        </w:rPr>
        <w:t>解锁期</w:t>
      </w:r>
      <w:r>
        <w:rPr>
          <w:spacing w:val="-72"/>
          <w:w w:val="100"/>
        </w:rPr>
        <w:t> </w:t>
      </w:r>
      <w:r>
        <w:rPr>
          <w:spacing w:val="-72"/>
          <w:w w:val="100"/>
        </w:rPr>
      </w:r>
      <w:r>
        <w:rPr/>
        <w:t>行权</w:t>
      </w:r>
      <w:r>
        <w:rPr>
          <w:rFonts w:ascii="Arial" w:hAnsi="Arial" w:cs="Arial" w:eastAsia="Arial" w:hint="default"/>
        </w:rPr>
        <w:t>/</w:t>
      </w:r>
      <w:r>
        <w:rPr/>
        <w:t>解锁条件的激励对象按照《股票期权与限制性股票激励计划》的相关规定办理第一个行权</w:t>
      </w:r>
      <w:r>
        <w:rPr>
          <w:rFonts w:ascii="Arial" w:hAnsi="Arial" w:cs="Arial" w:eastAsia="Arial" w:hint="default"/>
        </w:rPr>
        <w:t>/</w:t>
      </w:r>
      <w:r>
        <w:rPr/>
        <w:t>解锁期行</w:t>
      </w:r>
      <w:r>
        <w:rPr>
          <w:spacing w:val="-40"/>
        </w:rPr>
        <w:t> </w:t>
      </w:r>
      <w:r>
        <w:rPr>
          <w:spacing w:val="-40"/>
        </w:rPr>
      </w:r>
      <w:r>
        <w:rPr>
          <w:spacing w:val="-4"/>
        </w:rPr>
        <w:t>权</w:t>
      </w:r>
      <w:r>
        <w:rPr>
          <w:rFonts w:ascii="Arial" w:hAnsi="Arial" w:cs="Arial" w:eastAsia="Arial" w:hint="default"/>
          <w:spacing w:val="-4"/>
        </w:rPr>
        <w:t>/</w:t>
      </w:r>
      <w:r>
        <w:rPr>
          <w:spacing w:val="-4"/>
        </w:rPr>
        <w:t>解锁的相关事宜；</w:t>
      </w:r>
      <w:r>
        <w:rPr>
          <w:rFonts w:ascii="Arial" w:hAnsi="Arial" w:cs="Arial" w:eastAsia="Arial" w:hint="default"/>
          <w:spacing w:val="-4"/>
        </w:rPr>
        <w:t>71</w:t>
      </w:r>
      <w:r>
        <w:rPr>
          <w:spacing w:val="-4"/>
        </w:rPr>
        <w:t>名激励对象本次可行权的股票期权数量为</w:t>
      </w:r>
      <w:r>
        <w:rPr>
          <w:rFonts w:ascii="Arial" w:hAnsi="Arial" w:cs="Arial" w:eastAsia="Arial" w:hint="default"/>
          <w:spacing w:val="-4"/>
        </w:rPr>
        <w:t>111</w:t>
      </w:r>
      <w:r>
        <w:rPr>
          <w:spacing w:val="-4"/>
        </w:rPr>
        <w:t>万份。</w:t>
      </w:r>
      <w:r>
        <w:rPr>
          <w:rFonts w:ascii="Arial" w:hAnsi="Arial" w:cs="Arial" w:eastAsia="Arial" w:hint="default"/>
          <w:spacing w:val="-4"/>
        </w:rPr>
        <w:t>2014</w:t>
      </w:r>
      <w:r>
        <w:rPr>
          <w:spacing w:val="-4"/>
        </w:rPr>
        <w:t>年</w:t>
      </w:r>
      <w:r>
        <w:rPr>
          <w:rFonts w:ascii="Arial" w:hAnsi="Arial" w:cs="Arial" w:eastAsia="Arial" w:hint="default"/>
          <w:spacing w:val="-4"/>
        </w:rPr>
        <w:t>12</w:t>
      </w:r>
      <w:r>
        <w:rPr>
          <w:spacing w:val="-4"/>
        </w:rPr>
        <w:t>月</w:t>
      </w:r>
      <w:r>
        <w:rPr>
          <w:rFonts w:ascii="Arial" w:hAnsi="Arial" w:cs="Arial" w:eastAsia="Arial" w:hint="default"/>
          <w:spacing w:val="-4"/>
        </w:rPr>
        <w:t>18</w:t>
      </w:r>
      <w:r>
        <w:rPr>
          <w:spacing w:val="-4"/>
        </w:rPr>
        <w:t>日，根据上述议</w:t>
      </w:r>
      <w:r>
        <w:rPr>
          <w:spacing w:val="-36"/>
        </w:rPr>
        <w:t> </w:t>
      </w:r>
      <w:r>
        <w:rPr>
          <w:spacing w:val="-36"/>
        </w:rPr>
      </w:r>
      <w:r>
        <w:rPr>
          <w:spacing w:val="-8"/>
        </w:rPr>
        <w:t>案，</w:t>
      </w:r>
      <w:r>
        <w:rPr>
          <w:rFonts w:ascii="Arial" w:hAnsi="Arial" w:cs="Arial" w:eastAsia="Arial" w:hint="default"/>
          <w:spacing w:val="-8"/>
        </w:rPr>
        <w:t>71</w:t>
      </w:r>
      <w:r>
        <w:rPr>
          <w:spacing w:val="-8"/>
        </w:rPr>
        <w:t>名股权激励对象完成了首次股票期权的行权资金的缴纳，众华会计师事务（特殊普通合伙）所于</w:t>
      </w:r>
      <w:r>
        <w:rPr>
          <w:rFonts w:ascii="Arial" w:hAnsi="Arial" w:cs="Arial" w:eastAsia="Arial" w:hint="default"/>
          <w:spacing w:val="-8"/>
        </w:rPr>
        <w:t>2014</w:t>
      </w:r>
    </w:p>
    <w:p>
      <w:pPr>
        <w:spacing w:after="0" w:line="388" w:lineRule="auto"/>
        <w:jc w:val="both"/>
        <w:rPr>
          <w:rFonts w:ascii="Arial" w:hAnsi="Arial" w:cs="Arial" w:eastAsia="Arial" w:hint="default"/>
        </w:rPr>
        <w:sectPr>
          <w:pgSz w:w="11900" w:h="16840"/>
          <w:pgMar w:header="742" w:footer="984" w:top="1060" w:bottom="1180" w:left="980" w:right="980"/>
        </w:sectPr>
      </w:pPr>
    </w:p>
    <w:p>
      <w:pPr>
        <w:spacing w:line="240" w:lineRule="auto" w:before="0"/>
        <w:rPr>
          <w:rFonts w:ascii="Arial" w:hAnsi="Arial" w:cs="Arial" w:eastAsia="Arial" w:hint="default"/>
          <w:sz w:val="20"/>
          <w:szCs w:val="20"/>
        </w:rPr>
      </w:pPr>
    </w:p>
    <w:p>
      <w:pPr>
        <w:spacing w:line="240" w:lineRule="auto" w:before="7"/>
        <w:rPr>
          <w:rFonts w:ascii="Arial" w:hAnsi="Arial" w:cs="Arial" w:eastAsia="Arial" w:hint="default"/>
          <w:sz w:val="18"/>
          <w:szCs w:val="18"/>
        </w:rPr>
      </w:pPr>
    </w:p>
    <w:p>
      <w:pPr>
        <w:pStyle w:val="BodyText"/>
        <w:spacing w:line="388" w:lineRule="auto"/>
        <w:ind w:right="144"/>
        <w:jc w:val="both"/>
      </w:pP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18</w:t>
      </w:r>
      <w:r>
        <w:rPr>
          <w:spacing w:val="-3"/>
        </w:rPr>
        <w:t>日出具众会字（</w:t>
      </w:r>
      <w:r>
        <w:rPr>
          <w:rFonts w:ascii="Arial" w:hAnsi="Arial" w:cs="Arial" w:eastAsia="Arial" w:hint="default"/>
          <w:spacing w:val="-3"/>
        </w:rPr>
        <w:t>2014</w:t>
      </w:r>
      <w:r>
        <w:rPr>
          <w:spacing w:val="-3"/>
        </w:rPr>
        <w:t>）第</w:t>
      </w:r>
      <w:r>
        <w:rPr>
          <w:rFonts w:ascii="Arial" w:hAnsi="Arial" w:cs="Arial" w:eastAsia="Arial" w:hint="default"/>
          <w:spacing w:val="-3"/>
        </w:rPr>
        <w:t>5743</w:t>
      </w:r>
      <w:r>
        <w:rPr>
          <w:spacing w:val="-3"/>
        </w:rPr>
        <w:t>号验资报告，审验了公司截至</w:t>
      </w:r>
      <w:r>
        <w:rPr>
          <w:rFonts w:ascii="Arial" w:hAnsi="Arial" w:cs="Arial" w:eastAsia="Arial" w:hint="default"/>
          <w:spacing w:val="-3"/>
        </w:rPr>
        <w:t>2014</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18</w:t>
      </w:r>
      <w:r>
        <w:rPr>
          <w:spacing w:val="-3"/>
        </w:rPr>
        <w:t>日止新增注册资本及</w:t>
      </w:r>
      <w:r>
        <w:rPr>
          <w:spacing w:val="-8"/>
        </w:rPr>
        <w:t> </w:t>
      </w:r>
      <w:r>
        <w:rPr>
          <w:spacing w:val="-8"/>
        </w:rPr>
      </w:r>
      <w:r>
        <w:rPr/>
        <w:t>股本情况，认为：截至</w:t>
      </w:r>
      <w:r>
        <w:rPr>
          <w:rFonts w:ascii="Arial" w:hAnsi="Arial" w:cs="Arial" w:eastAsia="Arial" w:hint="default"/>
        </w:rPr>
        <w:t>2014</w:t>
      </w:r>
      <w:r>
        <w:rPr/>
        <w:t>年</w:t>
      </w:r>
      <w:r>
        <w:rPr>
          <w:rFonts w:ascii="Arial" w:hAnsi="Arial" w:cs="Arial" w:eastAsia="Arial" w:hint="default"/>
        </w:rPr>
        <w:t>12</w:t>
      </w:r>
      <w:r>
        <w:rPr/>
        <w:t>月</w:t>
      </w:r>
      <w:r>
        <w:rPr>
          <w:rFonts w:ascii="Arial" w:hAnsi="Arial" w:cs="Arial" w:eastAsia="Arial" w:hint="default"/>
        </w:rPr>
        <w:t>18</w:t>
      </w:r>
      <w:r>
        <w:rPr/>
        <w:t>日止，变更后的注册资本人民币</w:t>
      </w:r>
      <w:r>
        <w:rPr>
          <w:rFonts w:ascii="Arial" w:hAnsi="Arial" w:cs="Arial" w:eastAsia="Arial" w:hint="default"/>
        </w:rPr>
        <w:t>329,162,000.00</w:t>
      </w:r>
      <w:r>
        <w:rPr/>
        <w:t>元、累计股本为人</w:t>
      </w:r>
      <w:r>
        <w:rPr>
          <w:spacing w:val="-31"/>
        </w:rPr>
        <w:t> </w:t>
      </w:r>
      <w:r>
        <w:rPr>
          <w:spacing w:val="-31"/>
        </w:rPr>
      </w:r>
      <w:r>
        <w:rPr>
          <w:spacing w:val="-2"/>
          <w:w w:val="100"/>
        </w:rPr>
        <w:t>民币</w:t>
      </w:r>
      <w:r>
        <w:rPr>
          <w:rFonts w:ascii="Arial" w:hAnsi="Arial" w:cs="Arial" w:eastAsia="Arial" w:hint="default"/>
          <w:spacing w:val="-2"/>
          <w:w w:val="100"/>
        </w:rPr>
        <w:t>329,162,000.00</w:t>
      </w:r>
      <w:r>
        <w:rPr>
          <w:spacing w:val="-2"/>
          <w:w w:val="100"/>
        </w:rPr>
        <w:t>元。。经本公司董事会申请、深圳证券交易所确认、中国证券登记结算有限责任公司</w:t>
      </w:r>
      <w:r>
        <w:rPr>
          <w:spacing w:val="-88"/>
          <w:w w:val="100"/>
        </w:rPr>
        <w:t> </w:t>
      </w:r>
      <w:r>
        <w:rPr>
          <w:spacing w:val="-88"/>
          <w:w w:val="100"/>
        </w:rPr>
      </w:r>
      <w:r>
        <w:rPr>
          <w:spacing w:val="-5"/>
        </w:rPr>
        <w:t>深圳分公司核准登记，上述</w:t>
      </w:r>
      <w:r>
        <w:rPr>
          <w:rFonts w:ascii="Arial" w:hAnsi="Arial" w:cs="Arial" w:eastAsia="Arial" w:hint="default"/>
          <w:spacing w:val="-5"/>
        </w:rPr>
        <w:t>111</w:t>
      </w:r>
      <w:r>
        <w:rPr>
          <w:spacing w:val="-5"/>
        </w:rPr>
        <w:t>万份股票期权的股份登记日为</w:t>
      </w:r>
      <w:r>
        <w:rPr>
          <w:rFonts w:ascii="Arial" w:hAnsi="Arial" w:cs="Arial" w:eastAsia="Arial" w:hint="default"/>
          <w:spacing w:val="-5"/>
        </w:rPr>
        <w:t>2015</w:t>
      </w:r>
      <w:r>
        <w:rPr>
          <w:spacing w:val="-5"/>
        </w:rPr>
        <w:t>年</w:t>
      </w:r>
      <w:r>
        <w:rPr>
          <w:rFonts w:ascii="Arial" w:hAnsi="Arial" w:cs="Arial" w:eastAsia="Arial" w:hint="default"/>
          <w:spacing w:val="-5"/>
        </w:rPr>
        <w:t>1</w:t>
      </w:r>
      <w:r>
        <w:rPr>
          <w:spacing w:val="-5"/>
        </w:rPr>
        <w:t>月</w:t>
      </w:r>
      <w:r>
        <w:rPr>
          <w:rFonts w:ascii="Arial" w:hAnsi="Arial" w:cs="Arial" w:eastAsia="Arial" w:hint="default"/>
          <w:spacing w:val="-5"/>
        </w:rPr>
        <w:t>15</w:t>
      </w:r>
      <w:r>
        <w:rPr>
          <w:spacing w:val="-5"/>
        </w:rPr>
        <w:t>日，行权股份的上市时间为</w:t>
      </w:r>
      <w:r>
        <w:rPr>
          <w:rFonts w:ascii="Arial" w:hAnsi="Arial" w:cs="Arial" w:eastAsia="Arial" w:hint="default"/>
          <w:spacing w:val="-5"/>
        </w:rPr>
        <w:t>2015</w:t>
      </w:r>
      <w:r>
        <w:rPr>
          <w:rFonts w:ascii="Arial" w:hAnsi="Arial" w:cs="Arial" w:eastAsia="Arial" w:hint="default"/>
          <w:spacing w:val="9"/>
        </w:rPr>
        <w:t> </w:t>
      </w:r>
      <w:r>
        <w:rPr>
          <w:rFonts w:ascii="Arial" w:hAnsi="Arial" w:cs="Arial" w:eastAsia="Arial" w:hint="default"/>
          <w:spacing w:val="9"/>
        </w:rPr>
      </w:r>
      <w:r>
        <w:rPr/>
        <w:t>年</w:t>
      </w:r>
      <w:r>
        <w:rPr>
          <w:rFonts w:ascii="Arial" w:hAnsi="Arial" w:cs="Arial" w:eastAsia="Arial" w:hint="default"/>
        </w:rPr>
        <w:t>1</w:t>
      </w:r>
      <w:r>
        <w:rPr/>
        <w:t>月</w:t>
      </w:r>
      <w:r>
        <w:rPr>
          <w:rFonts w:ascii="Arial" w:hAnsi="Arial" w:cs="Arial" w:eastAsia="Arial" w:hint="default"/>
        </w:rPr>
        <w:t>21</w:t>
      </w:r>
      <w:r>
        <w:rPr/>
        <w:t>日。</w:t>
      </w:r>
    </w:p>
    <w:p>
      <w:pPr>
        <w:pStyle w:val="Heading4"/>
        <w:spacing w:line="240" w:lineRule="auto" w:before="184"/>
        <w:ind w:right="0"/>
        <w:jc w:val="both"/>
        <w:rPr>
          <w:b w:val="0"/>
          <w:bCs w:val="0"/>
        </w:rPr>
      </w:pPr>
      <w:r>
        <w:rPr>
          <w:rFonts w:ascii="Times New Roman" w:hAnsi="Times New Roman" w:cs="Times New Roman" w:eastAsia="Times New Roman" w:hint="default"/>
        </w:rPr>
        <w:t>24</w:t>
      </w:r>
      <w:r>
        <w:rPr/>
        <w:t>、资本公积</w:t>
      </w:r>
      <w:r>
        <w:rPr>
          <w:b w:val="0"/>
          <w:bCs w:val="0"/>
        </w:rPr>
      </w:r>
    </w:p>
    <w:p>
      <w:pPr>
        <w:spacing w:line="240" w:lineRule="auto" w:before="15"/>
        <w:rPr>
          <w:rFonts w:ascii="Microsoft JhengHei" w:hAnsi="Microsoft JhengHei" w:cs="Microsoft JhengHei" w:eastAsia="Microsoft JhengHei" w:hint="default"/>
          <w:b/>
          <w:bCs/>
          <w:sz w:val="19"/>
          <w:szCs w:val="19"/>
        </w:rPr>
      </w:pPr>
    </w:p>
    <w:p>
      <w:pPr>
        <w:spacing w:before="0"/>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30"/>
        <w:gridCol w:w="1910"/>
        <w:gridCol w:w="1915"/>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8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30"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492,436,110.61</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9,200,050.00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163,566,000.00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338,070,160.61</w:t>
            </w:r>
          </w:p>
        </w:tc>
      </w:tr>
      <w:tr>
        <w:trPr>
          <w:trHeight w:val="39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30"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2,075,000.00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3,241,250.00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5,316,250.00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494,511,110.61</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12,441,300.00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163,566,000.00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343,386,410.61</w:t>
            </w:r>
          </w:p>
        </w:tc>
      </w:tr>
    </w:tbl>
    <w:p>
      <w:pPr>
        <w:pStyle w:val="BodyText"/>
        <w:spacing w:line="410" w:lineRule="auto" w:before="66"/>
        <w:ind w:left="575" w:right="137"/>
        <w:jc w:val="left"/>
      </w:pPr>
      <w:r>
        <w:rPr/>
        <w:t>其他说明，包括本期增减变动情况、变动原因说明：</w:t>
      </w:r>
      <w:r>
        <w:rPr>
          <w:w w:val="100"/>
        </w:rPr>
        <w:t> </w:t>
      </w:r>
      <w:r>
        <w:rPr/>
        <w:t>本公司2013年度权益分派方案为:以公司现有总股本163,566,000股为基数,向全体</w:t>
      </w:r>
      <w:r>
        <w:rPr>
          <w:spacing w:val="73"/>
        </w:rPr>
        <w:t> </w:t>
      </w:r>
      <w:r>
        <w:rPr/>
        <w:t>股东每10股派1元</w:t>
      </w:r>
    </w:p>
    <w:p>
      <w:pPr>
        <w:pStyle w:val="BodyText"/>
        <w:spacing w:line="410" w:lineRule="auto" w:before="41"/>
        <w:ind w:left="575" w:right="0" w:hanging="423"/>
        <w:jc w:val="left"/>
      </w:pPr>
      <w:r>
        <w:rPr/>
        <w:t>人民币现金;同时,以资本公积金向全体股东每10股转增10股，资本公积减少163,566,000元。</w:t>
      </w:r>
      <w:r>
        <w:rPr>
          <w:w w:val="100"/>
        </w:rPr>
        <w:t> </w:t>
      </w:r>
      <w:r>
        <w:rPr>
          <w:spacing w:val="-2"/>
        </w:rPr>
        <w:t>根据公司第三届董事会第三次会议审议通过的《关于股权激励计划涉及的首次授予股票期权数量与行</w:t>
      </w:r>
    </w:p>
    <w:p>
      <w:pPr>
        <w:pStyle w:val="BodyText"/>
        <w:spacing w:line="410" w:lineRule="auto" w:before="41"/>
        <w:ind w:right="142"/>
        <w:jc w:val="both"/>
      </w:pPr>
      <w:r>
        <w:rPr>
          <w:spacing w:val="-2"/>
        </w:rPr>
        <w:t>权价格及预留股票期权与限制性股票数量进行调整的议案》及《关于向激励对象授予预留股票期权和限制</w:t>
      </w:r>
      <w:r>
        <w:rPr>
          <w:spacing w:val="-35"/>
        </w:rPr>
        <w:t> </w:t>
      </w:r>
      <w:r>
        <w:rPr>
          <w:spacing w:val="-35"/>
        </w:rPr>
      </w:r>
      <w:r>
        <w:rPr/>
        <w:t>性股票的议案》，公司授予36名激励对象共920,000.00</w:t>
      </w:r>
      <w:r>
        <w:rPr>
          <w:spacing w:val="60"/>
        </w:rPr>
        <w:t> </w:t>
      </w:r>
      <w:r>
        <w:rPr/>
        <w:t>股限制性股票，授予价格为5.07元。激励对象已</w:t>
      </w:r>
      <w:r>
        <w:rPr>
          <w:spacing w:val="-94"/>
        </w:rPr>
        <w:t> </w:t>
      </w:r>
      <w:r>
        <w:rPr>
          <w:spacing w:val="-94"/>
        </w:rPr>
      </w:r>
      <w:r>
        <w:rPr/>
        <w:t>于2014年12月12日之前缴足出资款合计人民币4,664,400.00</w:t>
      </w:r>
      <w:r>
        <w:rPr>
          <w:spacing w:val="67"/>
        </w:rPr>
        <w:t> </w:t>
      </w:r>
      <w:r>
        <w:rPr/>
        <w:t>元，其中：新增注册资本人民币920,000.00</w:t>
      </w:r>
      <w:r>
        <w:rPr>
          <w:spacing w:val="-96"/>
        </w:rPr>
        <w:t> </w:t>
      </w:r>
      <w:r>
        <w:rPr>
          <w:spacing w:val="-96"/>
        </w:rPr>
      </w:r>
      <w:r>
        <w:rPr/>
        <w:t>元；出资额溢价部分为人民币3,744,400.00元，全部计入资本公积。</w:t>
      </w:r>
    </w:p>
    <w:p>
      <w:pPr>
        <w:pStyle w:val="BodyText"/>
        <w:spacing w:line="408" w:lineRule="auto" w:before="41"/>
        <w:ind w:right="122" w:firstLine="422"/>
        <w:jc w:val="both"/>
      </w:pPr>
      <w:r>
        <w:rPr>
          <w:spacing w:val="-2"/>
        </w:rPr>
        <w:t>根据公司第三届董事会第三次会议审议通过的《关于注销部分已不符合激励条件的激励对象已获授但</w:t>
      </w:r>
      <w:r>
        <w:rPr>
          <w:w w:val="100"/>
        </w:rPr>
        <w:t> </w:t>
      </w:r>
      <w:r>
        <w:rPr>
          <w:spacing w:val="-2"/>
        </w:rPr>
        <w:t>尚未行权的股票期权的议案》及《关于股票期权与限制性股票激励计划第一个行权/解锁期可行权/解锁的</w:t>
      </w:r>
      <w:r>
        <w:rPr>
          <w:spacing w:val="-33"/>
        </w:rPr>
        <w:t> </w:t>
      </w:r>
      <w:r>
        <w:rPr>
          <w:spacing w:val="-33"/>
        </w:rPr>
      </w:r>
      <w:r>
        <w:rPr>
          <w:spacing w:val="-2"/>
        </w:rPr>
        <w:t>议案》，公司股权激励计划第一个行权期激励对象共75人，其中邢志奇已退休，纪建成、王延东已辞职，</w:t>
      </w:r>
      <w:r>
        <w:rPr>
          <w:spacing w:val="-15"/>
        </w:rPr>
        <w:t> </w:t>
      </w:r>
      <w:r>
        <w:rPr>
          <w:spacing w:val="-15"/>
        </w:rPr>
      </w:r>
      <w:r>
        <w:rPr>
          <w:spacing w:val="-2"/>
        </w:rPr>
        <w:t>聂红斌因个人原因放弃认购，此4人已获授但尚未行权的期权70,000.00份将予以注销，公司股权激励计划</w:t>
      </w:r>
      <w:r>
        <w:rPr>
          <w:spacing w:val="-31"/>
        </w:rPr>
        <w:t> </w:t>
      </w:r>
      <w:r>
        <w:rPr>
          <w:spacing w:val="-31"/>
        </w:rPr>
      </w:r>
      <w:r>
        <w:rPr>
          <w:spacing w:val="-4"/>
        </w:rPr>
        <w:t>第一个行权期实际行权激励对象合计71名，实际行权股票期权合计1,110,000.00股，行权价格调整为5.915</w:t>
      </w:r>
      <w:r>
        <w:rPr>
          <w:spacing w:val="-10"/>
        </w:rPr>
        <w:t> </w:t>
      </w:r>
      <w:r>
        <w:rPr>
          <w:spacing w:val="-10"/>
        </w:rPr>
      </w:r>
      <w:r>
        <w:rPr/>
        <w:t>元/股。激励对象已于2014年12月18日之前缴足出资款合计人民币6,565,650.00元，其中：新增注册资本</w:t>
      </w:r>
      <w:r>
        <w:rPr>
          <w:spacing w:val="-33"/>
        </w:rPr>
        <w:t> </w:t>
      </w:r>
      <w:r>
        <w:rPr>
          <w:spacing w:val="-33"/>
        </w:rPr>
      </w:r>
      <w:r>
        <w:rPr/>
        <w:t>人民币1,110,000.00元；出资额溢价部分为人民币5,455,650.00元，全部计入资本公积。</w:t>
      </w:r>
    </w:p>
    <w:p>
      <w:pPr>
        <w:spacing w:line="240" w:lineRule="auto" w:before="6"/>
        <w:rPr>
          <w:rFonts w:ascii="宋体" w:hAnsi="宋体" w:cs="宋体" w:eastAsia="宋体" w:hint="default"/>
          <w:sz w:val="15"/>
          <w:szCs w:val="15"/>
        </w:rPr>
      </w:pPr>
    </w:p>
    <w:p>
      <w:pPr>
        <w:pStyle w:val="Heading4"/>
        <w:spacing w:line="240" w:lineRule="auto"/>
        <w:ind w:right="0"/>
        <w:jc w:val="both"/>
        <w:rPr>
          <w:b w:val="0"/>
          <w:bCs w:val="0"/>
        </w:rPr>
      </w:pPr>
      <w:r>
        <w:rPr>
          <w:rFonts w:ascii="Times New Roman" w:hAnsi="Times New Roman" w:cs="Times New Roman" w:eastAsia="Times New Roman" w:hint="default"/>
        </w:rPr>
        <w:t>25</w:t>
      </w:r>
      <w:r>
        <w:rPr/>
        <w:t>、库存股</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0"/>
        <w:gridCol w:w="1920"/>
        <w:gridCol w:w="1910"/>
        <w:gridCol w:w="1915"/>
        <w:gridCol w:w="1915"/>
      </w:tblGrid>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8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0"/>
        <w:gridCol w:w="1920"/>
        <w:gridCol w:w="1910"/>
        <w:gridCol w:w="1915"/>
        <w:gridCol w:w="1915"/>
      </w:tblGrid>
      <w:tr>
        <w:trPr>
          <w:trHeight w:val="403"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8,053,356.00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8,053,356.00</w:t>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8,053,356.00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8,053,356.00</w:t>
            </w:r>
          </w:p>
        </w:tc>
      </w:tr>
    </w:tbl>
    <w:p>
      <w:pPr>
        <w:pStyle w:val="BodyText"/>
        <w:spacing w:line="405" w:lineRule="auto" w:before="66"/>
        <w:ind w:left="575" w:right="0"/>
        <w:jc w:val="left"/>
      </w:pPr>
      <w:r>
        <w:rPr/>
        <w:t>其他说明，包括本期增减变动情况、变动原因说明：</w:t>
      </w:r>
      <w:r>
        <w:rPr>
          <w:w w:val="100"/>
        </w:rPr>
        <w:t> </w:t>
      </w:r>
      <w:r>
        <w:rPr>
          <w:spacing w:val="-1"/>
        </w:rPr>
        <w:t>根据本公司股权激励计划，按照2013年发行权益总额的30%与2014年发行预留权益总额的50%的加总，</w:t>
      </w:r>
    </w:p>
    <w:p>
      <w:pPr>
        <w:pStyle w:val="BodyText"/>
        <w:spacing w:line="405" w:lineRule="auto" w:before="50"/>
        <w:ind w:right="0"/>
        <w:jc w:val="left"/>
      </w:pPr>
      <w:r>
        <w:rPr/>
        <w:t>合计8,053,356元。在取得该款项时,按照取得的认股款确认股本和资本公积(股本溢价),同时就回购义务</w:t>
      </w:r>
      <w:r>
        <w:rPr>
          <w:spacing w:val="-32"/>
        </w:rPr>
        <w:t> </w:t>
      </w:r>
      <w:r>
        <w:rPr>
          <w:spacing w:val="-32"/>
        </w:rPr>
      </w:r>
      <w:r>
        <w:rPr/>
        <w:t>确认一项负债并确认库存股。</w:t>
      </w:r>
    </w:p>
    <w:p>
      <w:pPr>
        <w:spacing w:line="240" w:lineRule="auto" w:before="8"/>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26</w:t>
      </w:r>
      <w:r>
        <w:rPr/>
        <w:t>、盈余公积</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30"/>
        <w:gridCol w:w="1910"/>
        <w:gridCol w:w="1915"/>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8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30"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14,740,519.31</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5,831,496.99</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20,572,016.30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14,740,519.31</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5,831,496.99</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20,572,016.30</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27</w:t>
      </w:r>
      <w:r>
        <w:rPr/>
        <w:t>、未分配利润</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03"/>
        <w:gridCol w:w="2933"/>
        <w:gridCol w:w="2918"/>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调整前上期末未分配利润</w:t>
            </w:r>
          </w:p>
        </w:tc>
        <w:tc>
          <w:tcPr>
            <w:tcW w:w="293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116,116,818.36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83,283,222.04</w:t>
            </w:r>
          </w:p>
        </w:tc>
      </w:tr>
      <w:tr>
        <w:trPr>
          <w:trHeight w:val="398"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116,116,818.36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83,283,222.04</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加：本期归属于母公司所有者的净利润</w:t>
            </w:r>
          </w:p>
        </w:tc>
        <w:tc>
          <w:tcPr>
            <w:tcW w:w="293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100,871,442.71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47,726,565.71</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5,831,496.99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2,052,969.39</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应付普通股股利</w:t>
            </w:r>
          </w:p>
        </w:tc>
        <w:tc>
          <w:tcPr>
            <w:tcW w:w="293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16,356,600.00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12,840,000.00</w:t>
            </w:r>
          </w:p>
        </w:tc>
      </w:tr>
      <w:tr>
        <w:trPr>
          <w:trHeight w:val="398"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期末未分配利润</w:t>
            </w:r>
          </w:p>
        </w:tc>
        <w:tc>
          <w:tcPr>
            <w:tcW w:w="293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194,800,164.08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116,116,818.36</w:t>
            </w:r>
          </w:p>
        </w:tc>
      </w:tr>
    </w:tbl>
    <w:p>
      <w:pPr>
        <w:pStyle w:val="BodyText"/>
        <w:spacing w:line="410" w:lineRule="auto" w:before="66"/>
        <w:ind w:left="575" w:right="0"/>
        <w:jc w:val="left"/>
      </w:pPr>
      <w:r>
        <w:rPr/>
        <w:t>调整期初未分配利润明细：</w:t>
      </w:r>
      <w:r>
        <w:rPr>
          <w:spacing w:val="-102"/>
        </w:rPr>
        <w:t> </w:t>
      </w:r>
      <w:r>
        <w:rPr>
          <w:spacing w:val="-102"/>
        </w:rPr>
      </w:r>
      <w:r>
        <w:rPr>
          <w:spacing w:val="-2"/>
        </w:rPr>
        <w:t>1)、由于《企业会计准则》及其相关新规定进行追溯调整，影响期初未分配利润0.00元。</w:t>
      </w:r>
    </w:p>
    <w:p>
      <w:pPr>
        <w:pStyle w:val="BodyText"/>
        <w:spacing w:line="240" w:lineRule="auto" w:before="41"/>
        <w:ind w:left="575" w:right="0"/>
        <w:jc w:val="left"/>
      </w:pPr>
      <w:r>
        <w:rPr/>
        <w:t>2)、由于会计政策变更，影响期初未分配利润0.00元。</w:t>
      </w:r>
    </w:p>
    <w:p>
      <w:pPr>
        <w:spacing w:line="240" w:lineRule="auto" w:before="12"/>
        <w:rPr>
          <w:rFonts w:ascii="宋体" w:hAnsi="宋体" w:cs="宋体" w:eastAsia="宋体" w:hint="default"/>
          <w:sz w:val="14"/>
          <w:szCs w:val="14"/>
        </w:rPr>
      </w:pPr>
    </w:p>
    <w:p>
      <w:pPr>
        <w:pStyle w:val="BodyText"/>
        <w:spacing w:line="240" w:lineRule="auto"/>
        <w:ind w:left="575" w:right="0"/>
        <w:jc w:val="left"/>
      </w:pPr>
      <w:r>
        <w:rPr/>
        <w:t>3)、由于重大会计差错更正，影响期初未分配利润0.00元。</w:t>
      </w:r>
    </w:p>
    <w:p>
      <w:pPr>
        <w:spacing w:line="240" w:lineRule="auto" w:before="8"/>
        <w:rPr>
          <w:rFonts w:ascii="宋体" w:hAnsi="宋体" w:cs="宋体" w:eastAsia="宋体" w:hint="default"/>
          <w:sz w:val="14"/>
          <w:szCs w:val="14"/>
        </w:rPr>
      </w:pPr>
    </w:p>
    <w:p>
      <w:pPr>
        <w:pStyle w:val="BodyText"/>
        <w:spacing w:line="240" w:lineRule="auto"/>
        <w:ind w:left="575" w:right="0"/>
        <w:jc w:val="left"/>
      </w:pPr>
      <w:r>
        <w:rPr/>
        <w:t>4)、由于同一控制导致的合并范围变更，影响期初未分配利润0.00元。</w:t>
      </w:r>
    </w:p>
    <w:p>
      <w:pPr>
        <w:spacing w:line="240" w:lineRule="auto" w:before="12"/>
        <w:rPr>
          <w:rFonts w:ascii="宋体" w:hAnsi="宋体" w:cs="宋体" w:eastAsia="宋体" w:hint="default"/>
          <w:sz w:val="14"/>
          <w:szCs w:val="14"/>
        </w:rPr>
      </w:pPr>
    </w:p>
    <w:p>
      <w:pPr>
        <w:pStyle w:val="BodyText"/>
        <w:spacing w:line="240" w:lineRule="auto"/>
        <w:ind w:left="575" w:right="0"/>
        <w:jc w:val="left"/>
      </w:pPr>
      <w:r>
        <w:rPr/>
        <w:t>5)、其他调整合计影响期初未分配利润0.00元。</w:t>
      </w:r>
    </w:p>
    <w:p>
      <w:pPr>
        <w:spacing w:line="240" w:lineRule="auto" w:before="5"/>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28</w:t>
      </w:r>
      <w:r>
        <w:rPr/>
        <w:t>、营业收入和营业成本</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0"/>
        <w:gridCol w:w="3830"/>
        <w:gridCol w:w="3830"/>
      </w:tblGrid>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30"/>
        <w:gridCol w:w="1910"/>
        <w:gridCol w:w="1915"/>
        <w:gridCol w:w="1915"/>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成本</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9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30"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742,409,058.92</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488,999,135.37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496,909,380.26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342,816,501.87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30"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3,953,232.05</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3,714,788.74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9,834,748.34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8,871,074.66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746,362,290.97</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492,713,924.11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506,744,128.60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351,687,576.53</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29</w:t>
      </w:r>
      <w:r>
        <w:rPr/>
        <w:t>、营业税金及附加</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546,234.20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331,700.16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1,260,738.73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861,739.80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4,101.08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15.77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1,811,074.01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1,193,455.73</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30</w:t>
      </w:r>
      <w:r>
        <w:rPr/>
        <w:t>、销售费用</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15,630,523.03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8,968,626.72</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10,483,598.91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10,260,728.92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包装费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5,001,587.16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5,362,796.74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8,734,133.50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6,546,107.86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劳动保险费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1,988,466.37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1,888,738.31</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9,821,536.71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7,123,697.97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51,659,845.68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40,150,696.52</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31</w:t>
      </w:r>
      <w:r>
        <w:rPr/>
        <w:t>、管理费用</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39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21,465,310.51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14,174,366.87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15,540,903.46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11,063,954.62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5,546,842.35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4,769,455.62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3,085,361.72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2,438,457.24</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劳动保险费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3,157,730.07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2,617,576.57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1,818,897.09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1,179,067.74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咨询中介费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1,470,894.79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2,194,873.45</w:t>
            </w:r>
          </w:p>
        </w:tc>
      </w:tr>
    </w:tbl>
    <w:p>
      <w:pPr>
        <w:spacing w:after="0" w:line="240" w:lineRule="auto"/>
        <w:jc w:val="right"/>
        <w:rPr>
          <w:rFonts w:ascii="Times New Roman" w:hAnsi="Times New Roman" w:cs="Times New Roman" w:eastAsia="Times New Roman" w:hint="default"/>
          <w:sz w:val="18"/>
          <w:szCs w:val="18"/>
        </w:rPr>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股份支付费用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3,241,250.00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2,075,000.00</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14,976,526.99</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11,224,468.12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70,303,716.98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51,737,220.23</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32</w:t>
      </w:r>
      <w:r>
        <w:rPr/>
        <w:t>、财务费用</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649,555.56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129,988.89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-1,549,566.06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-4,198,007.65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汇兑净损失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-240,516.62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445,401.69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187,596.88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167,849.32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-952,930.24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-3,454,767.75</w:t>
            </w:r>
          </w:p>
        </w:tc>
      </w:tr>
    </w:tbl>
    <w:p>
      <w:pPr>
        <w:pStyle w:val="BodyText"/>
        <w:spacing w:line="386" w:lineRule="auto" w:before="66"/>
        <w:ind w:right="0" w:firstLine="422"/>
        <w:jc w:val="left"/>
      </w:pPr>
      <w:r>
        <w:rPr/>
        <w:t>其他说明：财务费用本年发生数比上年发生数增加</w:t>
      </w:r>
      <w:r>
        <w:rPr>
          <w:spacing w:val="-61"/>
        </w:rPr>
        <w:t> </w:t>
      </w:r>
      <w:r>
        <w:rPr>
          <w:rFonts w:ascii="Arial" w:hAnsi="Arial" w:cs="Arial" w:eastAsia="Arial" w:hint="default"/>
        </w:rPr>
        <w:t>2,502,083.01</w:t>
      </w:r>
      <w:r>
        <w:rPr>
          <w:rFonts w:ascii="Arial" w:hAnsi="Arial" w:cs="Arial" w:eastAsia="Arial" w:hint="default"/>
          <w:spacing w:val="-16"/>
        </w:rPr>
        <w:t> </w:t>
      </w:r>
      <w:r>
        <w:rPr/>
        <w:t>元，比例为</w:t>
      </w:r>
      <w:r>
        <w:rPr>
          <w:spacing w:val="-61"/>
        </w:rPr>
        <w:t> </w:t>
      </w:r>
      <w:r>
        <w:rPr>
          <w:rFonts w:ascii="Arial" w:hAnsi="Arial" w:cs="Arial" w:eastAsia="Arial" w:hint="default"/>
        </w:rPr>
        <w:t>72.42%</w:t>
      </w:r>
      <w:r>
        <w:rPr/>
        <w:t>，主要原因主要</w:t>
      </w:r>
      <w:r>
        <w:rPr>
          <w:w w:val="100"/>
        </w:rPr>
        <w:t> </w:t>
      </w:r>
      <w:r>
        <w:rPr/>
        <w:t>为：本年新增银行短期借款</w:t>
      </w:r>
      <w:r>
        <w:rPr>
          <w:rFonts w:ascii="Arial" w:hAnsi="Arial" w:cs="Arial" w:eastAsia="Arial" w:hint="default"/>
        </w:rPr>
        <w:t>,</w:t>
      </w:r>
      <w:r>
        <w:rPr/>
        <w:t>利息支出相应增加、募集资金定期存款减少，利息收入相应减少所致。</w:t>
      </w:r>
    </w:p>
    <w:p>
      <w:pPr>
        <w:pStyle w:val="Heading4"/>
        <w:spacing w:line="240" w:lineRule="auto" w:before="191"/>
        <w:ind w:right="0"/>
        <w:jc w:val="left"/>
        <w:rPr>
          <w:b w:val="0"/>
          <w:bCs w:val="0"/>
        </w:rPr>
      </w:pPr>
      <w:r>
        <w:rPr>
          <w:rFonts w:ascii="Times New Roman" w:hAnsi="Times New Roman" w:cs="Times New Roman" w:eastAsia="Times New Roman" w:hint="default"/>
        </w:rPr>
        <w:t>33</w:t>
      </w:r>
      <w:r>
        <w:rPr/>
        <w:t>、资产减值损失</w:t>
      </w:r>
      <w:r>
        <w:rPr>
          <w:b w:val="0"/>
          <w:bCs w:val="0"/>
        </w:rPr>
      </w:r>
    </w:p>
    <w:p>
      <w:pPr>
        <w:spacing w:line="240" w:lineRule="auto" w:before="10"/>
        <w:rPr>
          <w:rFonts w:ascii="Microsoft JhengHei" w:hAnsi="Microsoft JhengHei" w:cs="Microsoft JhengHei" w:eastAsia="Microsoft JhengHei" w:hint="default"/>
          <w:b/>
          <w:bCs/>
          <w:sz w:val="19"/>
          <w:szCs w:val="19"/>
        </w:rPr>
      </w:pPr>
    </w:p>
    <w:p>
      <w:pPr>
        <w:spacing w:before="0"/>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2"/>
      </w:tblGrid>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1,784,498.86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5,592,573.60</w:t>
            </w:r>
          </w:p>
        </w:tc>
      </w:tr>
      <w:tr>
        <w:trPr>
          <w:trHeight w:val="398"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2,614,231.96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378,458.86</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4,398,730.82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5,971,032.46</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34</w:t>
      </w:r>
      <w:r>
        <w:rPr/>
        <w:t>、营业外收入</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0"/>
        <w:gridCol w:w="2395"/>
        <w:gridCol w:w="2390"/>
        <w:gridCol w:w="2390"/>
      </w:tblGrid>
      <w:tr>
        <w:trPr>
          <w:trHeight w:val="159"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5"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099" w:right="103" w:hanging="989"/>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388"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73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0" w:type="dxa"/>
            <w:vMerge/>
            <w:tcBorders>
              <w:left w:val="single" w:sz="4" w:space="0" w:color="000000"/>
              <w:right w:val="single" w:sz="4" w:space="0" w:color="000000"/>
            </w:tcBorders>
            <w:shd w:val="clear" w:color="auto" w:fill="D2D2D2"/>
          </w:tcPr>
          <w:p>
            <w:pPr/>
          </w:p>
        </w:tc>
      </w:tr>
      <w:tr>
        <w:trPr>
          <w:trHeight w:val="168"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非流动资产处置利得合计</w:t>
            </w:r>
          </w:p>
        </w:tc>
        <w:tc>
          <w:tcPr>
            <w:tcW w:w="23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145,740.14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263,096.77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145,740.14</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其中：固定资产处置利得</w:t>
            </w:r>
          </w:p>
        </w:tc>
        <w:tc>
          <w:tcPr>
            <w:tcW w:w="23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145,740.14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263,096.77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145,740.14</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5,254,435.00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4,334,982.00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5,254,435.00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其他利得</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287,710.82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328,034.00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287,710.82</w:t>
            </w:r>
          </w:p>
        </w:tc>
      </w:tr>
      <w:tr>
        <w:trPr>
          <w:trHeight w:val="398"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5,687,885.96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4,926,112.77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5,687,885.96</w:t>
            </w:r>
          </w:p>
        </w:tc>
      </w:tr>
    </w:tbl>
    <w:p>
      <w:pPr>
        <w:spacing w:before="53"/>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0"/>
        <w:gridCol w:w="2395"/>
        <w:gridCol w:w="2390"/>
        <w:gridCol w:w="2390"/>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7"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63" w:right="0"/>
              <w:jc w:val="left"/>
              <w:rPr>
                <w:rFonts w:ascii="宋体" w:hAnsi="宋体" w:cs="宋体" w:eastAsia="宋体" w:hint="default"/>
                <w:sz w:val="18"/>
                <w:szCs w:val="18"/>
              </w:rPr>
            </w:pPr>
            <w:r>
              <w:rPr>
                <w:rFonts w:ascii="宋体" w:hAnsi="宋体" w:cs="宋体" w:eastAsia="宋体" w:hint="default"/>
                <w:spacing w:val="-3"/>
                <w:sz w:val="18"/>
                <w:szCs w:val="18"/>
              </w:rPr>
              <w:t>与资产相关</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与收益相关</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专利专项资助申请</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45" w:right="0"/>
              <w:jc w:val="left"/>
              <w:rPr>
                <w:rFonts w:ascii="Times New Roman" w:hAnsi="Times New Roman" w:cs="Times New Roman" w:eastAsia="Times New Roman" w:hint="default"/>
                <w:sz w:val="18"/>
                <w:szCs w:val="18"/>
              </w:rPr>
            </w:pPr>
            <w:r>
              <w:rPr>
                <w:rFonts w:ascii="Times New Roman"/>
                <w:sz w:val="18"/>
              </w:rPr>
              <w:t>179,969.00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45" w:right="0"/>
              <w:jc w:val="left"/>
              <w:rPr>
                <w:rFonts w:ascii="Times New Roman" w:hAnsi="Times New Roman" w:cs="Times New Roman" w:eastAsia="Times New Roman" w:hint="default"/>
                <w:sz w:val="18"/>
                <w:szCs w:val="18"/>
              </w:rPr>
            </w:pPr>
            <w:r>
              <w:rPr>
                <w:rFonts w:ascii="Times New Roman"/>
                <w:sz w:val="18"/>
              </w:rPr>
              <w:t>174,685.00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0"/>
        <w:gridCol w:w="2395"/>
        <w:gridCol w:w="2390"/>
        <w:gridCol w:w="2390"/>
      </w:tblGrid>
      <w:tr>
        <w:trPr>
          <w:trHeight w:val="715"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高新技术成果转化项目专项</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资金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387,000.00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401,000.00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9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院士专家工作站经费补助</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财政扶持资金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3,355,600.00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2,508,400.00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返还的教育附加</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99,866.00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188,897.00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专利工作试点示范单位配套</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资金</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0"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青浦区产学研合作发展项目</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扶持资金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品牌建设专项资金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700,000.00</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中小企业国际市场开拓资金</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奖励和奖金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332,000.00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5,254,435.00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4,334,982.00</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66"/>
        <w:ind w:left="575" w:right="0"/>
        <w:jc w:val="left"/>
      </w:pPr>
      <w:r>
        <w:rPr/>
        <w:t>其他说明：</w:t>
      </w:r>
    </w:p>
    <w:p>
      <w:pPr>
        <w:spacing w:line="240" w:lineRule="auto" w:before="8"/>
        <w:rPr>
          <w:rFonts w:ascii="宋体" w:hAnsi="宋体" w:cs="宋体" w:eastAsia="宋体" w:hint="default"/>
          <w:sz w:val="14"/>
          <w:szCs w:val="14"/>
        </w:rPr>
      </w:pPr>
    </w:p>
    <w:p>
      <w:pPr>
        <w:pStyle w:val="BodyText"/>
        <w:spacing w:line="240" w:lineRule="auto"/>
        <w:ind w:left="575" w:right="0"/>
        <w:jc w:val="left"/>
      </w:pPr>
      <w:r>
        <w:rPr/>
        <w:t>（</w:t>
      </w:r>
      <w:r>
        <w:rPr>
          <w:rFonts w:ascii="Arial" w:hAnsi="Arial" w:cs="Arial" w:eastAsia="Arial" w:hint="default"/>
        </w:rPr>
        <w:t>1</w:t>
      </w:r>
      <w:r>
        <w:rPr/>
        <w:t>）专利专项资助申请：根据沪知局</w:t>
      </w:r>
      <w:r>
        <w:rPr>
          <w:rFonts w:ascii="Arial" w:hAnsi="Arial" w:cs="Arial" w:eastAsia="Arial" w:hint="default"/>
        </w:rPr>
        <w:t>(62)</w:t>
      </w:r>
      <w:r>
        <w:rPr>
          <w:rFonts w:ascii="Arial" w:hAnsi="Arial" w:cs="Arial" w:eastAsia="Arial" w:hint="default"/>
          <w:spacing w:val="55"/>
        </w:rPr>
        <w:t> </w:t>
      </w:r>
      <w:r>
        <w:rPr/>
        <w:t>关于印发修订后《上海市专利资助办法》的通知、青知局</w:t>
      </w:r>
    </w:p>
    <w:p>
      <w:pPr>
        <w:pStyle w:val="BodyText"/>
        <w:spacing w:line="240" w:lineRule="auto" w:before="180"/>
        <w:ind w:right="0"/>
        <w:jc w:val="left"/>
      </w:pPr>
      <w:r>
        <w:rPr>
          <w:rFonts w:ascii="Arial" w:hAnsi="Arial" w:cs="Arial" w:eastAsia="Arial" w:hint="default"/>
        </w:rPr>
        <w:t>[2014]3</w:t>
      </w:r>
      <w:r>
        <w:rPr>
          <w:rFonts w:ascii="Arial" w:hAnsi="Arial" w:cs="Arial" w:eastAsia="Arial" w:hint="default"/>
          <w:spacing w:val="3"/>
        </w:rPr>
        <w:t> </w:t>
      </w:r>
      <w:r>
        <w:rPr/>
        <w:t>号关于</w:t>
      </w:r>
      <w:r>
        <w:rPr>
          <w:spacing w:val="-41"/>
        </w:rPr>
        <w:t> </w:t>
      </w:r>
      <w:r>
        <w:rPr>
          <w:rFonts w:ascii="Arial" w:hAnsi="Arial" w:cs="Arial" w:eastAsia="Arial" w:hint="default"/>
          <w:spacing w:val="-3"/>
        </w:rPr>
        <w:t>2014</w:t>
      </w:r>
      <w:r>
        <w:rPr>
          <w:rFonts w:ascii="Arial" w:hAnsi="Arial" w:cs="Arial" w:eastAsia="Arial" w:hint="default"/>
          <w:spacing w:val="3"/>
        </w:rPr>
        <w:t> </w:t>
      </w:r>
      <w:r>
        <w:rPr/>
        <w:t>年上半年度青浦区知识产权资助费发放通知及青知局</w:t>
      </w:r>
      <w:r>
        <w:rPr>
          <w:rFonts w:ascii="Arial" w:hAnsi="Arial" w:cs="Arial" w:eastAsia="Arial" w:hint="default"/>
        </w:rPr>
        <w:t>[2014]9</w:t>
      </w:r>
      <w:r>
        <w:rPr>
          <w:rFonts w:ascii="Arial" w:hAnsi="Arial" w:cs="Arial" w:eastAsia="Arial" w:hint="default"/>
          <w:spacing w:val="3"/>
        </w:rPr>
        <w:t> </w:t>
      </w:r>
      <w:r>
        <w:rPr/>
        <w:t>号关于拨付</w:t>
      </w:r>
      <w:r>
        <w:rPr>
          <w:spacing w:val="-41"/>
        </w:rPr>
        <w:t> </w:t>
      </w:r>
      <w:r>
        <w:rPr>
          <w:rFonts w:ascii="Arial" w:hAnsi="Arial" w:cs="Arial" w:eastAsia="Arial" w:hint="default"/>
          <w:spacing w:val="-3"/>
        </w:rPr>
        <w:t>2014</w:t>
      </w:r>
      <w:r>
        <w:rPr>
          <w:rFonts w:ascii="Arial" w:hAnsi="Arial" w:cs="Arial" w:eastAsia="Arial" w:hint="default"/>
          <w:spacing w:val="3"/>
        </w:rPr>
        <w:t> </w:t>
      </w:r>
      <w:r>
        <w:rPr/>
        <w:t>年下</w:t>
      </w:r>
    </w:p>
    <w:p>
      <w:pPr>
        <w:pStyle w:val="BodyText"/>
        <w:spacing w:line="240" w:lineRule="auto" w:before="176"/>
        <w:ind w:right="0"/>
        <w:jc w:val="left"/>
      </w:pPr>
      <w:r>
        <w:rPr/>
        <w:t>半年度青浦区知识产权资助费的通知等，本公司本年度取得有关专利专项资助补贴合计</w:t>
      </w:r>
      <w:r>
        <w:rPr>
          <w:spacing w:val="-45"/>
        </w:rPr>
        <w:t> </w:t>
      </w:r>
      <w:r>
        <w:rPr>
          <w:rFonts w:ascii="Arial" w:hAnsi="Arial" w:cs="Arial" w:eastAsia="Arial" w:hint="default"/>
          <w:spacing w:val="-3"/>
        </w:rPr>
        <w:t>179,969.00</w:t>
      </w:r>
      <w:r>
        <w:rPr>
          <w:rFonts w:ascii="Arial" w:hAnsi="Arial" w:cs="Arial" w:eastAsia="Arial" w:hint="default"/>
          <w:spacing w:val="-1"/>
        </w:rPr>
        <w:t> </w:t>
      </w:r>
      <w:r>
        <w:rPr/>
        <w:t>元。</w:t>
      </w:r>
    </w:p>
    <w:p>
      <w:pPr>
        <w:pStyle w:val="BodyText"/>
        <w:spacing w:line="386" w:lineRule="auto" w:before="180"/>
        <w:ind w:right="106" w:firstLine="422"/>
        <w:jc w:val="both"/>
      </w:pPr>
      <w:r>
        <w:rPr/>
        <w:t>（</w:t>
      </w:r>
      <w:r>
        <w:rPr>
          <w:rFonts w:ascii="Arial" w:hAnsi="Arial" w:cs="Arial" w:eastAsia="Arial" w:hint="default"/>
        </w:rPr>
        <w:t>2</w:t>
      </w:r>
      <w:r>
        <w:rPr/>
        <w:t>）高新技术成果转化项目专项资金：根据沪财企</w:t>
      </w:r>
      <w:r>
        <w:rPr>
          <w:rFonts w:ascii="Arial" w:hAnsi="Arial" w:cs="Arial" w:eastAsia="Arial" w:hint="default"/>
        </w:rPr>
        <w:t>(2006)66</w:t>
      </w:r>
      <w:r>
        <w:rPr>
          <w:rFonts w:ascii="Arial" w:hAnsi="Arial" w:cs="Arial" w:eastAsia="Arial" w:hint="default"/>
          <w:spacing w:val="9"/>
        </w:rPr>
        <w:t> </w:t>
      </w:r>
      <w:r>
        <w:rPr/>
        <w:t>号《高新技术成果转化专项资金扶持办</w:t>
      </w:r>
      <w:r>
        <w:rPr>
          <w:w w:val="100"/>
        </w:rPr>
        <w:t> </w:t>
      </w:r>
      <w:r>
        <w:rPr>
          <w:spacing w:val="-20"/>
          <w:w w:val="100"/>
        </w:rPr>
        <w:t>法》，本公司本年度收到</w:t>
      </w:r>
      <w:r>
        <w:rPr>
          <w:spacing w:val="-55"/>
          <w:w w:val="100"/>
        </w:rPr>
        <w:t> </w:t>
      </w:r>
      <w:r>
        <w:rPr>
          <w:rFonts w:ascii="Arial" w:hAnsi="Arial" w:cs="Arial" w:eastAsia="Arial" w:hint="default"/>
          <w:spacing w:val="-3"/>
          <w:w w:val="100"/>
        </w:rPr>
        <w:t>2013</w:t>
      </w:r>
      <w:r>
        <w:rPr>
          <w:rFonts w:ascii="Arial" w:hAnsi="Arial" w:cs="Arial" w:eastAsia="Arial" w:hint="default"/>
          <w:spacing w:val="-11"/>
          <w:w w:val="100"/>
        </w:rPr>
        <w:t> </w:t>
      </w:r>
      <w:r>
        <w:rPr>
          <w:spacing w:val="-2"/>
          <w:w w:val="100"/>
        </w:rPr>
        <w:t>年度市级财政扶持政策资金</w:t>
      </w:r>
      <w:r>
        <w:rPr>
          <w:rFonts w:ascii="Arial" w:hAnsi="Arial" w:cs="Arial" w:eastAsia="Arial" w:hint="default"/>
          <w:spacing w:val="-2"/>
          <w:w w:val="100"/>
        </w:rPr>
        <w:t>-</w:t>
      </w:r>
      <w:r>
        <w:rPr>
          <w:spacing w:val="-2"/>
          <w:w w:val="100"/>
        </w:rPr>
        <w:t>高新技术成果转化项目补助资金</w:t>
      </w:r>
      <w:r>
        <w:rPr>
          <w:spacing w:val="-55"/>
          <w:w w:val="100"/>
        </w:rPr>
        <w:t> </w:t>
      </w:r>
      <w:r>
        <w:rPr>
          <w:rFonts w:ascii="Arial" w:hAnsi="Arial" w:cs="Arial" w:eastAsia="Arial" w:hint="default"/>
          <w:spacing w:val="-2"/>
          <w:w w:val="100"/>
        </w:rPr>
        <w:t>387,000.00</w:t>
      </w:r>
      <w:r>
        <w:rPr>
          <w:rFonts w:ascii="Arial" w:hAnsi="Arial" w:cs="Arial" w:eastAsia="Arial" w:hint="default"/>
          <w:spacing w:val="-11"/>
          <w:w w:val="100"/>
        </w:rPr>
        <w:t> </w:t>
      </w:r>
      <w:r>
        <w:rPr>
          <w:w w:val="100"/>
        </w:rPr>
        <w:t>元。</w:t>
      </w:r>
    </w:p>
    <w:p>
      <w:pPr>
        <w:pStyle w:val="BodyText"/>
        <w:spacing w:line="388" w:lineRule="auto" w:before="37"/>
        <w:ind w:right="202" w:firstLine="422"/>
        <w:jc w:val="both"/>
      </w:pPr>
      <w:r>
        <w:rPr/>
        <w:t>（</w:t>
      </w:r>
      <w:r>
        <w:rPr>
          <w:rFonts w:ascii="Arial" w:hAnsi="Arial" w:cs="Arial" w:eastAsia="Arial" w:hint="default"/>
        </w:rPr>
        <w:t>3</w:t>
      </w:r>
      <w:r>
        <w:rPr/>
        <w:t>）财政扶持资金：根据上海青浦出口加工区开发有限公司《关于对上海安诺其集团股份有限公司</w:t>
      </w:r>
      <w:r>
        <w:rPr>
          <w:w w:val="100"/>
        </w:rPr>
        <w:t> </w:t>
      </w:r>
      <w:r>
        <w:rPr/>
        <w:t>有关财政扶持的说明》及东财企指</w:t>
      </w:r>
      <w:r>
        <w:rPr>
          <w:rFonts w:ascii="Arial" w:hAnsi="Arial" w:cs="Arial" w:eastAsia="Arial" w:hint="default"/>
        </w:rPr>
        <w:t>[2014]25</w:t>
      </w:r>
      <w:r>
        <w:rPr>
          <w:rFonts w:ascii="Arial" w:hAnsi="Arial" w:cs="Arial" w:eastAsia="Arial" w:hint="default"/>
          <w:spacing w:val="-8"/>
        </w:rPr>
        <w:t> </w:t>
      </w:r>
      <w:r>
        <w:rPr/>
        <w:t>号关于下达</w:t>
      </w:r>
      <w:r>
        <w:rPr>
          <w:spacing w:val="-51"/>
        </w:rPr>
        <w:t> </w:t>
      </w:r>
      <w:r>
        <w:rPr>
          <w:rFonts w:ascii="Arial" w:hAnsi="Arial" w:cs="Arial" w:eastAsia="Arial" w:hint="default"/>
        </w:rPr>
        <w:t>2014</w:t>
      </w:r>
      <w:r>
        <w:rPr>
          <w:rFonts w:ascii="Arial" w:hAnsi="Arial" w:cs="Arial" w:eastAsia="Arial" w:hint="default"/>
          <w:spacing w:val="-7"/>
        </w:rPr>
        <w:t> </w:t>
      </w:r>
      <w:r>
        <w:rPr/>
        <w:t>年度中小企业发展专项资金预算指标的通知</w:t>
      </w:r>
      <w:r>
        <w:rPr>
          <w:w w:val="100"/>
        </w:rPr>
        <w:t> </w:t>
      </w:r>
      <w:r>
        <w:rPr/>
        <w:t>的相关规定，本公司本年度取得财政扶持资金共计</w:t>
      </w:r>
      <w:r>
        <w:rPr>
          <w:spacing w:val="-59"/>
        </w:rPr>
        <w:t> </w:t>
      </w:r>
      <w:r>
        <w:rPr>
          <w:rFonts w:ascii="Arial" w:hAnsi="Arial" w:cs="Arial" w:eastAsia="Arial" w:hint="default"/>
        </w:rPr>
        <w:t>3,355,600.00</w:t>
      </w:r>
      <w:r>
        <w:rPr>
          <w:rFonts w:ascii="Arial" w:hAnsi="Arial" w:cs="Arial" w:eastAsia="Arial" w:hint="default"/>
          <w:spacing w:val="-14"/>
        </w:rPr>
        <w:t> </w:t>
      </w:r>
      <w:r>
        <w:rPr/>
        <w:t>元。</w:t>
      </w:r>
    </w:p>
    <w:p>
      <w:pPr>
        <w:pStyle w:val="BodyText"/>
        <w:spacing w:line="398" w:lineRule="auto" w:before="30"/>
        <w:ind w:right="202" w:firstLine="422"/>
        <w:jc w:val="both"/>
      </w:pPr>
      <w:r>
        <w:rPr/>
        <w:t>（</w:t>
      </w:r>
      <w:r>
        <w:rPr>
          <w:rFonts w:ascii="Arial" w:hAnsi="Arial" w:cs="Arial" w:eastAsia="Arial" w:hint="default"/>
        </w:rPr>
        <w:t>4</w:t>
      </w:r>
      <w:r>
        <w:rPr/>
        <w:t>）青浦区产学研合作发展项目扶持资金：根据青科委</w:t>
      </w:r>
      <w:r>
        <w:rPr>
          <w:rFonts w:ascii="Arial" w:hAnsi="Arial" w:cs="Arial" w:eastAsia="Arial" w:hint="default"/>
        </w:rPr>
        <w:t>(2013)71 </w:t>
      </w:r>
      <w:r>
        <w:rPr/>
        <w:t>号《关于下达 </w:t>
      </w:r>
      <w:r>
        <w:rPr>
          <w:rFonts w:ascii="Arial" w:hAnsi="Arial" w:cs="Arial" w:eastAsia="Arial" w:hint="default"/>
          <w:spacing w:val="-3"/>
        </w:rPr>
        <w:t>2013</w:t>
      </w:r>
      <w:r>
        <w:rPr>
          <w:rFonts w:ascii="Arial" w:hAnsi="Arial" w:cs="Arial" w:eastAsia="Arial" w:hint="default"/>
          <w:spacing w:val="12"/>
        </w:rPr>
        <w:t> </w:t>
      </w:r>
      <w:r>
        <w:rPr/>
        <w:t>年第一批青浦</w:t>
      </w:r>
      <w:r>
        <w:rPr>
          <w:w w:val="100"/>
        </w:rPr>
        <w:t> </w:t>
      </w:r>
      <w:r>
        <w:rPr>
          <w:spacing w:val="-2"/>
          <w:w w:val="100"/>
        </w:rPr>
        <w:t>区产学研合作发展项目和扶持资金的通知》，本公司因线形多元共聚柔软剂的开发和应用收到青浦区产学</w:t>
      </w:r>
      <w:r>
        <w:rPr>
          <w:spacing w:val="-99"/>
          <w:w w:val="100"/>
        </w:rPr>
        <w:t> </w:t>
      </w:r>
      <w:r>
        <w:rPr>
          <w:spacing w:val="-99"/>
          <w:w w:val="100"/>
        </w:rPr>
      </w:r>
      <w:r>
        <w:rPr/>
        <w:t>研合作发展项目扶持资金</w:t>
      </w:r>
      <w:r>
        <w:rPr>
          <w:spacing w:val="-43"/>
        </w:rPr>
        <w:t> </w:t>
      </w:r>
      <w:r>
        <w:rPr>
          <w:rFonts w:ascii="Arial" w:hAnsi="Arial" w:cs="Arial" w:eastAsia="Arial" w:hint="default"/>
          <w:spacing w:val="-3"/>
        </w:rPr>
        <w:t>200,000.00</w:t>
      </w:r>
      <w:r>
        <w:rPr>
          <w:rFonts w:ascii="Arial" w:hAnsi="Arial" w:cs="Arial" w:eastAsia="Arial" w:hint="default"/>
          <w:spacing w:val="1"/>
        </w:rPr>
        <w:t> </w:t>
      </w:r>
      <w:r>
        <w:rPr/>
        <w:t>元。</w:t>
      </w:r>
    </w:p>
    <w:p>
      <w:pPr>
        <w:pStyle w:val="BodyText"/>
        <w:spacing w:line="398" w:lineRule="auto" w:before="25"/>
        <w:ind w:right="197" w:firstLine="422"/>
        <w:jc w:val="both"/>
        <w:rPr>
          <w:rFonts w:ascii="Arial" w:hAnsi="Arial" w:cs="Arial" w:eastAsia="Arial" w:hint="default"/>
        </w:rPr>
      </w:pPr>
      <w:r>
        <w:rPr/>
        <w:t>（</w:t>
      </w:r>
      <w:r>
        <w:rPr>
          <w:rFonts w:ascii="Arial" w:hAnsi="Arial" w:cs="Arial" w:eastAsia="Arial" w:hint="default"/>
        </w:rPr>
        <w:t>5</w:t>
      </w:r>
      <w:r>
        <w:rPr/>
        <w:t>）奖励和奖金：根据青府办发</w:t>
      </w:r>
      <w:r>
        <w:rPr>
          <w:rFonts w:ascii="Arial" w:hAnsi="Arial" w:cs="Arial" w:eastAsia="Arial" w:hint="default"/>
        </w:rPr>
        <w:t>[2013]87</w:t>
      </w:r>
      <w:r>
        <w:rPr>
          <w:rFonts w:ascii="Arial" w:hAnsi="Arial" w:cs="Arial" w:eastAsia="Arial" w:hint="default"/>
          <w:spacing w:val="32"/>
        </w:rPr>
        <w:t> </w:t>
      </w:r>
      <w:r>
        <w:rPr/>
        <w:t>号上海市青浦区人民政府办公室转发青浦区关于加强招商</w:t>
      </w:r>
      <w:r>
        <w:rPr>
          <w:w w:val="100"/>
        </w:rPr>
        <w:t> </w:t>
      </w:r>
      <w:r>
        <w:rPr>
          <w:spacing w:val="-2"/>
        </w:rPr>
        <w:t>引资，加快推进现代服务业和先进制造业发展的若干意见相关实施办法和细则（第一批）的通知、青科委</w:t>
      </w:r>
      <w:r>
        <w:rPr>
          <w:spacing w:val="-36"/>
        </w:rPr>
        <w:t> </w:t>
      </w:r>
      <w:r>
        <w:rPr>
          <w:spacing w:val="-36"/>
        </w:rPr>
      </w:r>
      <w:r>
        <w:rPr>
          <w:rFonts w:ascii="Arial" w:hAnsi="Arial" w:cs="Arial" w:eastAsia="Arial" w:hint="default"/>
        </w:rPr>
        <w:t>[2014]57 </w:t>
      </w:r>
      <w:r>
        <w:rPr/>
        <w:t>号关于下达上海市科学技术奖获奖项目配套奖励资金的通知及青科协</w:t>
      </w:r>
      <w:r>
        <w:rPr>
          <w:rFonts w:ascii="Arial" w:hAnsi="Arial" w:cs="Arial" w:eastAsia="Arial" w:hint="default"/>
        </w:rPr>
        <w:t>[2014]17 </w:t>
      </w:r>
      <w:r>
        <w:rPr/>
        <w:t>号关于下达</w:t>
      </w:r>
      <w:r>
        <w:rPr>
          <w:spacing w:val="-50"/>
        </w:rPr>
        <w:t> </w:t>
      </w:r>
      <w:r>
        <w:rPr>
          <w:rFonts w:ascii="Arial" w:hAnsi="Arial" w:cs="Arial" w:eastAsia="Arial" w:hint="default"/>
          <w:spacing w:val="-3"/>
        </w:rPr>
        <w:t>2014</w:t>
      </w:r>
    </w:p>
    <w:p>
      <w:pPr>
        <w:pStyle w:val="BodyText"/>
        <w:spacing w:line="240" w:lineRule="auto" w:before="21"/>
        <w:ind w:right="0"/>
        <w:jc w:val="left"/>
      </w:pPr>
      <w:r>
        <w:rPr/>
        <w:t>年青浦区学会咨询重点项目的通知等，本年度取得奖励和奖金共计</w:t>
      </w:r>
      <w:r>
        <w:rPr>
          <w:spacing w:val="-60"/>
        </w:rPr>
        <w:t> </w:t>
      </w:r>
      <w:r>
        <w:rPr>
          <w:rFonts w:ascii="Arial" w:hAnsi="Arial" w:cs="Arial" w:eastAsia="Arial" w:hint="default"/>
        </w:rPr>
        <w:t>332,000.00</w:t>
      </w:r>
      <w:r>
        <w:rPr>
          <w:rFonts w:ascii="Arial" w:hAnsi="Arial" w:cs="Arial" w:eastAsia="Arial" w:hint="default"/>
          <w:spacing w:val="-16"/>
        </w:rPr>
        <w:t> </w:t>
      </w:r>
      <w:r>
        <w:rPr/>
        <w:t>元。</w:t>
      </w:r>
    </w:p>
    <w:p>
      <w:pPr>
        <w:pStyle w:val="BodyText"/>
        <w:spacing w:line="240" w:lineRule="auto" w:before="180"/>
        <w:ind w:left="575" w:right="0"/>
        <w:jc w:val="left"/>
      </w:pPr>
      <w:r>
        <w:rPr>
          <w:spacing w:val="-5"/>
        </w:rPr>
        <w:t>（</w:t>
      </w:r>
      <w:r>
        <w:rPr>
          <w:rFonts w:ascii="Arial" w:hAnsi="Arial" w:cs="Arial" w:eastAsia="Arial" w:hint="default"/>
          <w:spacing w:val="-5"/>
        </w:rPr>
        <w:t>6</w:t>
      </w:r>
      <w:r>
        <w:rPr>
          <w:spacing w:val="-5"/>
        </w:rPr>
        <w:t>）品牌建设专项资金：根据 </w:t>
      </w:r>
      <w:r>
        <w:rPr>
          <w:rFonts w:ascii="Arial" w:hAnsi="Arial" w:cs="Arial" w:eastAsia="Arial" w:hint="default"/>
          <w:spacing w:val="-3"/>
        </w:rPr>
        <w:t>2014</w:t>
      </w:r>
      <w:r>
        <w:rPr>
          <w:rFonts w:ascii="Arial" w:hAnsi="Arial" w:cs="Arial" w:eastAsia="Arial" w:hint="default"/>
          <w:spacing w:val="25"/>
        </w:rPr>
        <w:t> </w:t>
      </w:r>
      <w:r>
        <w:rPr>
          <w:spacing w:val="-3"/>
        </w:rPr>
        <w:t>年第二批加快自主品牌建设专项资金支持项目的说明，本公司本</w:t>
      </w:r>
    </w:p>
    <w:p>
      <w:pPr>
        <w:pStyle w:val="BodyText"/>
        <w:spacing w:line="240" w:lineRule="auto" w:before="176"/>
        <w:ind w:right="0"/>
        <w:jc w:val="left"/>
      </w:pPr>
      <w:r>
        <w:rPr/>
        <w:t>年度收到品牌建设专项资金</w:t>
      </w:r>
      <w:r>
        <w:rPr>
          <w:spacing w:val="-57"/>
        </w:rPr>
        <w:t> </w:t>
      </w:r>
      <w:r>
        <w:rPr>
          <w:rFonts w:ascii="Arial" w:hAnsi="Arial" w:cs="Arial" w:eastAsia="Arial" w:hint="default"/>
        </w:rPr>
        <w:t>700,000.00</w:t>
      </w:r>
      <w:r>
        <w:rPr>
          <w:rFonts w:ascii="Arial" w:hAnsi="Arial" w:cs="Arial" w:eastAsia="Arial" w:hint="default"/>
          <w:spacing w:val="-13"/>
        </w:rPr>
        <w:t> </w:t>
      </w:r>
      <w:r>
        <w:rPr/>
        <w:t>元。</w:t>
      </w:r>
    </w:p>
    <w:p>
      <w:pPr>
        <w:spacing w:after="0" w:line="240" w:lineRule="auto"/>
        <w:jc w:val="left"/>
        <w:sectPr>
          <w:pgSz w:w="11900" w:h="16840"/>
          <w:pgMar w:header="742" w:footer="984" w:top="1060" w:bottom="1180" w:left="980" w:right="920"/>
        </w:sectPr>
      </w:pPr>
    </w:p>
    <w:p>
      <w:pPr>
        <w:spacing w:line="240" w:lineRule="auto" w:before="4"/>
        <w:rPr>
          <w:rFonts w:ascii="宋体" w:hAnsi="宋体" w:cs="宋体" w:eastAsia="宋体" w:hint="default"/>
          <w:sz w:val="25"/>
          <w:szCs w:val="25"/>
        </w:rPr>
      </w:pPr>
    </w:p>
    <w:p>
      <w:pPr>
        <w:pStyle w:val="Heading4"/>
        <w:spacing w:line="335" w:lineRule="exact"/>
        <w:ind w:right="0"/>
        <w:jc w:val="left"/>
        <w:rPr>
          <w:b w:val="0"/>
          <w:bCs w:val="0"/>
        </w:rPr>
      </w:pPr>
      <w:r>
        <w:rPr>
          <w:rFonts w:ascii="Times New Roman" w:hAnsi="Times New Roman" w:cs="Times New Roman" w:eastAsia="Times New Roman" w:hint="default"/>
        </w:rPr>
        <w:t>35</w:t>
      </w:r>
      <w:r>
        <w:rPr/>
        <w:t>、营业外支出</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0"/>
        <w:gridCol w:w="2395"/>
        <w:gridCol w:w="2390"/>
        <w:gridCol w:w="2390"/>
      </w:tblGrid>
      <w:tr>
        <w:trPr>
          <w:trHeight w:val="159"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5"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099" w:right="103" w:hanging="989"/>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393"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73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0" w:type="dxa"/>
            <w:vMerge/>
            <w:tcBorders>
              <w:left w:val="single" w:sz="4" w:space="0" w:color="000000"/>
              <w:right w:val="single" w:sz="4" w:space="0" w:color="000000"/>
            </w:tcBorders>
            <w:shd w:val="clear" w:color="auto" w:fill="D2D2D2"/>
          </w:tcPr>
          <w:p>
            <w:pPr/>
          </w:p>
        </w:tc>
      </w:tr>
      <w:tr>
        <w:trPr>
          <w:trHeight w:val="163"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非流动资产处置损失合计</w:t>
            </w:r>
          </w:p>
        </w:tc>
        <w:tc>
          <w:tcPr>
            <w:tcW w:w="23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707,583.63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1,275,956.35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707,583.63</w:t>
            </w:r>
          </w:p>
        </w:tc>
      </w:tr>
      <w:tr>
        <w:trPr>
          <w:trHeight w:val="398"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其中：固定资产处置损失</w:t>
            </w:r>
          </w:p>
        </w:tc>
        <w:tc>
          <w:tcPr>
            <w:tcW w:w="23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707,583.63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1,275,956.35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707,583.63</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546,000.00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1,478,000.00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546,000.00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9,017.91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264,058.25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9,017.91</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1,262,601.54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3,018,014.60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1,262,601.54</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36</w:t>
      </w:r>
      <w:r>
        <w:rPr/>
        <w:t>、所得税费用</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2"/>
      </w:tblGrid>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当期所得税费用</w:t>
            </w:r>
          </w:p>
        </w:tc>
        <w:tc>
          <w:tcPr>
            <w:tcW w:w="320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26,717,654.82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13,461,058.87</w:t>
            </w:r>
          </w:p>
        </w:tc>
      </w:tr>
      <w:tr>
        <w:trPr>
          <w:trHeight w:val="398"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递延所得税费用</w:t>
            </w:r>
          </w:p>
        </w:tc>
        <w:tc>
          <w:tcPr>
            <w:tcW w:w="320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-898,040.44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-521,125.95</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25,819,614.38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12,939,932.92</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798"/>
      </w:tblGrid>
      <w:tr>
        <w:trPr>
          <w:trHeight w:val="398"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130,853,214.03</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按法定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适用税率计算的所得税费用</w:t>
            </w:r>
          </w:p>
        </w:tc>
        <w:tc>
          <w:tcPr>
            <w:tcW w:w="47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19,627,982.10</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子公司适用不同税率的影响</w:t>
            </w:r>
          </w:p>
        </w:tc>
        <w:tc>
          <w:tcPr>
            <w:tcW w:w="47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6,849,556.85</w:t>
            </w:r>
          </w:p>
        </w:tc>
      </w:tr>
      <w:tr>
        <w:trPr>
          <w:trHeight w:val="398"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调整以前期间所得税的影响</w:t>
            </w:r>
          </w:p>
        </w:tc>
        <w:tc>
          <w:tcPr>
            <w:tcW w:w="47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-83,159.87</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不可抵扣的成本、费用和损失的影响</w:t>
            </w:r>
          </w:p>
        </w:tc>
        <w:tc>
          <w:tcPr>
            <w:tcW w:w="47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1,547,329.68</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研究开发费用附加扣除及其他纳税调减的影响</w:t>
            </w:r>
          </w:p>
        </w:tc>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-1,224,053.94</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递延所得税调整的影响</w:t>
            </w:r>
          </w:p>
        </w:tc>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-898,040.44</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25,819,614.38</w:t>
            </w:r>
          </w:p>
        </w:tc>
      </w:tr>
    </w:tbl>
    <w:p>
      <w:pPr>
        <w:pStyle w:val="BodyText"/>
        <w:spacing w:line="386" w:lineRule="auto" w:before="66"/>
        <w:ind w:right="0" w:firstLine="422"/>
        <w:jc w:val="left"/>
      </w:pPr>
      <w:r>
        <w:rPr/>
        <w:t>其他说明：所得税费用本年发生数比上年发生数增加 </w:t>
      </w:r>
      <w:r>
        <w:rPr>
          <w:rFonts w:ascii="Arial" w:hAnsi="Arial" w:cs="Arial" w:eastAsia="Arial" w:hint="default"/>
        </w:rPr>
        <w:t>12,879,681.46 </w:t>
      </w:r>
      <w:r>
        <w:rPr/>
        <w:t>元，增加比例为</w:t>
      </w:r>
      <w:r>
        <w:rPr>
          <w:spacing w:val="-54"/>
        </w:rPr>
        <w:t> </w:t>
      </w:r>
      <w:r>
        <w:rPr>
          <w:rFonts w:ascii="Arial" w:hAnsi="Arial" w:cs="Arial" w:eastAsia="Arial" w:hint="default"/>
        </w:rPr>
        <w:t>99.53%</w:t>
      </w:r>
      <w:r>
        <w:rPr/>
        <w:t>，增加</w:t>
      </w:r>
      <w:r>
        <w:rPr>
          <w:w w:val="100"/>
        </w:rPr>
        <w:t> </w:t>
      </w:r>
      <w:r>
        <w:rPr/>
        <w:t>主要原因为：本年利润总额大幅增加</w:t>
      </w:r>
      <w:r>
        <w:rPr>
          <w:rFonts w:ascii="Arial" w:hAnsi="Arial" w:cs="Arial" w:eastAsia="Arial" w:hint="default"/>
        </w:rPr>
        <w:t>,</w:t>
      </w:r>
      <w:r>
        <w:rPr/>
        <w:t>相应增加应计算的所得税费用所致。</w:t>
      </w:r>
    </w:p>
    <w:p>
      <w:pPr>
        <w:spacing w:after="0" w:line="386" w:lineRule="auto"/>
        <w:jc w:val="left"/>
        <w:sectPr>
          <w:pgSz w:w="11900" w:h="16840"/>
          <w:pgMar w:header="742" w:footer="984" w:top="1060" w:bottom="1180" w:left="980" w:right="980"/>
        </w:sectPr>
      </w:pPr>
    </w:p>
    <w:p>
      <w:pPr>
        <w:spacing w:line="240" w:lineRule="auto" w:before="4"/>
        <w:rPr>
          <w:rFonts w:ascii="宋体" w:hAnsi="宋体" w:cs="宋体" w:eastAsia="宋体" w:hint="default"/>
          <w:sz w:val="25"/>
          <w:szCs w:val="25"/>
        </w:rPr>
      </w:pPr>
    </w:p>
    <w:p>
      <w:pPr>
        <w:pStyle w:val="Heading4"/>
        <w:spacing w:line="335" w:lineRule="exact"/>
        <w:ind w:right="0"/>
        <w:jc w:val="left"/>
        <w:rPr>
          <w:b w:val="0"/>
          <w:bCs w:val="0"/>
        </w:rPr>
      </w:pPr>
      <w:r>
        <w:rPr>
          <w:rFonts w:ascii="Times New Roman" w:hAnsi="Times New Roman" w:cs="Times New Roman" w:eastAsia="Times New Roman" w:hint="default"/>
        </w:rPr>
        <w:t>37</w:t>
      </w:r>
      <w:r>
        <w:rPr/>
        <w:t>、其他综合收益</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240" w:lineRule="auto"/>
        <w:ind w:left="0" w:right="7731"/>
        <w:jc w:val="center"/>
      </w:pPr>
      <w:r>
        <w:rPr/>
        <w:t>详见附注。</w:t>
      </w:r>
    </w:p>
    <w:p>
      <w:pPr>
        <w:spacing w:line="240" w:lineRule="auto" w:before="5"/>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38</w:t>
      </w:r>
      <w:r>
        <w:rPr/>
        <w:t>、现金流量表项目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816,008.95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1,150,510.88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其他单位往来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49,489.00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3,362,476.42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22,245.16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328,034.00</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收到的政府补助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5,423,022.10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4,334,982.00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6,310,765.21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9,176,003.30</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39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8" w:hRule="exact"/>
        </w:trPr>
        <w:tc>
          <w:tcPr>
            <w:tcW w:w="3187"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与其他单位的资金往来</w:t>
            </w:r>
          </w:p>
        </w:tc>
        <w:tc>
          <w:tcPr>
            <w:tcW w:w="319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8,678,941.68</w:t>
            </w:r>
          </w:p>
        </w:tc>
        <w:tc>
          <w:tcPr>
            <w:tcW w:w="319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18,259,901.40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7,288,621.13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7,702,841.26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7,529,806.62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2,176,953.55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16,519,446.04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9,347,356.58</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包装费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5,001,587.16</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5,362,796.74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2,195,537.95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3,893,708.14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1,016,125.91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1,863,567.84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其他费用及支出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13,620,110.63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9,889,781.86</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61,850,177.12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58,496,907.37</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募集资金定期存款到期收回本金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65,000,000.00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133,000,000.00</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募集资金定期存款到期收回利息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1,114,560.08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2,932,867.21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66,114,560.08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135,932,867.21</w:t>
            </w:r>
          </w:p>
        </w:tc>
      </w:tr>
    </w:tbl>
    <w:p>
      <w:pPr>
        <w:spacing w:after="0" w:line="240" w:lineRule="auto"/>
        <w:jc w:val="right"/>
        <w:rPr>
          <w:rFonts w:ascii="Times New Roman" w:hAnsi="Times New Roman" w:cs="Times New Roman" w:eastAsia="Times New Roman" w:hint="default"/>
          <w:sz w:val="18"/>
          <w:szCs w:val="18"/>
        </w:rPr>
        <w:sectPr>
          <w:pgSz w:w="11900" w:h="16840"/>
          <w:pgMar w:header="742" w:footer="984" w:top="1060" w:bottom="1180" w:left="980" w:right="980"/>
        </w:sectPr>
      </w:pPr>
    </w:p>
    <w:p>
      <w:pPr>
        <w:spacing w:line="240" w:lineRule="auto" w:before="4"/>
        <w:rPr>
          <w:rFonts w:ascii="宋体" w:hAnsi="宋体" w:cs="宋体" w:eastAsia="宋体" w:hint="default"/>
          <w:sz w:val="25"/>
          <w:szCs w:val="25"/>
        </w:rPr>
      </w:pPr>
      <w:r>
        <w:rPr/>
        <w:pict>
          <v:group style="position:absolute;margin-left:224.399994pt;margin-top:487.76001pt;width:150pt;height:39.6pt;mso-position-horizontal-relative:page;mso-position-vertical-relative:page;z-index:-880816" coordorigin="4488,9755" coordsize="3000,792">
            <v:group style="position:absolute;left:4488;top:9755;width:3000;height:389" coordorigin="4488,9755" coordsize="3000,389">
              <v:shape style="position:absolute;left:4488;top:9755;width:3000;height:389" coordorigin="4488,9755" coordsize="3000,389" path="m4488,10144l7488,10144,7488,9755,4488,9755,4488,10144xe" filled="true" fillcolor="#ffffff" stroked="false">
                <v:path arrowok="t"/>
                <v:fill type="solid"/>
              </v:shape>
            </v:group>
            <v:group style="position:absolute;left:4488;top:10154;width:3000;height:394" coordorigin="4488,10154" coordsize="3000,394">
              <v:shape style="position:absolute;left:4488;top:10154;width:3000;height:394" coordorigin="4488,10154" coordsize="3000,394" path="m4488,10547l7488,10547,7488,10154,4488,10154,4488,10547xe" filled="true" fillcolor="#ffffff" stroked="false">
                <v:path arrowok="t"/>
                <v:fill type="solid"/>
              </v:shape>
            </v:group>
            <w10:wrap type="none"/>
          </v:group>
        </w:pict>
      </w:r>
    </w:p>
    <w:p>
      <w:pPr>
        <w:pStyle w:val="Heading4"/>
        <w:spacing w:line="335" w:lineRule="exact"/>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募集资金转存定期存款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60,000,000.00</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39</w:t>
      </w:r>
      <w:r>
        <w:rPr/>
        <w:t>、现金流量表补充资料</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7"/>
        <w:gridCol w:w="3182"/>
      </w:tblGrid>
      <w:tr>
        <w:trPr>
          <w:trHeight w:val="400"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．将净利润调节为经营活动现金流量：</w:t>
            </w:r>
          </w:p>
        </w:tc>
        <w:tc>
          <w:tcPr>
            <w:tcW w:w="3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7" w:right="0"/>
              <w:jc w:val="center"/>
              <w:rPr>
                <w:rFonts w:ascii="Times New Roman" w:hAnsi="Times New Roman" w:cs="Times New Roman" w:eastAsia="Times New Roman" w:hint="default"/>
                <w:sz w:val="18"/>
                <w:szCs w:val="18"/>
              </w:rPr>
            </w:pPr>
            <w:r>
              <w:rPr>
                <w:rFonts w:ascii="Times New Roman"/>
                <w:sz w:val="18"/>
              </w:rPr>
              <w:t>--</w:t>
            </w:r>
          </w:p>
        </w:tc>
        <w:tc>
          <w:tcPr>
            <w:tcW w:w="3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7"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7"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105,033,599.65</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48,427,080.13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7"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4,398,730.82</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5,971,032.46</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6"/>
              <w:jc w:val="left"/>
              <w:rPr>
                <w:rFonts w:ascii="宋体" w:hAnsi="宋体" w:cs="宋体" w:eastAsia="宋体" w:hint="default"/>
                <w:sz w:val="18"/>
                <w:szCs w:val="18"/>
              </w:rPr>
            </w:pPr>
            <w:r>
              <w:rPr>
                <w:rFonts w:ascii="宋体" w:hAnsi="宋体" w:cs="宋体" w:eastAsia="宋体" w:hint="default"/>
                <w:spacing w:val="-3"/>
                <w:sz w:val="18"/>
                <w:szCs w:val="18"/>
              </w:rPr>
              <w:t>固定资产折旧、油气资产折耗、生产性生</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物资产折旧</w:t>
            </w:r>
          </w:p>
        </w:tc>
        <w:tc>
          <w:tcPr>
            <w:tcW w:w="3067"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22,370,404.42</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16,482,513.80</w:t>
            </w:r>
          </w:p>
        </w:tc>
      </w:tr>
      <w:tr>
        <w:trPr>
          <w:trHeight w:val="39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7"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1,164,859.05</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942,695.11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7"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116,666.76</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166,666.60</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6"/>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的损失（收益以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7"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561,843.49</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1,012,859.58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7"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-705,521.14</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-1,851,789.97</w:t>
            </w:r>
          </w:p>
        </w:tc>
      </w:tr>
      <w:tr>
        <w:trPr>
          <w:trHeight w:val="398" w:hRule="exact"/>
        </w:trPr>
        <w:tc>
          <w:tcPr>
            <w:tcW w:w="330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5"/>
                <w:sz w:val="18"/>
                <w:szCs w:val="18"/>
              </w:rPr>
              <w:t>递延所得税资产减少（增加以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号填列</w:t>
            </w:r>
          </w:p>
        </w:tc>
        <w:tc>
          <w:tcPr>
            <w:tcW w:w="3067" w:type="dxa"/>
            <w:tcBorders>
              <w:top w:val="single" w:sz="4" w:space="0" w:color="000000"/>
              <w:left w:val="single" w:sz="21" w:space="0" w:color="FFFFFF"/>
              <w:bottom w:val="single" w:sz="4" w:space="0" w:color="000000"/>
              <w:right w:val="single" w:sz="4" w:space="0" w:color="000000"/>
            </w:tcBorders>
          </w:tcPr>
          <w:p>
            <w:pPr>
              <w:pStyle w:val="TableParagraph"/>
              <w:tabs>
                <w:tab w:pos="2138" w:val="left" w:leader="none"/>
              </w:tabs>
              <w:spacing w:line="240" w:lineRule="auto" w:before="53"/>
              <w:ind w:left="-132" w:right="22"/>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-746,586.86</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-348,250.79</w:t>
            </w:r>
          </w:p>
        </w:tc>
      </w:tr>
      <w:tr>
        <w:trPr>
          <w:trHeight w:val="403" w:hRule="exact"/>
        </w:trPr>
        <w:tc>
          <w:tcPr>
            <w:tcW w:w="330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5"/>
                <w:sz w:val="18"/>
                <w:szCs w:val="18"/>
              </w:rPr>
              <w:t>递延所得税负债增加（减少以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号填列</w:t>
            </w:r>
          </w:p>
        </w:tc>
        <w:tc>
          <w:tcPr>
            <w:tcW w:w="3067" w:type="dxa"/>
            <w:tcBorders>
              <w:top w:val="single" w:sz="4" w:space="0" w:color="000000"/>
              <w:left w:val="single" w:sz="21" w:space="0" w:color="FFFFFF"/>
              <w:bottom w:val="single" w:sz="4" w:space="0" w:color="000000"/>
              <w:right w:val="single" w:sz="4" w:space="0" w:color="000000"/>
            </w:tcBorders>
          </w:tcPr>
          <w:p>
            <w:pPr>
              <w:pStyle w:val="TableParagraph"/>
              <w:tabs>
                <w:tab w:pos="2138" w:val="left" w:leader="none"/>
              </w:tabs>
              <w:spacing w:line="240" w:lineRule="auto" w:before="53"/>
              <w:ind w:left="-132" w:right="22"/>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-151,453.58</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-172,875.16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7"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-39,114,559.65</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-31,474,545.02</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55"/>
              <w:jc w:val="left"/>
              <w:rPr>
                <w:rFonts w:ascii="宋体" w:hAnsi="宋体" w:cs="宋体" w:eastAsia="宋体" w:hint="default"/>
                <w:sz w:val="18"/>
                <w:szCs w:val="18"/>
              </w:rPr>
            </w:pPr>
            <w:r>
              <w:rPr>
                <w:rFonts w:ascii="宋体" w:hAnsi="宋体" w:cs="宋体" w:eastAsia="宋体" w:hint="default"/>
                <w:spacing w:val="-3"/>
                <w:sz w:val="18"/>
                <w:szCs w:val="18"/>
              </w:rPr>
              <w:t>经营性应收项目的减少（增加以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r>
              <w:rPr>
                <w:rFonts w:ascii="宋体" w:hAnsi="宋体" w:cs="宋体" w:eastAsia="宋体" w:hint="default"/>
                <w:spacing w:val="-31"/>
                <w:sz w:val="18"/>
                <w:szCs w:val="18"/>
              </w:rPr>
              <w:t> </w:t>
            </w:r>
            <w:r>
              <w:rPr>
                <w:rFonts w:ascii="宋体" w:hAnsi="宋体" w:cs="宋体" w:eastAsia="宋体" w:hint="default"/>
                <w:sz w:val="18"/>
                <w:szCs w:val="18"/>
              </w:rPr>
              <w:t>列）</w:t>
            </w:r>
          </w:p>
        </w:tc>
        <w:tc>
          <w:tcPr>
            <w:tcW w:w="3067"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-68,115,415.34</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-123,878,808.86</w:t>
            </w:r>
          </w:p>
        </w:tc>
      </w:tr>
      <w:tr>
        <w:trPr>
          <w:trHeight w:val="710"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55"/>
              <w:jc w:val="left"/>
              <w:rPr>
                <w:rFonts w:ascii="宋体" w:hAnsi="宋体" w:cs="宋体" w:eastAsia="宋体" w:hint="default"/>
                <w:sz w:val="18"/>
                <w:szCs w:val="18"/>
              </w:rPr>
            </w:pPr>
            <w:r>
              <w:rPr>
                <w:rFonts w:ascii="宋体" w:hAnsi="宋体" w:cs="宋体" w:eastAsia="宋体" w:hint="default"/>
                <w:spacing w:val="-3"/>
                <w:sz w:val="18"/>
                <w:szCs w:val="18"/>
              </w:rPr>
              <w:t>经营性应付项目的增加（减少以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r>
              <w:rPr>
                <w:rFonts w:ascii="宋体" w:hAnsi="宋体" w:cs="宋体" w:eastAsia="宋体" w:hint="default"/>
                <w:spacing w:val="-31"/>
                <w:sz w:val="18"/>
                <w:szCs w:val="18"/>
              </w:rPr>
              <w:t> </w:t>
            </w:r>
            <w:r>
              <w:rPr>
                <w:rFonts w:ascii="宋体" w:hAnsi="宋体" w:cs="宋体" w:eastAsia="宋体" w:hint="default"/>
                <w:sz w:val="18"/>
                <w:szCs w:val="18"/>
              </w:rPr>
              <w:t>列）</w:t>
            </w:r>
          </w:p>
        </w:tc>
        <w:tc>
          <w:tcPr>
            <w:tcW w:w="3067"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-28,077,044.97</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59,634,898.67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7"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3,311,250.00</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-1,825,000.00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067"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46,772.65</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-26,913,523.45</w:t>
            </w:r>
          </w:p>
        </w:tc>
      </w:tr>
      <w:tr>
        <w:trPr>
          <w:trHeight w:val="159"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3"/>
              <w:ind w:left="11" w:right="12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动：</w:t>
            </w:r>
          </w:p>
        </w:tc>
        <w:tc>
          <w:tcPr>
            <w:tcW w:w="3067"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88" w:hRule="exact"/>
        </w:trPr>
        <w:tc>
          <w:tcPr>
            <w:tcW w:w="3305" w:type="dxa"/>
            <w:vMerge/>
            <w:tcBorders>
              <w:left w:val="single" w:sz="4" w:space="0" w:color="000000"/>
              <w:right w:val="single" w:sz="4" w:space="0" w:color="000000"/>
            </w:tcBorders>
            <w:shd w:val="clear" w:color="auto" w:fill="D2D2D2"/>
          </w:tcPr>
          <w:p>
            <w:pPr/>
          </w:p>
        </w:tc>
        <w:tc>
          <w:tcPr>
            <w:tcW w:w="30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5"/>
              <w:ind w:left="7" w:right="0"/>
              <w:jc w:val="center"/>
              <w:rPr>
                <w:rFonts w:ascii="Times New Roman" w:hAnsi="Times New Roman" w:cs="Times New Roman" w:eastAsia="Times New Roman" w:hint="default"/>
                <w:sz w:val="18"/>
                <w:szCs w:val="18"/>
              </w:rPr>
            </w:pPr>
            <w:r>
              <w:rPr>
                <w:rFonts w:ascii="Times New Roman"/>
                <w:sz w:val="18"/>
              </w:rPr>
              <w:t>--</w:t>
            </w:r>
          </w:p>
        </w:tc>
        <w:tc>
          <w:tcPr>
            <w:tcW w:w="31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5"/>
              <w:ind w:left="7" w:right="0"/>
              <w:jc w:val="center"/>
              <w:rPr>
                <w:rFonts w:ascii="Times New Roman" w:hAnsi="Times New Roman" w:cs="Times New Roman" w:eastAsia="Times New Roman" w:hint="default"/>
                <w:sz w:val="18"/>
                <w:szCs w:val="18"/>
              </w:rPr>
            </w:pPr>
            <w:r>
              <w:rPr>
                <w:rFonts w:ascii="Times New Roman"/>
                <w:sz w:val="18"/>
              </w:rPr>
              <w:t>--</w:t>
            </w:r>
          </w:p>
        </w:tc>
      </w:tr>
      <w:tr>
        <w:trPr>
          <w:trHeight w:val="168"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7"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．现金及现金等价物净变动情况：</w:t>
            </w:r>
          </w:p>
        </w:tc>
        <w:tc>
          <w:tcPr>
            <w:tcW w:w="3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w:t>
            </w:r>
          </w:p>
        </w:tc>
        <w:tc>
          <w:tcPr>
            <w:tcW w:w="3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现金的期末余额</w:t>
            </w:r>
          </w:p>
        </w:tc>
        <w:tc>
          <w:tcPr>
            <w:tcW w:w="3067"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115,357,682.88</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127,823,891.93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减：现金的期初余额</w:t>
            </w:r>
          </w:p>
        </w:tc>
        <w:tc>
          <w:tcPr>
            <w:tcW w:w="3067"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127,823,891.93</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141,602,771.62</w:t>
            </w:r>
          </w:p>
        </w:tc>
      </w:tr>
    </w:tbl>
    <w:p>
      <w:pPr>
        <w:spacing w:after="0" w:line="240" w:lineRule="auto"/>
        <w:jc w:val="right"/>
        <w:rPr>
          <w:rFonts w:ascii="Times New Roman" w:hAnsi="Times New Roman" w:cs="Times New Roman" w:eastAsia="Times New Roman" w:hint="default"/>
          <w:sz w:val="18"/>
          <w:szCs w:val="18"/>
        </w:rPr>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26"/>
        <w:gridCol w:w="3058"/>
        <w:gridCol w:w="3182"/>
      </w:tblGrid>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24" w:right="0"/>
              <w:jc w:val="left"/>
              <w:rPr>
                <w:rFonts w:ascii="Times New Roman" w:hAnsi="Times New Roman" w:cs="Times New Roman" w:eastAsia="Times New Roman" w:hint="default"/>
                <w:sz w:val="18"/>
                <w:szCs w:val="18"/>
              </w:rPr>
            </w:pPr>
            <w:r>
              <w:rPr>
                <w:rFonts w:ascii="Times New Roman"/>
                <w:sz w:val="18"/>
              </w:rPr>
              <w:t>-12,466,209.05</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54" w:right="0"/>
              <w:jc w:val="left"/>
              <w:rPr>
                <w:rFonts w:ascii="Times New Roman" w:hAnsi="Times New Roman" w:cs="Times New Roman" w:eastAsia="Times New Roman" w:hint="default"/>
                <w:sz w:val="18"/>
                <w:szCs w:val="18"/>
              </w:rPr>
            </w:pPr>
            <w:r>
              <w:rPr>
                <w:rFonts w:ascii="Times New Roman"/>
                <w:sz w:val="18"/>
              </w:rPr>
              <w:t>-13,778,879.69</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7"/>
        <w:gridCol w:w="3182"/>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3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7"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115,357,682.88</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127,823,891.93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其中：库存现金</w:t>
            </w:r>
          </w:p>
        </w:tc>
        <w:tc>
          <w:tcPr>
            <w:tcW w:w="3067"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112,798.07</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110,435.47</w:t>
            </w:r>
          </w:p>
        </w:tc>
      </w:tr>
      <w:tr>
        <w:trPr>
          <w:trHeight w:val="398"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可随时用于支付的银行存款</w:t>
            </w:r>
          </w:p>
        </w:tc>
        <w:tc>
          <w:tcPr>
            <w:tcW w:w="3067"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115,244,884.81</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127,713,456.46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三、期末现金及现金等价物余额</w:t>
            </w:r>
          </w:p>
        </w:tc>
        <w:tc>
          <w:tcPr>
            <w:tcW w:w="3067"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115,357,682.88</w:t>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127,823,891.93</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40</w:t>
      </w:r>
      <w:r>
        <w:rPr/>
        <w:t>、外币货币性项目</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84"/>
        <w:gridCol w:w="2294"/>
        <w:gridCol w:w="2386"/>
        <w:gridCol w:w="2390"/>
      </w:tblGrid>
      <w:tr>
        <w:trPr>
          <w:trHeight w:val="398"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0"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9" w:right="0"/>
              <w:jc w:val="left"/>
              <w:rPr>
                <w:rFonts w:ascii="宋体" w:hAnsi="宋体" w:cs="宋体" w:eastAsia="宋体" w:hint="default"/>
                <w:sz w:val="18"/>
                <w:szCs w:val="18"/>
              </w:rPr>
            </w:pPr>
            <w:r>
              <w:rPr>
                <w:rFonts w:ascii="宋体" w:hAnsi="宋体" w:cs="宋体" w:eastAsia="宋体" w:hint="default"/>
                <w:spacing w:val="-3"/>
                <w:sz w:val="18"/>
                <w:szCs w:val="18"/>
              </w:rPr>
              <w:t>期末折算人民币余额</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1432" w:right="0"/>
              <w:jc w:val="left"/>
              <w:rPr>
                <w:rFonts w:ascii="Times New Roman" w:hAnsi="Times New Roman" w:cs="Times New Roman" w:eastAsia="Times New Roman" w:hint="default"/>
                <w:sz w:val="18"/>
                <w:szCs w:val="18"/>
              </w:rPr>
            </w:pPr>
            <w:r>
              <w:rPr>
                <w:rFonts w:ascii="Times New Roman"/>
                <w:sz w:val="18"/>
              </w:rPr>
              <w:t>147,897.97</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 w:right="0"/>
              <w:jc w:val="left"/>
              <w:rPr>
                <w:rFonts w:ascii="Times New Roman" w:hAnsi="Times New Roman" w:cs="Times New Roman" w:eastAsia="Times New Roman" w:hint="default"/>
                <w:sz w:val="18"/>
                <w:szCs w:val="18"/>
              </w:rPr>
            </w:pPr>
            <w:r>
              <w:rPr>
                <w:rFonts w:ascii="Times New Roman"/>
                <w:sz w:val="18"/>
              </w:rPr>
              <w:t>6.12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40" w:right="0"/>
              <w:jc w:val="left"/>
              <w:rPr>
                <w:rFonts w:ascii="Times New Roman" w:hAnsi="Times New Roman" w:cs="Times New Roman" w:eastAsia="Times New Roman" w:hint="default"/>
                <w:sz w:val="18"/>
                <w:szCs w:val="18"/>
              </w:rPr>
            </w:pPr>
            <w:r>
              <w:rPr>
                <w:rFonts w:ascii="Times New Roman"/>
                <w:sz w:val="18"/>
              </w:rPr>
              <w:t>904,987.68</w:t>
            </w:r>
          </w:p>
        </w:tc>
      </w:tr>
    </w:tbl>
    <w:p>
      <w:pPr>
        <w:spacing w:line="240" w:lineRule="auto" w:before="3"/>
        <w:rPr>
          <w:rFonts w:ascii="宋体" w:hAnsi="宋体" w:cs="宋体" w:eastAsia="宋体" w:hint="default"/>
          <w:sz w:val="19"/>
          <w:szCs w:val="19"/>
        </w:rPr>
      </w:pPr>
    </w:p>
    <w:p>
      <w:pPr>
        <w:pStyle w:val="Heading4"/>
        <w:spacing w:line="312" w:lineRule="exact" w:before="32"/>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23"/>
        </w:rPr>
        <w:t> </w:t>
      </w:r>
      <w:r>
        <w:rPr>
          <w:spacing w:val="23"/>
        </w:rPr>
      </w:r>
      <w:r>
        <w:rPr/>
        <w:t>依据，记账本位币发生变化的还应披露原因。</w:t>
      </w:r>
      <w:r>
        <w:rPr>
          <w:b w:val="0"/>
          <w:bCs w:val="0"/>
        </w:rPr>
      </w:r>
    </w:p>
    <w:p>
      <w:pPr>
        <w:spacing w:line="240" w:lineRule="auto" w:before="5"/>
        <w:rPr>
          <w:rFonts w:ascii="Microsoft JhengHei" w:hAnsi="Microsoft JhengHei" w:cs="Microsoft JhengHei" w:eastAsia="Microsoft JhengHei" w:hint="default"/>
          <w:b/>
          <w:bCs/>
          <w:sz w:val="22"/>
          <w:szCs w:val="22"/>
        </w:rPr>
      </w:pPr>
    </w:p>
    <w:p>
      <w:pPr>
        <w:pStyle w:val="BodyText"/>
        <w:spacing w:line="240" w:lineRule="auto"/>
        <w:ind w:left="141" w:right="7315"/>
        <w:jc w:val="center"/>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8"/>
        </w:rPr>
        <w:t> </w:t>
      </w:r>
      <w:r>
        <w:rPr/>
        <w:t>不适用</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t>八、在其他主体中的权益</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373"/>
        <w:gridCol w:w="1363"/>
        <w:gridCol w:w="1368"/>
        <w:gridCol w:w="1368"/>
        <w:gridCol w:w="1368"/>
        <w:gridCol w:w="1363"/>
        <w:gridCol w:w="1368"/>
      </w:tblGrid>
      <w:tr>
        <w:trPr>
          <w:trHeight w:val="403" w:hRule="exact"/>
        </w:trPr>
        <w:tc>
          <w:tcPr>
            <w:tcW w:w="13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Microsoft JhengHei" w:hAnsi="Microsoft JhengHei" w:cs="Microsoft JhengHei" w:eastAsia="Microsoft JhengHei" w:hint="default"/>
                <w:b/>
                <w:bCs/>
                <w:sz w:val="14"/>
                <w:szCs w:val="14"/>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3" w:type="dxa"/>
            <w:vMerge/>
            <w:tcBorders>
              <w:left w:val="single" w:sz="4" w:space="0" w:color="000000"/>
              <w:bottom w:val="single" w:sz="4" w:space="0" w:color="000000"/>
              <w:right w:val="single" w:sz="4" w:space="0" w:color="000000"/>
            </w:tcBorders>
            <w:shd w:val="clear" w:color="auto" w:fill="D2D2D2"/>
          </w:tcPr>
          <w:p>
            <w:pPr/>
          </w:p>
        </w:tc>
        <w:tc>
          <w:tcPr>
            <w:tcW w:w="1363"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直接</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4"/>
              <w:jc w:val="left"/>
              <w:rPr>
                <w:rFonts w:ascii="宋体" w:hAnsi="宋体" w:cs="宋体" w:eastAsia="宋体" w:hint="default"/>
                <w:sz w:val="18"/>
                <w:szCs w:val="18"/>
              </w:rPr>
            </w:pPr>
            <w:r>
              <w:rPr>
                <w:rFonts w:ascii="宋体" w:hAnsi="宋体" w:cs="宋体" w:eastAsia="宋体" w:hint="default"/>
                <w:spacing w:val="-3"/>
                <w:sz w:val="18"/>
                <w:szCs w:val="18"/>
              </w:rPr>
              <w:t>烟台安诺其纺织</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材料有限公司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山东蓬莱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山东蓬莱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染料产销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4"/>
              <w:jc w:val="left"/>
              <w:rPr>
                <w:rFonts w:ascii="宋体" w:hAnsi="宋体" w:cs="宋体" w:eastAsia="宋体" w:hint="default"/>
                <w:sz w:val="18"/>
                <w:szCs w:val="18"/>
              </w:rPr>
            </w:pPr>
            <w:r>
              <w:rPr>
                <w:rFonts w:ascii="宋体" w:hAnsi="宋体" w:cs="宋体" w:eastAsia="宋体" w:hint="default"/>
                <w:spacing w:val="-3"/>
                <w:sz w:val="18"/>
                <w:szCs w:val="18"/>
              </w:rPr>
              <w:t>东营安诺其纺织</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材料有限公司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山东东营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山东东营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染料产销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4"/>
              <w:jc w:val="left"/>
              <w:rPr>
                <w:rFonts w:ascii="宋体" w:hAnsi="宋体" w:cs="宋体" w:eastAsia="宋体" w:hint="default"/>
                <w:sz w:val="18"/>
                <w:szCs w:val="18"/>
              </w:rPr>
            </w:pPr>
            <w:r>
              <w:rPr>
                <w:rFonts w:ascii="宋体" w:hAnsi="宋体" w:cs="宋体" w:eastAsia="宋体" w:hint="default"/>
                <w:spacing w:val="-3"/>
                <w:sz w:val="18"/>
                <w:szCs w:val="18"/>
              </w:rPr>
              <w:t>嘉兴安诺其化工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浙江嘉兴</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浙江嘉兴</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染料销售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51.00%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4"/>
              <w:jc w:val="left"/>
              <w:rPr>
                <w:rFonts w:ascii="宋体" w:hAnsi="宋体" w:cs="宋体" w:eastAsia="宋体" w:hint="default"/>
                <w:sz w:val="18"/>
                <w:szCs w:val="18"/>
              </w:rPr>
            </w:pPr>
            <w:r>
              <w:rPr>
                <w:rFonts w:ascii="宋体" w:hAnsi="宋体" w:cs="宋体" w:eastAsia="宋体" w:hint="default"/>
                <w:spacing w:val="-3"/>
                <w:sz w:val="18"/>
                <w:szCs w:val="18"/>
              </w:rPr>
              <w:t>烟台安诺其精细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化工有限公司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山东蓬莱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山东蓬莱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染料产销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00" w:h="16840"/>
          <w:pgMar w:header="742" w:footer="984" w:top="1060" w:bottom="1180" w:left="980" w:right="980"/>
        </w:sectPr>
      </w:pPr>
    </w:p>
    <w:p>
      <w:pPr>
        <w:spacing w:line="240" w:lineRule="auto" w:before="12"/>
        <w:rPr>
          <w:rFonts w:ascii="Microsoft JhengHei" w:hAnsi="Microsoft JhengHei" w:cs="Microsoft JhengHei" w:eastAsia="Microsoft JhengHei" w:hint="default"/>
          <w:b/>
          <w:bCs/>
          <w:sz w:val="21"/>
          <w:szCs w:val="21"/>
        </w:rPr>
      </w:pPr>
    </w:p>
    <w:tbl>
      <w:tblPr>
        <w:tblW w:w="0" w:type="auto"/>
        <w:jc w:val="left"/>
        <w:tblInd w:w="148" w:type="dxa"/>
        <w:tblLayout w:type="fixed"/>
        <w:tblCellMar>
          <w:top w:w="0" w:type="dxa"/>
          <w:left w:w="0" w:type="dxa"/>
          <w:bottom w:w="0" w:type="dxa"/>
          <w:right w:w="0" w:type="dxa"/>
        </w:tblCellMar>
        <w:tblLook w:val="01E0"/>
      </w:tblPr>
      <w:tblGrid>
        <w:gridCol w:w="1373"/>
        <w:gridCol w:w="1363"/>
        <w:gridCol w:w="1368"/>
        <w:gridCol w:w="1368"/>
        <w:gridCol w:w="1368"/>
        <w:gridCol w:w="1363"/>
        <w:gridCol w:w="1368"/>
      </w:tblGrid>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4"/>
              <w:jc w:val="left"/>
              <w:rPr>
                <w:rFonts w:ascii="宋体" w:hAnsi="宋体" w:cs="宋体" w:eastAsia="宋体" w:hint="default"/>
                <w:sz w:val="18"/>
                <w:szCs w:val="18"/>
              </w:rPr>
            </w:pPr>
            <w:r>
              <w:rPr>
                <w:rFonts w:ascii="宋体" w:hAnsi="宋体" w:cs="宋体" w:eastAsia="宋体" w:hint="default"/>
                <w:spacing w:val="-3"/>
                <w:sz w:val="18"/>
                <w:szCs w:val="18"/>
              </w:rPr>
              <w:t>浙江安诺其助剂</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浙江桐乡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浙江桐乡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染料产销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4"/>
              <w:jc w:val="left"/>
              <w:rPr>
                <w:rFonts w:ascii="宋体" w:hAnsi="宋体" w:cs="宋体" w:eastAsia="宋体" w:hint="default"/>
                <w:sz w:val="18"/>
                <w:szCs w:val="18"/>
              </w:rPr>
            </w:pPr>
            <w:r>
              <w:rPr>
                <w:rFonts w:ascii="宋体" w:hAnsi="宋体" w:cs="宋体" w:eastAsia="宋体" w:hint="default"/>
                <w:spacing w:val="-3"/>
                <w:sz w:val="18"/>
                <w:szCs w:val="18"/>
              </w:rPr>
              <w:t>江苏安诺其化工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江苏盐城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江苏盐城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染料产销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bl>
    <w:p>
      <w:pPr>
        <w:spacing w:line="240" w:lineRule="auto" w:before="8"/>
        <w:rPr>
          <w:rFonts w:ascii="Microsoft JhengHei" w:hAnsi="Microsoft JhengHei" w:cs="Microsoft JhengHei" w:eastAsia="Microsoft JhengHei" w:hint="default"/>
          <w:b/>
          <w:bCs/>
          <w:sz w:val="14"/>
          <w:szCs w:val="14"/>
        </w:rPr>
      </w:pPr>
    </w:p>
    <w:p>
      <w:pPr>
        <w:pStyle w:val="Heading4"/>
        <w:spacing w:line="335" w:lineRule="exact"/>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5"/>
        <w:gridCol w:w="1910"/>
        <w:gridCol w:w="1915"/>
      </w:tblGrid>
      <w:tr>
        <w:trPr>
          <w:trHeight w:val="758"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67"/>
              <w:ind w:left="768" w:right="46" w:hanging="716"/>
              <w:jc w:val="left"/>
              <w:rPr>
                <w:rFonts w:ascii="宋体" w:hAnsi="宋体" w:cs="宋体" w:eastAsia="宋体" w:hint="default"/>
                <w:sz w:val="18"/>
                <w:szCs w:val="18"/>
              </w:rPr>
            </w:pPr>
            <w:r>
              <w:rPr>
                <w:rFonts w:ascii="宋体" w:hAnsi="宋体" w:cs="宋体" w:eastAsia="宋体" w:hint="default"/>
                <w:spacing w:val="-2"/>
                <w:sz w:val="18"/>
                <w:szCs w:val="18"/>
              </w:rPr>
              <w:t>本期归属于少数股东的</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损益</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67"/>
              <w:ind w:left="590" w:right="41" w:hanging="538"/>
              <w:jc w:val="left"/>
              <w:rPr>
                <w:rFonts w:ascii="宋体" w:hAnsi="宋体" w:cs="宋体" w:eastAsia="宋体" w:hint="default"/>
                <w:sz w:val="18"/>
                <w:szCs w:val="18"/>
              </w:rPr>
            </w:pPr>
            <w:r>
              <w:rPr>
                <w:rFonts w:ascii="宋体" w:hAnsi="宋体" w:cs="宋体" w:eastAsia="宋体" w:hint="default"/>
                <w:spacing w:val="-2"/>
                <w:sz w:val="18"/>
                <w:szCs w:val="18"/>
              </w:rPr>
              <w:t>本期向少数股东宣告分</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派的股利</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pacing w:val="-2"/>
                <w:sz w:val="18"/>
                <w:szCs w:val="18"/>
              </w:rPr>
              <w:t>期末少数股东权益余额</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江苏安诺其化工有限公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3,805,040.75</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14,832,739.84</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4"/>
              <w:jc w:val="left"/>
              <w:rPr>
                <w:rFonts w:ascii="宋体" w:hAnsi="宋体" w:cs="宋体" w:eastAsia="宋体" w:hint="default"/>
                <w:sz w:val="18"/>
                <w:szCs w:val="18"/>
              </w:rPr>
            </w:pPr>
            <w:r>
              <w:rPr>
                <w:rFonts w:ascii="宋体" w:hAnsi="宋体" w:cs="宋体" w:eastAsia="宋体" w:hint="default"/>
                <w:spacing w:val="-2"/>
                <w:sz w:val="18"/>
                <w:szCs w:val="18"/>
              </w:rPr>
              <w:t>嘉兴安诺其化工有限公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49.00%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357,116.19</w:t>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806,731.32</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34"/>
        <w:gridCol w:w="739"/>
        <w:gridCol w:w="734"/>
        <w:gridCol w:w="734"/>
        <w:gridCol w:w="739"/>
        <w:gridCol w:w="734"/>
        <w:gridCol w:w="734"/>
        <w:gridCol w:w="734"/>
        <w:gridCol w:w="734"/>
        <w:gridCol w:w="734"/>
        <w:gridCol w:w="739"/>
        <w:gridCol w:w="734"/>
        <w:gridCol w:w="739"/>
      </w:tblGrid>
      <w:tr>
        <w:trPr>
          <w:trHeight w:val="398" w:hRule="exact"/>
        </w:trPr>
        <w:tc>
          <w:tcPr>
            <w:tcW w:w="7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316" w:lineRule="auto"/>
              <w:ind w:left="182" w:right="84" w:hanging="87"/>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名称</w:t>
            </w:r>
          </w:p>
        </w:tc>
        <w:tc>
          <w:tcPr>
            <w:tcW w:w="441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4" w:type="dxa"/>
            <w:vMerge/>
            <w:tcBorders>
              <w:left w:val="single" w:sz="4" w:space="0" w:color="000000"/>
              <w:bottom w:val="single" w:sz="4" w:space="0" w:color="000000"/>
              <w:right w:val="single" w:sz="4" w:space="0" w:color="000000"/>
            </w:tcBorders>
            <w:shd w:val="clear" w:color="auto" w:fill="D2D2D2"/>
          </w:tcPr>
          <w:p>
            <w:pP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流动资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82" w:right="84" w:hanging="87"/>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73" w:right="84" w:hanging="178"/>
              <w:jc w:val="left"/>
              <w:rPr>
                <w:rFonts w:ascii="宋体" w:hAnsi="宋体" w:cs="宋体" w:eastAsia="宋体" w:hint="default"/>
                <w:sz w:val="18"/>
                <w:szCs w:val="18"/>
              </w:rPr>
            </w:pPr>
            <w:r>
              <w:rPr>
                <w:rFonts w:ascii="宋体" w:hAnsi="宋体" w:cs="宋体" w:eastAsia="宋体" w:hint="default"/>
                <w:sz w:val="18"/>
                <w:szCs w:val="18"/>
              </w:rPr>
              <w:t>资产合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流动负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77" w:right="89" w:hanging="87"/>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68" w:right="89" w:hanging="178"/>
              <w:jc w:val="left"/>
              <w:rPr>
                <w:rFonts w:ascii="宋体" w:hAnsi="宋体" w:cs="宋体" w:eastAsia="宋体" w:hint="default"/>
                <w:sz w:val="18"/>
                <w:szCs w:val="18"/>
              </w:rPr>
            </w:pPr>
            <w:r>
              <w:rPr>
                <w:rFonts w:ascii="宋体" w:hAnsi="宋体" w:cs="宋体" w:eastAsia="宋体" w:hint="default"/>
                <w:sz w:val="18"/>
                <w:szCs w:val="18"/>
              </w:rPr>
              <w:t>负债合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68" w:right="89" w:hanging="178"/>
              <w:jc w:val="left"/>
              <w:rPr>
                <w:rFonts w:ascii="宋体" w:hAnsi="宋体" w:cs="宋体" w:eastAsia="宋体" w:hint="default"/>
                <w:sz w:val="18"/>
                <w:szCs w:val="18"/>
              </w:rPr>
            </w:pPr>
            <w:r>
              <w:rPr>
                <w:rFonts w:ascii="宋体" w:hAnsi="宋体" w:cs="宋体" w:eastAsia="宋体" w:hint="default"/>
                <w:sz w:val="18"/>
                <w:szCs w:val="18"/>
              </w:rPr>
              <w:t>流动资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77" w:right="89" w:hanging="87"/>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68" w:right="89" w:hanging="178"/>
              <w:jc w:val="left"/>
              <w:rPr>
                <w:rFonts w:ascii="宋体" w:hAnsi="宋体" w:cs="宋体" w:eastAsia="宋体" w:hint="default"/>
                <w:sz w:val="18"/>
                <w:szCs w:val="18"/>
              </w:rPr>
            </w:pPr>
            <w:r>
              <w:rPr>
                <w:rFonts w:ascii="宋体" w:hAnsi="宋体" w:cs="宋体" w:eastAsia="宋体" w:hint="default"/>
                <w:sz w:val="18"/>
                <w:szCs w:val="18"/>
              </w:rPr>
              <w:t>资产合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流动负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82" w:right="84" w:hanging="87"/>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负债</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负债合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r>
      <w:tr>
        <w:trPr>
          <w:trHeight w:val="357" w:hRule="exact"/>
        </w:trPr>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江苏安</w:t>
            </w:r>
          </w:p>
        </w:tc>
        <w:tc>
          <w:tcPr>
            <w:tcW w:w="739"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9"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9"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9"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诺其化</w:t>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9"/>
              <w:jc w:val="right"/>
              <w:rPr>
                <w:rFonts w:ascii="Times New Roman" w:hAnsi="Times New Roman" w:cs="Times New Roman" w:eastAsia="Times New Roman" w:hint="default"/>
                <w:sz w:val="18"/>
                <w:szCs w:val="18"/>
              </w:rPr>
            </w:pPr>
            <w:r>
              <w:rPr>
                <w:rFonts w:ascii="Times New Roman"/>
                <w:spacing w:val="-1"/>
                <w:sz w:val="18"/>
              </w:rPr>
              <w:t>120,553,</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2"/>
              <w:jc w:val="right"/>
              <w:rPr>
                <w:rFonts w:ascii="Times New Roman" w:hAnsi="Times New Roman" w:cs="Times New Roman" w:eastAsia="Times New Roman" w:hint="default"/>
                <w:sz w:val="18"/>
                <w:szCs w:val="18"/>
              </w:rPr>
            </w:pPr>
            <w:r>
              <w:rPr>
                <w:rFonts w:ascii="Times New Roman"/>
                <w:spacing w:val="-1"/>
                <w:sz w:val="18"/>
              </w:rPr>
              <w:t>51,386,7</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4"/>
              <w:jc w:val="right"/>
              <w:rPr>
                <w:rFonts w:ascii="Times New Roman" w:hAnsi="Times New Roman" w:cs="Times New Roman" w:eastAsia="Times New Roman" w:hint="default"/>
                <w:sz w:val="18"/>
                <w:szCs w:val="18"/>
              </w:rPr>
            </w:pPr>
            <w:r>
              <w:rPr>
                <w:rFonts w:ascii="Times New Roman"/>
                <w:spacing w:val="-1"/>
                <w:sz w:val="18"/>
              </w:rPr>
              <w:t>171,940,</w:t>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18"/>
                <w:szCs w:val="18"/>
              </w:rPr>
            </w:pPr>
            <w:r>
              <w:rPr>
                <w:rFonts w:ascii="Times New Roman"/>
                <w:spacing w:val="-1"/>
                <w:sz w:val="18"/>
              </w:rPr>
              <w:t>96,043,8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18"/>
                <w:szCs w:val="18"/>
              </w:rPr>
            </w:pPr>
            <w:r>
              <w:rPr>
                <w:rFonts w:ascii="Times New Roman"/>
                <w:spacing w:val="-1"/>
                <w:sz w:val="18"/>
              </w:rPr>
              <w:t>1,161,36</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18"/>
                <w:szCs w:val="18"/>
              </w:rPr>
            </w:pPr>
            <w:r>
              <w:rPr>
                <w:rFonts w:ascii="Times New Roman"/>
                <w:spacing w:val="-1"/>
                <w:sz w:val="18"/>
              </w:rPr>
              <w:t>97,205,2</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9"/>
              <w:jc w:val="right"/>
              <w:rPr>
                <w:rFonts w:ascii="Times New Roman" w:hAnsi="Times New Roman" w:cs="Times New Roman" w:eastAsia="Times New Roman" w:hint="default"/>
                <w:sz w:val="18"/>
                <w:szCs w:val="18"/>
              </w:rPr>
            </w:pPr>
            <w:r>
              <w:rPr>
                <w:rFonts w:ascii="Times New Roman"/>
                <w:spacing w:val="-1"/>
                <w:sz w:val="18"/>
              </w:rPr>
              <w:t>103,991,</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18"/>
                <w:szCs w:val="18"/>
              </w:rPr>
            </w:pPr>
            <w:r>
              <w:rPr>
                <w:rFonts w:ascii="Times New Roman"/>
                <w:spacing w:val="-1"/>
                <w:sz w:val="18"/>
              </w:rPr>
              <w:t>36,717,5</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9"/>
              <w:jc w:val="right"/>
              <w:rPr>
                <w:rFonts w:ascii="Times New Roman" w:hAnsi="Times New Roman" w:cs="Times New Roman" w:eastAsia="Times New Roman" w:hint="default"/>
                <w:sz w:val="18"/>
                <w:szCs w:val="18"/>
              </w:rPr>
            </w:pPr>
            <w:r>
              <w:rPr>
                <w:rFonts w:ascii="Times New Roman"/>
                <w:spacing w:val="-1"/>
                <w:sz w:val="18"/>
              </w:rPr>
              <w:t>140,708,</w:t>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18"/>
                <w:szCs w:val="18"/>
              </w:rPr>
            </w:pPr>
            <w:r>
              <w:rPr>
                <w:rFonts w:ascii="Times New Roman"/>
                <w:spacing w:val="-1"/>
                <w:sz w:val="18"/>
              </w:rPr>
              <w:t>84,379,0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2"/>
              <w:jc w:val="right"/>
              <w:rPr>
                <w:rFonts w:ascii="Times New Roman" w:hAnsi="Times New Roman" w:cs="Times New Roman" w:eastAsia="Times New Roman" w:hint="default"/>
                <w:sz w:val="18"/>
                <w:szCs w:val="18"/>
              </w:rPr>
            </w:pPr>
            <w:r>
              <w:rPr>
                <w:rFonts w:ascii="Times New Roman"/>
                <w:spacing w:val="-1"/>
                <w:sz w:val="18"/>
              </w:rPr>
              <w:t>1,191,14</w:t>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18"/>
                <w:szCs w:val="18"/>
              </w:rPr>
            </w:pPr>
            <w:r>
              <w:rPr>
                <w:rFonts w:ascii="Times New Roman"/>
                <w:spacing w:val="-1"/>
                <w:sz w:val="18"/>
              </w:rPr>
              <w:t>85,570,2</w:t>
            </w:r>
          </w:p>
        </w:tc>
      </w:tr>
      <w:tr>
        <w:trPr>
          <w:trHeight w:val="314" w:hRule="exact"/>
        </w:trPr>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工有限</w:t>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604.35</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pacing w:val="-1"/>
                <w:sz w:val="18"/>
              </w:rPr>
              <w:t>55.12</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pacing w:val="-1"/>
                <w:sz w:val="18"/>
              </w:rPr>
              <w:t>359.47</w:t>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92.44</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2.84</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55.28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175.13</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55.53</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730.66</w:t>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93.85</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1.38</w:t>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35.23</w:t>
            </w:r>
          </w:p>
        </w:tc>
      </w:tr>
      <w:tr>
        <w:trPr>
          <w:trHeight w:val="351" w:hRule="exact"/>
        </w:trPr>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9"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9"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9"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嘉兴安</w:t>
            </w:r>
          </w:p>
        </w:tc>
        <w:tc>
          <w:tcPr>
            <w:tcW w:w="739"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9"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9"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9"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4" w:right="0"/>
              <w:jc w:val="left"/>
              <w:rPr>
                <w:rFonts w:ascii="宋体" w:hAnsi="宋体" w:cs="宋体" w:eastAsia="宋体" w:hint="default"/>
                <w:sz w:val="18"/>
                <w:szCs w:val="18"/>
              </w:rPr>
            </w:pPr>
            <w:r>
              <w:rPr>
                <w:rFonts w:ascii="宋体" w:hAnsi="宋体" w:cs="宋体" w:eastAsia="宋体" w:hint="default"/>
                <w:sz w:val="18"/>
                <w:szCs w:val="18"/>
              </w:rPr>
              <w:t>诺其化</w:t>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18"/>
                <w:szCs w:val="18"/>
              </w:rPr>
            </w:pPr>
            <w:r>
              <w:rPr>
                <w:rFonts w:ascii="Times New Roman"/>
                <w:spacing w:val="-1"/>
                <w:sz w:val="18"/>
              </w:rPr>
              <w:t>5,035,76</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2"/>
              <w:jc w:val="right"/>
              <w:rPr>
                <w:rFonts w:ascii="Times New Roman" w:hAnsi="Times New Roman" w:cs="Times New Roman" w:eastAsia="Times New Roman" w:hint="default"/>
                <w:sz w:val="18"/>
                <w:szCs w:val="18"/>
              </w:rPr>
            </w:pPr>
            <w:r>
              <w:rPr>
                <w:rFonts w:ascii="Times New Roman"/>
                <w:spacing w:val="-1"/>
                <w:sz w:val="18"/>
              </w:rPr>
              <w:t>47,644.1</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2"/>
              <w:jc w:val="right"/>
              <w:rPr>
                <w:rFonts w:ascii="Times New Roman" w:hAnsi="Times New Roman" w:cs="Times New Roman" w:eastAsia="Times New Roman" w:hint="default"/>
                <w:sz w:val="18"/>
                <w:szCs w:val="18"/>
              </w:rPr>
            </w:pPr>
            <w:r>
              <w:rPr>
                <w:rFonts w:ascii="Times New Roman"/>
                <w:spacing w:val="-1"/>
                <w:sz w:val="18"/>
              </w:rPr>
              <w:t>5,083,41</w:t>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18"/>
                <w:szCs w:val="18"/>
              </w:rPr>
            </w:pPr>
            <w:r>
              <w:rPr>
                <w:rFonts w:ascii="Times New Roman"/>
                <w:spacing w:val="-1"/>
                <w:sz w:val="18"/>
              </w:rPr>
              <w:t>3,437,01</w:t>
            </w:r>
          </w:p>
        </w:tc>
        <w:tc>
          <w:tcPr>
            <w:tcW w:w="734"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18"/>
                <w:szCs w:val="18"/>
              </w:rPr>
            </w:pPr>
            <w:r>
              <w:rPr>
                <w:rFonts w:ascii="Times New Roman"/>
                <w:spacing w:val="-1"/>
                <w:sz w:val="18"/>
              </w:rPr>
              <w:t>3,437,01</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18"/>
                <w:szCs w:val="18"/>
              </w:rPr>
            </w:pPr>
            <w:r>
              <w:rPr>
                <w:rFonts w:ascii="Times New Roman"/>
                <w:spacing w:val="-1"/>
                <w:sz w:val="18"/>
              </w:rPr>
              <w:t>2,951,38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18"/>
                <w:szCs w:val="18"/>
              </w:rPr>
            </w:pPr>
            <w:r>
              <w:rPr>
                <w:rFonts w:ascii="Times New Roman"/>
                <w:spacing w:val="-1"/>
                <w:sz w:val="18"/>
              </w:rPr>
              <w:t>25,304.4</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18"/>
                <w:szCs w:val="18"/>
              </w:rPr>
            </w:pPr>
            <w:r>
              <w:rPr>
                <w:rFonts w:ascii="Times New Roman"/>
                <w:spacing w:val="-1"/>
                <w:sz w:val="18"/>
              </w:rPr>
              <w:t>2,976,68</w:t>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18"/>
                <w:szCs w:val="18"/>
              </w:rPr>
            </w:pPr>
            <w:r>
              <w:rPr>
                <w:rFonts w:ascii="Times New Roman"/>
                <w:spacing w:val="-1"/>
                <w:sz w:val="18"/>
              </w:rPr>
              <w:t>2,059,10</w:t>
            </w:r>
          </w:p>
        </w:tc>
        <w:tc>
          <w:tcPr>
            <w:tcW w:w="734" w:type="dxa"/>
            <w:vMerge/>
            <w:tcBorders>
              <w:left w:val="single" w:sz="4" w:space="0" w:color="000000"/>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7"/>
              <w:jc w:val="right"/>
              <w:rPr>
                <w:rFonts w:ascii="Times New Roman" w:hAnsi="Times New Roman" w:cs="Times New Roman" w:eastAsia="Times New Roman" w:hint="default"/>
                <w:sz w:val="18"/>
                <w:szCs w:val="18"/>
              </w:rPr>
            </w:pPr>
            <w:r>
              <w:rPr>
                <w:rFonts w:ascii="Times New Roman"/>
                <w:spacing w:val="-1"/>
                <w:sz w:val="18"/>
              </w:rPr>
              <w:t>2,059,10</w:t>
            </w:r>
          </w:p>
        </w:tc>
      </w:tr>
      <w:tr>
        <w:trPr>
          <w:trHeight w:val="314" w:hRule="exact"/>
        </w:trPr>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工有限</w:t>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6.30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7"/>
              <w:jc w:val="right"/>
              <w:rPr>
                <w:rFonts w:ascii="Times New Roman" w:hAnsi="Times New Roman" w:cs="Times New Roman" w:eastAsia="Times New Roman" w:hint="default"/>
                <w:sz w:val="18"/>
                <w:szCs w:val="18"/>
              </w:rPr>
            </w:pPr>
            <w:r>
              <w:rPr>
                <w:rFonts w:ascii="Times New Roman"/>
                <w:sz w:val="18"/>
              </w:rPr>
              <w:t>0.40</w:t>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9.95</w:t>
            </w:r>
          </w:p>
        </w:tc>
        <w:tc>
          <w:tcPr>
            <w:tcW w:w="734"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9.95</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2.44</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6.88</w:t>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4.99</w:t>
            </w:r>
          </w:p>
        </w:tc>
        <w:tc>
          <w:tcPr>
            <w:tcW w:w="734" w:type="dxa"/>
            <w:vMerge/>
            <w:tcBorders>
              <w:left w:val="single" w:sz="4" w:space="0" w:color="000000"/>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4.99</w:t>
            </w:r>
          </w:p>
        </w:tc>
      </w:tr>
      <w:tr>
        <w:trPr>
          <w:trHeight w:val="351" w:hRule="exact"/>
        </w:trPr>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9"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9"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9"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9" w:type="dxa"/>
            <w:tcBorders>
              <w:top w:val="nil" w:sz="6" w:space="0" w:color="auto"/>
              <w:left w:val="single" w:sz="4" w:space="0" w:color="000000"/>
              <w:bottom w:val="single" w:sz="4" w:space="0" w:color="000000"/>
              <w:right w:val="single" w:sz="4" w:space="0" w:color="000000"/>
            </w:tcBorders>
          </w:tcPr>
          <w:p>
            <w:pPr/>
          </w:p>
        </w:tc>
      </w:tr>
    </w:tbl>
    <w:p>
      <w:pPr>
        <w:spacing w:before="53"/>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1"/>
        <w:gridCol w:w="1066"/>
        <w:gridCol w:w="1066"/>
        <w:gridCol w:w="1066"/>
        <w:gridCol w:w="1061"/>
        <w:gridCol w:w="1061"/>
        <w:gridCol w:w="1070"/>
      </w:tblGrid>
      <w:tr>
        <w:trPr>
          <w:trHeight w:val="403"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6" w:right="74" w:hanging="360"/>
              <w:jc w:val="left"/>
              <w:rPr>
                <w:rFonts w:ascii="宋体" w:hAnsi="宋体" w:cs="宋体" w:eastAsia="宋体" w:hint="default"/>
                <w:sz w:val="18"/>
                <w:szCs w:val="18"/>
              </w:rPr>
            </w:pPr>
            <w:r>
              <w:rPr>
                <w:rFonts w:ascii="宋体" w:hAnsi="宋体" w:cs="宋体" w:eastAsia="宋体" w:hint="default"/>
                <w:spacing w:val="-2"/>
                <w:sz w:val="18"/>
                <w:szCs w:val="18"/>
              </w:rPr>
              <w:t>综合收益总</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54" w:right="74" w:hanging="178"/>
              <w:jc w:val="left"/>
              <w:rPr>
                <w:rFonts w:ascii="宋体" w:hAnsi="宋体" w:cs="宋体" w:eastAsia="宋体" w:hint="default"/>
                <w:sz w:val="18"/>
                <w:szCs w:val="18"/>
              </w:rPr>
            </w:pPr>
            <w:r>
              <w:rPr>
                <w:rFonts w:ascii="宋体" w:hAnsi="宋体" w:cs="宋体" w:eastAsia="宋体" w:hint="default"/>
                <w:spacing w:val="-2"/>
                <w:sz w:val="18"/>
                <w:szCs w:val="18"/>
              </w:rPr>
              <w:t>经营活动现</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金流量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综合收益总</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额</w:t>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54" w:right="79" w:hanging="178"/>
              <w:jc w:val="left"/>
              <w:rPr>
                <w:rFonts w:ascii="宋体" w:hAnsi="宋体" w:cs="宋体" w:eastAsia="宋体" w:hint="default"/>
                <w:sz w:val="18"/>
                <w:szCs w:val="18"/>
              </w:rPr>
            </w:pPr>
            <w:r>
              <w:rPr>
                <w:rFonts w:ascii="宋体" w:hAnsi="宋体" w:cs="宋体" w:eastAsia="宋体" w:hint="default"/>
                <w:spacing w:val="-2"/>
                <w:sz w:val="18"/>
                <w:szCs w:val="18"/>
              </w:rPr>
              <w:t>经营活动现</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金流量</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2"/>
              <w:jc w:val="both"/>
              <w:rPr>
                <w:rFonts w:ascii="宋体" w:hAnsi="宋体" w:cs="宋体" w:eastAsia="宋体" w:hint="default"/>
                <w:sz w:val="18"/>
                <w:szCs w:val="18"/>
              </w:rPr>
            </w:pPr>
            <w:r>
              <w:rPr>
                <w:rFonts w:ascii="宋体" w:hAnsi="宋体" w:cs="宋体" w:eastAsia="宋体" w:hint="default"/>
                <w:spacing w:val="-2"/>
                <w:sz w:val="18"/>
                <w:szCs w:val="18"/>
              </w:rPr>
              <w:t>江苏安诺其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化工有限公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196,101,773.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19,596,608.7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19,596,608.7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7,447,757.09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62,981,213.2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2,479,496.44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2,479,496.44</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-14,639,047.0</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1022"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2"/>
              <w:jc w:val="both"/>
              <w:rPr>
                <w:rFonts w:ascii="宋体" w:hAnsi="宋体" w:cs="宋体" w:eastAsia="宋体" w:hint="default"/>
                <w:sz w:val="18"/>
                <w:szCs w:val="18"/>
              </w:rPr>
            </w:pPr>
            <w:r>
              <w:rPr>
                <w:rFonts w:ascii="宋体" w:hAnsi="宋体" w:cs="宋体" w:eastAsia="宋体" w:hint="default"/>
                <w:spacing w:val="-2"/>
                <w:sz w:val="18"/>
                <w:szCs w:val="18"/>
              </w:rPr>
              <w:t>嘉兴安诺其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化工有限公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20,874,376.0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728,808.56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728,808.56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981,072.79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8,100,863.26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417,581.89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417,581.89</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384,048.71</w:t>
            </w:r>
          </w:p>
        </w:tc>
      </w:tr>
    </w:tbl>
    <w:p>
      <w:pPr>
        <w:spacing w:after="0" w:line="240" w:lineRule="auto"/>
        <w:jc w:val="left"/>
        <w:rPr>
          <w:rFonts w:ascii="Times New Roman" w:hAnsi="Times New Roman" w:cs="Times New Roman" w:eastAsia="Times New Roman" w:hint="default"/>
          <w:sz w:val="18"/>
          <w:szCs w:val="18"/>
        </w:rPr>
        <w:sectPr>
          <w:pgSz w:w="11900" w:h="16840"/>
          <w:pgMar w:header="742" w:footer="984" w:top="1060" w:bottom="1180" w:left="980" w:right="980"/>
        </w:sectPr>
      </w:pPr>
    </w:p>
    <w:p>
      <w:pPr>
        <w:spacing w:line="240" w:lineRule="auto" w:before="10"/>
        <w:rPr>
          <w:rFonts w:ascii="宋体" w:hAnsi="宋体" w:cs="宋体" w:eastAsia="宋体" w:hint="default"/>
          <w:sz w:val="23"/>
          <w:szCs w:val="23"/>
        </w:rPr>
      </w:pPr>
    </w:p>
    <w:p>
      <w:pPr>
        <w:pStyle w:val="Heading3"/>
        <w:spacing w:line="367" w:lineRule="exact"/>
        <w:ind w:right="0"/>
        <w:jc w:val="left"/>
        <w:rPr>
          <w:b w:val="0"/>
          <w:bCs w:val="0"/>
        </w:rPr>
      </w:pPr>
      <w:r>
        <w:rPr/>
        <w:t>九、关联方及关联交易</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1</w:t>
      </w:r>
      <w:r>
        <w:rPr/>
        <w:t>、其他关联方情况</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1"/>
        <w:gridCol w:w="4786"/>
      </w:tblGrid>
      <w:tr>
        <w:trPr>
          <w:trHeight w:val="398"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6" w:right="0"/>
              <w:jc w:val="left"/>
              <w:rPr>
                <w:rFonts w:ascii="宋体" w:hAnsi="宋体" w:cs="宋体" w:eastAsia="宋体" w:hint="default"/>
                <w:sz w:val="18"/>
                <w:szCs w:val="18"/>
              </w:rPr>
            </w:pPr>
            <w:r>
              <w:rPr>
                <w:rFonts w:ascii="宋体" w:hAnsi="宋体" w:cs="宋体" w:eastAsia="宋体" w:hint="default"/>
                <w:spacing w:val="-3"/>
                <w:sz w:val="18"/>
                <w:szCs w:val="18"/>
              </w:rPr>
              <w:t>其他关联方与本企业关系</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上海诺毅投资管理有限公司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本公司大股东纪立军先生</w:t>
            </w:r>
            <w:r>
              <w:rPr>
                <w:rFonts w:ascii="宋体" w:hAnsi="宋体" w:cs="宋体" w:eastAsia="宋体" w:hint="default"/>
                <w:spacing w:val="-27"/>
                <w:sz w:val="18"/>
                <w:szCs w:val="18"/>
              </w:rPr>
              <w:t>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持股</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上海偌丽雅化妆品科技有限公司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上海诺毅投资管理有限公司持股</w:t>
            </w:r>
            <w:r>
              <w:rPr>
                <w:rFonts w:ascii="宋体" w:hAnsi="宋体" w:cs="宋体" w:eastAsia="宋体" w:hint="default"/>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的公司</w:t>
            </w:r>
          </w:p>
        </w:tc>
      </w:tr>
    </w:tbl>
    <w:p>
      <w:pPr>
        <w:spacing w:line="240" w:lineRule="auto" w:before="5"/>
        <w:rPr>
          <w:rFonts w:ascii="Microsoft JhengHei" w:hAnsi="Microsoft JhengHei" w:cs="Microsoft JhengHei" w:eastAsia="Microsoft JhengHei" w:hint="default"/>
          <w:b/>
          <w:bCs/>
          <w:sz w:val="13"/>
          <w:szCs w:val="13"/>
        </w:rPr>
      </w:pPr>
    </w:p>
    <w:p>
      <w:pPr>
        <w:pStyle w:val="Heading3"/>
        <w:spacing w:line="367" w:lineRule="exact"/>
        <w:ind w:right="0"/>
        <w:jc w:val="left"/>
        <w:rPr>
          <w:b w:val="0"/>
          <w:bCs w:val="0"/>
        </w:rPr>
      </w:pPr>
      <w:r>
        <w:rPr/>
        <w:t>十、股份支付</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240" w:lineRule="auto"/>
        <w:ind w:left="575" w:right="0"/>
        <w:jc w:val="left"/>
      </w:pPr>
      <w:r>
        <w:rPr/>
        <w:t>√ 适用 □</w:t>
      </w:r>
      <w:r>
        <w:rPr>
          <w:spacing w:val="3"/>
        </w:rPr>
        <w:t> </w:t>
      </w:r>
      <w:r>
        <w:rPr/>
        <w:t>不适用</w:t>
      </w:r>
    </w:p>
    <w:p>
      <w:pPr>
        <w:spacing w:line="240" w:lineRule="auto" w:before="0"/>
        <w:rPr>
          <w:rFonts w:ascii="宋体" w:hAnsi="宋体" w:cs="宋体" w:eastAsia="宋体" w:hint="default"/>
          <w:sz w:val="10"/>
          <w:szCs w:val="10"/>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before="46"/>
        <w:ind w:left="0" w:right="151" w:firstLine="0"/>
        <w:jc w:val="right"/>
        <w:rPr>
          <w:rFonts w:ascii="宋体" w:hAnsi="宋体" w:cs="宋体" w:eastAsia="宋体" w:hint="default"/>
          <w:sz w:val="18"/>
          <w:szCs w:val="18"/>
        </w:rPr>
      </w:pPr>
      <w:r>
        <w:rPr/>
        <w:pict>
          <v:shape style="position:absolute;margin-left:56.400002pt;margin-top:-357.50827pt;width:479.05pt;height:453.4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453"/>
                    <w:gridCol w:w="4114"/>
                  </w:tblGrid>
                  <w:tr>
                    <w:trPr>
                      <w:trHeight w:val="403" w:hRule="exact"/>
                    </w:trPr>
                    <w:tc>
                      <w:tcPr>
                        <w:tcW w:w="5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1,380,000.00</w:t>
                        </w:r>
                      </w:p>
                    </w:tc>
                  </w:tr>
                  <w:tr>
                    <w:trPr>
                      <w:trHeight w:val="403" w:hRule="exact"/>
                    </w:trPr>
                    <w:tc>
                      <w:tcPr>
                        <w:tcW w:w="5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2,949,600.00</w:t>
                        </w:r>
                      </w:p>
                    </w:tc>
                  </w:tr>
                  <w:tr>
                    <w:trPr>
                      <w:trHeight w:val="398" w:hRule="exact"/>
                    </w:trPr>
                    <w:tc>
                      <w:tcPr>
                        <w:tcW w:w="5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140,000.00</w:t>
                        </w:r>
                      </w:p>
                    </w:tc>
                  </w:tr>
                  <w:tr>
                    <w:trPr>
                      <w:trHeight w:val="364" w:hRule="exact"/>
                    </w:trPr>
                    <w:tc>
                      <w:tcPr>
                        <w:tcW w:w="5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首</w:t>
                        </w:r>
                        <w:r>
                          <w:rPr>
                            <w:rFonts w:ascii="宋体" w:hAnsi="宋体" w:cs="宋体" w:eastAsia="宋体" w:hint="default"/>
                            <w:spacing w:val="-5"/>
                            <w:w w:val="101"/>
                            <w:sz w:val="18"/>
                            <w:szCs w:val="18"/>
                          </w:rPr>
                          <w:t>次</w:t>
                        </w:r>
                        <w:r>
                          <w:rPr>
                            <w:rFonts w:ascii="宋体" w:hAnsi="宋体" w:cs="宋体" w:eastAsia="宋体" w:hint="default"/>
                            <w:w w:val="101"/>
                            <w:sz w:val="18"/>
                            <w:szCs w:val="18"/>
                          </w:rPr>
                          <w:t>授</w:t>
                        </w:r>
                        <w:r>
                          <w:rPr>
                            <w:rFonts w:ascii="宋体" w:hAnsi="宋体" w:cs="宋体" w:eastAsia="宋体" w:hint="default"/>
                            <w:spacing w:val="-5"/>
                            <w:w w:val="101"/>
                            <w:sz w:val="18"/>
                            <w:szCs w:val="18"/>
                          </w:rPr>
                          <w:t>予</w:t>
                        </w:r>
                        <w:r>
                          <w:rPr>
                            <w:rFonts w:ascii="宋体" w:hAnsi="宋体" w:cs="宋体" w:eastAsia="宋体" w:hint="default"/>
                            <w:w w:val="101"/>
                            <w:sz w:val="18"/>
                            <w:szCs w:val="18"/>
                          </w:rPr>
                          <w:t>的</w:t>
                        </w:r>
                        <w:r>
                          <w:rPr>
                            <w:rFonts w:ascii="宋体" w:hAnsi="宋体" w:cs="宋体" w:eastAsia="宋体" w:hint="default"/>
                            <w:spacing w:val="-5"/>
                            <w:w w:val="101"/>
                            <w:sz w:val="18"/>
                            <w:szCs w:val="18"/>
                          </w:rPr>
                          <w:t>限</w:t>
                        </w:r>
                        <w:r>
                          <w:rPr>
                            <w:rFonts w:ascii="宋体" w:hAnsi="宋体" w:cs="宋体" w:eastAsia="宋体" w:hint="default"/>
                            <w:w w:val="101"/>
                            <w:sz w:val="18"/>
                            <w:szCs w:val="18"/>
                          </w:rPr>
                          <w:t>制</w:t>
                        </w:r>
                        <w:r>
                          <w:rPr>
                            <w:rFonts w:ascii="宋体" w:hAnsi="宋体" w:cs="宋体" w:eastAsia="宋体" w:hint="default"/>
                            <w:spacing w:val="-5"/>
                            <w:w w:val="101"/>
                            <w:sz w:val="18"/>
                            <w:szCs w:val="18"/>
                          </w:rPr>
                          <w:t>性</w:t>
                        </w:r>
                        <w:r>
                          <w:rPr>
                            <w:rFonts w:ascii="宋体" w:hAnsi="宋体" w:cs="宋体" w:eastAsia="宋体" w:hint="default"/>
                            <w:w w:val="101"/>
                            <w:sz w:val="18"/>
                            <w:szCs w:val="18"/>
                          </w:rPr>
                          <w:t>股</w:t>
                        </w:r>
                        <w:r>
                          <w:rPr>
                            <w:rFonts w:ascii="宋体" w:hAnsi="宋体" w:cs="宋体" w:eastAsia="宋体" w:hint="default"/>
                            <w:spacing w:val="-5"/>
                            <w:w w:val="101"/>
                            <w:sz w:val="18"/>
                            <w:szCs w:val="18"/>
                          </w:rPr>
                          <w:t>票</w:t>
                        </w:r>
                        <w:r>
                          <w:rPr>
                            <w:rFonts w:ascii="宋体" w:hAnsi="宋体" w:cs="宋体" w:eastAsia="宋体" w:hint="default"/>
                            <w:w w:val="101"/>
                            <w:sz w:val="18"/>
                            <w:szCs w:val="18"/>
                          </w:rPr>
                          <w:t>的</w:t>
                        </w:r>
                        <w:r>
                          <w:rPr>
                            <w:rFonts w:ascii="宋体" w:hAnsi="宋体" w:cs="宋体" w:eastAsia="宋体" w:hint="default"/>
                            <w:spacing w:val="-5"/>
                            <w:w w:val="101"/>
                            <w:sz w:val="18"/>
                            <w:szCs w:val="18"/>
                          </w:rPr>
                          <w:t>授</w:t>
                        </w:r>
                        <w:r>
                          <w:rPr>
                            <w:rFonts w:ascii="宋体" w:hAnsi="宋体" w:cs="宋体" w:eastAsia="宋体" w:hint="default"/>
                            <w:w w:val="101"/>
                            <w:sz w:val="18"/>
                            <w:szCs w:val="18"/>
                          </w:rPr>
                          <w:t>予</w:t>
                        </w:r>
                        <w:r>
                          <w:rPr>
                            <w:rFonts w:ascii="宋体" w:hAnsi="宋体" w:cs="宋体" w:eastAsia="宋体" w:hint="default"/>
                            <w:spacing w:val="-5"/>
                            <w:w w:val="101"/>
                            <w:sz w:val="18"/>
                            <w:szCs w:val="18"/>
                          </w:rPr>
                          <w:t>价格</w:t>
                        </w:r>
                        <w:r>
                          <w:rPr>
                            <w:rFonts w:ascii="宋体" w:hAnsi="宋体" w:cs="宋体" w:eastAsia="宋体" w:hint="default"/>
                            <w:w w:val="101"/>
                            <w:sz w:val="18"/>
                            <w:szCs w:val="18"/>
                          </w:rPr>
                          <w:t>为</w:t>
                        </w:r>
                        <w:r>
                          <w:rPr>
                            <w:rFonts w:ascii="宋体" w:hAnsi="宋体" w:cs="宋体" w:eastAsia="宋体" w:hint="default"/>
                            <w:spacing w:val="-62"/>
                            <w:sz w:val="18"/>
                            <w:szCs w:val="18"/>
                          </w:rPr>
                          <w:t> </w:t>
                        </w:r>
                        <w:r>
                          <w:rPr>
                            <w:rFonts w:ascii="Times New Roman" w:hAnsi="Times New Roman" w:cs="Times New Roman" w:eastAsia="Times New Roman" w:hint="default"/>
                            <w:w w:val="101"/>
                            <w:sz w:val="18"/>
                            <w:szCs w:val="18"/>
                          </w:rPr>
                          <w:t>6</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22</w:t>
                        </w:r>
                        <w:r>
                          <w:rPr>
                            <w:rFonts w:ascii="Times New Roman" w:hAnsi="Times New Roman" w:cs="Times New Roman" w:eastAsia="Times New Roman" w:hint="default"/>
                            <w:spacing w:val="-21"/>
                            <w:sz w:val="18"/>
                            <w:szCs w:val="18"/>
                          </w:rPr>
                          <w:t> </w:t>
                        </w:r>
                        <w:r>
                          <w:rPr>
                            <w:rFonts w:ascii="宋体" w:hAnsi="宋体" w:cs="宋体" w:eastAsia="宋体" w:hint="default"/>
                            <w:spacing w:val="-92"/>
                            <w:w w:val="101"/>
                            <w:sz w:val="18"/>
                            <w:szCs w:val="18"/>
                          </w:rPr>
                          <w:t>元</w:t>
                        </w:r>
                        <w:r>
                          <w:rPr>
                            <w:rFonts w:ascii="宋体" w:hAnsi="宋体" w:cs="宋体" w:eastAsia="宋体" w:hint="default"/>
                            <w:spacing w:val="-5"/>
                            <w:w w:val="101"/>
                            <w:sz w:val="18"/>
                            <w:szCs w:val="18"/>
                          </w:rPr>
                          <w:t>（</w:t>
                        </w:r>
                        <w:r>
                          <w:rPr>
                            <w:rFonts w:ascii="宋体" w:hAnsi="宋体" w:cs="宋体" w:eastAsia="宋体" w:hint="default"/>
                            <w:w w:val="101"/>
                            <w:sz w:val="18"/>
                            <w:szCs w:val="18"/>
                          </w:rPr>
                          <w:t>由</w:t>
                        </w:r>
                        <w:r>
                          <w:rPr>
                            <w:rFonts w:ascii="宋体" w:hAnsi="宋体" w:cs="宋体" w:eastAsia="宋体" w:hint="default"/>
                            <w:sz w:val="18"/>
                            <w:szCs w:val="18"/>
                          </w:rPr>
                        </w:r>
                      </w:p>
                    </w:tc>
                  </w:tr>
                  <w:tr>
                    <w:trPr>
                      <w:trHeight w:val="312" w:hRule="exact"/>
                    </w:trPr>
                    <w:tc>
                      <w:tcPr>
                        <w:tcW w:w="5453" w:type="dxa"/>
                        <w:tcBorders>
                          <w:top w:val="nil" w:sz="6" w:space="0" w:color="auto"/>
                          <w:left w:val="single" w:sz="4" w:space="0" w:color="000000"/>
                          <w:bottom w:val="nil" w:sz="6" w:space="0" w:color="auto"/>
                          <w:right w:val="single" w:sz="4" w:space="0" w:color="000000"/>
                        </w:tcBorders>
                        <w:shd w:val="clear" w:color="auto" w:fill="D2D2D2"/>
                      </w:tcPr>
                      <w:p>
                        <w:pPr/>
                      </w:p>
                    </w:tc>
                    <w:tc>
                      <w:tcPr>
                        <w:tcW w:w="411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年年度利润分配每</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股，每</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10</w:t>
                        </w:r>
                      </w:p>
                    </w:tc>
                  </w:tr>
                  <w:tr>
                    <w:trPr>
                      <w:trHeight w:val="312" w:hRule="exact"/>
                    </w:trPr>
                    <w:tc>
                      <w:tcPr>
                        <w:tcW w:w="5453" w:type="dxa"/>
                        <w:tcBorders>
                          <w:top w:val="nil" w:sz="6" w:space="0" w:color="auto"/>
                          <w:left w:val="single" w:sz="4" w:space="0" w:color="000000"/>
                          <w:bottom w:val="nil" w:sz="6" w:space="0" w:color="auto"/>
                          <w:right w:val="single" w:sz="4" w:space="0" w:color="000000"/>
                        </w:tcBorders>
                        <w:shd w:val="clear" w:color="auto" w:fill="D2D2D2"/>
                      </w:tcPr>
                      <w:p>
                        <w:pPr/>
                      </w:p>
                    </w:tc>
                    <w:tc>
                      <w:tcPr>
                        <w:tcW w:w="411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w w:val="101"/>
                            <w:sz w:val="18"/>
                            <w:szCs w:val="18"/>
                          </w:rPr>
                          <w:t>股派现</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元</w:t>
                        </w:r>
                        <w:r>
                          <w:rPr>
                            <w:rFonts w:ascii="宋体" w:hAnsi="宋体" w:cs="宋体" w:eastAsia="宋体" w:hint="default"/>
                            <w:spacing w:val="-20"/>
                            <w:w w:val="101"/>
                            <w:sz w:val="18"/>
                            <w:szCs w:val="18"/>
                          </w:rPr>
                          <w:t>，</w:t>
                        </w:r>
                        <w:r>
                          <w:rPr>
                            <w:rFonts w:ascii="宋体" w:hAnsi="宋体" w:cs="宋体" w:eastAsia="宋体" w:hint="default"/>
                            <w:spacing w:val="-5"/>
                            <w:w w:val="101"/>
                            <w:sz w:val="18"/>
                            <w:szCs w:val="18"/>
                          </w:rPr>
                          <w:t>因</w:t>
                        </w:r>
                        <w:r>
                          <w:rPr>
                            <w:rFonts w:ascii="宋体" w:hAnsi="宋体" w:cs="宋体" w:eastAsia="宋体" w:hint="default"/>
                            <w:w w:val="101"/>
                            <w:sz w:val="18"/>
                            <w:szCs w:val="18"/>
                          </w:rPr>
                          <w:t>此</w:t>
                        </w:r>
                        <w:r>
                          <w:rPr>
                            <w:rFonts w:ascii="宋体" w:hAnsi="宋体" w:cs="宋体" w:eastAsia="宋体" w:hint="default"/>
                            <w:spacing w:val="-5"/>
                            <w:w w:val="101"/>
                            <w:sz w:val="18"/>
                            <w:szCs w:val="18"/>
                          </w:rPr>
                          <w:t>调</w:t>
                        </w:r>
                        <w:r>
                          <w:rPr>
                            <w:rFonts w:ascii="宋体" w:hAnsi="宋体" w:cs="宋体" w:eastAsia="宋体" w:hint="default"/>
                            <w:w w:val="101"/>
                            <w:sz w:val="18"/>
                            <w:szCs w:val="18"/>
                          </w:rPr>
                          <w:t>整</w:t>
                        </w:r>
                        <w:r>
                          <w:rPr>
                            <w:rFonts w:ascii="宋体" w:hAnsi="宋体" w:cs="宋体" w:eastAsia="宋体" w:hint="default"/>
                            <w:spacing w:val="-5"/>
                            <w:w w:val="101"/>
                            <w:sz w:val="18"/>
                            <w:szCs w:val="18"/>
                          </w:rPr>
                          <w:t>后</w:t>
                        </w:r>
                        <w:r>
                          <w:rPr>
                            <w:rFonts w:ascii="宋体" w:hAnsi="宋体" w:cs="宋体" w:eastAsia="宋体" w:hint="default"/>
                            <w:w w:val="101"/>
                            <w:sz w:val="18"/>
                            <w:szCs w:val="18"/>
                          </w:rPr>
                          <w:t>价</w:t>
                        </w:r>
                        <w:r>
                          <w:rPr>
                            <w:rFonts w:ascii="宋体" w:hAnsi="宋体" w:cs="宋体" w:eastAsia="宋体" w:hint="default"/>
                            <w:spacing w:val="-5"/>
                            <w:w w:val="101"/>
                            <w:sz w:val="18"/>
                            <w:szCs w:val="18"/>
                          </w:rPr>
                          <w:t>格</w:t>
                        </w:r>
                        <w:r>
                          <w:rPr>
                            <w:rFonts w:ascii="宋体" w:hAnsi="宋体" w:cs="宋体" w:eastAsia="宋体" w:hint="default"/>
                            <w:w w:val="101"/>
                            <w:sz w:val="18"/>
                            <w:szCs w:val="18"/>
                          </w:rPr>
                          <w:t>为</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3</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元</w:t>
                        </w:r>
                        <w:r>
                          <w:rPr>
                            <w:rFonts w:ascii="宋体" w:hAnsi="宋体" w:cs="宋体" w:eastAsia="宋体" w:hint="default"/>
                            <w:spacing w:val="-96"/>
                            <w:w w:val="101"/>
                            <w:sz w:val="18"/>
                            <w:szCs w:val="18"/>
                          </w:rPr>
                          <w:t>）</w:t>
                        </w:r>
                        <w:r>
                          <w:rPr>
                            <w:rFonts w:ascii="宋体" w:hAnsi="宋体" w:cs="宋体" w:eastAsia="宋体" w:hint="default"/>
                            <w:spacing w:val="-20"/>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预</w:t>
                        </w:r>
                        <w:r>
                          <w:rPr>
                            <w:rFonts w:ascii="宋体" w:hAnsi="宋体" w:cs="宋体" w:eastAsia="宋体" w:hint="default"/>
                            <w:w w:val="101"/>
                            <w:sz w:val="18"/>
                            <w:szCs w:val="18"/>
                          </w:rPr>
                          <w:t>留</w:t>
                        </w:r>
                        <w:r>
                          <w:rPr>
                            <w:rFonts w:ascii="宋体" w:hAnsi="宋体" w:cs="宋体" w:eastAsia="宋体" w:hint="default"/>
                            <w:sz w:val="18"/>
                            <w:szCs w:val="18"/>
                          </w:rPr>
                        </w:r>
                      </w:p>
                    </w:tc>
                  </w:tr>
                  <w:tr>
                    <w:trPr>
                      <w:trHeight w:val="312" w:hRule="exact"/>
                    </w:trPr>
                    <w:tc>
                      <w:tcPr>
                        <w:tcW w:w="5453" w:type="dxa"/>
                        <w:tcBorders>
                          <w:top w:val="nil" w:sz="6" w:space="0" w:color="auto"/>
                          <w:left w:val="single" w:sz="4" w:space="0" w:color="000000"/>
                          <w:bottom w:val="nil" w:sz="6" w:space="0" w:color="auto"/>
                          <w:right w:val="single" w:sz="4" w:space="0" w:color="000000"/>
                        </w:tcBorders>
                        <w:shd w:val="clear" w:color="auto" w:fill="D2D2D2"/>
                      </w:tcPr>
                      <w:p>
                        <w:pPr/>
                      </w:p>
                    </w:tc>
                    <w:tc>
                      <w:tcPr>
                        <w:tcW w:w="411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部分授予的限制性股票授予价格为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元；公司首</w:t>
                        </w:r>
                      </w:p>
                    </w:tc>
                  </w:tr>
                  <w:tr>
                    <w:trPr>
                      <w:trHeight w:val="312" w:hRule="exact"/>
                    </w:trPr>
                    <w:tc>
                      <w:tcPr>
                        <w:tcW w:w="5453" w:type="dxa"/>
                        <w:tcBorders>
                          <w:top w:val="nil" w:sz="6" w:space="0" w:color="auto"/>
                          <w:left w:val="single" w:sz="4" w:space="0" w:color="000000"/>
                          <w:bottom w:val="nil" w:sz="6" w:space="0" w:color="auto"/>
                          <w:right w:val="single" w:sz="4" w:space="0" w:color="000000"/>
                        </w:tcBorders>
                        <w:shd w:val="clear" w:color="auto" w:fill="D2D2D2"/>
                      </w:tcPr>
                      <w:p>
                        <w:pPr/>
                      </w:p>
                    </w:tc>
                    <w:tc>
                      <w:tcPr>
                        <w:tcW w:w="411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w w:val="101"/>
                            <w:sz w:val="18"/>
                            <w:szCs w:val="18"/>
                          </w:rPr>
                          <w:t>次</w:t>
                        </w:r>
                        <w:r>
                          <w:rPr>
                            <w:rFonts w:ascii="宋体" w:hAnsi="宋体" w:cs="宋体" w:eastAsia="宋体" w:hint="default"/>
                            <w:spacing w:val="-5"/>
                            <w:w w:val="101"/>
                            <w:sz w:val="18"/>
                            <w:szCs w:val="18"/>
                          </w:rPr>
                          <w:t>授</w:t>
                        </w:r>
                        <w:r>
                          <w:rPr>
                            <w:rFonts w:ascii="宋体" w:hAnsi="宋体" w:cs="宋体" w:eastAsia="宋体" w:hint="default"/>
                            <w:w w:val="101"/>
                            <w:sz w:val="18"/>
                            <w:szCs w:val="18"/>
                          </w:rPr>
                          <w:t>予</w:t>
                        </w:r>
                        <w:r>
                          <w:rPr>
                            <w:rFonts w:ascii="宋体" w:hAnsi="宋体" w:cs="宋体" w:eastAsia="宋体" w:hint="default"/>
                            <w:spacing w:val="-5"/>
                            <w:w w:val="101"/>
                            <w:sz w:val="18"/>
                            <w:szCs w:val="18"/>
                          </w:rPr>
                          <w:t>的</w:t>
                        </w:r>
                        <w:r>
                          <w:rPr>
                            <w:rFonts w:ascii="宋体" w:hAnsi="宋体" w:cs="宋体" w:eastAsia="宋体" w:hint="default"/>
                            <w:w w:val="101"/>
                            <w:sz w:val="18"/>
                            <w:szCs w:val="18"/>
                          </w:rPr>
                          <w:t>股</w:t>
                        </w:r>
                        <w:r>
                          <w:rPr>
                            <w:rFonts w:ascii="宋体" w:hAnsi="宋体" w:cs="宋体" w:eastAsia="宋体" w:hint="default"/>
                            <w:spacing w:val="-5"/>
                            <w:w w:val="101"/>
                            <w:sz w:val="18"/>
                            <w:szCs w:val="18"/>
                          </w:rPr>
                          <w:t>票</w:t>
                        </w:r>
                        <w:r>
                          <w:rPr>
                            <w:rFonts w:ascii="宋体" w:hAnsi="宋体" w:cs="宋体" w:eastAsia="宋体" w:hint="default"/>
                            <w:w w:val="101"/>
                            <w:sz w:val="18"/>
                            <w:szCs w:val="18"/>
                          </w:rPr>
                          <w:t>期</w:t>
                        </w:r>
                        <w:r>
                          <w:rPr>
                            <w:rFonts w:ascii="宋体" w:hAnsi="宋体" w:cs="宋体" w:eastAsia="宋体" w:hint="default"/>
                            <w:spacing w:val="-5"/>
                            <w:w w:val="101"/>
                            <w:sz w:val="18"/>
                            <w:szCs w:val="18"/>
                          </w:rPr>
                          <w:t>权</w:t>
                        </w:r>
                        <w:r>
                          <w:rPr>
                            <w:rFonts w:ascii="宋体" w:hAnsi="宋体" w:cs="宋体" w:eastAsia="宋体" w:hint="default"/>
                            <w:w w:val="101"/>
                            <w:sz w:val="18"/>
                            <w:szCs w:val="18"/>
                          </w:rPr>
                          <w:t>的</w:t>
                        </w:r>
                        <w:r>
                          <w:rPr>
                            <w:rFonts w:ascii="宋体" w:hAnsi="宋体" w:cs="宋体" w:eastAsia="宋体" w:hint="default"/>
                            <w:spacing w:val="-5"/>
                            <w:w w:val="101"/>
                            <w:sz w:val="18"/>
                            <w:szCs w:val="18"/>
                          </w:rPr>
                          <w:t>行</w:t>
                        </w:r>
                        <w:r>
                          <w:rPr>
                            <w:rFonts w:ascii="宋体" w:hAnsi="宋体" w:cs="宋体" w:eastAsia="宋体" w:hint="default"/>
                            <w:w w:val="101"/>
                            <w:sz w:val="18"/>
                            <w:szCs w:val="18"/>
                          </w:rPr>
                          <w:t>权</w:t>
                        </w:r>
                        <w:r>
                          <w:rPr>
                            <w:rFonts w:ascii="宋体" w:hAnsi="宋体" w:cs="宋体" w:eastAsia="宋体" w:hint="default"/>
                            <w:spacing w:val="-5"/>
                            <w:w w:val="101"/>
                            <w:sz w:val="18"/>
                            <w:szCs w:val="18"/>
                          </w:rPr>
                          <w:t>价</w:t>
                        </w:r>
                        <w:r>
                          <w:rPr>
                            <w:rFonts w:ascii="宋体" w:hAnsi="宋体" w:cs="宋体" w:eastAsia="宋体" w:hint="default"/>
                            <w:w w:val="101"/>
                            <w:sz w:val="18"/>
                            <w:szCs w:val="18"/>
                          </w:rPr>
                          <w:t>格为</w:t>
                        </w:r>
                        <w:r>
                          <w:rPr>
                            <w:rFonts w:ascii="宋体" w:hAnsi="宋体" w:cs="宋体" w:eastAsia="宋体" w:hint="default"/>
                            <w:spacing w:val="-47"/>
                            <w:sz w:val="18"/>
                            <w:szCs w:val="18"/>
                          </w:rPr>
                          <w:t> </w:t>
                        </w:r>
                        <w:r>
                          <w:rPr>
                            <w:rFonts w:ascii="Times New Roman" w:hAnsi="Times New Roman" w:cs="Times New Roman" w:eastAsia="Times New Roman" w:hint="default"/>
                            <w:spacing w:val="-10"/>
                            <w:w w:val="101"/>
                            <w:sz w:val="18"/>
                            <w:szCs w:val="18"/>
                          </w:rPr>
                          <w:t>1</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93</w:t>
                        </w:r>
                        <w:r>
                          <w:rPr>
                            <w:rFonts w:ascii="Times New Roman" w:hAnsi="Times New Roman" w:cs="Times New Roman" w:eastAsia="Times New Roman" w:hint="default"/>
                            <w:spacing w:val="-7"/>
                            <w:sz w:val="18"/>
                            <w:szCs w:val="18"/>
                          </w:rPr>
                          <w:t> </w:t>
                        </w:r>
                        <w:r>
                          <w:rPr>
                            <w:rFonts w:ascii="宋体" w:hAnsi="宋体" w:cs="宋体" w:eastAsia="宋体" w:hint="default"/>
                            <w:spacing w:val="-77"/>
                            <w:w w:val="101"/>
                            <w:sz w:val="18"/>
                            <w:szCs w:val="18"/>
                          </w:rPr>
                          <w:t>元</w:t>
                        </w:r>
                        <w:r>
                          <w:rPr>
                            <w:rFonts w:ascii="宋体" w:hAnsi="宋体" w:cs="宋体" w:eastAsia="宋体" w:hint="default"/>
                            <w:spacing w:val="-5"/>
                            <w:w w:val="101"/>
                            <w:sz w:val="18"/>
                            <w:szCs w:val="18"/>
                          </w:rPr>
                          <w:t>（</w:t>
                        </w:r>
                        <w:r>
                          <w:rPr>
                            <w:rFonts w:ascii="宋体" w:hAnsi="宋体" w:cs="宋体" w:eastAsia="宋体" w:hint="default"/>
                            <w:w w:val="101"/>
                            <w:sz w:val="18"/>
                            <w:szCs w:val="18"/>
                          </w:rPr>
                          <w:t>由于</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20</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w w:val="101"/>
                            <w:sz w:val="18"/>
                            <w:szCs w:val="18"/>
                          </w:rPr>
                          <w:t>3</w:t>
                        </w:r>
                        <w:r>
                          <w:rPr>
                            <w:rFonts w:ascii="Times New Roman" w:hAnsi="Times New Roman" w:cs="Times New Roman" w:eastAsia="Times New Roman" w:hint="default"/>
                            <w:sz w:val="18"/>
                            <w:szCs w:val="18"/>
                          </w:rPr>
                        </w:r>
                      </w:p>
                    </w:tc>
                  </w:tr>
                  <w:tr>
                    <w:trPr>
                      <w:trHeight w:val="312" w:hRule="exact"/>
                    </w:trPr>
                    <w:tc>
                      <w:tcPr>
                        <w:tcW w:w="5453" w:type="dxa"/>
                        <w:tcBorders>
                          <w:top w:val="nil" w:sz="6" w:space="0" w:color="auto"/>
                          <w:left w:val="single" w:sz="4" w:space="0" w:color="000000"/>
                          <w:bottom w:val="nil" w:sz="6" w:space="0" w:color="auto"/>
                          <w:right w:val="single" w:sz="4" w:space="0" w:color="000000"/>
                        </w:tcBorders>
                        <w:shd w:val="clear" w:color="auto" w:fill="D2D2D2"/>
                      </w:tcPr>
                      <w:p>
                        <w:pPr/>
                      </w:p>
                    </w:tc>
                    <w:tc>
                      <w:tcPr>
                        <w:tcW w:w="411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年年度利润分配每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股派现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r>
                  <w:tr>
                    <w:trPr>
                      <w:trHeight w:val="312" w:hRule="exact"/>
                    </w:trPr>
                    <w:tc>
                      <w:tcPr>
                        <w:tcW w:w="5453" w:type="dxa"/>
                        <w:tcBorders>
                          <w:top w:val="nil" w:sz="6" w:space="0" w:color="auto"/>
                          <w:left w:val="single" w:sz="4" w:space="0" w:color="000000"/>
                          <w:bottom w:val="nil" w:sz="6" w:space="0" w:color="auto"/>
                          <w:right w:val="single" w:sz="4" w:space="0" w:color="000000"/>
                        </w:tcBorders>
                        <w:shd w:val="clear" w:color="auto" w:fill="D2D2D2"/>
                      </w:tcPr>
                      <w:p>
                        <w:pPr/>
                      </w:p>
                    </w:tc>
                    <w:tc>
                      <w:tcPr>
                        <w:tcW w:w="411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w w:val="101"/>
                            <w:sz w:val="18"/>
                            <w:szCs w:val="18"/>
                          </w:rPr>
                          <w:t>元</w:t>
                        </w:r>
                        <w:r>
                          <w:rPr>
                            <w:rFonts w:ascii="宋体" w:hAnsi="宋体" w:cs="宋体" w:eastAsia="宋体" w:hint="default"/>
                            <w:spacing w:val="-5"/>
                            <w:w w:val="101"/>
                            <w:sz w:val="18"/>
                            <w:szCs w:val="18"/>
                          </w:rPr>
                          <w:t>，</w:t>
                        </w:r>
                        <w:r>
                          <w:rPr>
                            <w:rFonts w:ascii="宋体" w:hAnsi="宋体" w:cs="宋体" w:eastAsia="宋体" w:hint="default"/>
                            <w:w w:val="101"/>
                            <w:sz w:val="18"/>
                            <w:szCs w:val="18"/>
                          </w:rPr>
                          <w:t>因</w:t>
                        </w:r>
                        <w:r>
                          <w:rPr>
                            <w:rFonts w:ascii="宋体" w:hAnsi="宋体" w:cs="宋体" w:eastAsia="宋体" w:hint="default"/>
                            <w:spacing w:val="-5"/>
                            <w:w w:val="101"/>
                            <w:sz w:val="18"/>
                            <w:szCs w:val="18"/>
                          </w:rPr>
                          <w:t>此</w:t>
                        </w:r>
                        <w:r>
                          <w:rPr>
                            <w:rFonts w:ascii="宋体" w:hAnsi="宋体" w:cs="宋体" w:eastAsia="宋体" w:hint="default"/>
                            <w:w w:val="101"/>
                            <w:sz w:val="18"/>
                            <w:szCs w:val="18"/>
                          </w:rPr>
                          <w:t>调</w:t>
                        </w:r>
                        <w:r>
                          <w:rPr>
                            <w:rFonts w:ascii="宋体" w:hAnsi="宋体" w:cs="宋体" w:eastAsia="宋体" w:hint="default"/>
                            <w:spacing w:val="-5"/>
                            <w:w w:val="101"/>
                            <w:sz w:val="18"/>
                            <w:szCs w:val="18"/>
                          </w:rPr>
                          <w:t>整</w:t>
                        </w:r>
                        <w:r>
                          <w:rPr>
                            <w:rFonts w:ascii="宋体" w:hAnsi="宋体" w:cs="宋体" w:eastAsia="宋体" w:hint="default"/>
                            <w:w w:val="101"/>
                            <w:sz w:val="18"/>
                            <w:szCs w:val="18"/>
                          </w:rPr>
                          <w:t>后</w:t>
                        </w:r>
                        <w:r>
                          <w:rPr>
                            <w:rFonts w:ascii="宋体" w:hAnsi="宋体" w:cs="宋体" w:eastAsia="宋体" w:hint="default"/>
                            <w:spacing w:val="-5"/>
                            <w:w w:val="101"/>
                            <w:sz w:val="18"/>
                            <w:szCs w:val="18"/>
                          </w:rPr>
                          <w:t>价</w:t>
                        </w:r>
                        <w:r>
                          <w:rPr>
                            <w:rFonts w:ascii="宋体" w:hAnsi="宋体" w:cs="宋体" w:eastAsia="宋体" w:hint="default"/>
                            <w:w w:val="101"/>
                            <w:sz w:val="18"/>
                            <w:szCs w:val="18"/>
                          </w:rPr>
                          <w:t>格为</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5</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915</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元</w:t>
                        </w:r>
                        <w:r>
                          <w:rPr>
                            <w:rFonts w:ascii="宋体" w:hAnsi="宋体" w:cs="宋体" w:eastAsia="宋体" w:hint="default"/>
                            <w:spacing w:val="-91"/>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预</w:t>
                        </w:r>
                        <w:r>
                          <w:rPr>
                            <w:rFonts w:ascii="宋体" w:hAnsi="宋体" w:cs="宋体" w:eastAsia="宋体" w:hint="default"/>
                            <w:spacing w:val="-5"/>
                            <w:w w:val="101"/>
                            <w:sz w:val="18"/>
                            <w:szCs w:val="18"/>
                          </w:rPr>
                          <w:t>留</w:t>
                        </w:r>
                        <w:r>
                          <w:rPr>
                            <w:rFonts w:ascii="宋体" w:hAnsi="宋体" w:cs="宋体" w:eastAsia="宋体" w:hint="default"/>
                            <w:w w:val="101"/>
                            <w:sz w:val="18"/>
                            <w:szCs w:val="18"/>
                          </w:rPr>
                          <w:t>部</w:t>
                        </w:r>
                        <w:r>
                          <w:rPr>
                            <w:rFonts w:ascii="宋体" w:hAnsi="宋体" w:cs="宋体" w:eastAsia="宋体" w:hint="default"/>
                            <w:spacing w:val="-5"/>
                            <w:w w:val="101"/>
                            <w:sz w:val="18"/>
                            <w:szCs w:val="18"/>
                          </w:rPr>
                          <w:t>分</w:t>
                        </w:r>
                        <w:r>
                          <w:rPr>
                            <w:rFonts w:ascii="宋体" w:hAnsi="宋体" w:cs="宋体" w:eastAsia="宋体" w:hint="default"/>
                            <w:w w:val="101"/>
                            <w:sz w:val="18"/>
                            <w:szCs w:val="18"/>
                          </w:rPr>
                          <w:t>授</w:t>
                        </w:r>
                        <w:r>
                          <w:rPr>
                            <w:rFonts w:ascii="宋体" w:hAnsi="宋体" w:cs="宋体" w:eastAsia="宋体" w:hint="default"/>
                            <w:sz w:val="18"/>
                            <w:szCs w:val="18"/>
                          </w:rPr>
                        </w:r>
                      </w:p>
                    </w:tc>
                  </w:tr>
                  <w:tr>
                    <w:trPr>
                      <w:trHeight w:val="312" w:hRule="exact"/>
                    </w:trPr>
                    <w:tc>
                      <w:tcPr>
                        <w:tcW w:w="5453" w:type="dxa"/>
                        <w:tcBorders>
                          <w:top w:val="nil" w:sz="6" w:space="0" w:color="auto"/>
                          <w:left w:val="single" w:sz="4" w:space="0" w:color="000000"/>
                          <w:bottom w:val="nil" w:sz="6" w:space="0" w:color="auto"/>
                          <w:right w:val="single" w:sz="4" w:space="0" w:color="000000"/>
                        </w:tcBorders>
                        <w:shd w:val="clear" w:color="auto" w:fill="D2D2D2"/>
                      </w:tcPr>
                      <w:p>
                        <w:pPr/>
                      </w:p>
                    </w:tc>
                    <w:tc>
                      <w:tcPr>
                        <w:tcW w:w="411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予的股票期权的行权价格为 </w:t>
                        </w:r>
                        <w:r>
                          <w:rPr>
                            <w:rFonts w:ascii="Times New Roman" w:hAnsi="Times New Roman" w:cs="Times New Roman" w:eastAsia="Times New Roman" w:hint="default"/>
                            <w:sz w:val="18"/>
                            <w:szCs w:val="18"/>
                          </w:rPr>
                          <w:t>10.25</w:t>
                        </w:r>
                        <w:r>
                          <w:rPr>
                            <w:rFonts w:ascii="Times New Roman" w:hAnsi="Times New Roman" w:cs="Times New Roman" w:eastAsia="Times New Roman" w:hint="default"/>
                            <w:spacing w:val="19"/>
                            <w:sz w:val="18"/>
                            <w:szCs w:val="18"/>
                          </w:rPr>
                          <w:t> </w:t>
                        </w:r>
                        <w:r>
                          <w:rPr>
                            <w:rFonts w:ascii="宋体" w:hAnsi="宋体" w:cs="宋体" w:eastAsia="宋体" w:hint="default"/>
                            <w:spacing w:val="-8"/>
                            <w:sz w:val="18"/>
                            <w:szCs w:val="18"/>
                          </w:rPr>
                          <w:t>元。公司首次授予</w:t>
                        </w:r>
                      </w:p>
                    </w:tc>
                  </w:tr>
                  <w:tr>
                    <w:trPr>
                      <w:trHeight w:val="307" w:hRule="exact"/>
                    </w:trPr>
                    <w:tc>
                      <w:tcPr>
                        <w:tcW w:w="5453" w:type="dxa"/>
                        <w:tcBorders>
                          <w:top w:val="nil" w:sz="6" w:space="0" w:color="auto"/>
                          <w:left w:val="single" w:sz="4" w:space="0" w:color="000000"/>
                          <w:bottom w:val="nil" w:sz="6" w:space="0" w:color="auto"/>
                          <w:right w:val="single" w:sz="4" w:space="0" w:color="000000"/>
                        </w:tcBorders>
                        <w:shd w:val="clear" w:color="auto" w:fill="D2D2D2"/>
                      </w:tcPr>
                      <w:p>
                        <w:pPr/>
                      </w:p>
                    </w:tc>
                    <w:tc>
                      <w:tcPr>
                        <w:tcW w:w="411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的限制性股票的有效期自首次限制性股票授予之日</w:t>
                        </w:r>
                      </w:p>
                    </w:tc>
                  </w:tr>
                  <w:tr>
                    <w:trPr>
                      <w:trHeight w:val="317" w:hRule="exact"/>
                    </w:trPr>
                    <w:tc>
                      <w:tcPr>
                        <w:tcW w:w="5453" w:type="dxa"/>
                        <w:tcBorders>
                          <w:top w:val="nil" w:sz="6" w:space="0" w:color="auto"/>
                          <w:left w:val="single" w:sz="4" w:space="0" w:color="000000"/>
                          <w:bottom w:val="nil" w:sz="6" w:space="0" w:color="auto"/>
                          <w:right w:val="single" w:sz="4" w:space="0" w:color="000000"/>
                        </w:tcBorders>
                        <w:shd w:val="clear" w:color="auto" w:fill="D2D2D2"/>
                      </w:tcPr>
                      <w:p>
                        <w:pPr/>
                      </w:p>
                    </w:tc>
                    <w:tc>
                      <w:tcPr>
                        <w:tcW w:w="411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日）起计算，最长不超过</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年。</w:t>
                        </w:r>
                      </w:p>
                    </w:tc>
                  </w:tr>
                  <w:tr>
                    <w:trPr>
                      <w:trHeight w:val="307" w:hRule="exact"/>
                    </w:trPr>
                    <w:tc>
                      <w:tcPr>
                        <w:tcW w:w="5453" w:type="dxa"/>
                        <w:tcBorders>
                          <w:top w:val="nil" w:sz="6" w:space="0" w:color="auto"/>
                          <w:left w:val="single" w:sz="4" w:space="0" w:color="000000"/>
                          <w:bottom w:val="nil" w:sz="6" w:space="0" w:color="auto"/>
                          <w:right w:val="single" w:sz="4" w:space="0" w:color="000000"/>
                        </w:tcBorders>
                        <w:shd w:val="clear" w:color="auto" w:fill="D2D2D2"/>
                      </w:tcPr>
                      <w:p>
                        <w:pPr/>
                      </w:p>
                    </w:tc>
                    <w:tc>
                      <w:tcPr>
                        <w:tcW w:w="411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首次授出的限制性股票自本期激励计划首次授予日</w:t>
                        </w:r>
                      </w:p>
                    </w:tc>
                  </w:tr>
                  <w:tr>
                    <w:trPr>
                      <w:trHeight w:val="305" w:hRule="exact"/>
                    </w:trPr>
                    <w:tc>
                      <w:tcPr>
                        <w:tcW w:w="5453" w:type="dxa"/>
                        <w:tcBorders>
                          <w:top w:val="nil" w:sz="6" w:space="0" w:color="auto"/>
                          <w:left w:val="single" w:sz="4" w:space="0" w:color="000000"/>
                          <w:bottom w:val="nil" w:sz="6" w:space="0" w:color="auto"/>
                          <w:right w:val="single" w:sz="4" w:space="0" w:color="000000"/>
                        </w:tcBorders>
                        <w:shd w:val="clear" w:color="auto" w:fill="D2D2D2"/>
                      </w:tcPr>
                      <w:p>
                        <w:pPr/>
                      </w:p>
                    </w:tc>
                    <w:tc>
                      <w:tcPr>
                        <w:tcW w:w="411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6"/>
                            <w:sz w:val="18"/>
                            <w:szCs w:val="18"/>
                          </w:rPr>
                          <w:t> </w:t>
                        </w:r>
                        <w:r>
                          <w:rPr>
                            <w:rFonts w:ascii="宋体" w:hAnsi="宋体" w:cs="宋体" w:eastAsia="宋体" w:hint="default"/>
                            <w:spacing w:val="-7"/>
                            <w:sz w:val="18"/>
                            <w:szCs w:val="18"/>
                          </w:rPr>
                          <w:t>日）起满</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 </w:t>
                        </w:r>
                        <w:r>
                          <w:rPr>
                            <w:rFonts w:ascii="宋体" w:hAnsi="宋体" w:cs="宋体" w:eastAsia="宋体" w:hint="default"/>
                            <w:spacing w:val="-5"/>
                            <w:sz w:val="18"/>
                            <w:szCs w:val="18"/>
                          </w:rPr>
                          <w:t>个月后，激励对象应</w:t>
                        </w:r>
                      </w:p>
                    </w:tc>
                  </w:tr>
                  <w:tr>
                    <w:trPr>
                      <w:trHeight w:val="324" w:hRule="exact"/>
                    </w:trPr>
                    <w:tc>
                      <w:tcPr>
                        <w:tcW w:w="5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0"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公司期末发行在外的股票期权行权价格的范围和合同剩余期限</w:t>
                        </w:r>
                      </w:p>
                    </w:tc>
                    <w:tc>
                      <w:tcPr>
                        <w:tcW w:w="4114"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left="23" w:right="0"/>
                          <w:jc w:val="left"/>
                          <w:rPr>
                            <w:rFonts w:ascii="宋体" w:hAnsi="宋体" w:cs="宋体" w:eastAsia="宋体" w:hint="default"/>
                            <w:sz w:val="18"/>
                            <w:szCs w:val="18"/>
                          </w:rPr>
                        </w:pPr>
                        <w:r>
                          <w:rPr>
                            <w:rFonts w:ascii="宋体" w:hAnsi="宋体" w:cs="宋体" w:eastAsia="宋体" w:hint="default"/>
                            <w:sz w:val="18"/>
                            <w:szCs w:val="18"/>
                          </w:rPr>
                          <w:t>在未来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个月内分三期解锁。公司预留部分授予的</w:t>
                        </w:r>
                      </w:p>
                    </w:tc>
                  </w:tr>
                  <w:tr>
                    <w:trPr>
                      <w:trHeight w:val="312" w:hRule="exact"/>
                    </w:trPr>
                    <w:tc>
                      <w:tcPr>
                        <w:tcW w:w="5453" w:type="dxa"/>
                        <w:tcBorders>
                          <w:top w:val="nil" w:sz="6" w:space="0" w:color="auto"/>
                          <w:left w:val="single" w:sz="4" w:space="0" w:color="000000"/>
                          <w:bottom w:val="nil" w:sz="6" w:space="0" w:color="auto"/>
                          <w:right w:val="single" w:sz="4" w:space="0" w:color="000000"/>
                        </w:tcBorders>
                        <w:shd w:val="clear" w:color="auto" w:fill="D2D2D2"/>
                      </w:tcPr>
                      <w:p>
                        <w:pPr/>
                      </w:p>
                    </w:tc>
                    <w:tc>
                      <w:tcPr>
                        <w:tcW w:w="411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限制性股票的有效期自限制性股票授予之日（</w:t>
                        </w:r>
                        <w:r>
                          <w:rPr>
                            <w:rFonts w:ascii="Times New Roman" w:hAnsi="Times New Roman" w:cs="Times New Roman" w:eastAsia="Times New Roman" w:hint="default"/>
                            <w:spacing w:val="-3"/>
                            <w:sz w:val="18"/>
                            <w:szCs w:val="18"/>
                          </w:rPr>
                          <w:t>2014</w:t>
                        </w:r>
                      </w:p>
                    </w:tc>
                  </w:tr>
                  <w:tr>
                    <w:trPr>
                      <w:trHeight w:val="312" w:hRule="exact"/>
                    </w:trPr>
                    <w:tc>
                      <w:tcPr>
                        <w:tcW w:w="5453" w:type="dxa"/>
                        <w:tcBorders>
                          <w:top w:val="nil" w:sz="6" w:space="0" w:color="auto"/>
                          <w:left w:val="single" w:sz="4" w:space="0" w:color="000000"/>
                          <w:bottom w:val="nil" w:sz="6" w:space="0" w:color="auto"/>
                          <w:right w:val="single" w:sz="4" w:space="0" w:color="000000"/>
                        </w:tcBorders>
                        <w:shd w:val="clear" w:color="auto" w:fill="D2D2D2"/>
                      </w:tcPr>
                      <w:p>
                        <w:pPr/>
                      </w:p>
                    </w:tc>
                    <w:tc>
                      <w:tcPr>
                        <w:tcW w:w="411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日）起计算，最长不超过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年。预留部分</w:t>
                        </w:r>
                      </w:p>
                    </w:tc>
                  </w:tr>
                  <w:tr>
                    <w:trPr>
                      <w:trHeight w:val="312" w:hRule="exact"/>
                    </w:trPr>
                    <w:tc>
                      <w:tcPr>
                        <w:tcW w:w="5453" w:type="dxa"/>
                        <w:tcBorders>
                          <w:top w:val="nil" w:sz="6" w:space="0" w:color="auto"/>
                          <w:left w:val="single" w:sz="4" w:space="0" w:color="000000"/>
                          <w:bottom w:val="nil" w:sz="6" w:space="0" w:color="auto"/>
                          <w:right w:val="single" w:sz="4" w:space="0" w:color="000000"/>
                        </w:tcBorders>
                        <w:shd w:val="clear" w:color="auto" w:fill="D2D2D2"/>
                      </w:tcPr>
                      <w:p>
                        <w:pPr/>
                      </w:p>
                    </w:tc>
                    <w:tc>
                      <w:tcPr>
                        <w:tcW w:w="411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2"/>
                            <w:sz w:val="18"/>
                            <w:szCs w:val="18"/>
                          </w:rPr>
                          <w:t>授予的限制性股票自本期激励计划授予日（</w:t>
                        </w:r>
                        <w:r>
                          <w:rPr>
                            <w:rFonts w:ascii="Times New Roman" w:hAnsi="Times New Roman" w:cs="Times New Roman" w:eastAsia="Times New Roman" w:hint="default"/>
                            <w:spacing w:val="-2"/>
                            <w:sz w:val="18"/>
                            <w:szCs w:val="18"/>
                          </w:rPr>
                          <w:t>2014</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p>
                    </w:tc>
                  </w:tr>
                  <w:tr>
                    <w:trPr>
                      <w:trHeight w:val="312" w:hRule="exact"/>
                    </w:trPr>
                    <w:tc>
                      <w:tcPr>
                        <w:tcW w:w="5453" w:type="dxa"/>
                        <w:tcBorders>
                          <w:top w:val="nil" w:sz="6" w:space="0" w:color="auto"/>
                          <w:left w:val="single" w:sz="4" w:space="0" w:color="000000"/>
                          <w:bottom w:val="nil" w:sz="6" w:space="0" w:color="auto"/>
                          <w:right w:val="single" w:sz="4" w:space="0" w:color="000000"/>
                        </w:tcBorders>
                        <w:shd w:val="clear" w:color="auto" w:fill="D2D2D2"/>
                      </w:tcPr>
                      <w:p>
                        <w:pPr/>
                      </w:p>
                    </w:tc>
                    <w:tc>
                      <w:tcPr>
                        <w:tcW w:w="411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日）起满</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个月后，激励对象应在未来</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24</w:t>
                        </w:r>
                      </w:p>
                    </w:tc>
                  </w:tr>
                  <w:tr>
                    <w:trPr>
                      <w:trHeight w:val="307" w:hRule="exact"/>
                    </w:trPr>
                    <w:tc>
                      <w:tcPr>
                        <w:tcW w:w="5453" w:type="dxa"/>
                        <w:tcBorders>
                          <w:top w:val="nil" w:sz="6" w:space="0" w:color="auto"/>
                          <w:left w:val="single" w:sz="4" w:space="0" w:color="000000"/>
                          <w:bottom w:val="nil" w:sz="6" w:space="0" w:color="auto"/>
                          <w:right w:val="single" w:sz="4" w:space="0" w:color="000000"/>
                        </w:tcBorders>
                        <w:shd w:val="clear" w:color="auto" w:fill="D2D2D2"/>
                      </w:tcPr>
                      <w:p>
                        <w:pPr/>
                      </w:p>
                    </w:tc>
                    <w:tc>
                      <w:tcPr>
                        <w:tcW w:w="411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w w:val="101"/>
                            <w:sz w:val="18"/>
                            <w:szCs w:val="18"/>
                          </w:rPr>
                          <w:t>个</w:t>
                        </w:r>
                        <w:r>
                          <w:rPr>
                            <w:rFonts w:ascii="宋体" w:hAnsi="宋体" w:cs="宋体" w:eastAsia="宋体" w:hint="default"/>
                            <w:spacing w:val="-5"/>
                            <w:w w:val="101"/>
                            <w:sz w:val="18"/>
                            <w:szCs w:val="18"/>
                          </w:rPr>
                          <w:t>月</w:t>
                        </w:r>
                        <w:r>
                          <w:rPr>
                            <w:rFonts w:ascii="宋体" w:hAnsi="宋体" w:cs="宋体" w:eastAsia="宋体" w:hint="default"/>
                            <w:w w:val="101"/>
                            <w:sz w:val="18"/>
                            <w:szCs w:val="18"/>
                          </w:rPr>
                          <w:t>内</w:t>
                        </w:r>
                        <w:r>
                          <w:rPr>
                            <w:rFonts w:ascii="宋体" w:hAnsi="宋体" w:cs="宋体" w:eastAsia="宋体" w:hint="default"/>
                            <w:spacing w:val="-5"/>
                            <w:w w:val="101"/>
                            <w:sz w:val="18"/>
                            <w:szCs w:val="18"/>
                          </w:rPr>
                          <w:t>分</w:t>
                        </w:r>
                        <w:r>
                          <w:rPr>
                            <w:rFonts w:ascii="宋体" w:hAnsi="宋体" w:cs="宋体" w:eastAsia="宋体" w:hint="default"/>
                            <w:w w:val="101"/>
                            <w:sz w:val="18"/>
                            <w:szCs w:val="18"/>
                          </w:rPr>
                          <w:t>两</w:t>
                        </w:r>
                        <w:r>
                          <w:rPr>
                            <w:rFonts w:ascii="宋体" w:hAnsi="宋体" w:cs="宋体" w:eastAsia="宋体" w:hint="default"/>
                            <w:spacing w:val="-5"/>
                            <w:w w:val="101"/>
                            <w:sz w:val="18"/>
                            <w:szCs w:val="18"/>
                          </w:rPr>
                          <w:t>期</w:t>
                        </w:r>
                        <w:r>
                          <w:rPr>
                            <w:rFonts w:ascii="宋体" w:hAnsi="宋体" w:cs="宋体" w:eastAsia="宋体" w:hint="default"/>
                            <w:w w:val="101"/>
                            <w:sz w:val="18"/>
                            <w:szCs w:val="18"/>
                          </w:rPr>
                          <w:t>解</w:t>
                        </w:r>
                        <w:r>
                          <w:rPr>
                            <w:rFonts w:ascii="宋体" w:hAnsi="宋体" w:cs="宋体" w:eastAsia="宋体" w:hint="default"/>
                            <w:spacing w:val="-5"/>
                            <w:w w:val="101"/>
                            <w:sz w:val="18"/>
                            <w:szCs w:val="18"/>
                          </w:rPr>
                          <w:t>锁</w:t>
                        </w:r>
                        <w:r>
                          <w:rPr>
                            <w:rFonts w:ascii="宋体" w:hAnsi="宋体" w:cs="宋体" w:eastAsia="宋体" w:hint="default"/>
                            <w:spacing w:val="-82"/>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首</w:t>
                        </w:r>
                        <w:r>
                          <w:rPr>
                            <w:rFonts w:ascii="宋体" w:hAnsi="宋体" w:cs="宋体" w:eastAsia="宋体" w:hint="default"/>
                            <w:w w:val="101"/>
                            <w:sz w:val="18"/>
                            <w:szCs w:val="18"/>
                          </w:rPr>
                          <w:t>次</w:t>
                        </w:r>
                        <w:r>
                          <w:rPr>
                            <w:rFonts w:ascii="宋体" w:hAnsi="宋体" w:cs="宋体" w:eastAsia="宋体" w:hint="default"/>
                            <w:spacing w:val="-5"/>
                            <w:w w:val="101"/>
                            <w:sz w:val="18"/>
                            <w:szCs w:val="18"/>
                          </w:rPr>
                          <w:t>授</w:t>
                        </w:r>
                        <w:r>
                          <w:rPr>
                            <w:rFonts w:ascii="宋体" w:hAnsi="宋体" w:cs="宋体" w:eastAsia="宋体" w:hint="default"/>
                            <w:w w:val="101"/>
                            <w:sz w:val="18"/>
                            <w:szCs w:val="18"/>
                          </w:rPr>
                          <w:t>予</w:t>
                        </w:r>
                        <w:r>
                          <w:rPr>
                            <w:rFonts w:ascii="宋体" w:hAnsi="宋体" w:cs="宋体" w:eastAsia="宋体" w:hint="default"/>
                            <w:spacing w:val="-5"/>
                            <w:w w:val="101"/>
                            <w:sz w:val="18"/>
                            <w:szCs w:val="18"/>
                          </w:rPr>
                          <w:t>股</w:t>
                        </w:r>
                        <w:r>
                          <w:rPr>
                            <w:rFonts w:ascii="宋体" w:hAnsi="宋体" w:cs="宋体" w:eastAsia="宋体" w:hint="default"/>
                            <w:w w:val="101"/>
                            <w:sz w:val="18"/>
                            <w:szCs w:val="18"/>
                          </w:rPr>
                          <w:t>票</w:t>
                        </w:r>
                        <w:r>
                          <w:rPr>
                            <w:rFonts w:ascii="宋体" w:hAnsi="宋体" w:cs="宋体" w:eastAsia="宋体" w:hint="default"/>
                            <w:spacing w:val="-5"/>
                            <w:w w:val="101"/>
                            <w:sz w:val="18"/>
                            <w:szCs w:val="18"/>
                          </w:rPr>
                          <w:t>期</w:t>
                        </w:r>
                        <w:r>
                          <w:rPr>
                            <w:rFonts w:ascii="宋体" w:hAnsi="宋体" w:cs="宋体" w:eastAsia="宋体" w:hint="default"/>
                            <w:w w:val="101"/>
                            <w:sz w:val="18"/>
                            <w:szCs w:val="18"/>
                          </w:rPr>
                          <w:t>权</w:t>
                        </w:r>
                        <w:r>
                          <w:rPr>
                            <w:rFonts w:ascii="宋体" w:hAnsi="宋体" w:cs="宋体" w:eastAsia="宋体" w:hint="default"/>
                            <w:spacing w:val="-5"/>
                            <w:w w:val="101"/>
                            <w:sz w:val="18"/>
                            <w:szCs w:val="18"/>
                          </w:rPr>
                          <w:t>的</w:t>
                        </w:r>
                        <w:r>
                          <w:rPr>
                            <w:rFonts w:ascii="宋体" w:hAnsi="宋体" w:cs="宋体" w:eastAsia="宋体" w:hint="default"/>
                            <w:w w:val="101"/>
                            <w:sz w:val="18"/>
                            <w:szCs w:val="18"/>
                          </w:rPr>
                          <w:t>有</w:t>
                        </w:r>
                        <w:r>
                          <w:rPr>
                            <w:rFonts w:ascii="宋体" w:hAnsi="宋体" w:cs="宋体" w:eastAsia="宋体" w:hint="default"/>
                            <w:spacing w:val="-5"/>
                            <w:w w:val="101"/>
                            <w:sz w:val="18"/>
                            <w:szCs w:val="18"/>
                          </w:rPr>
                          <w:t>效</w:t>
                        </w:r>
                        <w:r>
                          <w:rPr>
                            <w:rFonts w:ascii="宋体" w:hAnsi="宋体" w:cs="宋体" w:eastAsia="宋体" w:hint="default"/>
                            <w:w w:val="101"/>
                            <w:sz w:val="18"/>
                            <w:szCs w:val="18"/>
                          </w:rPr>
                          <w:t>期</w:t>
                        </w:r>
                        <w:r>
                          <w:rPr>
                            <w:rFonts w:ascii="宋体" w:hAnsi="宋体" w:cs="宋体" w:eastAsia="宋体" w:hint="default"/>
                            <w:sz w:val="18"/>
                            <w:szCs w:val="18"/>
                          </w:rPr>
                        </w:r>
                      </w:p>
                    </w:tc>
                  </w:tr>
                  <w:tr>
                    <w:trPr>
                      <w:trHeight w:val="317" w:hRule="exact"/>
                    </w:trPr>
                    <w:tc>
                      <w:tcPr>
                        <w:tcW w:w="5453" w:type="dxa"/>
                        <w:tcBorders>
                          <w:top w:val="nil" w:sz="6" w:space="0" w:color="auto"/>
                          <w:left w:val="single" w:sz="4" w:space="0" w:color="000000"/>
                          <w:bottom w:val="nil" w:sz="6" w:space="0" w:color="auto"/>
                          <w:right w:val="single" w:sz="4" w:space="0" w:color="000000"/>
                        </w:tcBorders>
                        <w:shd w:val="clear" w:color="auto" w:fill="D2D2D2"/>
                      </w:tcPr>
                      <w:p>
                        <w:pPr/>
                      </w:p>
                    </w:tc>
                    <w:tc>
                      <w:tcPr>
                        <w:tcW w:w="411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为自股票期权首次授予日（</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日）起</w:t>
                        </w:r>
                      </w:p>
                    </w:tc>
                  </w:tr>
                  <w:tr>
                    <w:trPr>
                      <w:trHeight w:val="307" w:hRule="exact"/>
                    </w:trPr>
                    <w:tc>
                      <w:tcPr>
                        <w:tcW w:w="5453" w:type="dxa"/>
                        <w:tcBorders>
                          <w:top w:val="nil" w:sz="6" w:space="0" w:color="auto"/>
                          <w:left w:val="single" w:sz="4" w:space="0" w:color="000000"/>
                          <w:bottom w:val="nil" w:sz="6" w:space="0" w:color="auto"/>
                          <w:right w:val="single" w:sz="4" w:space="0" w:color="000000"/>
                        </w:tcBorders>
                        <w:shd w:val="clear" w:color="auto" w:fill="D2D2D2"/>
                      </w:tcPr>
                      <w:p>
                        <w:pPr/>
                      </w:p>
                    </w:tc>
                    <w:tc>
                      <w:tcPr>
                        <w:tcW w:w="411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w w:val="101"/>
                            <w:sz w:val="18"/>
                            <w:szCs w:val="18"/>
                          </w:rPr>
                          <w:t>四年</w:t>
                        </w:r>
                        <w:r>
                          <w:rPr>
                            <w:rFonts w:ascii="宋体" w:hAnsi="宋体" w:cs="宋体" w:eastAsia="宋体" w:hint="default"/>
                            <w:spacing w:val="-92"/>
                            <w:w w:val="101"/>
                            <w:sz w:val="18"/>
                            <w:szCs w:val="18"/>
                          </w:rPr>
                          <w:t>。</w:t>
                        </w:r>
                        <w:r>
                          <w:rPr>
                            <w:rFonts w:ascii="宋体" w:hAnsi="宋体" w:cs="宋体" w:eastAsia="宋体" w:hint="default"/>
                            <w:w w:val="101"/>
                            <w:sz w:val="18"/>
                            <w:szCs w:val="18"/>
                          </w:rPr>
                          <w:t>在</w:t>
                        </w:r>
                        <w:r>
                          <w:rPr>
                            <w:rFonts w:ascii="宋体" w:hAnsi="宋体" w:cs="宋体" w:eastAsia="宋体" w:hint="default"/>
                            <w:spacing w:val="-5"/>
                            <w:w w:val="101"/>
                            <w:sz w:val="18"/>
                            <w:szCs w:val="18"/>
                          </w:rPr>
                          <w:t>可</w:t>
                        </w:r>
                        <w:r>
                          <w:rPr>
                            <w:rFonts w:ascii="宋体" w:hAnsi="宋体" w:cs="宋体" w:eastAsia="宋体" w:hint="default"/>
                            <w:w w:val="101"/>
                            <w:sz w:val="18"/>
                            <w:szCs w:val="18"/>
                          </w:rPr>
                          <w:t>行</w:t>
                        </w:r>
                        <w:r>
                          <w:rPr>
                            <w:rFonts w:ascii="宋体" w:hAnsi="宋体" w:cs="宋体" w:eastAsia="宋体" w:hint="default"/>
                            <w:spacing w:val="-5"/>
                            <w:w w:val="101"/>
                            <w:sz w:val="18"/>
                            <w:szCs w:val="18"/>
                          </w:rPr>
                          <w:t>权</w:t>
                        </w:r>
                        <w:r>
                          <w:rPr>
                            <w:rFonts w:ascii="宋体" w:hAnsi="宋体" w:cs="宋体" w:eastAsia="宋体" w:hint="default"/>
                            <w:w w:val="101"/>
                            <w:sz w:val="18"/>
                            <w:szCs w:val="18"/>
                          </w:rPr>
                          <w:t>日</w:t>
                        </w:r>
                        <w:r>
                          <w:rPr>
                            <w:rFonts w:ascii="宋体" w:hAnsi="宋体" w:cs="宋体" w:eastAsia="宋体" w:hint="default"/>
                            <w:spacing w:val="-5"/>
                            <w:w w:val="101"/>
                            <w:sz w:val="18"/>
                            <w:szCs w:val="18"/>
                          </w:rPr>
                          <w:t>内</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若</w:t>
                        </w:r>
                        <w:r>
                          <w:rPr>
                            <w:rFonts w:ascii="宋体" w:hAnsi="宋体" w:cs="宋体" w:eastAsia="宋体" w:hint="default"/>
                            <w:w w:val="101"/>
                            <w:sz w:val="18"/>
                            <w:szCs w:val="18"/>
                          </w:rPr>
                          <w:t>达</w:t>
                        </w:r>
                        <w:r>
                          <w:rPr>
                            <w:rFonts w:ascii="宋体" w:hAnsi="宋体" w:cs="宋体" w:eastAsia="宋体" w:hint="default"/>
                            <w:spacing w:val="-5"/>
                            <w:w w:val="101"/>
                            <w:sz w:val="18"/>
                            <w:szCs w:val="18"/>
                          </w:rPr>
                          <w:t>到</w:t>
                        </w:r>
                        <w:r>
                          <w:rPr>
                            <w:rFonts w:ascii="宋体" w:hAnsi="宋体" w:cs="宋体" w:eastAsia="宋体" w:hint="default"/>
                            <w:w w:val="101"/>
                            <w:sz w:val="18"/>
                            <w:szCs w:val="18"/>
                          </w:rPr>
                          <w:t>本</w:t>
                        </w:r>
                        <w:r>
                          <w:rPr>
                            <w:rFonts w:ascii="宋体" w:hAnsi="宋体" w:cs="宋体" w:eastAsia="宋体" w:hint="default"/>
                            <w:spacing w:val="-5"/>
                            <w:w w:val="101"/>
                            <w:sz w:val="18"/>
                            <w:szCs w:val="18"/>
                          </w:rPr>
                          <w:t>计</w:t>
                        </w:r>
                        <w:r>
                          <w:rPr>
                            <w:rFonts w:ascii="宋体" w:hAnsi="宋体" w:cs="宋体" w:eastAsia="宋体" w:hint="default"/>
                            <w:w w:val="101"/>
                            <w:sz w:val="18"/>
                            <w:szCs w:val="18"/>
                          </w:rPr>
                          <w:t>划</w:t>
                        </w:r>
                        <w:r>
                          <w:rPr>
                            <w:rFonts w:ascii="宋体" w:hAnsi="宋体" w:cs="宋体" w:eastAsia="宋体" w:hint="default"/>
                            <w:spacing w:val="-5"/>
                            <w:w w:val="101"/>
                            <w:sz w:val="18"/>
                            <w:szCs w:val="18"/>
                          </w:rPr>
                          <w:t>规</w:t>
                        </w:r>
                        <w:r>
                          <w:rPr>
                            <w:rFonts w:ascii="宋体" w:hAnsi="宋体" w:cs="宋体" w:eastAsia="宋体" w:hint="default"/>
                            <w:w w:val="101"/>
                            <w:sz w:val="18"/>
                            <w:szCs w:val="18"/>
                          </w:rPr>
                          <w:t>定</w:t>
                        </w:r>
                        <w:r>
                          <w:rPr>
                            <w:rFonts w:ascii="宋体" w:hAnsi="宋体" w:cs="宋体" w:eastAsia="宋体" w:hint="default"/>
                            <w:spacing w:val="-5"/>
                            <w:w w:val="101"/>
                            <w:sz w:val="18"/>
                            <w:szCs w:val="18"/>
                          </w:rPr>
                          <w:t>的</w:t>
                        </w:r>
                        <w:r>
                          <w:rPr>
                            <w:rFonts w:ascii="宋体" w:hAnsi="宋体" w:cs="宋体" w:eastAsia="宋体" w:hint="default"/>
                            <w:w w:val="101"/>
                            <w:sz w:val="18"/>
                            <w:szCs w:val="18"/>
                          </w:rPr>
                          <w:t>行</w:t>
                        </w:r>
                        <w:r>
                          <w:rPr>
                            <w:rFonts w:ascii="宋体" w:hAnsi="宋体" w:cs="宋体" w:eastAsia="宋体" w:hint="default"/>
                            <w:spacing w:val="-5"/>
                            <w:w w:val="101"/>
                            <w:sz w:val="18"/>
                            <w:szCs w:val="18"/>
                          </w:rPr>
                          <w:t>权</w:t>
                        </w:r>
                        <w:r>
                          <w:rPr>
                            <w:rFonts w:ascii="宋体" w:hAnsi="宋体" w:cs="宋体" w:eastAsia="宋体" w:hint="default"/>
                            <w:w w:val="101"/>
                            <w:sz w:val="18"/>
                            <w:szCs w:val="18"/>
                          </w:rPr>
                          <w:t>条件</w:t>
                        </w:r>
                        <w:r>
                          <w:rPr>
                            <w:rFonts w:ascii="宋体" w:hAnsi="宋体" w:cs="宋体" w:eastAsia="宋体" w:hint="default"/>
                            <w:sz w:val="18"/>
                            <w:szCs w:val="18"/>
                          </w:rPr>
                        </w:r>
                      </w:p>
                    </w:tc>
                  </w:tr>
                  <w:tr>
                    <w:trPr>
                      <w:trHeight w:val="317" w:hRule="exact"/>
                    </w:trPr>
                    <w:tc>
                      <w:tcPr>
                        <w:tcW w:w="5453" w:type="dxa"/>
                        <w:tcBorders>
                          <w:top w:val="nil" w:sz="6" w:space="0" w:color="auto"/>
                          <w:left w:val="single" w:sz="4" w:space="0" w:color="000000"/>
                          <w:bottom w:val="nil" w:sz="6" w:space="0" w:color="auto"/>
                          <w:right w:val="single" w:sz="4" w:space="0" w:color="000000"/>
                        </w:tcBorders>
                        <w:shd w:val="clear" w:color="auto" w:fill="D2D2D2"/>
                      </w:tcPr>
                      <w:p>
                        <w:pPr/>
                      </w:p>
                    </w:tc>
                    <w:tc>
                      <w:tcPr>
                        <w:tcW w:w="411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授予的股票期权自授予日（</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日）起</w:t>
                        </w:r>
                      </w:p>
                    </w:tc>
                  </w:tr>
                  <w:tr>
                    <w:trPr>
                      <w:trHeight w:val="312" w:hRule="exact"/>
                    </w:trPr>
                    <w:tc>
                      <w:tcPr>
                        <w:tcW w:w="5453" w:type="dxa"/>
                        <w:tcBorders>
                          <w:top w:val="nil" w:sz="6" w:space="0" w:color="auto"/>
                          <w:left w:val="single" w:sz="4" w:space="0" w:color="000000"/>
                          <w:bottom w:val="nil" w:sz="6" w:space="0" w:color="auto"/>
                          <w:right w:val="single" w:sz="4" w:space="0" w:color="000000"/>
                        </w:tcBorders>
                        <w:shd w:val="clear" w:color="auto" w:fill="D2D2D2"/>
                      </w:tcPr>
                      <w:p>
                        <w:pPr/>
                      </w:p>
                    </w:tc>
                    <w:tc>
                      <w:tcPr>
                        <w:tcW w:w="411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w w:val="101"/>
                            <w:sz w:val="18"/>
                            <w:szCs w:val="18"/>
                          </w:rPr>
                          <w:t>满</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个</w:t>
                        </w:r>
                        <w:r>
                          <w:rPr>
                            <w:rFonts w:ascii="宋体" w:hAnsi="宋体" w:cs="宋体" w:eastAsia="宋体" w:hint="default"/>
                            <w:spacing w:val="-5"/>
                            <w:w w:val="101"/>
                            <w:sz w:val="18"/>
                            <w:szCs w:val="18"/>
                          </w:rPr>
                          <w:t>月</w:t>
                        </w:r>
                        <w:r>
                          <w:rPr>
                            <w:rFonts w:ascii="宋体" w:hAnsi="宋体" w:cs="宋体" w:eastAsia="宋体" w:hint="default"/>
                            <w:w w:val="101"/>
                            <w:sz w:val="18"/>
                            <w:szCs w:val="18"/>
                          </w:rPr>
                          <w:t>后</w:t>
                        </w:r>
                        <w:r>
                          <w:rPr>
                            <w:rFonts w:ascii="宋体" w:hAnsi="宋体" w:cs="宋体" w:eastAsia="宋体" w:hint="default"/>
                            <w:spacing w:val="-87"/>
                            <w:w w:val="101"/>
                            <w:sz w:val="18"/>
                            <w:szCs w:val="18"/>
                          </w:rPr>
                          <w:t>，</w:t>
                        </w:r>
                        <w:r>
                          <w:rPr>
                            <w:rFonts w:ascii="宋体" w:hAnsi="宋体" w:cs="宋体" w:eastAsia="宋体" w:hint="default"/>
                            <w:w w:val="101"/>
                            <w:sz w:val="18"/>
                            <w:szCs w:val="18"/>
                          </w:rPr>
                          <w:t>激</w:t>
                        </w:r>
                        <w:r>
                          <w:rPr>
                            <w:rFonts w:ascii="宋体" w:hAnsi="宋体" w:cs="宋体" w:eastAsia="宋体" w:hint="default"/>
                            <w:spacing w:val="-5"/>
                            <w:w w:val="101"/>
                            <w:sz w:val="18"/>
                            <w:szCs w:val="18"/>
                          </w:rPr>
                          <w:t>励</w:t>
                        </w:r>
                        <w:r>
                          <w:rPr>
                            <w:rFonts w:ascii="宋体" w:hAnsi="宋体" w:cs="宋体" w:eastAsia="宋体" w:hint="default"/>
                            <w:w w:val="101"/>
                            <w:sz w:val="18"/>
                            <w:szCs w:val="18"/>
                          </w:rPr>
                          <w:t>对</w:t>
                        </w:r>
                        <w:r>
                          <w:rPr>
                            <w:rFonts w:ascii="宋体" w:hAnsi="宋体" w:cs="宋体" w:eastAsia="宋体" w:hint="default"/>
                            <w:spacing w:val="-5"/>
                            <w:w w:val="101"/>
                            <w:sz w:val="18"/>
                            <w:szCs w:val="18"/>
                          </w:rPr>
                          <w:t>象</w:t>
                        </w:r>
                        <w:r>
                          <w:rPr>
                            <w:rFonts w:ascii="宋体" w:hAnsi="宋体" w:cs="宋体" w:eastAsia="宋体" w:hint="default"/>
                            <w:w w:val="101"/>
                            <w:sz w:val="18"/>
                            <w:szCs w:val="18"/>
                          </w:rPr>
                          <w:t>应</w:t>
                        </w:r>
                        <w:r>
                          <w:rPr>
                            <w:rFonts w:ascii="宋体" w:hAnsi="宋体" w:cs="宋体" w:eastAsia="宋体" w:hint="default"/>
                            <w:spacing w:val="-5"/>
                            <w:w w:val="101"/>
                            <w:sz w:val="18"/>
                            <w:szCs w:val="18"/>
                          </w:rPr>
                          <w:t>在</w:t>
                        </w:r>
                        <w:r>
                          <w:rPr>
                            <w:rFonts w:ascii="宋体" w:hAnsi="宋体" w:cs="宋体" w:eastAsia="宋体" w:hint="default"/>
                            <w:w w:val="101"/>
                            <w:sz w:val="18"/>
                            <w:szCs w:val="18"/>
                          </w:rPr>
                          <w:t>未来</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36</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个</w:t>
                        </w:r>
                        <w:r>
                          <w:rPr>
                            <w:rFonts w:ascii="宋体" w:hAnsi="宋体" w:cs="宋体" w:eastAsia="宋体" w:hint="default"/>
                            <w:spacing w:val="-5"/>
                            <w:w w:val="101"/>
                            <w:sz w:val="18"/>
                            <w:szCs w:val="18"/>
                          </w:rPr>
                          <w:t>月</w:t>
                        </w:r>
                        <w:r>
                          <w:rPr>
                            <w:rFonts w:ascii="宋体" w:hAnsi="宋体" w:cs="宋体" w:eastAsia="宋体" w:hint="default"/>
                            <w:w w:val="101"/>
                            <w:sz w:val="18"/>
                            <w:szCs w:val="18"/>
                          </w:rPr>
                          <w:t>内</w:t>
                        </w:r>
                        <w:r>
                          <w:rPr>
                            <w:rFonts w:ascii="宋体" w:hAnsi="宋体" w:cs="宋体" w:eastAsia="宋体" w:hint="default"/>
                            <w:spacing w:val="-5"/>
                            <w:w w:val="101"/>
                            <w:sz w:val="18"/>
                            <w:szCs w:val="18"/>
                          </w:rPr>
                          <w:t>分</w:t>
                        </w:r>
                        <w:r>
                          <w:rPr>
                            <w:rFonts w:ascii="宋体" w:hAnsi="宋体" w:cs="宋体" w:eastAsia="宋体" w:hint="default"/>
                            <w:w w:val="101"/>
                            <w:sz w:val="18"/>
                            <w:szCs w:val="18"/>
                          </w:rPr>
                          <w:t>三</w:t>
                        </w:r>
                        <w:r>
                          <w:rPr>
                            <w:rFonts w:ascii="宋体" w:hAnsi="宋体" w:cs="宋体" w:eastAsia="宋体" w:hint="default"/>
                            <w:spacing w:val="-5"/>
                            <w:w w:val="101"/>
                            <w:sz w:val="18"/>
                            <w:szCs w:val="18"/>
                          </w:rPr>
                          <w:t>期</w:t>
                        </w:r>
                        <w:r>
                          <w:rPr>
                            <w:rFonts w:ascii="宋体" w:hAnsi="宋体" w:cs="宋体" w:eastAsia="宋体" w:hint="default"/>
                            <w:w w:val="101"/>
                            <w:sz w:val="18"/>
                            <w:szCs w:val="18"/>
                          </w:rPr>
                          <w:t>行</w:t>
                        </w:r>
                        <w:r>
                          <w:rPr>
                            <w:rFonts w:ascii="宋体" w:hAnsi="宋体" w:cs="宋体" w:eastAsia="宋体" w:hint="default"/>
                            <w:sz w:val="18"/>
                            <w:szCs w:val="18"/>
                          </w:rPr>
                        </w:r>
                      </w:p>
                    </w:tc>
                  </w:tr>
                  <w:tr>
                    <w:trPr>
                      <w:trHeight w:val="307" w:hRule="exact"/>
                    </w:trPr>
                    <w:tc>
                      <w:tcPr>
                        <w:tcW w:w="5453" w:type="dxa"/>
                        <w:tcBorders>
                          <w:top w:val="nil" w:sz="6" w:space="0" w:color="auto"/>
                          <w:left w:val="single" w:sz="4" w:space="0" w:color="000000"/>
                          <w:bottom w:val="nil" w:sz="6" w:space="0" w:color="auto"/>
                          <w:right w:val="single" w:sz="4" w:space="0" w:color="000000"/>
                        </w:tcBorders>
                        <w:shd w:val="clear" w:color="auto" w:fill="D2D2D2"/>
                      </w:tcPr>
                      <w:p>
                        <w:pPr/>
                      </w:p>
                    </w:tc>
                    <w:tc>
                      <w:tcPr>
                        <w:tcW w:w="411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w w:val="101"/>
                            <w:sz w:val="18"/>
                            <w:szCs w:val="18"/>
                          </w:rPr>
                          <w:t>权</w:t>
                        </w:r>
                        <w:r>
                          <w:rPr>
                            <w:rFonts w:ascii="宋体" w:hAnsi="宋体" w:cs="宋体" w:eastAsia="宋体" w:hint="default"/>
                            <w:spacing w:val="-87"/>
                            <w:w w:val="101"/>
                            <w:sz w:val="18"/>
                            <w:szCs w:val="18"/>
                          </w:rPr>
                          <w:t>。</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预</w:t>
                        </w:r>
                        <w:r>
                          <w:rPr>
                            <w:rFonts w:ascii="宋体" w:hAnsi="宋体" w:cs="宋体" w:eastAsia="宋体" w:hint="default"/>
                            <w:spacing w:val="-5"/>
                            <w:w w:val="101"/>
                            <w:sz w:val="18"/>
                            <w:szCs w:val="18"/>
                          </w:rPr>
                          <w:t>留</w:t>
                        </w:r>
                        <w:r>
                          <w:rPr>
                            <w:rFonts w:ascii="宋体" w:hAnsi="宋体" w:cs="宋体" w:eastAsia="宋体" w:hint="default"/>
                            <w:w w:val="101"/>
                            <w:sz w:val="18"/>
                            <w:szCs w:val="18"/>
                          </w:rPr>
                          <w:t>部</w:t>
                        </w:r>
                        <w:r>
                          <w:rPr>
                            <w:rFonts w:ascii="宋体" w:hAnsi="宋体" w:cs="宋体" w:eastAsia="宋体" w:hint="default"/>
                            <w:spacing w:val="-5"/>
                            <w:w w:val="101"/>
                            <w:sz w:val="18"/>
                            <w:szCs w:val="18"/>
                          </w:rPr>
                          <w:t>分</w:t>
                        </w:r>
                        <w:r>
                          <w:rPr>
                            <w:rFonts w:ascii="宋体" w:hAnsi="宋体" w:cs="宋体" w:eastAsia="宋体" w:hint="default"/>
                            <w:w w:val="101"/>
                            <w:sz w:val="18"/>
                            <w:szCs w:val="18"/>
                          </w:rPr>
                          <w:t>授</w:t>
                        </w:r>
                        <w:r>
                          <w:rPr>
                            <w:rFonts w:ascii="宋体" w:hAnsi="宋体" w:cs="宋体" w:eastAsia="宋体" w:hint="default"/>
                            <w:spacing w:val="-5"/>
                            <w:w w:val="101"/>
                            <w:sz w:val="18"/>
                            <w:szCs w:val="18"/>
                          </w:rPr>
                          <w:t>予</w:t>
                        </w:r>
                        <w:r>
                          <w:rPr>
                            <w:rFonts w:ascii="宋体" w:hAnsi="宋体" w:cs="宋体" w:eastAsia="宋体" w:hint="default"/>
                            <w:w w:val="101"/>
                            <w:sz w:val="18"/>
                            <w:szCs w:val="18"/>
                          </w:rPr>
                          <w:t>的</w:t>
                        </w:r>
                        <w:r>
                          <w:rPr>
                            <w:rFonts w:ascii="宋体" w:hAnsi="宋体" w:cs="宋体" w:eastAsia="宋体" w:hint="default"/>
                            <w:spacing w:val="-5"/>
                            <w:w w:val="101"/>
                            <w:sz w:val="18"/>
                            <w:szCs w:val="18"/>
                          </w:rPr>
                          <w:t>股</w:t>
                        </w:r>
                        <w:r>
                          <w:rPr>
                            <w:rFonts w:ascii="宋体" w:hAnsi="宋体" w:cs="宋体" w:eastAsia="宋体" w:hint="default"/>
                            <w:w w:val="101"/>
                            <w:sz w:val="18"/>
                            <w:szCs w:val="18"/>
                          </w:rPr>
                          <w:t>票</w:t>
                        </w:r>
                        <w:r>
                          <w:rPr>
                            <w:rFonts w:ascii="宋体" w:hAnsi="宋体" w:cs="宋体" w:eastAsia="宋体" w:hint="default"/>
                            <w:spacing w:val="-5"/>
                            <w:w w:val="101"/>
                            <w:sz w:val="18"/>
                            <w:szCs w:val="18"/>
                          </w:rPr>
                          <w:t>期</w:t>
                        </w:r>
                        <w:r>
                          <w:rPr>
                            <w:rFonts w:ascii="宋体" w:hAnsi="宋体" w:cs="宋体" w:eastAsia="宋体" w:hint="default"/>
                            <w:w w:val="101"/>
                            <w:sz w:val="18"/>
                            <w:szCs w:val="18"/>
                          </w:rPr>
                          <w:t>权</w:t>
                        </w:r>
                        <w:r>
                          <w:rPr>
                            <w:rFonts w:ascii="宋体" w:hAnsi="宋体" w:cs="宋体" w:eastAsia="宋体" w:hint="default"/>
                            <w:spacing w:val="-5"/>
                            <w:w w:val="101"/>
                            <w:sz w:val="18"/>
                            <w:szCs w:val="18"/>
                          </w:rPr>
                          <w:t>的</w:t>
                        </w:r>
                        <w:r>
                          <w:rPr>
                            <w:rFonts w:ascii="宋体" w:hAnsi="宋体" w:cs="宋体" w:eastAsia="宋体" w:hint="default"/>
                            <w:w w:val="101"/>
                            <w:sz w:val="18"/>
                            <w:szCs w:val="18"/>
                          </w:rPr>
                          <w:t>有</w:t>
                        </w:r>
                        <w:r>
                          <w:rPr>
                            <w:rFonts w:ascii="宋体" w:hAnsi="宋体" w:cs="宋体" w:eastAsia="宋体" w:hint="default"/>
                            <w:spacing w:val="-5"/>
                            <w:w w:val="101"/>
                            <w:sz w:val="18"/>
                            <w:szCs w:val="18"/>
                          </w:rPr>
                          <w:t>效</w:t>
                        </w:r>
                        <w:r>
                          <w:rPr>
                            <w:rFonts w:ascii="宋体" w:hAnsi="宋体" w:cs="宋体" w:eastAsia="宋体" w:hint="default"/>
                            <w:w w:val="101"/>
                            <w:sz w:val="18"/>
                            <w:szCs w:val="18"/>
                          </w:rPr>
                          <w:t>期</w:t>
                        </w:r>
                        <w:r>
                          <w:rPr>
                            <w:rFonts w:ascii="宋体" w:hAnsi="宋体" w:cs="宋体" w:eastAsia="宋体" w:hint="default"/>
                            <w:spacing w:val="-5"/>
                            <w:w w:val="101"/>
                            <w:sz w:val="18"/>
                            <w:szCs w:val="18"/>
                          </w:rPr>
                          <w:t>为</w:t>
                        </w:r>
                        <w:r>
                          <w:rPr>
                            <w:rFonts w:ascii="宋体" w:hAnsi="宋体" w:cs="宋体" w:eastAsia="宋体" w:hint="default"/>
                            <w:w w:val="101"/>
                            <w:sz w:val="18"/>
                            <w:szCs w:val="18"/>
                          </w:rPr>
                          <w:t>自</w:t>
                        </w:r>
                        <w:r>
                          <w:rPr>
                            <w:rFonts w:ascii="宋体" w:hAnsi="宋体" w:cs="宋体" w:eastAsia="宋体" w:hint="default"/>
                            <w:spacing w:val="-5"/>
                            <w:w w:val="101"/>
                            <w:sz w:val="18"/>
                            <w:szCs w:val="18"/>
                          </w:rPr>
                          <w:t>股</w:t>
                        </w:r>
                        <w:r>
                          <w:rPr>
                            <w:rFonts w:ascii="宋体" w:hAnsi="宋体" w:cs="宋体" w:eastAsia="宋体" w:hint="default"/>
                            <w:w w:val="101"/>
                            <w:sz w:val="18"/>
                            <w:szCs w:val="18"/>
                          </w:rPr>
                          <w:t>票</w:t>
                        </w:r>
                        <w:r>
                          <w:rPr>
                            <w:rFonts w:ascii="宋体" w:hAnsi="宋体" w:cs="宋体" w:eastAsia="宋体" w:hint="default"/>
                            <w:sz w:val="18"/>
                            <w:szCs w:val="18"/>
                          </w:rPr>
                        </w:r>
                      </w:p>
                    </w:tc>
                  </w:tr>
                  <w:tr>
                    <w:trPr>
                      <w:trHeight w:val="317" w:hRule="exact"/>
                    </w:trPr>
                    <w:tc>
                      <w:tcPr>
                        <w:tcW w:w="5453" w:type="dxa"/>
                        <w:tcBorders>
                          <w:top w:val="nil" w:sz="6" w:space="0" w:color="auto"/>
                          <w:left w:val="single" w:sz="4" w:space="0" w:color="000000"/>
                          <w:bottom w:val="nil" w:sz="6" w:space="0" w:color="auto"/>
                          <w:right w:val="single" w:sz="4" w:space="0" w:color="000000"/>
                        </w:tcBorders>
                        <w:shd w:val="clear" w:color="auto" w:fill="D2D2D2"/>
                      </w:tcPr>
                      <w:p>
                        <w:pPr/>
                      </w:p>
                    </w:tc>
                    <w:tc>
                      <w:tcPr>
                        <w:tcW w:w="411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期权授予日（</w:t>
                        </w:r>
                        <w:r>
                          <w:rPr>
                            <w:rFonts w:ascii="Times New Roman" w:hAnsi="Times New Roman" w:cs="Times New Roman" w:eastAsia="Times New Roman" w:hint="default"/>
                            <w:spacing w:val="-3"/>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9"/>
                            <w:sz w:val="18"/>
                            <w:szCs w:val="18"/>
                          </w:rPr>
                          <w:t> </w:t>
                        </w:r>
                        <w:r>
                          <w:rPr>
                            <w:rFonts w:ascii="宋体" w:hAnsi="宋体" w:cs="宋体" w:eastAsia="宋体" w:hint="default"/>
                            <w:spacing w:val="-5"/>
                            <w:sz w:val="18"/>
                            <w:szCs w:val="18"/>
                          </w:rPr>
                          <w:t>日）起三年。在可行权</w:t>
                        </w:r>
                      </w:p>
                    </w:tc>
                  </w:tr>
                  <w:tr>
                    <w:trPr>
                      <w:trHeight w:val="313" w:hRule="exact"/>
                    </w:trPr>
                    <w:tc>
                      <w:tcPr>
                        <w:tcW w:w="5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41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6"/>
                            <w:sz w:val="18"/>
                            <w:szCs w:val="18"/>
                          </w:rPr>
                          <w:t>日内，若达到本计划规定的行权条件，授予的股票期</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after="0"/>
        <w:jc w:val="right"/>
        <w:rPr>
          <w:rFonts w:ascii="宋体" w:hAnsi="宋体" w:cs="宋体" w:eastAsia="宋体" w:hint="default"/>
          <w:sz w:val="18"/>
          <w:szCs w:val="18"/>
        </w:rPr>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5453"/>
        <w:gridCol w:w="4114"/>
      </w:tblGrid>
      <w:tr>
        <w:trPr>
          <w:trHeight w:val="672" w:hRule="exact"/>
        </w:trPr>
        <w:tc>
          <w:tcPr>
            <w:tcW w:w="5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权自授予日（</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日）起满</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个月后，</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激励对象应在未来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个月内分两期行权。</w:t>
            </w:r>
          </w:p>
        </w:tc>
      </w:tr>
      <w:tr>
        <w:trPr>
          <w:trHeight w:val="403" w:hRule="exact"/>
        </w:trPr>
        <w:tc>
          <w:tcPr>
            <w:tcW w:w="5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335" w:lineRule="exact"/>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240" w:lineRule="auto"/>
        <w:ind w:left="575" w:right="0"/>
        <w:jc w:val="left"/>
      </w:pPr>
      <w:r>
        <w:rPr/>
        <w:t>√ 适用 □</w:t>
      </w:r>
      <w:r>
        <w:rPr>
          <w:spacing w:val="3"/>
        </w:rPr>
        <w:t> </w:t>
      </w:r>
      <w:r>
        <w:rPr/>
        <w:t>不适用</w:t>
      </w:r>
    </w:p>
    <w:p>
      <w:pPr>
        <w:spacing w:line="240" w:lineRule="auto" w:before="0"/>
        <w:rPr>
          <w:rFonts w:ascii="宋体" w:hAnsi="宋体" w:cs="宋体" w:eastAsia="宋体" w:hint="default"/>
          <w:sz w:val="10"/>
          <w:szCs w:val="10"/>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before="46"/>
        <w:ind w:left="0" w:right="151" w:firstLine="0"/>
        <w:jc w:val="right"/>
        <w:rPr>
          <w:rFonts w:ascii="宋体" w:hAnsi="宋体" w:cs="宋体" w:eastAsia="宋体" w:hint="default"/>
          <w:sz w:val="18"/>
          <w:szCs w:val="18"/>
        </w:rPr>
      </w:pPr>
      <w:r>
        <w:rPr/>
        <w:pict>
          <v:shape style="position:absolute;margin-left:56.400002pt;margin-top:-47.668278pt;width:479.05pt;height:179.05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82"/>
                    <w:gridCol w:w="4584"/>
                  </w:tblGrid>
                  <w:tr>
                    <w:trPr>
                      <w:trHeight w:val="357" w:hRule="exact"/>
                    </w:trPr>
                    <w:tc>
                      <w:tcPr>
                        <w:tcW w:w="4982" w:type="dxa"/>
                        <w:tcBorders>
                          <w:top w:val="single" w:sz="4" w:space="0" w:color="000000"/>
                          <w:left w:val="single" w:sz="4" w:space="0" w:color="000000"/>
                          <w:bottom w:val="nil" w:sz="6" w:space="0" w:color="auto"/>
                          <w:right w:val="single" w:sz="4" w:space="0" w:color="000000"/>
                        </w:tcBorders>
                        <w:shd w:val="clear" w:color="auto" w:fill="D2D2D2"/>
                      </w:tcPr>
                      <w:p>
                        <w:pPr/>
                      </w:p>
                    </w:tc>
                    <w:tc>
                      <w:tcPr>
                        <w:tcW w:w="45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对于授予职工的股份，其公允价值按公司股份的市场价格</w:t>
                        </w:r>
                      </w:p>
                    </w:tc>
                  </w:tr>
                  <w:tr>
                    <w:trPr>
                      <w:trHeight w:val="624" w:hRule="exact"/>
                    </w:trPr>
                    <w:tc>
                      <w:tcPr>
                        <w:tcW w:w="49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授予日权益工具公允价值的确定方法</w:t>
                        </w:r>
                      </w:p>
                    </w:tc>
                    <w:tc>
                      <w:tcPr>
                        <w:tcW w:w="4584" w:type="dxa"/>
                        <w:tcBorders>
                          <w:top w:val="nil" w:sz="6" w:space="0" w:color="auto"/>
                          <w:left w:val="single" w:sz="4" w:space="0" w:color="000000"/>
                          <w:bottom w:val="nil" w:sz="6" w:space="0" w:color="auto"/>
                          <w:right w:val="single" w:sz="4" w:space="0" w:color="000000"/>
                        </w:tcBorders>
                      </w:tcPr>
                      <w:p>
                        <w:pPr>
                          <w:pStyle w:val="TableParagraph"/>
                          <w:spacing w:line="316" w:lineRule="auto" w:before="9"/>
                          <w:ind w:left="23" w:right="17"/>
                          <w:jc w:val="left"/>
                          <w:rPr>
                            <w:rFonts w:ascii="宋体" w:hAnsi="宋体" w:cs="宋体" w:eastAsia="宋体" w:hint="default"/>
                            <w:sz w:val="18"/>
                            <w:szCs w:val="18"/>
                          </w:rPr>
                        </w:pPr>
                        <w:r>
                          <w:rPr>
                            <w:rFonts w:ascii="宋体" w:hAnsi="宋体" w:cs="宋体" w:eastAsia="宋体" w:hint="default"/>
                            <w:spacing w:val="-3"/>
                            <w:sz w:val="18"/>
                            <w:szCs w:val="18"/>
                          </w:rPr>
                          <w:t>计量，同时考虑授予股份所依据的条款和条件（不包括市</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z w:val="18"/>
                            <w:szCs w:val="18"/>
                          </w:rPr>
                          <w:t>场条</w:t>
                        </w:r>
                        <w:r>
                          <w:rPr>
                            <w:rFonts w:ascii="宋体" w:hAnsi="宋体" w:cs="宋体" w:eastAsia="宋体" w:hint="default"/>
                            <w:spacing w:val="75"/>
                            <w:sz w:val="18"/>
                            <w:szCs w:val="18"/>
                          </w:rPr>
                          <w:t> </w:t>
                        </w:r>
                        <w:r>
                          <w:rPr>
                            <w:rFonts w:ascii="宋体" w:hAnsi="宋体" w:cs="宋体" w:eastAsia="宋体" w:hint="default"/>
                            <w:spacing w:val="-6"/>
                            <w:sz w:val="18"/>
                            <w:szCs w:val="18"/>
                          </w:rPr>
                          <w:t>件之外的可行权条件）进行调整。对于授予职工的股</w:t>
                        </w:r>
                      </w:p>
                    </w:tc>
                  </w:tr>
                  <w:tr>
                    <w:trPr>
                      <w:trHeight w:val="359" w:hRule="exact"/>
                    </w:trPr>
                    <w:tc>
                      <w:tcPr>
                        <w:tcW w:w="4982" w:type="dxa"/>
                        <w:tcBorders>
                          <w:top w:val="nil" w:sz="6" w:space="0" w:color="auto"/>
                          <w:left w:val="single" w:sz="4" w:space="0" w:color="000000"/>
                          <w:bottom w:val="single" w:sz="4" w:space="0" w:color="000000"/>
                          <w:right w:val="single" w:sz="4" w:space="0" w:color="000000"/>
                        </w:tcBorders>
                        <w:shd w:val="clear" w:color="auto" w:fill="D2D2D2"/>
                      </w:tcPr>
                      <w:p>
                        <w:pPr/>
                      </w:p>
                    </w:tc>
                    <w:tc>
                      <w:tcPr>
                        <w:tcW w:w="45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pacing w:val="-5"/>
                            <w:sz w:val="18"/>
                            <w:szCs w:val="18"/>
                          </w:rPr>
                          <w:t>票期权，通过期权定价模型估计所授予的期权的公允价值</w:t>
                        </w:r>
                      </w:p>
                    </w:tc>
                  </w:tr>
                  <w:tr>
                    <w:trPr>
                      <w:trHeight w:val="357" w:hRule="exact"/>
                    </w:trPr>
                    <w:tc>
                      <w:tcPr>
                        <w:tcW w:w="4982" w:type="dxa"/>
                        <w:tcBorders>
                          <w:top w:val="single" w:sz="4" w:space="0" w:color="000000"/>
                          <w:left w:val="single" w:sz="4" w:space="0" w:color="000000"/>
                          <w:bottom w:val="nil" w:sz="6" w:space="0" w:color="auto"/>
                          <w:right w:val="single" w:sz="4" w:space="0" w:color="000000"/>
                        </w:tcBorders>
                        <w:shd w:val="clear" w:color="auto" w:fill="D2D2D2"/>
                      </w:tcPr>
                      <w:p>
                        <w:pPr/>
                      </w:p>
                    </w:tc>
                    <w:tc>
                      <w:tcPr>
                        <w:tcW w:w="45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在等待期内每个资产负债表日，公司根据最新取得的可行</w:t>
                        </w:r>
                      </w:p>
                    </w:tc>
                  </w:tr>
                  <w:tr>
                    <w:trPr>
                      <w:trHeight w:val="314" w:hRule="exact"/>
                    </w:trPr>
                    <w:tc>
                      <w:tcPr>
                        <w:tcW w:w="49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pacing w:val="-3"/>
                            <w:sz w:val="18"/>
                            <w:szCs w:val="18"/>
                          </w:rPr>
                          <w:t>可行权权益工具数量的确定依据</w:t>
                        </w:r>
                      </w:p>
                    </w:tc>
                    <w:tc>
                      <w:tcPr>
                        <w:tcW w:w="458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pacing w:val="-3"/>
                            <w:sz w:val="18"/>
                            <w:szCs w:val="18"/>
                          </w:rPr>
                          <w:t>权职工人数变动等后续信息做出最佳估计，修正预计可行</w:t>
                        </w:r>
                      </w:p>
                    </w:tc>
                  </w:tr>
                  <w:tr>
                    <w:trPr>
                      <w:trHeight w:val="356" w:hRule="exact"/>
                    </w:trPr>
                    <w:tc>
                      <w:tcPr>
                        <w:tcW w:w="4982" w:type="dxa"/>
                        <w:tcBorders>
                          <w:top w:val="nil" w:sz="6" w:space="0" w:color="auto"/>
                          <w:left w:val="single" w:sz="4" w:space="0" w:color="000000"/>
                          <w:bottom w:val="single" w:sz="4" w:space="0" w:color="000000"/>
                          <w:right w:val="single" w:sz="4" w:space="0" w:color="000000"/>
                        </w:tcBorders>
                        <w:shd w:val="clear" w:color="auto" w:fill="D2D2D2"/>
                      </w:tcPr>
                      <w:p>
                        <w:pPr/>
                      </w:p>
                    </w:tc>
                    <w:tc>
                      <w:tcPr>
                        <w:tcW w:w="45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权的权益工具数量。</w:t>
                        </w:r>
                      </w:p>
                    </w:tc>
                  </w:tr>
                  <w:tr>
                    <w:trPr>
                      <w:trHeight w:val="398"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本期估计与上期估计有重大差异的原因</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以权益结算的股份支付计入资本公积的累计金额</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5,316,250.00</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本期以权益结算的股份支付确认的费用总额</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3,241,250.00</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BodyText"/>
        <w:spacing w:line="240" w:lineRule="auto" w:before="36"/>
        <w:ind w:left="575" w:right="0"/>
        <w:jc w:val="left"/>
      </w:pPr>
      <w:r>
        <w:rPr>
          <w:spacing w:val="-3"/>
        </w:rPr>
        <w:t>其他说明：经测算，预计股票期权与限制性股票激励成本合计 </w:t>
      </w:r>
      <w:r>
        <w:rPr>
          <w:rFonts w:ascii="Arial" w:hAnsi="Arial" w:cs="Arial" w:eastAsia="Arial" w:hint="default"/>
          <w:spacing w:val="-3"/>
        </w:rPr>
        <w:t>1184.25</w:t>
      </w:r>
      <w:r>
        <w:rPr>
          <w:rFonts w:ascii="Arial" w:hAnsi="Arial" w:cs="Arial" w:eastAsia="Arial" w:hint="default"/>
          <w:spacing w:val="-9"/>
        </w:rPr>
        <w:t> </w:t>
      </w:r>
      <w:r>
        <w:rPr/>
        <w:t>万元，报告期公司摊销该项费</w:t>
      </w:r>
    </w:p>
    <w:p>
      <w:pPr>
        <w:pStyle w:val="BodyText"/>
        <w:spacing w:line="240" w:lineRule="auto" w:before="176"/>
        <w:ind w:right="0"/>
        <w:jc w:val="left"/>
      </w:pPr>
      <w:r>
        <w:rPr/>
        <w:t>用为</w:t>
      </w:r>
      <w:r>
        <w:rPr>
          <w:spacing w:val="-47"/>
        </w:rPr>
        <w:t> </w:t>
      </w:r>
      <w:r>
        <w:rPr>
          <w:rFonts w:ascii="Arial" w:hAnsi="Arial" w:cs="Arial" w:eastAsia="Arial" w:hint="default"/>
          <w:spacing w:val="-3"/>
        </w:rPr>
        <w:t>324.13 </w:t>
      </w:r>
      <w:r>
        <w:rPr/>
        <w:t>万元。</w:t>
      </w:r>
    </w:p>
    <w:p>
      <w:pPr>
        <w:spacing w:line="240" w:lineRule="auto" w:before="7"/>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240" w:lineRule="auto"/>
        <w:ind w:left="575" w:right="0"/>
        <w:jc w:val="left"/>
      </w:pPr>
      <w:r>
        <w:rPr/>
        <w:t>□ 适用 √</w:t>
      </w:r>
      <w:r>
        <w:rPr>
          <w:spacing w:val="3"/>
        </w:rPr>
        <w:t> </w:t>
      </w:r>
      <w:r>
        <w:rPr/>
        <w:t>不适用</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240" w:lineRule="auto"/>
        <w:ind w:left="575" w:right="0"/>
        <w:jc w:val="left"/>
      </w:pPr>
      <w:r>
        <w:rPr>
          <w:w w:val="100"/>
        </w:rPr>
        <w:t>无</w:t>
      </w:r>
    </w:p>
    <w:p>
      <w:pPr>
        <w:spacing w:line="240" w:lineRule="auto" w:before="4"/>
        <w:rPr>
          <w:rFonts w:ascii="宋体" w:hAnsi="宋体" w:cs="宋体" w:eastAsia="宋体" w:hint="default"/>
          <w:sz w:val="23"/>
          <w:szCs w:val="23"/>
        </w:rPr>
      </w:pPr>
    </w:p>
    <w:p>
      <w:pPr>
        <w:pStyle w:val="Heading3"/>
        <w:spacing w:line="240" w:lineRule="auto"/>
        <w:ind w:right="0"/>
        <w:jc w:val="left"/>
        <w:rPr>
          <w:b w:val="0"/>
          <w:bCs w:val="0"/>
        </w:rPr>
      </w:pPr>
      <w:r>
        <w:rPr/>
        <w:t>十一、承诺及或有事项</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388" w:lineRule="auto"/>
        <w:ind w:right="137" w:firstLine="422"/>
        <w:jc w:val="left"/>
      </w:pPr>
      <w:r>
        <w:rPr/>
        <w:t>资产负债表日存在的重要承诺：截至</w:t>
      </w:r>
      <w:r>
        <w:rPr>
          <w:spacing w:val="-53"/>
        </w:rPr>
        <w:t> </w:t>
      </w:r>
      <w:r>
        <w:rPr>
          <w:rFonts w:ascii="Arial" w:hAnsi="Arial" w:cs="Arial" w:eastAsia="Arial" w:hint="default"/>
          <w:spacing w:val="-3"/>
        </w:rPr>
        <w:t>2014</w:t>
      </w:r>
      <w:r>
        <w:rPr>
          <w:rFonts w:ascii="Arial" w:hAnsi="Arial" w:cs="Arial" w:eastAsia="Arial" w:hint="default"/>
          <w:spacing w:val="-9"/>
        </w:rPr>
        <w:t> </w:t>
      </w:r>
      <w:r>
        <w:rPr/>
        <w:t>年</w:t>
      </w:r>
      <w:r>
        <w:rPr>
          <w:spacing w:val="-53"/>
        </w:rPr>
        <w:t> </w:t>
      </w:r>
      <w:r>
        <w:rPr>
          <w:rFonts w:ascii="Arial" w:hAnsi="Arial" w:cs="Arial" w:eastAsia="Arial" w:hint="default"/>
        </w:rPr>
        <w:t>12</w:t>
      </w:r>
      <w:r>
        <w:rPr>
          <w:rFonts w:ascii="Arial" w:hAnsi="Arial" w:cs="Arial" w:eastAsia="Arial" w:hint="default"/>
          <w:spacing w:val="-8"/>
        </w:rPr>
        <w:t> </w:t>
      </w:r>
      <w:r>
        <w:rPr/>
        <w:t>月</w:t>
      </w:r>
      <w:r>
        <w:rPr>
          <w:spacing w:val="-53"/>
        </w:rPr>
        <w:t> </w:t>
      </w:r>
      <w:r>
        <w:rPr>
          <w:rFonts w:ascii="Arial" w:hAnsi="Arial" w:cs="Arial" w:eastAsia="Arial" w:hint="default"/>
        </w:rPr>
        <w:t>31</w:t>
      </w:r>
      <w:r>
        <w:rPr>
          <w:rFonts w:ascii="Arial" w:hAnsi="Arial" w:cs="Arial" w:eastAsia="Arial" w:hint="default"/>
          <w:spacing w:val="-8"/>
        </w:rPr>
        <w:t> </w:t>
      </w:r>
      <w:r>
        <w:rPr/>
        <w:t>日，本公司未发生影响本财务报表阅读和理解</w:t>
      </w:r>
      <w:r>
        <w:rPr>
          <w:w w:val="100"/>
        </w:rPr>
        <w:t> </w:t>
      </w:r>
      <w:r>
        <w:rPr/>
        <w:t>的重大承诺事项。</w:t>
      </w:r>
    </w:p>
    <w:p>
      <w:pPr>
        <w:spacing w:after="0" w:line="388" w:lineRule="auto"/>
        <w:jc w:val="left"/>
        <w:sectPr>
          <w:pgSz w:w="11900" w:h="16840"/>
          <w:pgMar w:header="742" w:footer="984" w:top="1060" w:bottom="1180" w:left="980" w:right="980"/>
        </w:sectPr>
      </w:pPr>
    </w:p>
    <w:p>
      <w:pPr>
        <w:spacing w:line="240" w:lineRule="auto" w:before="4"/>
        <w:rPr>
          <w:rFonts w:ascii="宋体" w:hAnsi="宋体" w:cs="宋体" w:eastAsia="宋体" w:hint="default"/>
          <w:sz w:val="25"/>
          <w:szCs w:val="25"/>
        </w:rPr>
      </w:pPr>
    </w:p>
    <w:p>
      <w:pPr>
        <w:pStyle w:val="Heading4"/>
        <w:spacing w:line="335" w:lineRule="exact"/>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240" w:lineRule="auto"/>
        <w:ind w:left="575" w:right="0"/>
        <w:jc w:val="left"/>
      </w:pPr>
      <w:r>
        <w:rPr/>
        <w:t>截至</w:t>
      </w:r>
      <w:r>
        <w:rPr>
          <w:spacing w:val="-51"/>
        </w:rPr>
        <w:t> </w:t>
      </w:r>
      <w:r>
        <w:rPr>
          <w:rFonts w:ascii="Arial" w:hAnsi="Arial" w:cs="Arial" w:eastAsia="Arial" w:hint="default"/>
          <w:spacing w:val="-3"/>
        </w:rPr>
        <w:t>2014</w:t>
      </w:r>
      <w:r>
        <w:rPr>
          <w:rFonts w:ascii="Arial" w:hAnsi="Arial" w:cs="Arial" w:eastAsia="Arial" w:hint="default"/>
          <w:spacing w:val="-7"/>
        </w:rPr>
        <w:t> </w:t>
      </w:r>
      <w:r>
        <w:rPr/>
        <w:t>年</w:t>
      </w:r>
      <w:r>
        <w:rPr>
          <w:spacing w:val="-51"/>
        </w:rPr>
        <w:t> </w:t>
      </w:r>
      <w:r>
        <w:rPr>
          <w:rFonts w:ascii="Arial" w:hAnsi="Arial" w:cs="Arial" w:eastAsia="Arial" w:hint="default"/>
        </w:rPr>
        <w:t>12</w:t>
      </w:r>
      <w:r>
        <w:rPr>
          <w:rFonts w:ascii="Arial" w:hAnsi="Arial" w:cs="Arial" w:eastAsia="Arial" w:hint="default"/>
          <w:spacing w:val="-6"/>
        </w:rPr>
        <w:t> </w:t>
      </w:r>
      <w:r>
        <w:rPr/>
        <w:t>月</w:t>
      </w:r>
      <w:r>
        <w:rPr>
          <w:spacing w:val="-51"/>
        </w:rPr>
        <w:t> </w:t>
      </w:r>
      <w:r>
        <w:rPr>
          <w:rFonts w:ascii="Arial" w:hAnsi="Arial" w:cs="Arial" w:eastAsia="Arial" w:hint="default"/>
        </w:rPr>
        <w:t>31</w:t>
      </w:r>
      <w:r>
        <w:rPr>
          <w:rFonts w:ascii="Arial" w:hAnsi="Arial" w:cs="Arial" w:eastAsia="Arial" w:hint="default"/>
          <w:spacing w:val="-6"/>
        </w:rPr>
        <w:t> </w:t>
      </w:r>
      <w:r>
        <w:rPr/>
        <w:t>日，本公司未发生影响本财务报表阅读和理解的重大或有事项。</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240" w:lineRule="auto"/>
        <w:ind w:left="575" w:right="0"/>
        <w:jc w:val="left"/>
      </w:pPr>
      <w:r>
        <w:rPr/>
        <w:t>公司不存在需要披露的重要或有事项。</w:t>
      </w:r>
    </w:p>
    <w:p>
      <w:pPr>
        <w:spacing w:line="240" w:lineRule="auto" w:before="9"/>
        <w:rPr>
          <w:rFonts w:ascii="宋体" w:hAnsi="宋体" w:cs="宋体" w:eastAsia="宋体" w:hint="default"/>
          <w:sz w:val="23"/>
          <w:szCs w:val="23"/>
        </w:rPr>
      </w:pPr>
    </w:p>
    <w:p>
      <w:pPr>
        <w:pStyle w:val="Heading3"/>
        <w:spacing w:line="240" w:lineRule="auto"/>
        <w:ind w:right="0"/>
        <w:jc w:val="left"/>
        <w:rPr>
          <w:b w:val="0"/>
          <w:bCs w:val="0"/>
        </w:rPr>
      </w:pPr>
      <w:r>
        <w:rPr/>
        <w:t>十二、资产负债表日后事项</w:t>
      </w:r>
      <w:r>
        <w:rPr>
          <w:b w:val="0"/>
          <w:bCs w:val="0"/>
        </w:rPr>
      </w:r>
    </w:p>
    <w:p>
      <w:pPr>
        <w:spacing w:line="240" w:lineRule="auto" w:before="5"/>
        <w:rPr>
          <w:rFonts w:ascii="Microsoft JhengHei" w:hAnsi="Microsoft JhengHei" w:cs="Microsoft JhengHei" w:eastAsia="Microsoft JhengHei" w:hint="default"/>
          <w:b/>
          <w:bCs/>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2"/>
        <w:gridCol w:w="4584"/>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拟分配的利润或股利</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16,458,100.00</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经审议批准宣告发放的利润或股利</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16,458,100.00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23"/>
        <w:ind w:right="0"/>
        <w:jc w:val="left"/>
        <w:rPr>
          <w:b w:val="0"/>
          <w:bCs w:val="0"/>
        </w:rPr>
      </w:pPr>
      <w:r>
        <w:rPr/>
        <w:t>十三、母公司财务报表主要项目注释</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0"/>
        <w:gridCol w:w="773"/>
        <w:gridCol w:w="763"/>
        <w:gridCol w:w="763"/>
        <w:gridCol w:w="763"/>
        <w:gridCol w:w="787"/>
        <w:gridCol w:w="653"/>
        <w:gridCol w:w="763"/>
        <w:gridCol w:w="816"/>
        <w:gridCol w:w="931"/>
        <w:gridCol w:w="931"/>
      </w:tblGrid>
      <w:tr>
        <w:trPr>
          <w:trHeight w:val="398" w:hRule="exact"/>
        </w:trPr>
        <w:tc>
          <w:tcPr>
            <w:tcW w:w="1610" w:type="dxa"/>
            <w:vMerge w:val="restart"/>
            <w:tcBorders>
              <w:top w:val="single" w:sz="4" w:space="0" w:color="000000"/>
              <w:left w:val="single" w:sz="4" w:space="0" w:color="000000"/>
              <w:right w:val="single" w:sz="4" w:space="0" w:color="000000"/>
            </w:tcBorders>
            <w:shd w:val="clear" w:color="auto" w:fill="D2D2D2"/>
          </w:tcPr>
          <w:p>
            <w:pPr/>
          </w:p>
        </w:tc>
        <w:tc>
          <w:tcPr>
            <w:tcW w:w="385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9" w:hRule="exact"/>
        </w:trPr>
        <w:tc>
          <w:tcPr>
            <w:tcW w:w="1610" w:type="dxa"/>
            <w:vMerge/>
            <w:tcBorders>
              <w:left w:val="single" w:sz="4" w:space="0" w:color="000000"/>
              <w:bottom w:val="nil" w:sz="6" w:space="0" w:color="auto"/>
              <w:right w:val="single" w:sz="4" w:space="0" w:color="000000"/>
            </w:tcBorders>
            <w:shd w:val="clear" w:color="auto" w:fill="D2D2D2"/>
          </w:tcPr>
          <w:p>
            <w:pPr/>
          </w:p>
        </w:tc>
        <w:tc>
          <w:tcPr>
            <w:tcW w:w="153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0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9" w:hRule="exact"/>
        </w:trPr>
        <w:tc>
          <w:tcPr>
            <w:tcW w:w="16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6"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7"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5" w:hRule="exact"/>
        </w:trPr>
        <w:tc>
          <w:tcPr>
            <w:tcW w:w="1610" w:type="dxa"/>
            <w:vMerge/>
            <w:tcBorders>
              <w:left w:val="single" w:sz="4" w:space="0" w:color="000000"/>
              <w:bottom w:val="single" w:sz="6" w:space="0" w:color="FFFFFF"/>
              <w:right w:val="single" w:sz="4" w:space="0" w:color="000000"/>
            </w:tcBorders>
            <w:shd w:val="clear" w:color="auto" w:fill="D2D2D2"/>
          </w:tcPr>
          <w:p>
            <w:pPr/>
          </w:p>
        </w:tc>
        <w:tc>
          <w:tcPr>
            <w:tcW w:w="773" w:type="dxa"/>
            <w:tcBorders>
              <w:top w:val="single" w:sz="4" w:space="0" w:color="000000"/>
              <w:left w:val="single" w:sz="4" w:space="0" w:color="000000"/>
              <w:bottom w:val="single" w:sz="6"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6"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6"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3" w:right="103" w:hanging="178"/>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81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610" w:type="dxa"/>
            <w:vMerge w:val="restart"/>
            <w:tcBorders>
              <w:top w:val="single" w:sz="6" w:space="0" w:color="FFFFFF"/>
              <w:left w:val="single" w:sz="4" w:space="0" w:color="000000"/>
              <w:right w:val="single" w:sz="4" w:space="0" w:color="000000"/>
            </w:tcBorders>
            <w:shd w:val="clear" w:color="auto" w:fill="D2D2D2"/>
          </w:tcPr>
          <w:p>
            <w:pPr/>
          </w:p>
        </w:tc>
        <w:tc>
          <w:tcPr>
            <w:tcW w:w="773" w:type="dxa"/>
            <w:vMerge w:val="restart"/>
            <w:tcBorders>
              <w:top w:val="single" w:sz="6" w:space="0" w:color="FFFFFF"/>
              <w:left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val="restart"/>
            <w:tcBorders>
              <w:top w:val="single" w:sz="6" w:space="0" w:color="FFFFFF"/>
              <w:left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6" w:space="0" w:color="FFFFFF"/>
              <w:left w:val="single" w:sz="4" w:space="0" w:color="000000"/>
              <w:right w:val="single" w:sz="4" w:space="0" w:color="000000"/>
            </w:tcBorders>
            <w:shd w:val="clear" w:color="auto" w:fill="D2D2D2"/>
          </w:tcPr>
          <w:p>
            <w:pPr>
              <w:pStyle w:val="TableParagraph"/>
              <w:spacing w:line="240" w:lineRule="auto" w:before="49"/>
              <w:ind w:left="19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7"/>
              <w:ind w:left="13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7"/>
              <w:ind w:left="19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7"/>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7"/>
              <w:ind w:left="9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1610" w:type="dxa"/>
            <w:vMerge/>
            <w:tcBorders>
              <w:left w:val="single" w:sz="4" w:space="0" w:color="000000"/>
              <w:right w:val="single" w:sz="4" w:space="0" w:color="000000"/>
            </w:tcBorders>
            <w:shd w:val="clear" w:color="auto" w:fill="D2D2D2"/>
          </w:tcPr>
          <w:p>
            <w:pPr/>
          </w:p>
        </w:tc>
        <w:tc>
          <w:tcPr>
            <w:tcW w:w="77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816" w:type="dxa"/>
            <w:vMerge/>
            <w:tcBorders>
              <w:left w:val="single" w:sz="4" w:space="0" w:color="000000"/>
              <w:bottom w:val="nil" w:sz="6" w:space="0" w:color="auto"/>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2" w:hRule="exact"/>
        </w:trPr>
        <w:tc>
          <w:tcPr>
            <w:tcW w:w="1610" w:type="dxa"/>
            <w:vMerge/>
            <w:tcBorders>
              <w:left w:val="single" w:sz="4" w:space="0" w:color="000000"/>
              <w:bottom w:val="single" w:sz="4" w:space="0" w:color="000000"/>
              <w:right w:val="single" w:sz="4" w:space="0" w:color="000000"/>
            </w:tcBorders>
            <w:shd w:val="clear" w:color="auto" w:fill="D2D2D2"/>
          </w:tcPr>
          <w:p>
            <w:pPr/>
          </w:p>
        </w:tc>
        <w:tc>
          <w:tcPr>
            <w:tcW w:w="77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81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2" w:hRule="exact"/>
        </w:trPr>
        <w:tc>
          <w:tcPr>
            <w:tcW w:w="1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42"/>
              <w:jc w:val="both"/>
              <w:rPr>
                <w:rFonts w:ascii="宋体" w:hAnsi="宋体" w:cs="宋体" w:eastAsia="宋体" w:hint="default"/>
                <w:sz w:val="18"/>
                <w:szCs w:val="18"/>
              </w:rPr>
            </w:pPr>
            <w:r>
              <w:rPr>
                <w:rFonts w:ascii="宋体" w:hAnsi="宋体" w:cs="宋体" w:eastAsia="宋体" w:hint="default"/>
                <w:spacing w:val="-2"/>
                <w:sz w:val="18"/>
                <w:szCs w:val="18"/>
              </w:rPr>
              <w:t>单项金额重大并单</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独计提坏账准备的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应收账款</w:t>
            </w:r>
          </w:p>
        </w:tc>
        <w:tc>
          <w:tcPr>
            <w:tcW w:w="7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733,317.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0.73%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733,317.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733,317</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.69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0.96%</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586,654.1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146,663.54</w:t>
            </w:r>
          </w:p>
        </w:tc>
      </w:tr>
      <w:tr>
        <w:trPr>
          <w:trHeight w:val="1027" w:hRule="exact"/>
        </w:trPr>
        <w:tc>
          <w:tcPr>
            <w:tcW w:w="1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42"/>
              <w:jc w:val="both"/>
              <w:rPr>
                <w:rFonts w:ascii="宋体" w:hAnsi="宋体" w:cs="宋体" w:eastAsia="宋体" w:hint="default"/>
                <w:sz w:val="18"/>
                <w:szCs w:val="18"/>
              </w:rPr>
            </w:pPr>
            <w:r>
              <w:rPr>
                <w:rFonts w:ascii="宋体" w:hAnsi="宋体" w:cs="宋体" w:eastAsia="宋体" w:hint="default"/>
                <w:spacing w:val="-2"/>
                <w:sz w:val="18"/>
                <w:szCs w:val="18"/>
              </w:rPr>
              <w:t>按信用风险特征组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合计提坏账准备的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应收账款</w:t>
            </w:r>
          </w:p>
        </w:tc>
        <w:tc>
          <w:tcPr>
            <w:tcW w:w="7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98,779,9</w:t>
            </w:r>
          </w:p>
          <w:p>
            <w:pPr>
              <w:pStyle w:val="TableParagraph"/>
              <w:spacing w:line="240" w:lineRule="auto" w:before="110"/>
              <w:ind w:left="321" w:right="0"/>
              <w:jc w:val="left"/>
              <w:rPr>
                <w:rFonts w:ascii="Times New Roman" w:hAnsi="Times New Roman" w:cs="Times New Roman" w:eastAsia="Times New Roman" w:hint="default"/>
                <w:sz w:val="18"/>
                <w:szCs w:val="18"/>
              </w:rPr>
            </w:pPr>
            <w:r>
              <w:rPr>
                <w:rFonts w:ascii="Times New Roman"/>
                <w:sz w:val="18"/>
              </w:rPr>
              <w:t>53.21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98.67%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5,106,97</w:t>
            </w:r>
          </w:p>
          <w:p>
            <w:pPr>
              <w:pStyle w:val="TableParagraph"/>
              <w:spacing w:line="240" w:lineRule="auto" w:before="110"/>
              <w:ind w:left="407" w:right="0"/>
              <w:jc w:val="left"/>
              <w:rPr>
                <w:rFonts w:ascii="Times New Roman" w:hAnsi="Times New Roman" w:cs="Times New Roman" w:eastAsia="Times New Roman" w:hint="default"/>
                <w:sz w:val="18"/>
                <w:szCs w:val="18"/>
              </w:rPr>
            </w:pPr>
            <w:r>
              <w:rPr>
                <w:rFonts w:ascii="Times New Roman"/>
                <w:sz w:val="18"/>
              </w:rPr>
              <w:t>1.85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5.33%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93,672,98</w:t>
            </w:r>
          </w:p>
          <w:p>
            <w:pPr>
              <w:pStyle w:val="TableParagraph"/>
              <w:spacing w:line="240" w:lineRule="auto" w:before="110"/>
              <w:ind w:left="436" w:right="0"/>
              <w:jc w:val="left"/>
              <w:rPr>
                <w:rFonts w:ascii="Times New Roman" w:hAnsi="Times New Roman" w:cs="Times New Roman" w:eastAsia="Times New Roman" w:hint="default"/>
                <w:sz w:val="18"/>
                <w:szCs w:val="18"/>
              </w:rPr>
            </w:pPr>
            <w:r>
              <w:rPr>
                <w:rFonts w:ascii="Times New Roman"/>
                <w:sz w:val="18"/>
              </w:rPr>
              <w:t>1.36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75,120,</w:t>
            </w:r>
          </w:p>
          <w:p>
            <w:pPr>
              <w:pStyle w:val="TableParagraph"/>
              <w:spacing w:line="240" w:lineRule="auto" w:before="110"/>
              <w:ind w:left="124" w:right="0"/>
              <w:jc w:val="left"/>
              <w:rPr>
                <w:rFonts w:ascii="Times New Roman" w:hAnsi="Times New Roman" w:cs="Times New Roman" w:eastAsia="Times New Roman" w:hint="default"/>
                <w:sz w:val="18"/>
                <w:szCs w:val="18"/>
              </w:rPr>
            </w:pPr>
            <w:r>
              <w:rPr>
                <w:rFonts w:ascii="Times New Roman"/>
                <w:sz w:val="18"/>
              </w:rPr>
              <w:t>333.53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98.73%</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4,122,811</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sz w:val="18"/>
              </w:rPr>
              <w:t>.77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5.58%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70,997,521.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76</w:t>
            </w:r>
          </w:p>
        </w:tc>
      </w:tr>
      <w:tr>
        <w:trPr>
          <w:trHeight w:val="1027" w:hRule="exact"/>
        </w:trPr>
        <w:tc>
          <w:tcPr>
            <w:tcW w:w="1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42"/>
              <w:jc w:val="both"/>
              <w:rPr>
                <w:rFonts w:ascii="宋体" w:hAnsi="宋体" w:cs="宋体" w:eastAsia="宋体" w:hint="default"/>
                <w:sz w:val="18"/>
                <w:szCs w:val="18"/>
              </w:rPr>
            </w:pPr>
            <w:r>
              <w:rPr>
                <w:rFonts w:ascii="宋体" w:hAnsi="宋体" w:cs="宋体" w:eastAsia="宋体" w:hint="default"/>
                <w:spacing w:val="-2"/>
                <w:sz w:val="18"/>
                <w:szCs w:val="18"/>
              </w:rPr>
              <w:t>单项金额不重大但</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单独计提坏账准备</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的应收账款</w:t>
            </w:r>
          </w:p>
        </w:tc>
        <w:tc>
          <w:tcPr>
            <w:tcW w:w="7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593,845.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0.60%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593,845.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234,995</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0.31%</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234,995.0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5"/>
              <w:ind w:left="100" w:right="0"/>
              <w:jc w:val="left"/>
              <w:rPr>
                <w:rFonts w:ascii="Times New Roman" w:hAnsi="Times New Roman" w:cs="Times New Roman" w:eastAsia="Times New Roman" w:hint="default"/>
                <w:sz w:val="18"/>
                <w:szCs w:val="18"/>
              </w:rPr>
            </w:pPr>
            <w:r>
              <w:rPr>
                <w:rFonts w:ascii="Times New Roman"/>
                <w:sz w:val="18"/>
              </w:rPr>
              <w:t>100,107,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0" w:right="0"/>
              <w:jc w:val="left"/>
              <w:rPr>
                <w:rFonts w:ascii="Times New Roman" w:hAnsi="Times New Roman" w:cs="Times New Roman" w:eastAsia="Times New Roman" w:hint="default"/>
                <w:sz w:val="18"/>
                <w:szCs w:val="18"/>
              </w:rPr>
            </w:pPr>
            <w:r>
              <w:rPr>
                <w:rFonts w:ascii="Times New Roman"/>
                <w:sz w:val="18"/>
              </w:rPr>
              <w:t>6,434,13</w:t>
            </w: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2"/>
              <w:jc w:val="right"/>
              <w:rPr>
                <w:rFonts w:ascii="Times New Roman" w:hAnsi="Times New Roman" w:cs="Times New Roman" w:eastAsia="Times New Roman" w:hint="default"/>
                <w:sz w:val="18"/>
                <w:szCs w:val="18"/>
              </w:rPr>
            </w:pPr>
            <w:r>
              <w:rPr>
                <w:rFonts w:ascii="Times New Roman"/>
                <w:spacing w:val="-1"/>
                <w:sz w:val="18"/>
              </w:rPr>
              <w:t>93,672,98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86" w:right="0"/>
              <w:jc w:val="left"/>
              <w:rPr>
                <w:rFonts w:ascii="Times New Roman" w:hAnsi="Times New Roman" w:cs="Times New Roman" w:eastAsia="Times New Roman" w:hint="default"/>
                <w:sz w:val="18"/>
                <w:szCs w:val="18"/>
              </w:rPr>
            </w:pPr>
            <w:r>
              <w:rPr>
                <w:rFonts w:ascii="Times New Roman"/>
                <w:sz w:val="18"/>
              </w:rPr>
              <w:t>76,088,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100.00%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2" w:right="0"/>
              <w:jc w:val="left"/>
              <w:rPr>
                <w:rFonts w:ascii="Times New Roman" w:hAnsi="Times New Roman" w:cs="Times New Roman" w:eastAsia="Times New Roman" w:hint="default"/>
                <w:sz w:val="18"/>
                <w:szCs w:val="18"/>
              </w:rPr>
            </w:pPr>
            <w:r>
              <w:rPr>
                <w:rFonts w:ascii="Times New Roman"/>
                <w:sz w:val="18"/>
              </w:rPr>
              <w:t>4,944,460</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1" w:right="0"/>
              <w:jc w:val="center"/>
              <w:rPr>
                <w:rFonts w:ascii="Times New Roman" w:hAnsi="Times New Roman" w:cs="Times New Roman" w:eastAsia="Times New Roman" w:hint="default"/>
                <w:sz w:val="18"/>
                <w:szCs w:val="18"/>
              </w:rPr>
            </w:pPr>
            <w:r>
              <w:rPr>
                <w:rFonts w:ascii="Times New Roman"/>
                <w:sz w:val="18"/>
              </w:rPr>
              <w:t>71,144,185.</w:t>
            </w:r>
          </w:p>
        </w:tc>
      </w:tr>
    </w:tbl>
    <w:p>
      <w:pPr>
        <w:spacing w:after="0" w:line="240" w:lineRule="auto"/>
        <w:jc w:val="center"/>
        <w:rPr>
          <w:rFonts w:ascii="Times New Roman" w:hAnsi="Times New Roman" w:cs="Times New Roman" w:eastAsia="Times New Roman" w:hint="default"/>
          <w:sz w:val="18"/>
          <w:szCs w:val="18"/>
        </w:rPr>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2"/>
        <w:gridCol w:w="763"/>
        <w:gridCol w:w="763"/>
        <w:gridCol w:w="763"/>
        <w:gridCol w:w="763"/>
        <w:gridCol w:w="787"/>
        <w:gridCol w:w="653"/>
        <w:gridCol w:w="763"/>
        <w:gridCol w:w="816"/>
        <w:gridCol w:w="931"/>
        <w:gridCol w:w="931"/>
      </w:tblGrid>
      <w:tr>
        <w:trPr>
          <w:trHeight w:val="360" w:hRule="exact"/>
        </w:trPr>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5" w:right="0"/>
              <w:jc w:val="left"/>
              <w:rPr>
                <w:rFonts w:ascii="Times New Roman" w:hAnsi="Times New Roman" w:cs="Times New Roman" w:eastAsia="Times New Roman" w:hint="default"/>
                <w:sz w:val="18"/>
                <w:szCs w:val="18"/>
              </w:rPr>
            </w:pPr>
            <w:r>
              <w:rPr>
                <w:rFonts w:ascii="Times New Roman"/>
                <w:sz w:val="18"/>
              </w:rPr>
              <w:t>115.90</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07" w:right="0"/>
              <w:jc w:val="left"/>
              <w:rPr>
                <w:rFonts w:ascii="Times New Roman" w:hAnsi="Times New Roman" w:cs="Times New Roman" w:eastAsia="Times New Roman" w:hint="default"/>
                <w:sz w:val="18"/>
                <w:szCs w:val="18"/>
              </w:rPr>
            </w:pPr>
            <w:r>
              <w:rPr>
                <w:rFonts w:ascii="Times New Roman"/>
                <w:sz w:val="18"/>
              </w:rPr>
              <w:t>4.54</w:t>
            </w: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36" w:right="0"/>
              <w:jc w:val="left"/>
              <w:rPr>
                <w:rFonts w:ascii="Times New Roman" w:hAnsi="Times New Roman" w:cs="Times New Roman" w:eastAsia="Times New Roman" w:hint="default"/>
                <w:sz w:val="18"/>
                <w:szCs w:val="18"/>
              </w:rPr>
            </w:pPr>
            <w:r>
              <w:rPr>
                <w:rFonts w:ascii="Times New Roman"/>
                <w:sz w:val="18"/>
              </w:rPr>
              <w:t>1.36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24" w:right="0"/>
              <w:jc w:val="left"/>
              <w:rPr>
                <w:rFonts w:ascii="Times New Roman" w:hAnsi="Times New Roman" w:cs="Times New Roman" w:eastAsia="Times New Roman" w:hint="default"/>
                <w:sz w:val="18"/>
                <w:szCs w:val="18"/>
              </w:rPr>
            </w:pPr>
            <w:r>
              <w:rPr>
                <w:rFonts w:ascii="Times New Roman"/>
                <w:sz w:val="18"/>
              </w:rPr>
              <w:t>646.22</w:t>
            </w:r>
          </w:p>
        </w:tc>
        <w:tc>
          <w:tcPr>
            <w:tcW w:w="76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2"/>
              <w:jc w:val="right"/>
              <w:rPr>
                <w:rFonts w:ascii="Times New Roman" w:hAnsi="Times New Roman" w:cs="Times New Roman" w:eastAsia="Times New Roman" w:hint="default"/>
                <w:sz w:val="18"/>
                <w:szCs w:val="18"/>
              </w:rPr>
            </w:pPr>
            <w:r>
              <w:rPr>
                <w:rFonts w:ascii="Times New Roman"/>
                <w:sz w:val="18"/>
              </w:rPr>
              <w:t>.92</w:t>
            </w: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18"/>
                <w:szCs w:val="18"/>
              </w:rPr>
            </w:pPr>
            <w:r>
              <w:rPr>
                <w:rFonts w:ascii="Times New Roman"/>
                <w:sz w:val="18"/>
              </w:rPr>
              <w:t>30</w:t>
            </w:r>
          </w:p>
        </w:tc>
      </w:tr>
    </w:tbl>
    <w:p>
      <w:pPr>
        <w:pStyle w:val="BodyText"/>
        <w:spacing w:line="240" w:lineRule="auto" w:before="66"/>
        <w:ind w:left="575" w:right="0"/>
        <w:jc w:val="left"/>
      </w:pPr>
      <w:r>
        <w:rPr/>
        <w:t>期末单项金额重大并单项计提坏账准备的应收账款：</w:t>
      </w:r>
    </w:p>
    <w:p>
      <w:pPr>
        <w:spacing w:line="240" w:lineRule="auto" w:before="12"/>
        <w:rPr>
          <w:rFonts w:ascii="宋体" w:hAnsi="宋体" w:cs="宋体" w:eastAsia="宋体" w:hint="default"/>
          <w:sz w:val="14"/>
          <w:szCs w:val="14"/>
        </w:rPr>
      </w:pPr>
    </w:p>
    <w:p>
      <w:pPr>
        <w:pStyle w:val="BodyText"/>
        <w:spacing w:line="240" w:lineRule="auto"/>
        <w:ind w:left="575" w:right="0"/>
        <w:jc w:val="left"/>
      </w:pPr>
      <w:r>
        <w:rPr/>
        <w:t>√ 适用 □</w:t>
      </w:r>
      <w:r>
        <w:rPr>
          <w:spacing w:val="3"/>
        </w:rPr>
        <w:t> </w:t>
      </w:r>
      <w:r>
        <w:rPr/>
        <w:t>不适用</w:t>
      </w:r>
    </w:p>
    <w:p>
      <w:pPr>
        <w:spacing w:line="240" w:lineRule="auto" w:before="0"/>
        <w:rPr>
          <w:rFonts w:ascii="宋体" w:hAnsi="宋体" w:cs="宋体" w:eastAsia="宋体" w:hint="default"/>
          <w:sz w:val="10"/>
          <w:szCs w:val="10"/>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92"/>
        <w:gridCol w:w="1838"/>
        <w:gridCol w:w="1915"/>
        <w:gridCol w:w="1910"/>
        <w:gridCol w:w="1915"/>
      </w:tblGrid>
      <w:tr>
        <w:trPr>
          <w:trHeight w:val="403" w:hRule="exact"/>
        </w:trPr>
        <w:tc>
          <w:tcPr>
            <w:tcW w:w="1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pacing w:val="-3"/>
                <w:sz w:val="18"/>
                <w:szCs w:val="18"/>
              </w:rPr>
              <w:t>应收账款（按单位）</w:t>
            </w:r>
          </w:p>
        </w:tc>
        <w:tc>
          <w:tcPr>
            <w:tcW w:w="757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92"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398"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F</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733,317.69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733,317.69</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33" w:right="0"/>
              <w:jc w:val="lef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该公司进入清算程序</w:t>
            </w:r>
          </w:p>
        </w:tc>
      </w:tr>
      <w:tr>
        <w:trPr>
          <w:trHeight w:val="403" w:hRule="exact"/>
        </w:trPr>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733,317.69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733,317.69</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66"/>
        <w:ind w:left="575" w:right="0"/>
        <w:jc w:val="left"/>
      </w:pPr>
      <w:r>
        <w:rPr/>
        <w:t>组合中，按账龄分析法计提坏账准备的应收账款：</w:t>
      </w:r>
    </w:p>
    <w:p>
      <w:pPr>
        <w:spacing w:line="240" w:lineRule="auto" w:before="12"/>
        <w:rPr>
          <w:rFonts w:ascii="宋体" w:hAnsi="宋体" w:cs="宋体" w:eastAsia="宋体" w:hint="default"/>
          <w:sz w:val="14"/>
          <w:szCs w:val="14"/>
        </w:rPr>
      </w:pPr>
    </w:p>
    <w:p>
      <w:pPr>
        <w:pStyle w:val="BodyText"/>
        <w:spacing w:line="240" w:lineRule="auto"/>
        <w:ind w:left="575" w:right="0"/>
        <w:jc w:val="left"/>
      </w:pPr>
      <w:r>
        <w:rPr/>
        <w:t>√ 适用 □</w:t>
      </w:r>
      <w:r>
        <w:rPr>
          <w:spacing w:val="3"/>
        </w:rPr>
        <w:t> </w:t>
      </w:r>
      <w:r>
        <w:rPr/>
        <w:t>不适用</w:t>
      </w:r>
    </w:p>
    <w:p>
      <w:pPr>
        <w:spacing w:line="240" w:lineRule="auto" w:before="0"/>
        <w:rPr>
          <w:rFonts w:ascii="宋体" w:hAnsi="宋体" w:cs="宋体" w:eastAsia="宋体" w:hint="default"/>
          <w:sz w:val="10"/>
          <w:szCs w:val="10"/>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91"/>
        <w:gridCol w:w="2299"/>
        <w:gridCol w:w="2386"/>
        <w:gridCol w:w="2390"/>
      </w:tblGrid>
      <w:tr>
        <w:trPr>
          <w:trHeight w:val="403" w:hRule="exact"/>
        </w:trPr>
        <w:tc>
          <w:tcPr>
            <w:tcW w:w="24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2491" w:type="dxa"/>
            <w:vMerge/>
            <w:tcBorders>
              <w:left w:val="single" w:sz="4" w:space="0" w:color="000000"/>
              <w:bottom w:val="single" w:sz="4" w:space="0" w:color="000000"/>
              <w:right w:val="single" w:sz="4" w:space="0" w:color="000000"/>
            </w:tcBorders>
            <w:shd w:val="clear" w:color="auto" w:fill="D2D2D2"/>
          </w:tcPr>
          <w:p>
            <w:pPr/>
          </w:p>
        </w:tc>
        <w:tc>
          <w:tcPr>
            <w:tcW w:w="2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6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年以内分项</w:t>
            </w:r>
          </w:p>
        </w:tc>
      </w:tr>
      <w:tr>
        <w:trPr>
          <w:trHeight w:val="403" w:hRule="exact"/>
        </w:trPr>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95,160,948.81</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4,758,047.45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5.00%</w:t>
            </w:r>
          </w:p>
        </w:tc>
      </w:tr>
      <w:tr>
        <w:trPr>
          <w:trHeight w:val="403" w:hRule="exact"/>
        </w:trPr>
        <w:tc>
          <w:tcPr>
            <w:tcW w:w="2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年以内小计</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95,160,948.81</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4,758,047.45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5.00%</w:t>
            </w:r>
          </w:p>
        </w:tc>
      </w:tr>
      <w:tr>
        <w:trPr>
          <w:trHeight w:val="398" w:hRule="exact"/>
        </w:trPr>
        <w:tc>
          <w:tcPr>
            <w:tcW w:w="2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270,292.00</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54,058.40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20.00%</w:t>
            </w:r>
          </w:p>
        </w:tc>
      </w:tr>
      <w:tr>
        <w:trPr>
          <w:trHeight w:val="403" w:hRule="exact"/>
        </w:trPr>
        <w:tc>
          <w:tcPr>
            <w:tcW w:w="2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2,520.00</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1,260.00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3" w:hRule="exact"/>
        </w:trPr>
        <w:tc>
          <w:tcPr>
            <w:tcW w:w="2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293,606.00</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293,606.00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3" w:hRule="exact"/>
        </w:trPr>
        <w:tc>
          <w:tcPr>
            <w:tcW w:w="2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9,572,736.81</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5,106,971.85</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405" w:lineRule="auto" w:before="66"/>
        <w:ind w:left="575" w:right="0"/>
        <w:jc w:val="left"/>
      </w:pPr>
      <w:r>
        <w:rPr/>
        <w:t>确定该组合依据的说明：</w:t>
      </w:r>
      <w:r>
        <w:rPr>
          <w:spacing w:val="-103"/>
        </w:rPr>
        <w:t> </w:t>
      </w:r>
      <w:r>
        <w:rPr>
          <w:spacing w:val="-103"/>
        </w:rPr>
      </w:r>
      <w:r>
        <w:rPr>
          <w:spacing w:val="2"/>
        </w:rPr>
        <w:t>按账龄组合计提坏账准备的应收账款确定依据未单项计提坏账准备的应收款项按账龄划分为若干组</w:t>
      </w:r>
    </w:p>
    <w:p>
      <w:pPr>
        <w:pStyle w:val="BodyText"/>
        <w:spacing w:line="408" w:lineRule="auto" w:before="50"/>
        <w:ind w:right="142"/>
        <w:jc w:val="both"/>
      </w:pPr>
      <w:r>
        <w:rPr>
          <w:spacing w:val="-2"/>
        </w:rPr>
        <w:t>合，根据以前年度与之相同或相类似的、具有类似信用风险特征的应收账款组合的实际损失率为基础，结</w:t>
      </w:r>
      <w:r>
        <w:rPr>
          <w:spacing w:val="-35"/>
        </w:rPr>
        <w:t> </w:t>
      </w:r>
      <w:r>
        <w:rPr>
          <w:spacing w:val="-35"/>
        </w:rPr>
      </w:r>
      <w:r>
        <w:rPr>
          <w:spacing w:val="-2"/>
          <w:w w:val="100"/>
        </w:rPr>
        <w:t>合现时情况确定各项组合计提坏账准备的比例，据此计算应计提的坏账准备。（含单项金额重大、单独进</w:t>
      </w:r>
      <w:r>
        <w:rPr>
          <w:spacing w:val="-98"/>
          <w:w w:val="100"/>
        </w:rPr>
        <w:t> </w:t>
      </w:r>
      <w:r>
        <w:rPr>
          <w:spacing w:val="-98"/>
          <w:w w:val="100"/>
        </w:rPr>
      </w:r>
      <w:r>
        <w:rPr>
          <w:spacing w:val="-8"/>
          <w:w w:val="100"/>
        </w:rPr>
        <w:t>行减值测试未发生减值的应收账款）；</w:t>
      </w:r>
    </w:p>
    <w:p>
      <w:pPr>
        <w:pStyle w:val="BodyText"/>
        <w:spacing w:line="240" w:lineRule="auto" w:before="43"/>
        <w:ind w:left="575" w:right="0"/>
        <w:jc w:val="left"/>
      </w:pPr>
      <w:r>
        <w:rPr/>
        <w:t>组合中，采用余额百分比法计提坏账准备的应收账款：</w:t>
      </w:r>
    </w:p>
    <w:p>
      <w:pPr>
        <w:spacing w:line="240" w:lineRule="auto" w:before="12"/>
        <w:rPr>
          <w:rFonts w:ascii="宋体" w:hAnsi="宋体" w:cs="宋体" w:eastAsia="宋体" w:hint="default"/>
          <w:sz w:val="14"/>
          <w:szCs w:val="14"/>
        </w:rPr>
      </w:pPr>
    </w:p>
    <w:p>
      <w:pPr>
        <w:pStyle w:val="BodyText"/>
        <w:spacing w:line="405" w:lineRule="auto"/>
        <w:ind w:left="575" w:right="4422"/>
        <w:jc w:val="left"/>
      </w:pPr>
      <w:r>
        <w:rPr/>
        <w:t>□ 适用 √ 不适用</w:t>
      </w:r>
      <w:r>
        <w:rPr>
          <w:spacing w:val="-102"/>
        </w:rPr>
        <w:t> </w:t>
      </w:r>
      <w:r>
        <w:rPr>
          <w:spacing w:val="-102"/>
        </w:rPr>
      </w:r>
      <w:r>
        <w:rPr>
          <w:spacing w:val="-2"/>
        </w:rPr>
        <w:t>组合中，采用其他方法计提坏账准备的应收账款：</w:t>
      </w:r>
    </w:p>
    <w:p>
      <w:pPr>
        <w:pStyle w:val="BodyText"/>
        <w:spacing w:line="408" w:lineRule="auto" w:before="50"/>
        <w:ind w:right="141" w:firstLine="422"/>
        <w:jc w:val="both"/>
      </w:pPr>
      <w:r>
        <w:rPr>
          <w:spacing w:val="-2"/>
        </w:rPr>
        <w:t>按款项性质的组合：未单项计提坏账准备的应收账款按款项性质特征划分为若干组合，根据以前年度</w:t>
      </w:r>
      <w:r>
        <w:rPr>
          <w:w w:val="100"/>
        </w:rPr>
        <w:t> </w:t>
      </w:r>
      <w:r>
        <w:rPr>
          <w:spacing w:val="-2"/>
        </w:rPr>
        <w:t>与之相同或相类似的、具有类似信用风险特征的应收账款组合的实际损失率为基础，结合现时情况确定各</w:t>
      </w:r>
      <w:r>
        <w:rPr>
          <w:spacing w:val="-35"/>
        </w:rPr>
        <w:t> </w:t>
      </w:r>
      <w:r>
        <w:rPr>
          <w:spacing w:val="-35"/>
        </w:rPr>
      </w:r>
      <w:r>
        <w:rPr>
          <w:spacing w:val="-2"/>
          <w:w w:val="100"/>
        </w:rPr>
        <w:t>项组合计提坏账准备的比例，据此计算应计提的坏账准备。（含单项金额重大、单独进行减值测试未发生</w:t>
      </w:r>
      <w:r>
        <w:rPr>
          <w:spacing w:val="-99"/>
          <w:w w:val="100"/>
        </w:rPr>
        <w:t> </w:t>
      </w:r>
      <w:r>
        <w:rPr>
          <w:spacing w:val="-99"/>
          <w:w w:val="100"/>
        </w:rPr>
      </w:r>
      <w:r>
        <w:rPr/>
        <w:t>减值，包含在具有类似信用风险特征的应收款项组合中进行减值测试的应收账款）</w:t>
      </w:r>
    </w:p>
    <w:p>
      <w:pPr>
        <w:spacing w:after="0" w:line="408" w:lineRule="auto"/>
        <w:jc w:val="both"/>
        <w:sectPr>
          <w:pgSz w:w="11900" w:h="16840"/>
          <w:pgMar w:header="742" w:footer="984" w:top="1060" w:bottom="1180" w:left="980" w:right="980"/>
        </w:sectPr>
      </w:pPr>
    </w:p>
    <w:p>
      <w:pPr>
        <w:spacing w:line="240" w:lineRule="auto" w:before="0"/>
        <w:rPr>
          <w:rFonts w:ascii="宋体" w:hAnsi="宋体" w:cs="宋体" w:eastAsia="宋体" w:hint="default"/>
          <w:sz w:val="20"/>
          <w:szCs w:val="20"/>
        </w:rPr>
      </w:pPr>
    </w:p>
    <w:p>
      <w:pPr>
        <w:pStyle w:val="BodyText"/>
        <w:spacing w:line="240" w:lineRule="auto" w:before="182"/>
        <w:ind w:left="655" w:right="0"/>
        <w:jc w:val="left"/>
      </w:pPr>
      <w:r>
        <w:rPr/>
        <w:t>子公司：嘉兴安诺其化工有限公司应收款项期末余额</w:t>
      </w:r>
      <w:r>
        <w:rPr>
          <w:spacing w:val="-57"/>
        </w:rPr>
        <w:t> </w:t>
      </w:r>
      <w:r>
        <w:rPr>
          <w:rFonts w:ascii="Arial" w:hAnsi="Arial" w:cs="Arial" w:eastAsia="Arial" w:hint="default"/>
        </w:rPr>
        <w:t>3,052,586.40</w:t>
      </w:r>
      <w:r>
        <w:rPr>
          <w:rFonts w:ascii="Arial" w:hAnsi="Arial" w:cs="Arial" w:eastAsia="Arial" w:hint="default"/>
          <w:spacing w:val="-9"/>
        </w:rPr>
        <w:t> </w:t>
      </w:r>
      <w:r>
        <w:rPr/>
        <w:t>元，坏帐准备期末余额</w:t>
      </w:r>
      <w:r>
        <w:rPr>
          <w:spacing w:val="-51"/>
        </w:rPr>
        <w:t> </w:t>
      </w:r>
      <w:r>
        <w:rPr>
          <w:rFonts w:ascii="Arial" w:hAnsi="Arial" w:cs="Arial" w:eastAsia="Arial" w:hint="default"/>
        </w:rPr>
        <w:t>0</w:t>
      </w:r>
      <w:r>
        <w:rPr>
          <w:rFonts w:ascii="Arial" w:hAnsi="Arial" w:cs="Arial" w:eastAsia="Arial" w:hint="default"/>
          <w:spacing w:val="-8"/>
        </w:rPr>
        <w:t> </w:t>
      </w:r>
      <w:r>
        <w:rPr>
          <w:spacing w:val="-3"/>
        </w:rPr>
        <w:t>元。</w:t>
      </w:r>
    </w:p>
    <w:p>
      <w:pPr>
        <w:spacing w:line="240" w:lineRule="auto" w:before="3"/>
        <w:rPr>
          <w:rFonts w:ascii="宋体" w:hAnsi="宋体" w:cs="宋体" w:eastAsia="宋体" w:hint="default"/>
          <w:sz w:val="25"/>
          <w:szCs w:val="25"/>
        </w:rPr>
      </w:pPr>
    </w:p>
    <w:p>
      <w:pPr>
        <w:pStyle w:val="Heading4"/>
        <w:spacing w:line="240" w:lineRule="auto"/>
        <w:ind w:left="232" w:right="2896"/>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386" w:lineRule="auto"/>
        <w:ind w:left="655" w:right="1923"/>
        <w:jc w:val="left"/>
      </w:pPr>
      <w:r>
        <w:rPr/>
        <w:t>本期计提坏账准备金额</w:t>
      </w:r>
      <w:r>
        <w:rPr>
          <w:spacing w:val="-55"/>
        </w:rPr>
        <w:t> </w:t>
      </w:r>
      <w:r>
        <w:rPr>
          <w:rFonts w:ascii="Arial" w:hAnsi="Arial" w:cs="Arial" w:eastAsia="Arial" w:hint="default"/>
        </w:rPr>
        <w:t>6,434,134.54</w:t>
      </w:r>
      <w:r>
        <w:rPr>
          <w:rFonts w:ascii="Arial" w:hAnsi="Arial" w:cs="Arial" w:eastAsia="Arial" w:hint="default"/>
          <w:spacing w:val="-11"/>
        </w:rPr>
        <w:t> </w:t>
      </w:r>
      <w:r>
        <w:rPr/>
        <w:t>元；本期收回或转回坏账准备金额</w:t>
      </w:r>
      <w:r>
        <w:rPr>
          <w:spacing w:val="-54"/>
        </w:rPr>
        <w:t> </w:t>
      </w:r>
      <w:r>
        <w:rPr>
          <w:rFonts w:ascii="Arial" w:hAnsi="Arial" w:cs="Arial" w:eastAsia="Arial" w:hint="default"/>
        </w:rPr>
        <w:t>0.00</w:t>
      </w:r>
      <w:r>
        <w:rPr>
          <w:rFonts w:ascii="Arial" w:hAnsi="Arial" w:cs="Arial" w:eastAsia="Arial" w:hint="default"/>
          <w:spacing w:val="-10"/>
        </w:rPr>
        <w:t> </w:t>
      </w:r>
      <w:r>
        <w:rPr/>
        <w:t>元。</w:t>
      </w:r>
      <w:r>
        <w:rPr>
          <w:w w:val="100"/>
        </w:rPr>
        <w:t> </w:t>
      </w:r>
      <w:r>
        <w:rPr/>
        <w:t>其中本期坏账准备收回或转回金额重要的：</w:t>
      </w:r>
    </w:p>
    <w:p>
      <w:pPr>
        <w:spacing w:before="54"/>
        <w:ind w:left="0" w:right="22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240" w:type="dxa"/>
        <w:tblLayout w:type="fixed"/>
        <w:tblCellMar>
          <w:top w:w="0" w:type="dxa"/>
          <w:left w:w="0" w:type="dxa"/>
          <w:bottom w:w="0" w:type="dxa"/>
          <w:right w:w="0" w:type="dxa"/>
        </w:tblCellMar>
        <w:tblLook w:val="01E0"/>
      </w:tblPr>
      <w:tblGrid>
        <w:gridCol w:w="3346"/>
        <w:gridCol w:w="3122"/>
        <w:gridCol w:w="3074"/>
      </w:tblGrid>
      <w:tr>
        <w:trPr>
          <w:trHeight w:val="403" w:hRule="exact"/>
        </w:trPr>
        <w:tc>
          <w:tcPr>
            <w:tcW w:w="3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3" w:right="0"/>
              <w:jc w:val="left"/>
              <w:rPr>
                <w:rFonts w:ascii="宋体" w:hAnsi="宋体" w:cs="宋体" w:eastAsia="宋体" w:hint="default"/>
                <w:sz w:val="18"/>
                <w:szCs w:val="18"/>
              </w:rPr>
            </w:pPr>
            <w:r>
              <w:rPr>
                <w:rFonts w:ascii="宋体" w:hAnsi="宋体" w:cs="宋体" w:eastAsia="宋体" w:hint="default"/>
                <w:spacing w:val="-3"/>
                <w:sz w:val="18"/>
                <w:szCs w:val="18"/>
              </w:rPr>
              <w:t>收回或转回金额</w:t>
            </w:r>
          </w:p>
        </w:tc>
        <w:tc>
          <w:tcPr>
            <w:tcW w:w="3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3" w:hRule="exact"/>
        </w:trPr>
        <w:tc>
          <w:tcPr>
            <w:tcW w:w="3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22" w:type="dxa"/>
            <w:tcBorders>
              <w:top w:val="single" w:sz="4" w:space="0" w:color="000000"/>
              <w:left w:val="single" w:sz="13" w:space="0" w:color="D2D2D2"/>
              <w:bottom w:val="single" w:sz="4" w:space="0" w:color="000000"/>
              <w:right w:val="single" w:sz="8" w:space="0" w:color="D2D2D2"/>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z w:val="18"/>
              </w:rPr>
              <w:t>0.00</w:t>
            </w:r>
          </w:p>
        </w:tc>
        <w:tc>
          <w:tcPr>
            <w:tcW w:w="3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335" w:lineRule="exact"/>
        <w:ind w:left="232" w:right="2896"/>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22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227" w:type="dxa"/>
        <w:tblLayout w:type="fixed"/>
        <w:tblCellMar>
          <w:top w:w="0" w:type="dxa"/>
          <w:left w:w="0" w:type="dxa"/>
          <w:bottom w:w="0" w:type="dxa"/>
          <w:right w:w="0" w:type="dxa"/>
        </w:tblCellMar>
        <w:tblLook w:val="01E0"/>
      </w:tblPr>
      <w:tblGrid>
        <w:gridCol w:w="4982"/>
        <w:gridCol w:w="4584"/>
      </w:tblGrid>
      <w:tr>
        <w:trPr>
          <w:trHeight w:val="398"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核销客户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家</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109,463.00</w:t>
            </w:r>
          </w:p>
        </w:tc>
      </w:tr>
    </w:tbl>
    <w:p>
      <w:pPr>
        <w:pStyle w:val="BodyText"/>
        <w:spacing w:line="240" w:lineRule="auto" w:before="66"/>
        <w:ind w:left="655" w:right="2896"/>
        <w:jc w:val="left"/>
      </w:pPr>
      <w:r>
        <w:rPr/>
        <w:t>其中重要的应收账款核销情况：</w:t>
      </w:r>
    </w:p>
    <w:p>
      <w:pPr>
        <w:spacing w:line="240" w:lineRule="auto" w:before="5"/>
        <w:rPr>
          <w:rFonts w:ascii="宋体" w:hAnsi="宋体" w:cs="宋体" w:eastAsia="宋体" w:hint="default"/>
          <w:sz w:val="10"/>
          <w:szCs w:val="10"/>
        </w:rPr>
      </w:pPr>
    </w:p>
    <w:p>
      <w:pPr>
        <w:spacing w:before="46"/>
        <w:ind w:left="0" w:right="22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227" w:type="dxa"/>
        <w:tblLayout w:type="fixed"/>
        <w:tblCellMar>
          <w:top w:w="0" w:type="dxa"/>
          <w:left w:w="0" w:type="dxa"/>
          <w:bottom w:w="0" w:type="dxa"/>
          <w:right w:w="0" w:type="dxa"/>
        </w:tblCellMar>
        <w:tblLook w:val="01E0"/>
      </w:tblPr>
      <w:tblGrid>
        <w:gridCol w:w="1685"/>
        <w:gridCol w:w="1550"/>
        <w:gridCol w:w="1550"/>
        <w:gridCol w:w="1555"/>
        <w:gridCol w:w="1625"/>
        <w:gridCol w:w="1594"/>
      </w:tblGrid>
      <w:tr>
        <w:trPr>
          <w:trHeight w:val="159" w:hRule="exact"/>
        </w:trPr>
        <w:tc>
          <w:tcPr>
            <w:tcW w:w="16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520" w:right="67" w:hanging="452"/>
              <w:jc w:val="left"/>
              <w:rPr>
                <w:rFonts w:ascii="宋体" w:hAnsi="宋体" w:cs="宋体" w:eastAsia="宋体" w:hint="default"/>
                <w:sz w:val="18"/>
                <w:szCs w:val="18"/>
              </w:rPr>
            </w:pPr>
            <w:r>
              <w:rPr>
                <w:rFonts w:ascii="宋体" w:hAnsi="宋体" w:cs="宋体" w:eastAsia="宋体" w:hint="default"/>
                <w:spacing w:val="-2"/>
                <w:sz w:val="18"/>
                <w:szCs w:val="18"/>
              </w:rPr>
              <w:t>款项是否由关联交</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易产生</w:t>
            </w:r>
          </w:p>
        </w:tc>
      </w:tr>
      <w:tr>
        <w:trPr>
          <w:trHeight w:val="394" w:hRule="exact"/>
        </w:trPr>
        <w:tc>
          <w:tcPr>
            <w:tcW w:w="16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7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应收账款性质</w:t>
            </w:r>
          </w:p>
        </w:tc>
        <w:tc>
          <w:tcPr>
            <w:tcW w:w="15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08"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6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14"/>
              <w:jc w:val="center"/>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594" w:type="dxa"/>
            <w:vMerge/>
            <w:tcBorders>
              <w:left w:val="single" w:sz="4" w:space="0" w:color="000000"/>
              <w:right w:val="single" w:sz="4" w:space="0" w:color="000000"/>
            </w:tcBorders>
            <w:shd w:val="clear" w:color="auto" w:fill="D2D2D2"/>
          </w:tcPr>
          <w:p>
            <w:pPr/>
          </w:p>
        </w:tc>
      </w:tr>
      <w:tr>
        <w:trPr>
          <w:trHeight w:val="158" w:hRule="exact"/>
        </w:trPr>
        <w:tc>
          <w:tcPr>
            <w:tcW w:w="16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w:t>
            </w:r>
          </w:p>
        </w:tc>
        <w:tc>
          <w:tcPr>
            <w:tcW w:w="1550" w:type="dxa"/>
            <w:tcBorders>
              <w:top w:val="single" w:sz="4" w:space="0" w:color="000000"/>
              <w:left w:val="single" w:sz="8" w:space="0" w:color="D2D2D2"/>
              <w:bottom w:val="single" w:sz="4" w:space="0" w:color="000000"/>
              <w:right w:val="single" w:sz="10" w:space="0" w:color="D2D2D2"/>
            </w:tcBorders>
          </w:tcPr>
          <w:p>
            <w:pPr>
              <w:pStyle w:val="TableParagraph"/>
              <w:spacing w:line="240" w:lineRule="auto" w:before="100"/>
              <w:ind w:right="10"/>
              <w:jc w:val="right"/>
              <w:rPr>
                <w:rFonts w:ascii="Times New Roman" w:hAnsi="Times New Roman" w:cs="Times New Roman" w:eastAsia="Times New Roman" w:hint="default"/>
                <w:sz w:val="18"/>
                <w:szCs w:val="18"/>
              </w:rPr>
            </w:pPr>
            <w:r>
              <w:rPr>
                <w:rFonts w:ascii="Times New Roman"/>
                <w:sz w:val="18"/>
              </w:rPr>
              <w:t>0.00</w:t>
            </w: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3" w:right="0"/>
              <w:jc w:val="center"/>
              <w:rPr>
                <w:rFonts w:ascii="Times New Roman" w:hAnsi="Times New Roman" w:cs="Times New Roman" w:eastAsia="Times New Roman" w:hint="default"/>
                <w:sz w:val="18"/>
                <w:szCs w:val="18"/>
              </w:rPr>
            </w:pPr>
            <w:r>
              <w:rPr>
                <w:rFonts w:ascii="Times New Roman"/>
                <w:sz w:val="18"/>
              </w:rPr>
              <w:t>--</w:t>
            </w:r>
          </w:p>
        </w:tc>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16"/>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335" w:lineRule="exact"/>
        <w:ind w:left="232" w:right="2896"/>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17" w:type="dxa"/>
        <w:tblLayout w:type="fixed"/>
        <w:tblCellMar>
          <w:top w:w="0" w:type="dxa"/>
          <w:left w:w="0" w:type="dxa"/>
          <w:bottom w:w="0" w:type="dxa"/>
          <w:right w:w="0" w:type="dxa"/>
        </w:tblCellMar>
        <w:tblLook w:val="01E0"/>
      </w:tblPr>
      <w:tblGrid>
        <w:gridCol w:w="1642"/>
        <w:gridCol w:w="1642"/>
        <w:gridCol w:w="1642"/>
        <w:gridCol w:w="1642"/>
        <w:gridCol w:w="1646"/>
        <w:gridCol w:w="1642"/>
      </w:tblGrid>
      <w:tr>
        <w:trPr>
          <w:trHeight w:val="715" w:hRule="exact"/>
        </w:trPr>
        <w:tc>
          <w:tcPr>
            <w:tcW w:w="164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4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64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4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46"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21" w:lineRule="auto" w:before="53"/>
              <w:ind w:left="470" w:right="185" w:hanging="284"/>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占应收账款总额</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的比例</w:t>
            </w:r>
            <w:r>
              <w:rPr>
                <w:rFonts w:ascii="Times New Roman" w:hAnsi="Times New Roman" w:cs="Times New Roman" w:eastAsia="Times New Roman" w:hint="default"/>
                <w:sz w:val="18"/>
                <w:szCs w:val="18"/>
              </w:rPr>
              <w:t>%</w:t>
            </w:r>
          </w:p>
        </w:tc>
        <w:tc>
          <w:tcPr>
            <w:tcW w:w="164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A</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8,200,000.00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8.19</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z w:val="18"/>
              </w:rPr>
              <w:t>410,000.00</w:t>
            </w:r>
          </w:p>
        </w:tc>
      </w:tr>
      <w:tr>
        <w:trPr>
          <w:trHeight w:val="398"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B</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7,863,400.00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7.85</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z w:val="18"/>
              </w:rPr>
              <w:t>393,170.00</w:t>
            </w:r>
          </w:p>
        </w:tc>
      </w:tr>
      <w:tr>
        <w:trPr>
          <w:trHeight w:val="403"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C</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4,152,166.12</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4.15</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z w:val="18"/>
              </w:rPr>
              <w:t>207,608.31</w:t>
            </w:r>
          </w:p>
        </w:tc>
      </w:tr>
      <w:tr>
        <w:trPr>
          <w:trHeight w:val="403"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D</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3,052,586.40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3.05</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z w:val="18"/>
              </w:rPr>
              <w:t>152,629.32</w:t>
            </w:r>
          </w:p>
        </w:tc>
      </w:tr>
      <w:tr>
        <w:trPr>
          <w:trHeight w:val="403" w:hRule="exact"/>
        </w:trPr>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E</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2,916,405.20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2.91</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z w:val="18"/>
              </w:rPr>
              <w:t>145,820.26</w:t>
            </w:r>
          </w:p>
        </w:tc>
      </w:tr>
      <w:tr>
        <w:trPr>
          <w:trHeight w:val="401" w:hRule="exact"/>
        </w:trPr>
        <w:tc>
          <w:tcPr>
            <w:tcW w:w="164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642" w:type="dxa"/>
            <w:tcBorders>
              <w:top w:val="single" w:sz="4" w:space="0" w:color="000000"/>
              <w:left w:val="single" w:sz="4" w:space="0" w:color="000000"/>
              <w:bottom w:val="single" w:sz="4" w:space="0" w:color="000000"/>
              <w:right w:val="single" w:sz="4" w:space="0" w:color="000000"/>
            </w:tcBorders>
            <w:shd w:val="clear" w:color="auto" w:fill="BFBFBF"/>
          </w:tcPr>
          <w:p>
            <w:pPr/>
          </w:p>
        </w:tc>
        <w:tc>
          <w:tcPr>
            <w:tcW w:w="164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26,184,557.72</w:t>
            </w:r>
          </w:p>
        </w:tc>
        <w:tc>
          <w:tcPr>
            <w:tcW w:w="1642" w:type="dxa"/>
            <w:tcBorders>
              <w:top w:val="single" w:sz="4" w:space="0" w:color="000000"/>
              <w:left w:val="single" w:sz="4" w:space="0" w:color="000000"/>
              <w:bottom w:val="single" w:sz="4" w:space="0" w:color="000000"/>
              <w:right w:val="single" w:sz="4" w:space="0" w:color="000000"/>
            </w:tcBorders>
            <w:shd w:val="clear" w:color="auto" w:fill="BFBFBF"/>
          </w:tcPr>
          <w:p>
            <w:pPr/>
          </w:p>
        </w:tc>
        <w:tc>
          <w:tcPr>
            <w:tcW w:w="1646"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26.15</w:t>
            </w:r>
          </w:p>
        </w:tc>
        <w:tc>
          <w:tcPr>
            <w:tcW w:w="1642"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z w:val="18"/>
              </w:rPr>
              <w:t>1,309,227.89</w:t>
            </w:r>
          </w:p>
        </w:tc>
      </w:tr>
    </w:tbl>
    <w:p>
      <w:pPr>
        <w:spacing w:line="240" w:lineRule="auto" w:before="10"/>
        <w:rPr>
          <w:rFonts w:ascii="Microsoft JhengHei" w:hAnsi="Microsoft JhengHei" w:cs="Microsoft JhengHei" w:eastAsia="Microsoft JhengHei" w:hint="default"/>
          <w:b/>
          <w:bCs/>
          <w:sz w:val="14"/>
          <w:szCs w:val="14"/>
        </w:rPr>
      </w:pPr>
    </w:p>
    <w:p>
      <w:pPr>
        <w:pStyle w:val="Heading4"/>
        <w:spacing w:line="335" w:lineRule="exact"/>
        <w:ind w:left="232" w:right="2896"/>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0"/>
        <w:rPr>
          <w:rFonts w:ascii="Microsoft JhengHei" w:hAnsi="Microsoft JhengHei" w:cs="Microsoft JhengHei" w:eastAsia="Microsoft JhengHei" w:hint="default"/>
          <w:b/>
          <w:bCs/>
          <w:sz w:val="14"/>
          <w:szCs w:val="14"/>
        </w:rPr>
      </w:pPr>
    </w:p>
    <w:p>
      <w:pPr>
        <w:pStyle w:val="Heading4"/>
        <w:spacing w:line="240" w:lineRule="auto"/>
        <w:ind w:left="232" w:right="2896"/>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22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227" w:type="dxa"/>
        <w:tblLayout w:type="fixed"/>
        <w:tblCellMar>
          <w:top w:w="0" w:type="dxa"/>
          <w:left w:w="0" w:type="dxa"/>
          <w:bottom w:w="0" w:type="dxa"/>
          <w:right w:w="0" w:type="dxa"/>
        </w:tblCellMar>
        <w:tblLook w:val="01E0"/>
      </w:tblPr>
      <w:tblGrid>
        <w:gridCol w:w="1634"/>
        <w:gridCol w:w="3838"/>
        <w:gridCol w:w="4094"/>
      </w:tblGrid>
      <w:tr>
        <w:trPr>
          <w:trHeight w:val="40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00" w:h="16840"/>
          <w:pgMar w:header="742" w:footer="984" w:top="1060" w:bottom="1180" w:left="900" w:right="90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22"/>
        <w:gridCol w:w="773"/>
        <w:gridCol w:w="763"/>
        <w:gridCol w:w="763"/>
        <w:gridCol w:w="763"/>
        <w:gridCol w:w="787"/>
        <w:gridCol w:w="653"/>
        <w:gridCol w:w="763"/>
        <w:gridCol w:w="816"/>
        <w:gridCol w:w="931"/>
        <w:gridCol w:w="931"/>
      </w:tblGrid>
      <w:tr>
        <w:trPr>
          <w:trHeight w:val="403" w:hRule="exact"/>
        </w:trPr>
        <w:tc>
          <w:tcPr>
            <w:tcW w:w="1622" w:type="dxa"/>
            <w:vMerge w:val="restart"/>
            <w:tcBorders>
              <w:top w:val="single" w:sz="4" w:space="0" w:color="000000"/>
              <w:left w:val="single" w:sz="4" w:space="0" w:color="000000"/>
              <w:right w:val="single" w:sz="4" w:space="0" w:color="000000"/>
            </w:tcBorders>
            <w:shd w:val="clear" w:color="auto" w:fill="D2D2D2"/>
          </w:tcPr>
          <w:p>
            <w:pPr/>
          </w:p>
        </w:tc>
        <w:tc>
          <w:tcPr>
            <w:tcW w:w="15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0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8" w:hRule="exact"/>
        </w:trPr>
        <w:tc>
          <w:tcPr>
            <w:tcW w:w="1622" w:type="dxa"/>
            <w:vMerge/>
            <w:tcBorders>
              <w:left w:val="single" w:sz="4" w:space="0" w:color="000000"/>
              <w:right w:val="single" w:sz="4" w:space="0" w:color="000000"/>
            </w:tcBorders>
            <w:shd w:val="clear" w:color="auto" w:fill="D2D2D2"/>
          </w:tcPr>
          <w:p>
            <w:pPr/>
          </w:p>
        </w:tc>
        <w:tc>
          <w:tcPr>
            <w:tcW w:w="77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3" w:right="103" w:hanging="178"/>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81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88" w:hRule="exact"/>
        </w:trPr>
        <w:tc>
          <w:tcPr>
            <w:tcW w:w="1622" w:type="dxa"/>
            <w:vMerge/>
            <w:tcBorders>
              <w:left w:val="single" w:sz="4" w:space="0" w:color="000000"/>
              <w:right w:val="single" w:sz="4" w:space="0" w:color="000000"/>
            </w:tcBorders>
            <w:shd w:val="clear" w:color="auto" w:fill="D2D2D2"/>
          </w:tcPr>
          <w:p>
            <w:pPr/>
          </w:p>
        </w:tc>
        <w:tc>
          <w:tcPr>
            <w:tcW w:w="77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2" w:type="dxa"/>
            <w:vMerge/>
            <w:tcBorders>
              <w:left w:val="single" w:sz="4" w:space="0" w:color="000000"/>
              <w:right w:val="single" w:sz="4" w:space="0" w:color="000000"/>
            </w:tcBorders>
            <w:shd w:val="clear" w:color="auto" w:fill="D2D2D2"/>
          </w:tcPr>
          <w:p>
            <w:pPr/>
          </w:p>
        </w:tc>
        <w:tc>
          <w:tcPr>
            <w:tcW w:w="77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816" w:type="dxa"/>
            <w:vMerge/>
            <w:tcBorders>
              <w:left w:val="single" w:sz="4" w:space="0" w:color="000000"/>
              <w:bottom w:val="nil" w:sz="6" w:space="0" w:color="auto"/>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4" w:hRule="exact"/>
        </w:trPr>
        <w:tc>
          <w:tcPr>
            <w:tcW w:w="1622" w:type="dxa"/>
            <w:vMerge/>
            <w:tcBorders>
              <w:left w:val="single" w:sz="4" w:space="0" w:color="000000"/>
              <w:bottom w:val="single" w:sz="4" w:space="0" w:color="000000"/>
              <w:right w:val="single" w:sz="4" w:space="0" w:color="000000"/>
            </w:tcBorders>
            <w:shd w:val="clear" w:color="auto" w:fill="D2D2D2"/>
          </w:tcPr>
          <w:p>
            <w:pPr/>
          </w:p>
        </w:tc>
        <w:tc>
          <w:tcPr>
            <w:tcW w:w="77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81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42"/>
              <w:jc w:val="both"/>
              <w:rPr>
                <w:rFonts w:ascii="宋体" w:hAnsi="宋体" w:cs="宋体" w:eastAsia="宋体" w:hint="default"/>
                <w:sz w:val="18"/>
                <w:szCs w:val="18"/>
              </w:rPr>
            </w:pPr>
            <w:r>
              <w:rPr>
                <w:rFonts w:ascii="宋体" w:hAnsi="宋体" w:cs="宋体" w:eastAsia="宋体" w:hint="default"/>
                <w:spacing w:val="-2"/>
                <w:sz w:val="18"/>
                <w:szCs w:val="18"/>
              </w:rPr>
              <w:t>按信用风险特征组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合计提坏账准备的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其他应收款</w:t>
            </w:r>
          </w:p>
        </w:tc>
        <w:tc>
          <w:tcPr>
            <w:tcW w:w="7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119,321,</w:t>
            </w:r>
          </w:p>
          <w:p>
            <w:pPr>
              <w:pStyle w:val="TableParagraph"/>
              <w:spacing w:line="240" w:lineRule="auto" w:before="110"/>
              <w:ind w:left="206" w:right="0"/>
              <w:jc w:val="center"/>
              <w:rPr>
                <w:rFonts w:ascii="Times New Roman" w:hAnsi="Times New Roman" w:cs="Times New Roman" w:eastAsia="Times New Roman" w:hint="default"/>
                <w:sz w:val="18"/>
                <w:szCs w:val="18"/>
              </w:rPr>
            </w:pPr>
            <w:r>
              <w:rPr>
                <w:rFonts w:ascii="Times New Roman"/>
                <w:sz w:val="18"/>
              </w:rPr>
              <w:t>414.90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44,252.2</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6.45%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119,277,1</w:t>
            </w:r>
          </w:p>
          <w:p>
            <w:pPr>
              <w:pStyle w:val="TableParagraph"/>
              <w:spacing w:line="240" w:lineRule="auto" w:before="110"/>
              <w:ind w:left="350" w:right="0"/>
              <w:jc w:val="left"/>
              <w:rPr>
                <w:rFonts w:ascii="Times New Roman" w:hAnsi="Times New Roman" w:cs="Times New Roman" w:eastAsia="Times New Roman" w:hint="default"/>
                <w:sz w:val="18"/>
                <w:szCs w:val="18"/>
              </w:rPr>
            </w:pPr>
            <w:r>
              <w:rPr>
                <w:rFonts w:ascii="Times New Roman"/>
                <w:sz w:val="18"/>
              </w:rPr>
              <w:t>62.61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55,543,</w:t>
            </w:r>
          </w:p>
          <w:p>
            <w:pPr>
              <w:pStyle w:val="TableParagraph"/>
              <w:spacing w:line="240" w:lineRule="auto" w:before="110"/>
              <w:ind w:left="124" w:right="0"/>
              <w:jc w:val="left"/>
              <w:rPr>
                <w:rFonts w:ascii="Times New Roman" w:hAnsi="Times New Roman" w:cs="Times New Roman" w:eastAsia="Times New Roman" w:hint="default"/>
                <w:sz w:val="18"/>
                <w:szCs w:val="18"/>
              </w:rPr>
            </w:pPr>
            <w:r>
              <w:rPr>
                <w:rFonts w:ascii="Times New Roman"/>
                <w:sz w:val="18"/>
              </w:rPr>
              <w:t>713.98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100.00%</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37,750.70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27" w:right="0"/>
              <w:jc w:val="left"/>
              <w:rPr>
                <w:rFonts w:ascii="Times New Roman" w:hAnsi="Times New Roman" w:cs="Times New Roman" w:eastAsia="Times New Roman" w:hint="default"/>
                <w:sz w:val="18"/>
                <w:szCs w:val="18"/>
              </w:rPr>
            </w:pPr>
            <w:r>
              <w:rPr>
                <w:rFonts w:ascii="Times New Roman"/>
                <w:sz w:val="18"/>
              </w:rPr>
              <w:t>6.86%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55,505,963.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28</w:t>
            </w:r>
          </w:p>
        </w:tc>
      </w:tr>
      <w:tr>
        <w:trPr>
          <w:trHeight w:val="158" w:hRule="exact"/>
        </w:trPr>
        <w:tc>
          <w:tcPr>
            <w:tcW w:w="16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3" w:type="dxa"/>
            <w:vMerge w:val="restart"/>
            <w:tcBorders>
              <w:top w:val="single" w:sz="4" w:space="0" w:color="000000"/>
              <w:left w:val="single" w:sz="8" w:space="0" w:color="D2D2D2"/>
              <w:right w:val="single" w:sz="4" w:space="0" w:color="000000"/>
            </w:tcBorders>
          </w:tcPr>
          <w:p>
            <w:pPr>
              <w:pStyle w:val="TableParagraph"/>
              <w:spacing w:line="240" w:lineRule="auto" w:before="96"/>
              <w:ind w:left="88" w:right="0"/>
              <w:jc w:val="center"/>
              <w:rPr>
                <w:rFonts w:ascii="Times New Roman" w:hAnsi="Times New Roman" w:cs="Times New Roman" w:eastAsia="Times New Roman" w:hint="default"/>
                <w:sz w:val="18"/>
                <w:szCs w:val="18"/>
              </w:rPr>
            </w:pPr>
            <w:r>
              <w:rPr>
                <w:rFonts w:ascii="Times New Roman"/>
                <w:sz w:val="18"/>
              </w:rPr>
              <w:t>119,321,</w:t>
            </w:r>
          </w:p>
          <w:p>
            <w:pPr>
              <w:pStyle w:val="TableParagraph"/>
              <w:spacing w:line="240" w:lineRule="auto" w:before="110"/>
              <w:ind w:left="211" w:right="0"/>
              <w:jc w:val="center"/>
              <w:rPr>
                <w:rFonts w:ascii="Times New Roman" w:hAnsi="Times New Roman" w:cs="Times New Roman" w:eastAsia="Times New Roman" w:hint="default"/>
                <w:sz w:val="18"/>
                <w:szCs w:val="18"/>
              </w:rPr>
            </w:pPr>
            <w:r>
              <w:rPr>
                <w:rFonts w:ascii="Times New Roman"/>
                <w:sz w:val="18"/>
              </w:rPr>
              <w:t>414.90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44,252.2</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763" w:type="dxa"/>
            <w:vMerge w:val="restart"/>
            <w:tcBorders>
              <w:top w:val="single" w:sz="4" w:space="0" w:color="000000"/>
              <w:left w:val="single" w:sz="4" w:space="0" w:color="000000"/>
              <w:right w:val="single" w:sz="4" w:space="0" w:color="000000"/>
            </w:tcBorders>
          </w:tcPr>
          <w:p>
            <w:pP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119,277,1</w:t>
            </w:r>
          </w:p>
          <w:p>
            <w:pPr>
              <w:pStyle w:val="TableParagraph"/>
              <w:spacing w:line="240" w:lineRule="auto" w:before="110"/>
              <w:ind w:left="350" w:right="0"/>
              <w:jc w:val="left"/>
              <w:rPr>
                <w:rFonts w:ascii="Times New Roman" w:hAnsi="Times New Roman" w:cs="Times New Roman" w:eastAsia="Times New Roman" w:hint="default"/>
                <w:sz w:val="18"/>
                <w:szCs w:val="18"/>
              </w:rPr>
            </w:pPr>
            <w:r>
              <w:rPr>
                <w:rFonts w:ascii="Times New Roman"/>
                <w:sz w:val="18"/>
              </w:rPr>
              <w:t>62.61</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55,543,</w:t>
            </w:r>
          </w:p>
          <w:p>
            <w:pPr>
              <w:pStyle w:val="TableParagraph"/>
              <w:spacing w:line="240" w:lineRule="auto" w:before="110"/>
              <w:ind w:left="124" w:right="0"/>
              <w:jc w:val="left"/>
              <w:rPr>
                <w:rFonts w:ascii="Times New Roman" w:hAnsi="Times New Roman" w:cs="Times New Roman" w:eastAsia="Times New Roman" w:hint="default"/>
                <w:sz w:val="18"/>
                <w:szCs w:val="18"/>
              </w:rPr>
            </w:pPr>
            <w:r>
              <w:rPr>
                <w:rFonts w:ascii="Times New Roman"/>
                <w:sz w:val="18"/>
              </w:rPr>
              <w:t>713.98</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100.00%</w:t>
            </w:r>
          </w:p>
        </w:tc>
        <w:tc>
          <w:tcPr>
            <w:tcW w:w="81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37,750.70</w:t>
            </w:r>
          </w:p>
        </w:tc>
        <w:tc>
          <w:tcPr>
            <w:tcW w:w="931"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55,505,963.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28</w:t>
            </w:r>
          </w:p>
        </w:tc>
      </w:tr>
      <w:tr>
        <w:trPr>
          <w:trHeight w:val="394" w:hRule="exact"/>
        </w:trPr>
        <w:tc>
          <w:tcPr>
            <w:tcW w:w="16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3" w:type="dxa"/>
            <w:vMerge/>
            <w:tcBorders>
              <w:left w:val="single" w:sz="8" w:space="0" w:color="D2D2D2"/>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816"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3" w:hRule="exact"/>
        </w:trPr>
        <w:tc>
          <w:tcPr>
            <w:tcW w:w="16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3" w:type="dxa"/>
            <w:vMerge/>
            <w:tcBorders>
              <w:left w:val="single" w:sz="8" w:space="0" w:color="D2D2D2"/>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816"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pStyle w:val="BodyText"/>
        <w:spacing w:line="240" w:lineRule="auto" w:before="66"/>
        <w:ind w:left="575" w:right="0"/>
        <w:jc w:val="left"/>
      </w:pPr>
      <w:r>
        <w:rPr/>
        <w:t>期末单项金额重大并单项计提坏账准备的其他应收款：</w:t>
      </w:r>
    </w:p>
    <w:p>
      <w:pPr>
        <w:spacing w:line="240" w:lineRule="auto" w:before="12"/>
        <w:rPr>
          <w:rFonts w:ascii="宋体" w:hAnsi="宋体" w:cs="宋体" w:eastAsia="宋体" w:hint="default"/>
          <w:sz w:val="14"/>
          <w:szCs w:val="14"/>
        </w:rPr>
      </w:pPr>
    </w:p>
    <w:p>
      <w:pPr>
        <w:pStyle w:val="BodyText"/>
        <w:spacing w:line="405" w:lineRule="auto"/>
        <w:ind w:left="575" w:right="4422"/>
        <w:jc w:val="left"/>
      </w:pPr>
      <w:r>
        <w:rPr/>
        <w:t>□ 适用 √ 不适用</w:t>
      </w:r>
      <w:r>
        <w:rPr>
          <w:spacing w:val="-102"/>
        </w:rPr>
        <w:t> </w:t>
      </w:r>
      <w:r>
        <w:rPr>
          <w:spacing w:val="-102"/>
        </w:rPr>
      </w:r>
      <w:r>
        <w:rPr>
          <w:spacing w:val="-2"/>
        </w:rPr>
        <w:t>组合中，按账龄分析法计提坏账准备的其他应收款：</w:t>
      </w:r>
    </w:p>
    <w:p>
      <w:pPr>
        <w:pStyle w:val="BodyText"/>
        <w:spacing w:line="240" w:lineRule="auto" w:before="50"/>
        <w:ind w:left="575" w:right="0"/>
        <w:jc w:val="left"/>
      </w:pPr>
      <w:r>
        <w:rPr/>
        <w:t>√ 适用 □</w:t>
      </w:r>
      <w:r>
        <w:rPr>
          <w:spacing w:val="3"/>
        </w:rPr>
        <w:t> </w:t>
      </w:r>
      <w:r>
        <w:rPr/>
        <w:t>不适用</w:t>
      </w:r>
    </w:p>
    <w:p>
      <w:pPr>
        <w:spacing w:line="240" w:lineRule="auto" w:before="0"/>
        <w:rPr>
          <w:rFonts w:ascii="宋体" w:hAnsi="宋体" w:cs="宋体" w:eastAsia="宋体" w:hint="default"/>
          <w:sz w:val="10"/>
          <w:szCs w:val="10"/>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91"/>
        <w:gridCol w:w="2299"/>
        <w:gridCol w:w="2386"/>
        <w:gridCol w:w="2390"/>
      </w:tblGrid>
      <w:tr>
        <w:trPr>
          <w:trHeight w:val="398" w:hRule="exact"/>
        </w:trPr>
        <w:tc>
          <w:tcPr>
            <w:tcW w:w="24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491" w:type="dxa"/>
            <w:vMerge/>
            <w:tcBorders>
              <w:left w:val="single" w:sz="4" w:space="0" w:color="000000"/>
              <w:bottom w:val="single" w:sz="4" w:space="0" w:color="000000"/>
              <w:right w:val="single" w:sz="4" w:space="0" w:color="000000"/>
            </w:tcBorders>
            <w:shd w:val="clear" w:color="auto" w:fill="D2D2D2"/>
          </w:tcPr>
          <w:p>
            <w:pPr/>
          </w:p>
        </w:tc>
        <w:tc>
          <w:tcPr>
            <w:tcW w:w="2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6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年以内分项</w:t>
            </w:r>
          </w:p>
        </w:tc>
      </w:tr>
      <w:tr>
        <w:trPr>
          <w:trHeight w:val="403" w:hRule="exact"/>
        </w:trPr>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670,045.89</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33,502.29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5.00%</w:t>
            </w:r>
          </w:p>
        </w:tc>
      </w:tr>
      <w:tr>
        <w:trPr>
          <w:trHeight w:val="398" w:hRule="exact"/>
        </w:trPr>
        <w:tc>
          <w:tcPr>
            <w:tcW w:w="2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年以内小计</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670,045.89</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33,502.29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5.00%</w:t>
            </w:r>
          </w:p>
        </w:tc>
      </w:tr>
      <w:tr>
        <w:trPr>
          <w:trHeight w:val="403" w:hRule="exact"/>
        </w:trPr>
        <w:tc>
          <w:tcPr>
            <w:tcW w:w="2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2"/>
                <w:sz w:val="18"/>
              </w:rPr>
              <w:t>11,000.00</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5,500.00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3" w:hRule="exact"/>
        </w:trPr>
        <w:tc>
          <w:tcPr>
            <w:tcW w:w="2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5,250.00</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5,250.00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3" w:hRule="exact"/>
        </w:trPr>
        <w:tc>
          <w:tcPr>
            <w:tcW w:w="2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686,295.89</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44,252.29</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405" w:lineRule="auto" w:before="66"/>
        <w:ind w:left="575" w:right="0"/>
        <w:jc w:val="left"/>
      </w:pPr>
      <w:r>
        <w:rPr/>
        <w:t>确定该组合依据的说明：</w:t>
      </w:r>
      <w:r>
        <w:rPr>
          <w:spacing w:val="-103"/>
        </w:rPr>
        <w:t> </w:t>
      </w:r>
      <w:r>
        <w:rPr>
          <w:spacing w:val="-103"/>
        </w:rPr>
      </w:r>
      <w:r>
        <w:rPr>
          <w:spacing w:val="-2"/>
        </w:rPr>
        <w:t>按款项账龄的组合：未单项计提坏账准备的其他应收款按账龄划分为若干组合，根据以前年度与之相</w:t>
      </w:r>
    </w:p>
    <w:p>
      <w:pPr>
        <w:pStyle w:val="BodyText"/>
        <w:spacing w:line="408" w:lineRule="auto" w:before="50"/>
        <w:ind w:right="142"/>
        <w:jc w:val="both"/>
      </w:pPr>
      <w:r>
        <w:rPr>
          <w:spacing w:val="-2"/>
        </w:rPr>
        <w:t>同或相类似的、具有类似信用风险特征的应收账款组合的实际损失率为基础，结合现时情况确定各项组合</w:t>
      </w:r>
      <w:r>
        <w:rPr>
          <w:spacing w:val="-35"/>
        </w:rPr>
        <w:t> </w:t>
      </w:r>
      <w:r>
        <w:rPr>
          <w:spacing w:val="-35"/>
        </w:rPr>
      </w:r>
      <w:r>
        <w:rPr>
          <w:spacing w:val="-2"/>
          <w:w w:val="100"/>
        </w:rPr>
        <w:t>计提坏账准备的比例，据此计算应计提的坏账准备。（含单项金额重大、单独进行减值测试未发生减值，</w:t>
      </w:r>
      <w:r>
        <w:rPr>
          <w:spacing w:val="-99"/>
          <w:w w:val="100"/>
        </w:rPr>
        <w:t> </w:t>
      </w:r>
      <w:r>
        <w:rPr>
          <w:spacing w:val="-99"/>
          <w:w w:val="100"/>
        </w:rPr>
      </w:r>
      <w:r>
        <w:rPr>
          <w:spacing w:val="-5"/>
          <w:w w:val="100"/>
        </w:rPr>
        <w:t>包含在具有类似信用风险特征的应收款项组合中进行减值测试的其他应收款）；</w:t>
      </w:r>
    </w:p>
    <w:p>
      <w:pPr>
        <w:pStyle w:val="BodyText"/>
        <w:spacing w:line="240" w:lineRule="auto" w:before="43"/>
        <w:ind w:left="575" w:right="0"/>
        <w:jc w:val="left"/>
      </w:pPr>
      <w:r>
        <w:rPr/>
        <w:t>组合中，采用余额百分比法计提坏账准备的其他应收款：</w:t>
      </w:r>
    </w:p>
    <w:p>
      <w:pPr>
        <w:spacing w:line="240" w:lineRule="auto" w:before="12"/>
        <w:rPr>
          <w:rFonts w:ascii="宋体" w:hAnsi="宋体" w:cs="宋体" w:eastAsia="宋体" w:hint="default"/>
          <w:sz w:val="14"/>
          <w:szCs w:val="14"/>
        </w:rPr>
      </w:pPr>
    </w:p>
    <w:p>
      <w:pPr>
        <w:pStyle w:val="BodyText"/>
        <w:spacing w:line="405" w:lineRule="auto"/>
        <w:ind w:left="575" w:right="4422"/>
        <w:jc w:val="left"/>
      </w:pPr>
      <w:r>
        <w:rPr/>
        <w:t>□ 适用 √ 不适用</w:t>
      </w:r>
      <w:r>
        <w:rPr>
          <w:spacing w:val="-102"/>
        </w:rPr>
        <w:t> </w:t>
      </w:r>
      <w:r>
        <w:rPr>
          <w:spacing w:val="-102"/>
        </w:rPr>
      </w:r>
      <w:r>
        <w:rPr>
          <w:spacing w:val="-2"/>
        </w:rPr>
        <w:t>组合中，采用其他方法计提坏账准备的其他应收款：</w:t>
      </w:r>
    </w:p>
    <w:p>
      <w:pPr>
        <w:pStyle w:val="BodyText"/>
        <w:spacing w:line="405" w:lineRule="auto" w:before="50"/>
        <w:ind w:left="575" w:right="0"/>
        <w:jc w:val="left"/>
      </w:pPr>
      <w:r>
        <w:rPr/>
        <w:t>√ 适用 □ 不适用</w:t>
      </w:r>
      <w:r>
        <w:rPr>
          <w:spacing w:val="-102"/>
        </w:rPr>
        <w:t> </w:t>
      </w:r>
      <w:r>
        <w:rPr>
          <w:spacing w:val="-102"/>
        </w:rPr>
      </w:r>
      <w:r>
        <w:rPr>
          <w:spacing w:val="-2"/>
        </w:rPr>
        <w:t>按款项性质的组合：未单项计提坏账准备的其他应收款按款项性质特征划分为若干组合，根据以前年</w:t>
      </w:r>
    </w:p>
    <w:p>
      <w:pPr>
        <w:pStyle w:val="BodyText"/>
        <w:spacing w:line="405" w:lineRule="auto" w:before="50"/>
        <w:ind w:right="142"/>
        <w:jc w:val="both"/>
      </w:pPr>
      <w:r>
        <w:rPr>
          <w:spacing w:val="-2"/>
        </w:rPr>
        <w:t>度与之相同或相类似的、具有类似信用风险特征的其他应收款组合的实际损失率为基础，结合现时情况确</w:t>
      </w:r>
      <w:r>
        <w:rPr>
          <w:spacing w:val="-35"/>
        </w:rPr>
        <w:t> </w:t>
      </w:r>
      <w:r>
        <w:rPr>
          <w:spacing w:val="-35"/>
        </w:rPr>
      </w:r>
      <w:r>
        <w:rPr>
          <w:spacing w:val="-2"/>
          <w:w w:val="100"/>
        </w:rPr>
        <w:t>定各项组合计提坏账准备的比例，据此计算应计提的坏账准备。（含单项金额重大、单独进行减值测试未</w:t>
      </w:r>
    </w:p>
    <w:p>
      <w:pPr>
        <w:spacing w:after="0" w:line="405" w:lineRule="auto"/>
        <w:jc w:val="both"/>
        <w:sectPr>
          <w:pgSz w:w="11900" w:h="16840"/>
          <w:pgMar w:header="742" w:footer="984" w:top="1060" w:bottom="1180" w:left="980" w:right="980"/>
        </w:sectPr>
      </w:pPr>
    </w:p>
    <w:p>
      <w:pPr>
        <w:spacing w:line="240" w:lineRule="auto" w:before="0"/>
        <w:rPr>
          <w:rFonts w:ascii="宋体" w:hAnsi="宋体" w:cs="宋体" w:eastAsia="宋体" w:hint="default"/>
          <w:sz w:val="20"/>
          <w:szCs w:val="20"/>
        </w:rPr>
      </w:pPr>
    </w:p>
    <w:p>
      <w:pPr>
        <w:pStyle w:val="BodyText"/>
        <w:spacing w:line="405" w:lineRule="auto" w:before="182"/>
        <w:ind w:left="575" w:right="129" w:hanging="423"/>
        <w:jc w:val="left"/>
      </w:pPr>
      <w:r>
        <w:rPr>
          <w:spacing w:val="-4"/>
          <w:w w:val="100"/>
        </w:rPr>
        <w:t>发生减值，包含在具有类似信用风险特征的应收款项组合中进行减值测试的其他应收款）；</w:t>
      </w:r>
      <w:r>
        <w:rPr>
          <w:spacing w:val="-97"/>
          <w:w w:val="100"/>
        </w:rPr>
        <w:t> </w:t>
      </w:r>
      <w:r>
        <w:rPr>
          <w:spacing w:val="-97"/>
          <w:w w:val="100"/>
        </w:rPr>
      </w:r>
      <w:r>
        <w:rPr/>
        <w:t>子公司：江苏安诺其化工有限公司其他应收款期末余额</w:t>
      </w:r>
      <w:r>
        <w:rPr>
          <w:spacing w:val="-54"/>
        </w:rPr>
        <w:t> </w:t>
      </w:r>
      <w:r>
        <w:rPr>
          <w:rFonts w:ascii="Arial" w:hAnsi="Arial" w:cs="Arial" w:eastAsia="Arial" w:hint="default"/>
        </w:rPr>
        <w:t>64,429,639.21</w:t>
      </w:r>
      <w:r>
        <w:rPr>
          <w:rFonts w:ascii="Arial" w:hAnsi="Arial" w:cs="Arial" w:eastAsia="Arial" w:hint="default"/>
          <w:spacing w:val="-9"/>
        </w:rPr>
        <w:t> </w:t>
      </w:r>
      <w:r>
        <w:rPr/>
        <w:t>元，坏帐准备期末余额</w:t>
      </w:r>
      <w:r>
        <w:rPr>
          <w:spacing w:val="-53"/>
        </w:rPr>
        <w:t> </w:t>
      </w:r>
      <w:r>
        <w:rPr>
          <w:rFonts w:ascii="Arial" w:hAnsi="Arial" w:cs="Arial" w:eastAsia="Arial" w:hint="default"/>
        </w:rPr>
        <w:t>0</w:t>
      </w:r>
      <w:r>
        <w:rPr>
          <w:rFonts w:ascii="Arial" w:hAnsi="Arial" w:cs="Arial" w:eastAsia="Arial" w:hint="default"/>
          <w:spacing w:val="-9"/>
        </w:rPr>
        <w:t> </w:t>
      </w:r>
      <w:r>
        <w:rPr>
          <w:spacing w:val="-3"/>
        </w:rPr>
        <w:t>元。</w:t>
      </w:r>
    </w:p>
    <w:p>
      <w:pPr>
        <w:pStyle w:val="BodyText"/>
        <w:spacing w:line="240" w:lineRule="auto" w:before="18"/>
        <w:ind w:right="0"/>
        <w:jc w:val="left"/>
      </w:pPr>
      <w:r>
        <w:rPr/>
        <w:t>烟台安诺其精细化工有限公司其他应收款期末余额</w:t>
      </w:r>
      <w:r>
        <w:rPr>
          <w:spacing w:val="-55"/>
        </w:rPr>
        <w:t> </w:t>
      </w:r>
      <w:r>
        <w:rPr>
          <w:rFonts w:ascii="Arial" w:hAnsi="Arial" w:cs="Arial" w:eastAsia="Arial" w:hint="default"/>
        </w:rPr>
        <w:t>54,205,479.80</w:t>
      </w:r>
      <w:r>
        <w:rPr>
          <w:rFonts w:ascii="Arial" w:hAnsi="Arial" w:cs="Arial" w:eastAsia="Arial" w:hint="default"/>
          <w:spacing w:val="-11"/>
        </w:rPr>
        <w:t> </w:t>
      </w:r>
      <w:r>
        <w:rPr/>
        <w:t>元，坏帐准备期末余额</w:t>
      </w:r>
      <w:r>
        <w:rPr>
          <w:spacing w:val="-54"/>
        </w:rPr>
        <w:t> </w:t>
      </w:r>
      <w:r>
        <w:rPr>
          <w:rFonts w:ascii="Arial" w:hAnsi="Arial" w:cs="Arial" w:eastAsia="Arial" w:hint="default"/>
        </w:rPr>
        <w:t>0</w:t>
      </w:r>
      <w:r>
        <w:rPr>
          <w:rFonts w:ascii="Arial" w:hAnsi="Arial" w:cs="Arial" w:eastAsia="Arial" w:hint="default"/>
          <w:spacing w:val="-10"/>
        </w:rPr>
        <w:t> </w:t>
      </w:r>
      <w:r>
        <w:rPr/>
        <w:t>元。</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4"/>
        <w:rPr>
          <w:rFonts w:ascii="Microsoft JhengHei" w:hAnsi="Microsoft JhengHei" w:cs="Microsoft JhengHei" w:eastAsia="Microsoft JhengHei" w:hint="default"/>
          <w:b/>
          <w:bCs/>
          <w:sz w:val="22"/>
          <w:szCs w:val="22"/>
        </w:rPr>
      </w:pPr>
    </w:p>
    <w:p>
      <w:pPr>
        <w:pStyle w:val="BodyText"/>
        <w:spacing w:line="386" w:lineRule="auto"/>
        <w:ind w:left="575" w:right="2135"/>
        <w:jc w:val="left"/>
      </w:pPr>
      <w:r>
        <w:rPr/>
        <w:t>本期计提坏账准备金额</w:t>
      </w:r>
      <w:r>
        <w:rPr>
          <w:spacing w:val="-55"/>
        </w:rPr>
        <w:t> </w:t>
      </w:r>
      <w:r>
        <w:rPr>
          <w:rFonts w:ascii="Arial" w:hAnsi="Arial" w:cs="Arial" w:eastAsia="Arial" w:hint="default"/>
        </w:rPr>
        <w:t>44,252.29</w:t>
      </w:r>
      <w:r>
        <w:rPr>
          <w:rFonts w:ascii="Arial" w:hAnsi="Arial" w:cs="Arial" w:eastAsia="Arial" w:hint="default"/>
          <w:spacing w:val="-11"/>
        </w:rPr>
        <w:t> </w:t>
      </w:r>
      <w:r>
        <w:rPr/>
        <w:t>元；本期收回或转回坏账准备金额</w:t>
      </w:r>
      <w:r>
        <w:rPr>
          <w:spacing w:val="-54"/>
        </w:rPr>
        <w:t> </w:t>
      </w:r>
      <w:r>
        <w:rPr>
          <w:rFonts w:ascii="Arial" w:hAnsi="Arial" w:cs="Arial" w:eastAsia="Arial" w:hint="default"/>
        </w:rPr>
        <w:t>0.00</w:t>
      </w:r>
      <w:r>
        <w:rPr>
          <w:rFonts w:ascii="Arial" w:hAnsi="Arial" w:cs="Arial" w:eastAsia="Arial" w:hint="default"/>
          <w:spacing w:val="-10"/>
        </w:rPr>
        <w:t> </w:t>
      </w:r>
      <w:r>
        <w:rPr/>
        <w:t>元。</w:t>
      </w:r>
      <w:r>
        <w:rPr>
          <w:w w:val="100"/>
        </w:rPr>
        <w:t> </w:t>
      </w:r>
      <w:r>
        <w:rPr/>
        <w:t>其中本期坏账准备转回或收回金额重要的：</w:t>
      </w:r>
    </w:p>
    <w:p>
      <w:pPr>
        <w:spacing w:before="54"/>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46"/>
        <w:gridCol w:w="3122"/>
        <w:gridCol w:w="3074"/>
      </w:tblGrid>
      <w:tr>
        <w:trPr>
          <w:trHeight w:val="403" w:hRule="exact"/>
        </w:trPr>
        <w:tc>
          <w:tcPr>
            <w:tcW w:w="3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3" w:right="0"/>
              <w:jc w:val="left"/>
              <w:rPr>
                <w:rFonts w:ascii="宋体" w:hAnsi="宋体" w:cs="宋体" w:eastAsia="宋体" w:hint="default"/>
                <w:sz w:val="18"/>
                <w:szCs w:val="18"/>
              </w:rPr>
            </w:pPr>
            <w:r>
              <w:rPr>
                <w:rFonts w:ascii="宋体" w:hAnsi="宋体" w:cs="宋体" w:eastAsia="宋体" w:hint="default"/>
                <w:spacing w:val="-3"/>
                <w:sz w:val="18"/>
                <w:szCs w:val="18"/>
              </w:rPr>
              <w:t>转回或收回金额</w:t>
            </w:r>
          </w:p>
        </w:tc>
        <w:tc>
          <w:tcPr>
            <w:tcW w:w="3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3" w:hRule="exact"/>
        </w:trPr>
        <w:tc>
          <w:tcPr>
            <w:tcW w:w="3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22" w:type="dxa"/>
            <w:tcBorders>
              <w:top w:val="single" w:sz="4" w:space="0" w:color="000000"/>
              <w:left w:val="single" w:sz="13" w:space="0" w:color="D2D2D2"/>
              <w:bottom w:val="single" w:sz="4" w:space="0" w:color="000000"/>
              <w:right w:val="single" w:sz="8" w:space="0" w:color="D2D2D2"/>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z w:val="18"/>
              </w:rPr>
              <w:t>0.00</w:t>
            </w:r>
          </w:p>
        </w:tc>
        <w:tc>
          <w:tcPr>
            <w:tcW w:w="3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70"/>
        <w:gridCol w:w="3101"/>
        <w:gridCol w:w="3096"/>
      </w:tblGrid>
      <w:tr>
        <w:trPr>
          <w:trHeight w:val="398" w:hRule="exact"/>
        </w:trPr>
        <w:tc>
          <w:tcPr>
            <w:tcW w:w="3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9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）按款项性质的组合</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118,635,119.01</w:t>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54,993,450.00</w:t>
            </w:r>
          </w:p>
        </w:tc>
      </w:tr>
      <w:tr>
        <w:trPr>
          <w:trHeight w:val="40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）按款项账龄的组合</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686,295.89</w:t>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550,263.98</w:t>
            </w:r>
          </w:p>
        </w:tc>
      </w:tr>
      <w:tr>
        <w:trPr>
          <w:trHeight w:val="403" w:hRule="exact"/>
        </w:trPr>
        <w:tc>
          <w:tcPr>
            <w:tcW w:w="3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119,321,414.90</w:t>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55,543,713.98</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85"/>
        <w:gridCol w:w="1550"/>
        <w:gridCol w:w="1550"/>
        <w:gridCol w:w="1555"/>
        <w:gridCol w:w="1613"/>
        <w:gridCol w:w="1618"/>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76" w:right="79"/>
              <w:jc w:val="left"/>
              <w:rPr>
                <w:rFonts w:ascii="宋体" w:hAnsi="宋体" w:cs="宋体" w:eastAsia="宋体" w:hint="default"/>
                <w:sz w:val="18"/>
                <w:szCs w:val="18"/>
              </w:rPr>
            </w:pPr>
            <w:r>
              <w:rPr>
                <w:rFonts w:ascii="宋体" w:hAnsi="宋体" w:cs="宋体" w:eastAsia="宋体" w:hint="default"/>
                <w:spacing w:val="-2"/>
                <w:sz w:val="18"/>
                <w:szCs w:val="18"/>
              </w:rPr>
              <w:t>占其他应收款期末</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余额合计数的比例</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pacing w:val="-2"/>
                <w:sz w:val="18"/>
                <w:szCs w:val="18"/>
              </w:rPr>
              <w:t>坏账准备期末余额</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26"/>
              <w:jc w:val="left"/>
              <w:rPr>
                <w:rFonts w:ascii="宋体" w:hAnsi="宋体" w:cs="宋体" w:eastAsia="宋体" w:hint="default"/>
                <w:sz w:val="18"/>
                <w:szCs w:val="18"/>
              </w:rPr>
            </w:pPr>
            <w:r>
              <w:rPr>
                <w:rFonts w:ascii="宋体" w:hAnsi="宋体" w:cs="宋体" w:eastAsia="宋体" w:hint="default"/>
                <w:spacing w:val="-3"/>
                <w:sz w:val="18"/>
                <w:szCs w:val="18"/>
              </w:rPr>
              <w:t>江苏安诺其化工有限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64,429,639.21</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54.00%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26"/>
              <w:jc w:val="left"/>
              <w:rPr>
                <w:rFonts w:ascii="宋体" w:hAnsi="宋体" w:cs="宋体" w:eastAsia="宋体" w:hint="default"/>
                <w:sz w:val="18"/>
                <w:szCs w:val="18"/>
              </w:rPr>
            </w:pPr>
            <w:r>
              <w:rPr>
                <w:rFonts w:ascii="宋体" w:hAnsi="宋体" w:cs="宋体" w:eastAsia="宋体" w:hint="default"/>
                <w:spacing w:val="-3"/>
                <w:sz w:val="18"/>
                <w:szCs w:val="18"/>
              </w:rPr>
              <w:t>烟台安诺其精细化工</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54,205,479.80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45.43%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r>
      <w:tr>
        <w:trPr>
          <w:trHeight w:val="398"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上海弼兴律师事务所</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知识产权费</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147,105.00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0.12%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7,355.25</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26"/>
              <w:jc w:val="left"/>
              <w:rPr>
                <w:rFonts w:ascii="宋体" w:hAnsi="宋体" w:cs="宋体" w:eastAsia="宋体" w:hint="default"/>
                <w:sz w:val="18"/>
                <w:szCs w:val="18"/>
              </w:rPr>
            </w:pPr>
            <w:r>
              <w:rPr>
                <w:rFonts w:ascii="宋体" w:hAnsi="宋体" w:cs="宋体" w:eastAsia="宋体" w:hint="default"/>
                <w:spacing w:val="-3"/>
                <w:sz w:val="18"/>
                <w:szCs w:val="18"/>
              </w:rPr>
              <w:t>上海国际商品拍卖有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车牌费</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118,400.00</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0.10%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5,920.00</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26"/>
              <w:jc w:val="left"/>
              <w:rPr>
                <w:rFonts w:ascii="宋体" w:hAnsi="宋体" w:cs="宋体" w:eastAsia="宋体" w:hint="default"/>
                <w:sz w:val="18"/>
                <w:szCs w:val="18"/>
              </w:rPr>
            </w:pPr>
            <w:r>
              <w:rPr>
                <w:rFonts w:ascii="宋体" w:hAnsi="宋体" w:cs="宋体" w:eastAsia="宋体" w:hint="default"/>
                <w:spacing w:val="-3"/>
                <w:sz w:val="18"/>
                <w:szCs w:val="18"/>
              </w:rPr>
              <w:t>上海市电力公司青浦</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供电分公司</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暂扣款</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76,179.33</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0.06%</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3,808.97</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118,976,803.34</w:t>
            </w: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99.71%</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17,084.22</w:t>
            </w:r>
          </w:p>
        </w:tc>
      </w:tr>
    </w:tbl>
    <w:p>
      <w:pPr>
        <w:spacing w:after="0" w:line="240" w:lineRule="auto"/>
        <w:jc w:val="right"/>
        <w:rPr>
          <w:rFonts w:ascii="Times New Roman" w:hAnsi="Times New Roman" w:cs="Times New Roman" w:eastAsia="Times New Roman" w:hint="default"/>
          <w:sz w:val="18"/>
          <w:szCs w:val="18"/>
        </w:rPr>
        <w:sectPr>
          <w:pgSz w:w="11900" w:h="16840"/>
          <w:pgMar w:header="742" w:footer="984" w:top="1060" w:bottom="1180" w:left="980" w:right="980"/>
        </w:sectPr>
      </w:pPr>
    </w:p>
    <w:p>
      <w:pPr>
        <w:spacing w:line="240" w:lineRule="auto" w:before="4"/>
        <w:rPr>
          <w:rFonts w:ascii="宋体" w:hAnsi="宋体" w:cs="宋体" w:eastAsia="宋体" w:hint="default"/>
          <w:sz w:val="25"/>
          <w:szCs w:val="25"/>
        </w:rPr>
      </w:pPr>
    </w:p>
    <w:p>
      <w:pPr>
        <w:pStyle w:val="Heading4"/>
        <w:spacing w:line="335" w:lineRule="exact"/>
        <w:ind w:right="0"/>
        <w:jc w:val="left"/>
        <w:rPr>
          <w:b w:val="0"/>
          <w:bCs w:val="0"/>
        </w:rPr>
      </w:pPr>
      <w:r>
        <w:rPr/>
        <w:t>（</w:t>
      </w:r>
      <w:r>
        <w:rPr>
          <w:rFonts w:ascii="Times New Roman" w:hAnsi="Times New Roman" w:cs="Times New Roman" w:eastAsia="Times New Roman" w:hint="default"/>
        </w:rPr>
        <w:t>5</w:t>
      </w:r>
      <w:r>
        <w:rPr/>
        <w:t>）涉及政府补助的应收款项</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026"/>
        <w:gridCol w:w="1867"/>
        <w:gridCol w:w="1867"/>
        <w:gridCol w:w="1877"/>
        <w:gridCol w:w="1922"/>
      </w:tblGrid>
      <w:tr>
        <w:trPr>
          <w:trHeight w:val="159" w:hRule="exact"/>
        </w:trPr>
        <w:tc>
          <w:tcPr>
            <w:tcW w:w="20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8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8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8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681" w:right="53" w:hanging="629"/>
              <w:jc w:val="left"/>
              <w:rPr>
                <w:rFonts w:ascii="宋体" w:hAnsi="宋体" w:cs="宋体" w:eastAsia="宋体" w:hint="default"/>
                <w:sz w:val="18"/>
                <w:szCs w:val="18"/>
              </w:rPr>
            </w:pPr>
            <w:r>
              <w:rPr>
                <w:rFonts w:ascii="宋体" w:hAnsi="宋体" w:cs="宋体" w:eastAsia="宋体" w:hint="default"/>
                <w:spacing w:val="-2"/>
                <w:sz w:val="18"/>
                <w:szCs w:val="18"/>
              </w:rPr>
              <w:t>预计收取的时间、金额</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及依据</w:t>
            </w:r>
          </w:p>
        </w:tc>
      </w:tr>
      <w:tr>
        <w:trPr>
          <w:trHeight w:val="393" w:hRule="exact"/>
        </w:trPr>
        <w:tc>
          <w:tcPr>
            <w:tcW w:w="20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64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56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17"/>
              <w:jc w:val="center"/>
              <w:rPr>
                <w:rFonts w:ascii="宋体" w:hAnsi="宋体" w:cs="宋体" w:eastAsia="宋体" w:hint="default"/>
                <w:sz w:val="18"/>
                <w:szCs w:val="18"/>
              </w:rPr>
            </w:pPr>
            <w:r>
              <w:rPr>
                <w:rFonts w:ascii="宋体" w:hAnsi="宋体" w:cs="宋体" w:eastAsia="宋体" w:hint="default"/>
                <w:sz w:val="18"/>
                <w:szCs w:val="18"/>
              </w:rPr>
              <w:t>期末账龄</w:t>
            </w:r>
          </w:p>
        </w:tc>
        <w:tc>
          <w:tcPr>
            <w:tcW w:w="1922" w:type="dxa"/>
            <w:vMerge/>
            <w:tcBorders>
              <w:left w:val="single" w:sz="4" w:space="0" w:color="000000"/>
              <w:right w:val="single" w:sz="4" w:space="0" w:color="000000"/>
            </w:tcBorders>
            <w:shd w:val="clear" w:color="auto" w:fill="D2D2D2"/>
          </w:tcPr>
          <w:p>
            <w:pPr/>
          </w:p>
        </w:tc>
      </w:tr>
      <w:tr>
        <w:trPr>
          <w:trHeight w:val="158" w:hRule="exact"/>
        </w:trPr>
        <w:tc>
          <w:tcPr>
            <w:tcW w:w="20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8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8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2"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w:t>
            </w:r>
          </w:p>
        </w:tc>
        <w:tc>
          <w:tcPr>
            <w:tcW w:w="1867" w:type="dxa"/>
            <w:tcBorders>
              <w:top w:val="single" w:sz="4" w:space="0" w:color="000000"/>
              <w:left w:val="single" w:sz="10" w:space="0" w:color="D2D2D2"/>
              <w:bottom w:val="single" w:sz="4" w:space="0" w:color="000000"/>
              <w:right w:val="single" w:sz="12" w:space="0" w:color="D2D2D2"/>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0.00</w:t>
            </w:r>
          </w:p>
        </w:tc>
        <w:tc>
          <w:tcPr>
            <w:tcW w:w="1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18"/>
              <w:jc w:val="center"/>
              <w:rPr>
                <w:rFonts w:ascii="Times New Roman" w:hAnsi="Times New Roman" w:cs="Times New Roman" w:eastAsia="Times New Roman" w:hint="default"/>
                <w:sz w:val="18"/>
                <w:szCs w:val="18"/>
              </w:rPr>
            </w:pPr>
            <w:r>
              <w:rPr>
                <w:rFonts w:ascii="Times New Roman"/>
                <w:sz w:val="18"/>
              </w:rPr>
              <w:t>--</w:t>
            </w:r>
          </w:p>
        </w:tc>
        <w:tc>
          <w:tcPr>
            <w:tcW w:w="1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6"/>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8"/>
        <w:gridCol w:w="1366"/>
        <w:gridCol w:w="1368"/>
        <w:gridCol w:w="1368"/>
        <w:gridCol w:w="1363"/>
        <w:gridCol w:w="1368"/>
        <w:gridCol w:w="1368"/>
      </w:tblGrid>
      <w:tr>
        <w:trPr>
          <w:trHeight w:val="197" w:hRule="exact"/>
        </w:trPr>
        <w:tc>
          <w:tcPr>
            <w:tcW w:w="135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2" w:hRule="exact"/>
        </w:trPr>
        <w:tc>
          <w:tcPr>
            <w:tcW w:w="13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17"/>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099" w:type="dxa"/>
            <w:gridSpan w:val="3"/>
            <w:vMerge/>
            <w:tcBorders>
              <w:left w:val="single" w:sz="4" w:space="0" w:color="000000"/>
              <w:bottom w:val="single" w:sz="4" w:space="0" w:color="000000"/>
              <w:right w:val="single" w:sz="4" w:space="0" w:color="000000"/>
            </w:tcBorders>
            <w:shd w:val="clear" w:color="auto" w:fill="D2D2D2"/>
          </w:tcPr>
          <w:p>
            <w:pPr/>
          </w:p>
        </w:tc>
      </w:tr>
      <w:tr>
        <w:trPr>
          <w:trHeight w:val="192" w:hRule="exact"/>
        </w:trPr>
        <w:tc>
          <w:tcPr>
            <w:tcW w:w="1358" w:type="dxa"/>
            <w:vMerge/>
            <w:tcBorders>
              <w:left w:val="single" w:sz="4" w:space="0" w:color="000000"/>
              <w:bottom w:val="nil" w:sz="6" w:space="0" w:color="auto"/>
              <w:right w:val="single" w:sz="4" w:space="0" w:color="000000"/>
            </w:tcBorders>
            <w:shd w:val="clear" w:color="auto" w:fill="D2D2D2"/>
          </w:tcPr>
          <w:p>
            <w:pP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16" w:hRule="exact"/>
        </w:trPr>
        <w:tc>
          <w:tcPr>
            <w:tcW w:w="13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3"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6"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493,366,246.00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493,366,246.00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431,366,246.00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431,366,246.00</w:t>
            </w:r>
          </w:p>
        </w:tc>
      </w:tr>
      <w:tr>
        <w:trPr>
          <w:trHeight w:val="398"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493,366,246.00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493,366,246.00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431,366,246.00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431,366,246.00</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4"/>
        <w:rPr>
          <w:rFonts w:ascii="Microsoft JhengHei" w:hAnsi="Microsoft JhengHei" w:cs="Microsoft JhengHei" w:eastAsia="Microsoft JhengHei" w:hint="default"/>
          <w:b/>
          <w:bCs/>
          <w:sz w:val="17"/>
          <w:szCs w:val="17"/>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45"/>
        <w:gridCol w:w="1339"/>
        <w:gridCol w:w="1334"/>
        <w:gridCol w:w="1334"/>
        <w:gridCol w:w="1334"/>
        <w:gridCol w:w="1392"/>
        <w:gridCol w:w="1387"/>
      </w:tblGrid>
      <w:tr>
        <w:trPr>
          <w:trHeight w:val="715" w:hRule="exact"/>
        </w:trPr>
        <w:tc>
          <w:tcPr>
            <w:tcW w:w="1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600" w:right="55" w:hanging="538"/>
              <w:jc w:val="left"/>
              <w:rPr>
                <w:rFonts w:ascii="宋体" w:hAnsi="宋体" w:cs="宋体" w:eastAsia="宋体" w:hint="default"/>
                <w:sz w:val="18"/>
                <w:szCs w:val="18"/>
              </w:rPr>
            </w:pPr>
            <w:r>
              <w:rPr>
                <w:rFonts w:ascii="宋体" w:hAnsi="宋体" w:cs="宋体" w:eastAsia="宋体" w:hint="default"/>
                <w:spacing w:val="-3"/>
                <w:sz w:val="18"/>
                <w:szCs w:val="18"/>
              </w:rPr>
              <w:t>本期计提减值准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备</w:t>
            </w:r>
          </w:p>
        </w:tc>
        <w:tc>
          <w:tcPr>
            <w:tcW w:w="1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95" w:right="55" w:hanging="538"/>
              <w:jc w:val="left"/>
              <w:rPr>
                <w:rFonts w:ascii="宋体" w:hAnsi="宋体" w:cs="宋体" w:eastAsia="宋体" w:hint="default"/>
                <w:sz w:val="18"/>
                <w:szCs w:val="18"/>
              </w:rPr>
            </w:pPr>
            <w:r>
              <w:rPr>
                <w:rFonts w:ascii="宋体" w:hAnsi="宋体" w:cs="宋体" w:eastAsia="宋体" w:hint="default"/>
                <w:spacing w:val="-3"/>
                <w:sz w:val="18"/>
                <w:szCs w:val="18"/>
              </w:rPr>
              <w:t>减值准备期末余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r>
      <w:tr>
        <w:trPr>
          <w:trHeight w:val="710"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6"/>
              <w:jc w:val="left"/>
              <w:rPr>
                <w:rFonts w:ascii="宋体" w:hAnsi="宋体" w:cs="宋体" w:eastAsia="宋体" w:hint="default"/>
                <w:sz w:val="18"/>
                <w:szCs w:val="18"/>
              </w:rPr>
            </w:pPr>
            <w:r>
              <w:rPr>
                <w:rFonts w:ascii="宋体" w:hAnsi="宋体" w:cs="宋体" w:eastAsia="宋体" w:hint="default"/>
                <w:spacing w:val="-3"/>
                <w:sz w:val="18"/>
                <w:szCs w:val="18"/>
              </w:rPr>
              <w:t>烟台安诺其纺织</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材料有限公司</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84,100,000.00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84,100,000.00</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46"/>
              <w:jc w:val="left"/>
              <w:rPr>
                <w:rFonts w:ascii="宋体" w:hAnsi="宋体" w:cs="宋体" w:eastAsia="宋体" w:hint="default"/>
                <w:sz w:val="18"/>
                <w:szCs w:val="18"/>
              </w:rPr>
            </w:pPr>
            <w:r>
              <w:rPr>
                <w:rFonts w:ascii="宋体" w:hAnsi="宋体" w:cs="宋体" w:eastAsia="宋体" w:hint="default"/>
                <w:spacing w:val="-3"/>
                <w:sz w:val="18"/>
                <w:szCs w:val="18"/>
              </w:rPr>
              <w:t>东营安诺其纺织</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材料有限公司</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204,194,800.00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62,000,000.00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266,194,800.00</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46"/>
              <w:jc w:val="left"/>
              <w:rPr>
                <w:rFonts w:ascii="宋体" w:hAnsi="宋体" w:cs="宋体" w:eastAsia="宋体" w:hint="default"/>
                <w:sz w:val="18"/>
                <w:szCs w:val="18"/>
              </w:rPr>
            </w:pPr>
            <w:r>
              <w:rPr>
                <w:rFonts w:ascii="宋体" w:hAnsi="宋体" w:cs="宋体" w:eastAsia="宋体" w:hint="default"/>
                <w:spacing w:val="-3"/>
                <w:sz w:val="18"/>
                <w:szCs w:val="18"/>
              </w:rPr>
              <w:t>浙江安诺其助剂</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47,816,446.00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47,816,446.00</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6"/>
              <w:jc w:val="left"/>
              <w:rPr>
                <w:rFonts w:ascii="宋体" w:hAnsi="宋体" w:cs="宋体" w:eastAsia="宋体" w:hint="default"/>
                <w:sz w:val="18"/>
                <w:szCs w:val="18"/>
              </w:rPr>
            </w:pPr>
            <w:r>
              <w:rPr>
                <w:rFonts w:ascii="宋体" w:hAnsi="宋体" w:cs="宋体" w:eastAsia="宋体" w:hint="default"/>
                <w:spacing w:val="-3"/>
                <w:sz w:val="18"/>
                <w:szCs w:val="18"/>
              </w:rPr>
              <w:t>嘉兴安诺其化工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255,000.00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255,000.00</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6"/>
              <w:jc w:val="left"/>
              <w:rPr>
                <w:rFonts w:ascii="宋体" w:hAnsi="宋体" w:cs="宋体" w:eastAsia="宋体" w:hint="default"/>
                <w:sz w:val="18"/>
                <w:szCs w:val="18"/>
              </w:rPr>
            </w:pPr>
            <w:r>
              <w:rPr>
                <w:rFonts w:ascii="宋体" w:hAnsi="宋体" w:cs="宋体" w:eastAsia="宋体" w:hint="default"/>
                <w:spacing w:val="-3"/>
                <w:sz w:val="18"/>
                <w:szCs w:val="18"/>
              </w:rPr>
              <w:t>江苏安诺其化工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45,000,000.00</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46"/>
              <w:jc w:val="left"/>
              <w:rPr>
                <w:rFonts w:ascii="宋体" w:hAnsi="宋体" w:cs="宋体" w:eastAsia="宋体" w:hint="default"/>
                <w:sz w:val="18"/>
                <w:szCs w:val="18"/>
              </w:rPr>
            </w:pPr>
            <w:r>
              <w:rPr>
                <w:rFonts w:ascii="宋体" w:hAnsi="宋体" w:cs="宋体" w:eastAsia="宋体" w:hint="default"/>
                <w:spacing w:val="-3"/>
                <w:sz w:val="18"/>
                <w:szCs w:val="18"/>
              </w:rPr>
              <w:t>烟台安诺其精细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化工有限公司</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39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9"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431,366,246.00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59" w:right="0"/>
              <w:jc w:val="left"/>
              <w:rPr>
                <w:rFonts w:ascii="Times New Roman" w:hAnsi="Times New Roman" w:cs="Times New Roman" w:eastAsia="Times New Roman" w:hint="default"/>
                <w:sz w:val="18"/>
                <w:szCs w:val="18"/>
              </w:rPr>
            </w:pPr>
            <w:r>
              <w:rPr>
                <w:rFonts w:ascii="Times New Roman"/>
                <w:sz w:val="18"/>
              </w:rPr>
              <w:t>62,000,000.00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493,366,246.00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0.00</w:t>
            </w:r>
          </w:p>
        </w:tc>
        <w:tc>
          <w:tcPr>
            <w:tcW w:w="13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398"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33" w:right="26"/>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期末余额</w:t>
            </w:r>
          </w:p>
        </w:tc>
      </w:tr>
      <w:tr>
        <w:trPr>
          <w:trHeight w:val="403"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3" w:right="0"/>
              <w:jc w:val="left"/>
              <w:rPr>
                <w:rFonts w:ascii="宋体" w:hAnsi="宋体" w:cs="宋体" w:eastAsia="宋体" w:hint="default"/>
                <w:sz w:val="18"/>
                <w:szCs w:val="18"/>
              </w:rPr>
            </w:pPr>
            <w:r>
              <w:rPr>
                <w:rFonts w:ascii="宋体" w:hAnsi="宋体" w:cs="宋体" w:eastAsia="宋体" w:hint="default"/>
                <w:sz w:val="18"/>
                <w:szCs w:val="18"/>
              </w:rPr>
              <w:t>权益法下</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3" w:right="0"/>
              <w:jc w:val="left"/>
              <w:rPr>
                <w:rFonts w:ascii="宋体" w:hAnsi="宋体" w:cs="宋体" w:eastAsia="宋体" w:hint="default"/>
                <w:sz w:val="18"/>
                <w:szCs w:val="18"/>
              </w:rPr>
            </w:pPr>
            <w:r>
              <w:rPr>
                <w:rFonts w:ascii="宋体" w:hAnsi="宋体" w:cs="宋体" w:eastAsia="宋体" w:hint="default"/>
                <w:sz w:val="18"/>
                <w:szCs w:val="18"/>
              </w:rPr>
              <w:t>其他综合</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3" w:right="0"/>
              <w:jc w:val="left"/>
              <w:rPr>
                <w:rFonts w:ascii="宋体" w:hAnsi="宋体" w:cs="宋体" w:eastAsia="宋体" w:hint="default"/>
                <w:sz w:val="18"/>
                <w:szCs w:val="18"/>
              </w:rPr>
            </w:pPr>
            <w:r>
              <w:rPr>
                <w:rFonts w:ascii="宋体" w:hAnsi="宋体" w:cs="宋体" w:eastAsia="宋体" w:hint="default"/>
                <w:sz w:val="18"/>
                <w:szCs w:val="18"/>
              </w:rPr>
              <w:t>其他权益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3" w:right="0"/>
              <w:jc w:val="left"/>
              <w:rPr>
                <w:rFonts w:ascii="宋体" w:hAnsi="宋体" w:cs="宋体" w:eastAsia="宋体" w:hint="default"/>
                <w:sz w:val="18"/>
                <w:szCs w:val="18"/>
              </w:rPr>
            </w:pPr>
            <w:r>
              <w:rPr>
                <w:rFonts w:ascii="宋体" w:hAnsi="宋体" w:cs="宋体" w:eastAsia="宋体" w:hint="default"/>
                <w:sz w:val="18"/>
                <w:szCs w:val="18"/>
              </w:rPr>
              <w:t>宣告发放</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3" w:right="0"/>
              <w:jc w:val="left"/>
              <w:rPr>
                <w:rFonts w:ascii="宋体" w:hAnsi="宋体" w:cs="宋体" w:eastAsia="宋体" w:hint="default"/>
                <w:sz w:val="18"/>
                <w:szCs w:val="18"/>
              </w:rPr>
            </w:pPr>
            <w:r>
              <w:rPr>
                <w:rFonts w:ascii="宋体" w:hAnsi="宋体" w:cs="宋体" w:eastAsia="宋体" w:hint="default"/>
                <w:sz w:val="18"/>
                <w:szCs w:val="18"/>
              </w:rPr>
              <w:t>计提减值</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00" w:h="16840"/>
          <w:pgMar w:header="742" w:footer="984" w:top="1060" w:bottom="1180" w:left="980" w:right="98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672"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10"/>
              <w:ind w:left="124" w:right="26" w:hanging="92"/>
              <w:jc w:val="left"/>
              <w:rPr>
                <w:rFonts w:ascii="宋体" w:hAnsi="宋体" w:cs="宋体" w:eastAsia="宋体" w:hint="default"/>
                <w:sz w:val="18"/>
                <w:szCs w:val="18"/>
              </w:rPr>
            </w:pPr>
            <w:r>
              <w:rPr>
                <w:rFonts w:ascii="宋体" w:hAnsi="宋体" w:cs="宋体" w:eastAsia="宋体" w:hint="default"/>
                <w:sz w:val="18"/>
                <w:szCs w:val="18"/>
              </w:rPr>
              <w:t>确认的投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资损益</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收益调整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11"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10"/>
              <w:ind w:left="124" w:right="26" w:hanging="92"/>
              <w:jc w:val="left"/>
              <w:rPr>
                <w:rFonts w:ascii="宋体" w:hAnsi="宋体" w:cs="宋体" w:eastAsia="宋体" w:hint="default"/>
                <w:sz w:val="18"/>
                <w:szCs w:val="18"/>
              </w:rPr>
            </w:pPr>
            <w:r>
              <w:rPr>
                <w:rFonts w:ascii="宋体" w:hAnsi="宋体" w:cs="宋体" w:eastAsia="宋体" w:hint="default"/>
                <w:sz w:val="18"/>
                <w:szCs w:val="18"/>
              </w:rPr>
              <w:t>现金股利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或利润</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11"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3"/>
        <w:rPr>
          <w:rFonts w:ascii="宋体" w:hAnsi="宋体" w:cs="宋体" w:eastAsia="宋体" w:hint="default"/>
          <w:sz w:val="19"/>
          <w:szCs w:val="19"/>
        </w:rPr>
      </w:pPr>
    </w:p>
    <w:p>
      <w:pPr>
        <w:pStyle w:val="Heading4"/>
        <w:spacing w:line="335" w:lineRule="exact"/>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2"/>
        <w:gridCol w:w="1836"/>
        <w:gridCol w:w="1915"/>
        <w:gridCol w:w="1910"/>
        <w:gridCol w:w="1915"/>
      </w:tblGrid>
      <w:tr>
        <w:trPr>
          <w:trHeight w:val="197" w:hRule="exact"/>
        </w:trPr>
        <w:tc>
          <w:tcPr>
            <w:tcW w:w="19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7" w:hRule="exact"/>
        </w:trPr>
        <w:tc>
          <w:tcPr>
            <w:tcW w:w="19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751"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2" w:hRule="exact"/>
        </w:trPr>
        <w:tc>
          <w:tcPr>
            <w:tcW w:w="1982" w:type="dxa"/>
            <w:vMerge/>
            <w:tcBorders>
              <w:left w:val="single" w:sz="4" w:space="0" w:color="000000"/>
              <w:bottom w:val="nil" w:sz="6" w:space="0" w:color="auto"/>
              <w:right w:val="single" w:sz="4" w:space="0" w:color="000000"/>
            </w:tcBorders>
            <w:shd w:val="clear" w:color="auto" w:fill="D2D2D2"/>
          </w:tcPr>
          <w:p>
            <w:pPr/>
          </w:p>
        </w:tc>
        <w:tc>
          <w:tcPr>
            <w:tcW w:w="1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5"/>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成本</w:t>
            </w:r>
          </w:p>
        </w:tc>
        <w:tc>
          <w:tcPr>
            <w:tcW w:w="19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16" w:hRule="exact"/>
        </w:trPr>
        <w:tc>
          <w:tcPr>
            <w:tcW w:w="19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6"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0"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455,082,806.63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308,069,516.18</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248,746,375.57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173,181,211.42</w:t>
            </w:r>
          </w:p>
        </w:tc>
      </w:tr>
      <w:tr>
        <w:trPr>
          <w:trHeight w:val="403" w:hRule="exact"/>
        </w:trPr>
        <w:tc>
          <w:tcPr>
            <w:tcW w:w="1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2,153,846.16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2,051,282.04</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8,048,598.29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7,281,880.34</w:t>
            </w:r>
          </w:p>
        </w:tc>
      </w:tr>
      <w:tr>
        <w:trPr>
          <w:trHeight w:val="398" w:hRule="exact"/>
        </w:trPr>
        <w:tc>
          <w:tcPr>
            <w:tcW w:w="1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457,236,652.79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310,120,798.22</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256,794,973.86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180,463,091.76</w:t>
            </w:r>
          </w:p>
        </w:tc>
      </w:tr>
    </w:tbl>
    <w:p>
      <w:pPr>
        <w:spacing w:line="240" w:lineRule="auto" w:before="9"/>
        <w:rPr>
          <w:rFonts w:ascii="宋体" w:hAnsi="宋体" w:cs="宋体" w:eastAsia="宋体" w:hint="default"/>
          <w:sz w:val="17"/>
          <w:szCs w:val="17"/>
        </w:rPr>
      </w:pPr>
    </w:p>
    <w:p>
      <w:pPr>
        <w:pStyle w:val="Heading3"/>
        <w:spacing w:line="367" w:lineRule="exact"/>
        <w:ind w:right="0"/>
        <w:jc w:val="left"/>
        <w:rPr>
          <w:b w:val="0"/>
          <w:bCs w:val="0"/>
        </w:rPr>
      </w:pPr>
      <w:r>
        <w:rPr/>
        <w:t>十四、补充资料</w:t>
      </w:r>
      <w:r>
        <w:rPr>
          <w:b w:val="0"/>
          <w:bCs w:val="0"/>
        </w:rPr>
      </w:r>
    </w:p>
    <w:p>
      <w:pPr>
        <w:spacing w:line="240" w:lineRule="auto" w:before="10"/>
        <w:rPr>
          <w:rFonts w:ascii="Microsoft JhengHei" w:hAnsi="Microsoft JhengHei" w:cs="Microsoft JhengHei" w:eastAsia="Microsoft JhengHei" w:hint="default"/>
          <w:b/>
          <w:bCs/>
          <w:sz w:val="13"/>
          <w:szCs w:val="13"/>
        </w:rPr>
      </w:pPr>
    </w:p>
    <w:p>
      <w:pPr>
        <w:pStyle w:val="Heading4"/>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6"/>
        <w:rPr>
          <w:rFonts w:ascii="Microsoft JhengHei" w:hAnsi="Microsoft JhengHei" w:cs="Microsoft JhengHei" w:eastAsia="Microsoft JhengHei" w:hint="default"/>
          <w:b/>
          <w:bCs/>
          <w:sz w:val="16"/>
          <w:szCs w:val="16"/>
        </w:rPr>
      </w:pPr>
    </w:p>
    <w:p>
      <w:pPr>
        <w:spacing w:before="46"/>
        <w:ind w:left="152"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before="119"/>
        <w:ind w:left="0" w:right="14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0"/>
        <w:gridCol w:w="3187"/>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w:t>
            </w:r>
          </w:p>
        </w:tc>
        <w:tc>
          <w:tcPr>
            <w:tcW w:w="307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-561,843.49</w:t>
            </w:r>
          </w:p>
        </w:tc>
        <w:tc>
          <w:tcPr>
            <w:tcW w:w="3187"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4"/>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切相关，按照国家统一标准定额或定量享</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受的政府补助除外）</w:t>
            </w:r>
          </w:p>
        </w:tc>
        <w:tc>
          <w:tcPr>
            <w:tcW w:w="307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5,254,435.00</w:t>
            </w:r>
          </w:p>
        </w:tc>
        <w:tc>
          <w:tcPr>
            <w:tcW w:w="31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307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-267,307.09</w:t>
            </w:r>
          </w:p>
        </w:tc>
        <w:tc>
          <w:tcPr>
            <w:tcW w:w="31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660,044.35</w:t>
            </w:r>
          </w:p>
        </w:tc>
        <w:tc>
          <w:tcPr>
            <w:tcW w:w="31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w:t>
            </w:r>
          </w:p>
        </w:tc>
        <w:tc>
          <w:tcPr>
            <w:tcW w:w="307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-87,147.96</w:t>
            </w:r>
          </w:p>
        </w:tc>
        <w:tc>
          <w:tcPr>
            <w:tcW w:w="318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0"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3,852,388.03</w:t>
            </w:r>
          </w:p>
        </w:tc>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66"/>
        <w:ind w:left="575" w:right="0"/>
        <w:jc w:val="left"/>
      </w:pPr>
      <w:r>
        <w:rPr>
          <w:spacing w:val="-2"/>
        </w:rPr>
        <w:t>对公司根据《公开发行证券的公司信息披露解释性公告第</w:t>
      </w:r>
      <w:r>
        <w:rPr/>
        <w:t> </w:t>
      </w:r>
      <w:r>
        <w:rPr>
          <w:rFonts w:ascii="Arial" w:hAnsi="Arial" w:cs="Arial" w:eastAsia="Arial" w:hint="default"/>
        </w:rPr>
        <w:t>1</w:t>
      </w:r>
      <w:r>
        <w:rPr>
          <w:rFonts w:ascii="Arial" w:hAnsi="Arial" w:cs="Arial" w:eastAsia="Arial" w:hint="default"/>
          <w:spacing w:val="-5"/>
        </w:rPr>
        <w:t> </w:t>
      </w:r>
      <w:r>
        <w:rPr>
          <w:spacing w:val="-2"/>
        </w:rPr>
        <w:t>号——非经常性损益》定义界定的非经常</w:t>
      </w:r>
    </w:p>
    <w:p>
      <w:pPr>
        <w:pStyle w:val="BodyText"/>
        <w:spacing w:line="386" w:lineRule="auto" w:before="180"/>
        <w:ind w:right="142"/>
        <w:jc w:val="left"/>
      </w:pPr>
      <w:r>
        <w:rPr>
          <w:spacing w:val="-3"/>
        </w:rPr>
        <w:t>性损益项目，以及把《公开发行证券的公司信息披露解释性公告第</w:t>
      </w:r>
      <w:r>
        <w:rPr>
          <w:spacing w:val="-31"/>
        </w:rPr>
        <w:t> </w:t>
      </w:r>
      <w:r>
        <w:rPr>
          <w:rFonts w:ascii="Arial" w:hAnsi="Arial" w:cs="Arial" w:eastAsia="Arial" w:hint="default"/>
        </w:rPr>
        <w:t>1</w:t>
      </w:r>
      <w:r>
        <w:rPr>
          <w:rFonts w:ascii="Arial" w:hAnsi="Arial" w:cs="Arial" w:eastAsia="Arial" w:hint="default"/>
          <w:spacing w:val="13"/>
        </w:rPr>
        <w:t> </w:t>
      </w:r>
      <w:r>
        <w:rPr/>
        <w:t>号——非经常性损益》中列举的非经</w:t>
      </w:r>
      <w:r>
        <w:rPr>
          <w:spacing w:val="-101"/>
        </w:rPr>
        <w:t> </w:t>
      </w:r>
      <w:r>
        <w:rPr>
          <w:spacing w:val="-101"/>
        </w:rPr>
      </w:r>
      <w:r>
        <w:rPr/>
        <w:t>常性损益项目界定为经常性损益的项目，应说明原因。</w:t>
      </w:r>
    </w:p>
    <w:p>
      <w:pPr>
        <w:pStyle w:val="BodyText"/>
        <w:spacing w:line="240" w:lineRule="auto" w:before="67"/>
        <w:ind w:left="575" w:right="0"/>
        <w:jc w:val="left"/>
      </w:pPr>
      <w:r>
        <w:rPr/>
        <w:t>□ 适用 √</w:t>
      </w:r>
      <w:r>
        <w:rPr>
          <w:spacing w:val="3"/>
        </w:rPr>
        <w:t> </w:t>
      </w:r>
      <w:r>
        <w:rPr/>
        <w:t>不适用</w:t>
      </w:r>
    </w:p>
    <w:p>
      <w:pPr>
        <w:spacing w:line="240" w:lineRule="auto" w:before="5"/>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7"/>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664"/>
        <w:gridCol w:w="3077"/>
        <w:gridCol w:w="3826"/>
      </w:tblGrid>
      <w:tr>
        <w:trPr>
          <w:trHeight w:val="401" w:hRule="exact"/>
        </w:trPr>
        <w:tc>
          <w:tcPr>
            <w:tcW w:w="2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73"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28"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bl>
    <w:p>
      <w:pPr>
        <w:spacing w:after="0" w:line="240" w:lineRule="auto"/>
        <w:jc w:val="center"/>
        <w:rPr>
          <w:rFonts w:ascii="宋体" w:hAnsi="宋体" w:cs="宋体" w:eastAsia="宋体" w:hint="default"/>
          <w:sz w:val="18"/>
          <w:szCs w:val="18"/>
        </w:rPr>
        <w:sectPr>
          <w:pgSz w:w="11900" w:h="16840"/>
          <w:pgMar w:header="742" w:footer="984" w:top="1060" w:bottom="1180" w:left="980" w:right="980"/>
        </w:sectPr>
      </w:pPr>
    </w:p>
    <w:p>
      <w:pPr>
        <w:spacing w:line="240" w:lineRule="auto" w:before="12"/>
        <w:rPr>
          <w:rFonts w:ascii="Microsoft JhengHei" w:hAnsi="Microsoft JhengHei" w:cs="Microsoft JhengHei" w:eastAsia="Microsoft JhengHei" w:hint="default"/>
          <w:b/>
          <w:bCs/>
          <w:sz w:val="21"/>
          <w:szCs w:val="21"/>
        </w:rPr>
      </w:pPr>
    </w:p>
    <w:tbl>
      <w:tblPr>
        <w:tblW w:w="0" w:type="auto"/>
        <w:jc w:val="left"/>
        <w:tblInd w:w="160" w:type="dxa"/>
        <w:tblLayout w:type="fixed"/>
        <w:tblCellMar>
          <w:top w:w="0" w:type="dxa"/>
          <w:left w:w="0" w:type="dxa"/>
          <w:bottom w:w="0" w:type="dxa"/>
          <w:right w:w="0" w:type="dxa"/>
        </w:tblCellMar>
        <w:tblLook w:val="01E0"/>
      </w:tblPr>
      <w:tblGrid>
        <w:gridCol w:w="2640"/>
        <w:gridCol w:w="3089"/>
        <w:gridCol w:w="1915"/>
        <w:gridCol w:w="1910"/>
      </w:tblGrid>
      <w:tr>
        <w:trPr>
          <w:trHeight w:val="403" w:hRule="exact"/>
        </w:trPr>
        <w:tc>
          <w:tcPr>
            <w:tcW w:w="26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6"/>
              <w:jc w:val="righ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2"/>
              <w:jc w:val="righ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p>
        </w:tc>
      </w:tr>
      <w:tr>
        <w:trPr>
          <w:trHeight w:val="398" w:hRule="exact"/>
        </w:trPr>
        <w:tc>
          <w:tcPr>
            <w:tcW w:w="2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归属于公司普通股股东的净利润</w:t>
            </w:r>
          </w:p>
        </w:tc>
        <w:tc>
          <w:tcPr>
            <w:tcW w:w="30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12.13%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0.3084</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0.3076</w:t>
            </w:r>
          </w:p>
        </w:tc>
      </w:tr>
      <w:tr>
        <w:trPr>
          <w:trHeight w:val="715" w:hRule="exact"/>
        </w:trPr>
        <w:tc>
          <w:tcPr>
            <w:tcW w:w="2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91"/>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扣除非经常性损益后归属于公司</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普通股股东的净利润</w:t>
            </w:r>
          </w:p>
        </w:tc>
        <w:tc>
          <w:tcPr>
            <w:tcW w:w="308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3"/>
                <w:sz w:val="18"/>
              </w:rPr>
              <w:t>11.67%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0.2966</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0.2958</w:t>
            </w:r>
          </w:p>
        </w:tc>
      </w:tr>
    </w:tbl>
    <w:p>
      <w:pPr>
        <w:spacing w:line="240" w:lineRule="auto" w:before="8"/>
        <w:rPr>
          <w:rFonts w:ascii="Microsoft JhengHei" w:hAnsi="Microsoft JhengHei" w:cs="Microsoft JhengHei" w:eastAsia="Microsoft JhengHei" w:hint="default"/>
          <w:b/>
          <w:bCs/>
          <w:sz w:val="14"/>
          <w:szCs w:val="14"/>
        </w:rPr>
      </w:pPr>
    </w:p>
    <w:p>
      <w:pPr>
        <w:pStyle w:val="Heading4"/>
        <w:spacing w:line="335" w:lineRule="exact"/>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5"/>
        <w:rPr>
          <w:rFonts w:ascii="Microsoft JhengHei" w:hAnsi="Microsoft JhengHei" w:cs="Microsoft JhengHei" w:eastAsia="Microsoft JhengHei" w:hint="default"/>
          <w:b/>
          <w:bCs/>
          <w:sz w:val="14"/>
          <w:szCs w:val="1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240" w:lineRule="auto"/>
        <w:ind w:left="575" w:right="0"/>
        <w:jc w:val="left"/>
      </w:pPr>
      <w:r>
        <w:rPr/>
        <w:t>□ 适用 √</w:t>
      </w:r>
      <w:r>
        <w:rPr>
          <w:spacing w:val="3"/>
        </w:rPr>
        <w:t> </w:t>
      </w:r>
      <w:r>
        <w:rPr/>
        <w:t>不适用</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240" w:lineRule="auto"/>
        <w:ind w:left="575" w:right="0"/>
        <w:jc w:val="left"/>
      </w:pPr>
      <w:r>
        <w:rPr/>
        <w:t>□ 适用 √</w:t>
      </w:r>
      <w:r>
        <w:rPr>
          <w:spacing w:val="3"/>
        </w:rPr>
        <w:t> </w:t>
      </w:r>
      <w:r>
        <w:rPr/>
        <w:t>不适用</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4</w:t>
      </w:r>
      <w:r>
        <w:rPr/>
        <w:t>、会计政策变更相关补充资料</w:t>
      </w:r>
      <w:r>
        <w:rPr>
          <w:b w:val="0"/>
          <w:bCs w:val="0"/>
        </w:rPr>
      </w:r>
    </w:p>
    <w:p>
      <w:pPr>
        <w:spacing w:line="240" w:lineRule="auto" w:before="10"/>
        <w:rPr>
          <w:rFonts w:ascii="Microsoft JhengHei" w:hAnsi="Microsoft JhengHei" w:cs="Microsoft JhengHei" w:eastAsia="Microsoft JhengHei" w:hint="default"/>
          <w:b/>
          <w:bCs/>
          <w:sz w:val="22"/>
          <w:szCs w:val="22"/>
        </w:rPr>
      </w:pPr>
    </w:p>
    <w:p>
      <w:pPr>
        <w:pStyle w:val="BodyText"/>
        <w:spacing w:line="240" w:lineRule="auto"/>
        <w:ind w:left="575" w:right="0"/>
        <w:jc w:val="left"/>
      </w:pPr>
      <w:r>
        <w:rPr/>
        <w:t>□ 适用 √</w:t>
      </w:r>
      <w:r>
        <w:rPr>
          <w:spacing w:val="3"/>
        </w:rPr>
        <w:t> </w:t>
      </w:r>
      <w:r>
        <w:rPr/>
        <w:t>不适用</w:t>
      </w:r>
    </w:p>
    <w:p>
      <w:pPr>
        <w:spacing w:after="0" w:line="240" w:lineRule="auto"/>
        <w:jc w:val="left"/>
        <w:sectPr>
          <w:pgSz w:w="11900" w:h="16840"/>
          <w:pgMar w:header="742" w:footer="984" w:top="1060" w:bottom="1180" w:left="980" w:right="9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Heading1"/>
        <w:spacing w:line="458" w:lineRule="exact"/>
        <w:ind w:left="3440" w:right="0"/>
        <w:jc w:val="left"/>
        <w:rPr>
          <w:b w:val="0"/>
          <w:bCs w:val="0"/>
        </w:rPr>
      </w:pPr>
      <w:bookmarkStart w:name="_TOC_250000" w:id="10"/>
      <w:r>
        <w:rPr/>
        <w:t>第十节 </w:t>
      </w:r>
      <w:r>
        <w:rPr>
          <w:spacing w:val="11"/>
        </w:rPr>
        <w:t> </w:t>
      </w:r>
      <w:r>
        <w:rPr/>
        <w:t>备查文件目录</w:t>
      </w:r>
      <w:bookmarkEnd w:id="10"/>
      <w:r>
        <w:rPr>
          <w:b w:val="0"/>
          <w:bCs w:val="0"/>
        </w:rPr>
      </w:r>
    </w:p>
    <w:p>
      <w:pPr>
        <w:spacing w:line="240" w:lineRule="auto" w:before="3"/>
        <w:rPr>
          <w:rFonts w:ascii="Microsoft JhengHei" w:hAnsi="Microsoft JhengHei" w:cs="Microsoft JhengHei" w:eastAsia="Microsoft JhengHei" w:hint="default"/>
          <w:b/>
          <w:bCs/>
          <w:sz w:val="34"/>
          <w:szCs w:val="34"/>
        </w:rPr>
      </w:pPr>
    </w:p>
    <w:p>
      <w:pPr>
        <w:pStyle w:val="Heading2"/>
        <w:spacing w:line="408" w:lineRule="auto"/>
        <w:ind w:right="0" w:firstLine="561"/>
        <w:jc w:val="left"/>
      </w:pPr>
      <w:r>
        <w:rPr>
          <w:spacing w:val="4"/>
          <w:w w:val="95"/>
        </w:rPr>
        <w:t>一、载有公司法定代表人、主管会计工作负责人、公司会计机构负责人签</w:t>
      </w:r>
      <w:r>
        <w:rPr>
          <w:w w:val="99"/>
        </w:rPr>
        <w:t> </w:t>
      </w:r>
      <w:r>
        <w:rPr/>
        <w:t>名并盖章的财务报表。</w:t>
      </w:r>
    </w:p>
    <w:p>
      <w:pPr>
        <w:pStyle w:val="Heading2"/>
        <w:spacing w:line="408" w:lineRule="auto" w:before="61"/>
        <w:ind w:left="714" w:right="0"/>
        <w:jc w:val="left"/>
      </w:pPr>
      <w:r>
        <w:rPr/>
        <w:t>二、载有会计师事务所盖章、注册会计师签名并盖章的审计报告原件。</w:t>
      </w:r>
      <w:r>
        <w:rPr>
          <w:w w:val="99"/>
        </w:rPr>
        <w:t> </w:t>
      </w:r>
      <w:r>
        <w:rPr>
          <w:spacing w:val="4"/>
          <w:w w:val="95"/>
        </w:rPr>
        <w:t>三、报告期内在中国证监会指定网站上公开披露过的所有公司文件的正本</w:t>
      </w:r>
      <w:r>
        <w:rPr>
          <w:spacing w:val="4"/>
        </w:rPr>
      </w:r>
    </w:p>
    <w:p>
      <w:pPr>
        <w:pStyle w:val="Heading2"/>
        <w:spacing w:line="400" w:lineRule="auto" w:before="61"/>
        <w:ind w:left="714" w:right="1568" w:hanging="562"/>
        <w:jc w:val="left"/>
      </w:pPr>
      <w:r>
        <w:rPr/>
        <w:t>及公告的原稿。</w:t>
      </w:r>
      <w:r>
        <w:rPr>
          <w:w w:val="99"/>
        </w:rPr>
        <w:t> </w:t>
      </w:r>
      <w:r>
        <w:rPr>
          <w:w w:val="95"/>
        </w:rPr>
        <w:t>四、经公司法定代表人签名的</w:t>
      </w:r>
      <w:r>
        <w:rPr>
          <w:rFonts w:ascii="Times New Roman" w:hAnsi="Times New Roman" w:cs="Times New Roman" w:eastAsia="Times New Roman" w:hint="default"/>
          <w:w w:val="95"/>
        </w:rPr>
        <w:t>2014</w:t>
      </w:r>
      <w:r>
        <w:rPr>
          <w:w w:val="95"/>
        </w:rPr>
        <w:t>年年度报告文件原件。</w:t>
      </w:r>
      <w:r>
        <w:rPr>
          <w:w w:val="99"/>
        </w:rPr>
        <w:t> </w:t>
      </w:r>
      <w:r>
        <w:rPr/>
        <w:t>五、其他相关资料。</w:t>
      </w:r>
      <w:r>
        <w:rPr>
          <w:w w:val="99"/>
        </w:rPr>
        <w:t> </w:t>
      </w:r>
      <w:r>
        <w:rPr/>
        <w:t>以上备查文件的备置地点：公司董事会办公室</w:t>
      </w:r>
    </w:p>
    <w:sectPr>
      <w:pgSz w:w="11900" w:h="16840"/>
      <w:pgMar w:header="742" w:footer="984" w:top="106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pt;margin-top:795.501526pt;width:6.6pt;height:11.15pt;mso-position-horizontal-relative:page;mso-position-vertical-relative:page;z-index:-881224"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2.880005pt;margin-top:781.821472pt;width:17.7pt;height:11.15pt;mso-position-horizontal-relative:page;mso-position-vertical-relative:page;z-index:-881008"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2.880005pt;margin-top:781.821472pt;width:17.7pt;height:11.15pt;mso-position-horizontal-relative:page;mso-position-vertical-relative:page;z-index:-880984"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440002pt;margin-top:781.821472pt;width:13.15pt;height:11.15pt;mso-position-horizontal-relative:page;mso-position-vertical-relative:page;z-index:-881200"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440002pt;margin-top:781.821472pt;width:13.15pt;height:11.15pt;mso-position-horizontal-relative:page;mso-position-vertical-relative:page;z-index:-881176"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440002pt;margin-top:781.821472pt;width:13.15pt;height:11.15pt;mso-position-horizontal-relative:page;mso-position-vertical-relative:page;z-index:-881152"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27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440002pt;margin-top:781.821472pt;width:13.15pt;height:11.15pt;mso-position-horizontal-relative:page;mso-position-vertical-relative:page;z-index:-881128"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29</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440002pt;margin-top:781.821472pt;width:13.15pt;height:11.15pt;mso-position-horizontal-relative:page;mso-position-vertical-relative:page;z-index:-881104"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37</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440002pt;margin-top:781.821472pt;width:13.15pt;height:11.15pt;mso-position-horizontal-relative:page;mso-position-vertical-relative:page;z-index:-881080"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58</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440002pt;margin-top:781.821472pt;width:13.15pt;height:11.15pt;mso-position-horizontal-relative:page;mso-position-vertical-relative:page;z-index:-881056"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91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440002pt;margin-top:781.821472pt;width:13.15pt;height:11.15pt;mso-position-horizontal-relative:page;mso-position-vertical-relative:page;z-index:-881032"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92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4.760010pt;margin-top:36.122585pt;width:204.8pt;height:11.65pt;mso-position-horizontal-relative:page;mso-position-vertical-relative:page;z-index:-881248"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上海安诺其集团股份有限公司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96"/>
      <w:ind w:left="152"/>
    </w:pPr>
    <w:rPr>
      <w:rFonts w:ascii="宋体" w:hAnsi="宋体" w:eastAsia="宋体"/>
      <w:sz w:val="28"/>
      <w:szCs w:val="28"/>
    </w:rPr>
  </w:style>
  <w:style w:styleId="BodyText" w:type="paragraph">
    <w:name w:val="Body Text"/>
    <w:basedOn w:val="Normal"/>
    <w:uiPriority w:val="1"/>
    <w:qFormat/>
    <w:pPr>
      <w:ind w:left="152"/>
    </w:pPr>
    <w:rPr>
      <w:rFonts w:ascii="宋体" w:hAnsi="宋体" w:eastAsia="宋体"/>
      <w:sz w:val="21"/>
      <w:szCs w:val="21"/>
    </w:rPr>
  </w:style>
  <w:style w:styleId="Heading1" w:type="paragraph">
    <w:name w:val="Heading 1"/>
    <w:basedOn w:val="Normal"/>
    <w:uiPriority w:val="1"/>
    <w:qFormat/>
    <w:pPr>
      <w:ind w:left="141"/>
      <w:outlineLvl w:val="1"/>
    </w:pPr>
    <w:rPr>
      <w:rFonts w:ascii="Microsoft JhengHei" w:hAnsi="Microsoft JhengHei" w:eastAsia="Microsoft JhengHei"/>
      <w:b/>
      <w:bCs/>
      <w:sz w:val="32"/>
      <w:szCs w:val="32"/>
    </w:rPr>
  </w:style>
  <w:style w:styleId="Heading2" w:type="paragraph">
    <w:name w:val="Heading 2"/>
    <w:basedOn w:val="Normal"/>
    <w:uiPriority w:val="1"/>
    <w:qFormat/>
    <w:pPr>
      <w:ind w:left="152"/>
      <w:outlineLvl w:val="2"/>
    </w:pPr>
    <w:rPr>
      <w:rFonts w:ascii="宋体" w:hAnsi="宋体" w:eastAsia="宋体"/>
      <w:sz w:val="28"/>
      <w:szCs w:val="28"/>
    </w:rPr>
  </w:style>
  <w:style w:styleId="Heading3" w:type="paragraph">
    <w:name w:val="Heading 3"/>
    <w:basedOn w:val="Normal"/>
    <w:uiPriority w:val="1"/>
    <w:qFormat/>
    <w:pPr>
      <w:ind w:left="152"/>
      <w:outlineLvl w:val="3"/>
    </w:pPr>
    <w:rPr>
      <w:rFonts w:ascii="Microsoft JhengHei" w:hAnsi="Microsoft JhengHei" w:eastAsia="Microsoft JhengHei"/>
      <w:b/>
      <w:bCs/>
      <w:sz w:val="24"/>
      <w:szCs w:val="24"/>
    </w:rPr>
  </w:style>
  <w:style w:styleId="Heading4" w:type="paragraph">
    <w:name w:val="Heading 4"/>
    <w:basedOn w:val="Normal"/>
    <w:uiPriority w:val="1"/>
    <w:qFormat/>
    <w:pPr>
      <w:ind w:left="152"/>
      <w:outlineLvl w:val="4"/>
    </w:pPr>
    <w:rPr>
      <w:rFonts w:ascii="Microsoft JhengHei" w:hAnsi="Microsoft JhengHei" w:eastAsia="Microsoft JhengHei"/>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anoky.com.cn/" TargetMode="External"/><Relationship Id="rId10" Type="http://schemas.openxmlformats.org/officeDocument/2006/relationships/hyperlink" Target="mailto:investor@anoky.com.cn"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hyperlink" Target="http://www.cninfo.co/" TargetMode="Externa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image" Target="media/image2.png"/><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2020-05-06T18:38:34Z</dcterms:created>
  <dcterms:modified xsi:type="dcterms:W3CDTF">2020-05-06T18:38:34Z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2015-03-13T00:00:00Z</vt:filetime>
  </property>
  <property fmtid="{D5CDD505-2E9C-101B-9397-08002B2CF9AE}" pid="3" name="LastSaved">
    <vt:filetime>2015-03-13T00:00:00Z</vt:filetime>
  </property>
</Properties>
</file>