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8"/>
        <w:ind w:left="2" w:right="0" w:firstLine="0"/>
        <w:jc w:val="center"/>
        <w:rPr>
          <w:rFonts w:ascii="黑体" w:hAnsi="黑体" w:cs="黑体" w:eastAsia="黑体" w:hint="default"/>
          <w:sz w:val="48"/>
          <w:szCs w:val="48"/>
        </w:rPr>
      </w:pPr>
      <w:r>
        <w:rPr>
          <w:rFonts w:ascii="黑体" w:hAnsi="黑体" w:cs="黑体" w:eastAsia="黑体" w:hint="default"/>
          <w:b/>
          <w:bCs/>
          <w:sz w:val="48"/>
          <w:szCs w:val="48"/>
        </w:rPr>
        <w:t>北京数字政通科技股份有限公司</w:t>
      </w:r>
      <w:r>
        <w:rPr>
          <w:rFonts w:ascii="黑体" w:hAnsi="黑体" w:cs="黑体" w:eastAsia="黑体" w:hint="default"/>
          <w:sz w:val="48"/>
          <w:szCs w:val="48"/>
        </w:rPr>
      </w:r>
    </w:p>
    <w:p>
      <w:pPr>
        <w:pStyle w:val="Heading2"/>
        <w:spacing w:line="240" w:lineRule="auto" w:before="186"/>
        <w:ind w:left="0" w:right="0"/>
        <w:jc w:val="center"/>
        <w:rPr>
          <w:rFonts w:ascii="黑体" w:hAnsi="黑体" w:cs="黑体" w:eastAsia="黑体" w:hint="default"/>
          <w:b w:val="0"/>
          <w:bCs w:val="0"/>
        </w:rPr>
      </w:pPr>
      <w:r>
        <w:rPr>
          <w:rFonts w:ascii="黑体"/>
        </w:rPr>
        <w:t>Beijing eGOVA Co,.</w:t>
      </w:r>
      <w:r>
        <w:rPr>
          <w:rFonts w:ascii="黑体"/>
          <w:spacing w:val="-5"/>
        </w:rPr>
        <w:t> </w:t>
      </w:r>
      <w:r>
        <w:rPr>
          <w:rFonts w:ascii="黑体"/>
        </w:rPr>
        <w:t>Ltd.</w:t>
      </w:r>
      <w:r>
        <w:rPr>
          <w:rFonts w:ascii="黑体"/>
          <w:b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spacing w:line="2112" w:lineRule="exact"/>
        <w:ind w:left="3113" w:right="0" w:firstLine="0"/>
        <w:rPr>
          <w:rFonts w:ascii="黑体" w:hAnsi="黑体" w:cs="黑体" w:eastAsia="黑体" w:hint="default"/>
          <w:sz w:val="20"/>
          <w:szCs w:val="20"/>
        </w:rPr>
      </w:pPr>
      <w:r>
        <w:rPr>
          <w:rFonts w:ascii="黑体" w:hAnsi="黑体" w:cs="黑体" w:eastAsia="黑体" w:hint="default"/>
          <w:position w:val="-41"/>
          <w:sz w:val="20"/>
          <w:szCs w:val="20"/>
        </w:rPr>
        <w:drawing>
          <wp:inline distT="0" distB="0" distL="0" distR="0">
            <wp:extent cx="1498449" cy="1341120"/>
            <wp:effectExtent l="0" t="0" r="0" b="0"/>
            <wp:docPr id="1" name="image2.png" descr="1.jp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98449" cy="1341120"/>
                    </a:xfrm>
                    <a:prstGeom prst="rect">
                      <a:avLst/>
                    </a:prstGeom>
                  </pic:spPr>
                </pic:pic>
              </a:graphicData>
            </a:graphic>
          </wp:inline>
        </w:drawing>
      </w:r>
      <w:r>
        <w:rPr>
          <w:rFonts w:ascii="黑体" w:hAnsi="黑体" w:cs="黑体" w:eastAsia="黑体" w:hint="default"/>
          <w:position w:val="-41"/>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0"/>
          <w:szCs w:val="20"/>
        </w:rPr>
      </w:pPr>
    </w:p>
    <w:p>
      <w:pPr>
        <w:spacing w:line="539" w:lineRule="exact" w:before="0"/>
        <w:ind w:left="2247" w:right="0" w:firstLine="0"/>
        <w:jc w:val="left"/>
        <w:rPr>
          <w:rFonts w:ascii="黑体" w:hAnsi="黑体" w:cs="黑体" w:eastAsia="黑体" w:hint="default"/>
          <w:sz w:val="44"/>
          <w:szCs w:val="44"/>
        </w:rPr>
      </w:pPr>
      <w:r>
        <w:rPr>
          <w:rFonts w:ascii="黑体" w:hAnsi="黑体" w:cs="黑体" w:eastAsia="黑体" w:hint="default"/>
          <w:b/>
          <w:bCs/>
          <w:sz w:val="44"/>
          <w:szCs w:val="44"/>
        </w:rPr>
        <w:t>2010</w:t>
      </w:r>
      <w:r>
        <w:rPr>
          <w:rFonts w:ascii="黑体" w:hAnsi="黑体" w:cs="黑体" w:eastAsia="黑体" w:hint="default"/>
          <w:b/>
          <w:bCs/>
          <w:spacing w:val="-119"/>
          <w:sz w:val="44"/>
          <w:szCs w:val="44"/>
        </w:rPr>
        <w:t> </w:t>
      </w:r>
      <w:r>
        <w:rPr>
          <w:rFonts w:ascii="黑体" w:hAnsi="黑体" w:cs="黑体" w:eastAsia="黑体" w:hint="default"/>
          <w:b/>
          <w:bCs/>
          <w:sz w:val="44"/>
          <w:szCs w:val="44"/>
        </w:rPr>
        <w:t>年年度报告全文</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9"/>
        <w:rPr>
          <w:rFonts w:ascii="黑体" w:hAnsi="黑体" w:cs="黑体" w:eastAsia="黑体" w:hint="default"/>
          <w:b/>
          <w:bCs/>
          <w:sz w:val="37"/>
          <w:szCs w:val="37"/>
        </w:rPr>
      </w:pPr>
    </w:p>
    <w:p>
      <w:pPr>
        <w:pStyle w:val="Heading1"/>
        <w:spacing w:line="386" w:lineRule="auto" w:before="0"/>
        <w:ind w:left="2232" w:right="2504"/>
        <w:jc w:val="left"/>
        <w:rPr>
          <w:b w:val="0"/>
          <w:bCs w:val="0"/>
        </w:rPr>
      </w:pPr>
      <w:r>
        <w:rPr/>
        <w:t>股票代码：</w:t>
      </w:r>
      <w:r>
        <w:rPr>
          <w:rFonts w:ascii="Times New Roman" w:hAnsi="Times New Roman" w:cs="Times New Roman" w:eastAsia="Times New Roman" w:hint="default"/>
        </w:rPr>
        <w:t>300075</w:t>
      </w:r>
      <w:r>
        <w:rPr>
          <w:rFonts w:ascii="Times New Roman" w:hAnsi="Times New Roman" w:cs="Times New Roman" w:eastAsia="Times New Roman" w:hint="default"/>
          <w:spacing w:val="1"/>
        </w:rPr>
        <w:t> </w:t>
      </w:r>
      <w:r>
        <w:rPr/>
        <w:t>股票简称：数字政通</w:t>
      </w:r>
      <w:r>
        <w:rPr>
          <w:w w:val="99"/>
        </w:rPr>
        <w:t> </w:t>
      </w:r>
      <w:r>
        <w:rPr/>
        <w:t>披露日期：</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7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7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b w:val="0"/>
          <w:bCs w:val="0"/>
        </w:rPr>
      </w:r>
    </w:p>
    <w:p>
      <w:pPr>
        <w:spacing w:after="0" w:line="386" w:lineRule="auto"/>
        <w:jc w:val="left"/>
        <w:sectPr>
          <w:headerReference w:type="default" r:id="rId5"/>
          <w:footerReference w:type="default" r:id="rId6"/>
          <w:type w:val="continuous"/>
          <w:pgSz w:w="11910" w:h="16840"/>
          <w:pgMar w:header="850" w:footer="1195" w:top="1380" w:bottom="1380" w:left="1660" w:right="1660"/>
        </w:sectPr>
      </w:pPr>
    </w:p>
    <w:p>
      <w:pPr>
        <w:spacing w:line="240" w:lineRule="auto" w:before="0"/>
        <w:rPr>
          <w:rFonts w:ascii="宋体" w:hAnsi="宋体" w:cs="宋体" w:eastAsia="宋体" w:hint="default"/>
          <w:b/>
          <w:bCs/>
          <w:sz w:val="20"/>
          <w:szCs w:val="20"/>
        </w:rPr>
      </w:pPr>
    </w:p>
    <w:p>
      <w:pPr>
        <w:pStyle w:val="Heading1"/>
        <w:spacing w:line="240" w:lineRule="auto" w:before="168"/>
        <w:ind w:left="3689" w:right="111"/>
        <w:jc w:val="left"/>
        <w:rPr>
          <w:b w:val="0"/>
          <w:bCs w:val="0"/>
        </w:rPr>
      </w:pPr>
      <w:r>
        <w:rPr/>
        <w:t>重要提示</w:t>
      </w:r>
      <w:r>
        <w:rPr>
          <w:b w:val="0"/>
          <w:bCs w:val="0"/>
        </w:rPr>
      </w:r>
    </w:p>
    <w:p>
      <w:pPr>
        <w:spacing w:line="240" w:lineRule="auto" w:before="11"/>
        <w:rPr>
          <w:rFonts w:ascii="宋体" w:hAnsi="宋体" w:cs="宋体" w:eastAsia="宋体" w:hint="default"/>
          <w:b/>
          <w:bCs/>
          <w:sz w:val="29"/>
          <w:szCs w:val="29"/>
        </w:rPr>
      </w:pPr>
    </w:p>
    <w:p>
      <w:pPr>
        <w:pStyle w:val="BodyText"/>
        <w:spacing w:line="374" w:lineRule="auto"/>
        <w:ind w:right="233"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02"/>
        </w:rPr>
        <w:t> </w:t>
      </w:r>
      <w:r>
        <w:rPr>
          <w:spacing w:val="-102"/>
        </w:rPr>
      </w:r>
      <w:r>
        <w:rPr/>
        <w:t>完整性承担个别及连带责任。</w:t>
      </w:r>
    </w:p>
    <w:p>
      <w:pPr>
        <w:pStyle w:val="BodyText"/>
        <w:spacing w:line="372" w:lineRule="auto" w:before="91"/>
        <w:ind w:right="111" w:firstLine="480"/>
        <w:jc w:val="left"/>
      </w:pPr>
      <w:r>
        <w:rPr>
          <w:spacing w:val="-7"/>
        </w:rPr>
        <w:t>公司不存在董事、监事、高级管理人员对本年度报告内容的真实性、准确性、</w:t>
      </w:r>
      <w:r>
        <w:rPr/>
        <w:t> 完整性无法保证或存在异议的情形。</w:t>
      </w:r>
    </w:p>
    <w:p>
      <w:pPr>
        <w:pStyle w:val="BodyText"/>
        <w:spacing w:line="240" w:lineRule="auto" w:before="206"/>
        <w:ind w:left="617" w:right="111"/>
        <w:jc w:val="left"/>
      </w:pPr>
      <w:r>
        <w:rPr/>
        <w:t>公司全体董事均亲自出席本次审议年度报告的董事会会议。</w:t>
      </w:r>
    </w:p>
    <w:p>
      <w:pPr>
        <w:spacing w:line="240" w:lineRule="auto" w:before="12"/>
        <w:rPr>
          <w:rFonts w:ascii="宋体" w:hAnsi="宋体" w:cs="宋体" w:eastAsia="宋体" w:hint="default"/>
          <w:sz w:val="25"/>
          <w:szCs w:val="25"/>
        </w:rPr>
      </w:pPr>
    </w:p>
    <w:p>
      <w:pPr>
        <w:pStyle w:val="BodyText"/>
        <w:spacing w:line="372" w:lineRule="auto"/>
        <w:ind w:right="111" w:firstLine="480"/>
        <w:jc w:val="left"/>
      </w:pPr>
      <w:r>
        <w:rPr>
          <w:spacing w:val="3"/>
        </w:rPr>
        <w:t>公司</w:t>
      </w:r>
      <w:r>
        <w:rPr>
          <w:rFonts w:ascii="宋体" w:hAnsi="宋体" w:cs="宋体" w:eastAsia="宋体" w:hint="default"/>
          <w:spacing w:val="3"/>
        </w:rPr>
        <w:t>2010</w:t>
      </w:r>
      <w:r>
        <w:rPr>
          <w:spacing w:val="3"/>
        </w:rPr>
        <w:t>年年度财务报告已经中瑞岳华事务所有限公司审计并出具了标准</w:t>
      </w:r>
      <w:r>
        <w:rPr>
          <w:spacing w:val="4"/>
        </w:rPr>
        <w:t> </w:t>
      </w:r>
      <w:r>
        <w:rPr/>
        <w:t>无保留意见的审计报告。</w:t>
      </w:r>
    </w:p>
    <w:p>
      <w:pPr>
        <w:pStyle w:val="BodyText"/>
        <w:spacing w:line="240" w:lineRule="auto" w:before="206"/>
        <w:ind w:left="617" w:right="111"/>
        <w:jc w:val="left"/>
      </w:pPr>
      <w:r>
        <w:rPr>
          <w:spacing w:val="-3"/>
        </w:rPr>
        <w:t>公司负责人吴强华先生、主管会计工作负责人殷小敏女士及会计机构负责人</w:t>
      </w:r>
    </w:p>
    <w:p>
      <w:pPr>
        <w:pStyle w:val="BodyText"/>
        <w:spacing w:line="240" w:lineRule="auto" w:before="175"/>
        <w:ind w:right="111"/>
        <w:jc w:val="left"/>
      </w:pPr>
      <w:r>
        <w:rPr>
          <w:rFonts w:ascii="宋体" w:hAnsi="宋体" w:cs="宋体" w:eastAsia="宋体" w:hint="default"/>
        </w:rPr>
        <w:t>(</w:t>
      </w:r>
      <w:r>
        <w:rPr/>
        <w:t>会计主管人员</w:t>
      </w:r>
      <w:r>
        <w:rPr>
          <w:rFonts w:ascii="宋体" w:hAnsi="宋体" w:cs="宋体" w:eastAsia="宋体" w:hint="default"/>
        </w:rPr>
        <w:t>)</w:t>
      </w:r>
      <w:r>
        <w:rPr/>
        <w:t>向华女士声明：保证年度报告中财务报告的真实、完整。</w:t>
      </w:r>
    </w:p>
    <w:p>
      <w:pPr>
        <w:spacing w:after="0" w:line="240" w:lineRule="auto"/>
        <w:jc w:val="left"/>
        <w:sectPr>
          <w:footerReference w:type="default" r:id="rId8"/>
          <w:pgSz w:w="11910" w:h="16840"/>
          <w:pgMar w:footer="979" w:header="850" w:top="1400" w:bottom="1160" w:left="1660" w:right="1560"/>
          <w:pgNumType w:start="1"/>
        </w:sectPr>
      </w:pPr>
    </w:p>
    <w:p>
      <w:pPr>
        <w:spacing w:line="240" w:lineRule="auto" w:before="10"/>
        <w:rPr>
          <w:rFonts w:ascii="宋体" w:hAnsi="宋体" w:cs="宋体" w:eastAsia="宋体" w:hint="default"/>
          <w:sz w:val="19"/>
          <w:szCs w:val="19"/>
        </w:rPr>
      </w:pPr>
    </w:p>
    <w:p>
      <w:pPr>
        <w:pStyle w:val="Heading1"/>
        <w:tabs>
          <w:tab w:pos="602" w:val="left" w:leader="none"/>
        </w:tabs>
        <w:spacing w:line="240" w:lineRule="auto"/>
        <w:ind w:right="0"/>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8434" w:val="right" w:leader="dot"/>
            </w:tabs>
            <w:spacing w:line="240" w:lineRule="auto" w:before="390"/>
            <w:ind w:right="0"/>
            <w:jc w:val="left"/>
            <w:rPr>
              <w:rFonts w:ascii="Times New Roman" w:hAnsi="Times New Roman" w:cs="Times New Roman" w:eastAsia="Times New Roman" w:hint="default"/>
              <w:b w:val="0"/>
              <w:bCs w:val="0"/>
            </w:rPr>
          </w:pPr>
          <w:hyperlink w:history="true" w:anchor="_bookmark0">
            <w:r>
              <w:rPr/>
              <w:t>第一节 公司基本情况介绍</w:t>
            </w:r>
            <w:r>
              <w:rPr>
                <w:rFonts w:ascii="Times New Roman" w:hAnsi="Times New Roman" w:cs="Times New Roman" w:eastAsia="Times New Roman" w:hint="default"/>
                <w:b w:val="0"/>
                <w:bCs w:val="0"/>
              </w:rPr>
              <w:tab/>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会计数据和业务数据摘要</w:t>
            </w:r>
            <w:r>
              <w:rPr>
                <w:rFonts w:ascii="Times New Roman" w:hAnsi="Times New Roman" w:cs="Times New Roman" w:eastAsia="Times New Roman" w:hint="default"/>
                <w:b w:val="0"/>
                <w:bCs w:val="0"/>
              </w:rPr>
              <w:tab/>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董事会报告</w:t>
            </w:r>
            <w:r>
              <w:rPr>
                <w:rFonts w:ascii="Times New Roman" w:hAnsi="Times New Roman" w:cs="Times New Roman" w:eastAsia="Times New Roman" w:hint="default"/>
                <w:b w:val="0"/>
                <w:bCs w:val="0"/>
              </w:rPr>
              <w:tab/>
              <w:t>8</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3">
            <w:r>
              <w:rPr>
                <w:i w:val="0"/>
                <w:sz w:val="24"/>
                <w:szCs w:val="24"/>
              </w:rPr>
              <w:t>第四节 重大事项</w:t>
            </w:r>
            <w:r>
              <w:rPr>
                <w:rFonts w:ascii="Times New Roman" w:hAnsi="Times New Roman" w:cs="Times New Roman" w:eastAsia="Times New Roman" w:hint="default"/>
                <w:b w:val="0"/>
                <w:bCs w:val="0"/>
                <w:i w:val="0"/>
                <w:sz w:val="24"/>
                <w:szCs w:val="24"/>
              </w:rPr>
              <w:tab/>
              <w:t>31</w:t>
            </w:r>
          </w:hyperlink>
        </w:p>
        <w:p>
          <w:pPr>
            <w:pStyle w:val="TOC1"/>
            <w:tabs>
              <w:tab w:pos="8434" w:val="right" w:leader="dot"/>
            </w:tabs>
            <w:spacing w:line="240" w:lineRule="auto" w:before="155"/>
            <w:ind w:right="0"/>
            <w:jc w:val="left"/>
            <w:rPr>
              <w:rFonts w:ascii="Times New Roman" w:hAnsi="Times New Roman" w:cs="Times New Roman" w:eastAsia="Times New Roman" w:hint="default"/>
              <w:b w:val="0"/>
              <w:bCs w:val="0"/>
            </w:rPr>
          </w:pPr>
          <w:hyperlink w:history="true" w:anchor="_bookmark4">
            <w:r>
              <w:rPr/>
              <w:t>第五节 股本变动及股东情况</w:t>
            </w:r>
            <w:r>
              <w:rPr>
                <w:rFonts w:ascii="Times New Roman" w:hAnsi="Times New Roman" w:cs="Times New Roman" w:eastAsia="Times New Roman" w:hint="default"/>
                <w:b w:val="0"/>
                <w:bCs w:val="0"/>
              </w:rPr>
              <w:tab/>
              <w:t>38</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董事、监事、高级管理人员和员工情况</w:t>
            </w:r>
            <w:r>
              <w:rPr>
                <w:rFonts w:ascii="Times New Roman" w:hAnsi="Times New Roman" w:cs="Times New Roman" w:eastAsia="Times New Roman" w:hint="default"/>
                <w:b w:val="0"/>
                <w:bCs w:val="0"/>
              </w:rPr>
              <w:tab/>
              <w:t>43</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6">
            <w:r>
              <w:rPr>
                <w:i w:val="0"/>
                <w:sz w:val="24"/>
                <w:szCs w:val="24"/>
              </w:rPr>
              <w:t>第七节 公司治理结构</w:t>
            </w:r>
            <w:r>
              <w:rPr>
                <w:rFonts w:ascii="Times New Roman" w:hAnsi="Times New Roman" w:cs="Times New Roman" w:eastAsia="Times New Roman" w:hint="default"/>
                <w:b w:val="0"/>
                <w:bCs w:val="0"/>
                <w:i w:val="0"/>
                <w:sz w:val="24"/>
                <w:szCs w:val="24"/>
              </w:rPr>
              <w:tab/>
              <w:t>49</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7">
            <w:r>
              <w:rPr>
                <w:i w:val="0"/>
                <w:sz w:val="24"/>
                <w:szCs w:val="24"/>
              </w:rPr>
              <w:t>第八节 监事会报告</w:t>
            </w:r>
            <w:r>
              <w:rPr>
                <w:rFonts w:ascii="Times New Roman" w:hAnsi="Times New Roman" w:cs="Times New Roman" w:eastAsia="Times New Roman" w:hint="default"/>
                <w:b w:val="0"/>
                <w:bCs w:val="0"/>
                <w:i w:val="0"/>
                <w:sz w:val="24"/>
                <w:szCs w:val="24"/>
              </w:rPr>
              <w:tab/>
              <w:t>60</w:t>
            </w:r>
          </w:hyperlink>
        </w:p>
        <w:p>
          <w:pPr>
            <w:pStyle w:val="TOC2"/>
            <w:tabs>
              <w:tab w:pos="8434" w:val="right" w:leader="dot"/>
            </w:tabs>
            <w:spacing w:line="240" w:lineRule="auto" w:before="155"/>
            <w:ind w:right="0"/>
            <w:jc w:val="left"/>
            <w:rPr>
              <w:rFonts w:ascii="Times New Roman" w:hAnsi="Times New Roman" w:cs="Times New Roman" w:eastAsia="Times New Roman" w:hint="default"/>
              <w:b w:val="0"/>
              <w:bCs w:val="0"/>
              <w:i w:val="0"/>
              <w:sz w:val="24"/>
              <w:szCs w:val="24"/>
            </w:rPr>
          </w:pPr>
          <w:hyperlink w:history="true" w:anchor="_bookmark8">
            <w:r>
              <w:rPr>
                <w:i w:val="0"/>
                <w:sz w:val="24"/>
                <w:szCs w:val="24"/>
              </w:rPr>
              <w:t>第九节 财务报告</w:t>
            </w:r>
            <w:r>
              <w:rPr>
                <w:rFonts w:ascii="Times New Roman" w:hAnsi="Times New Roman" w:cs="Times New Roman" w:eastAsia="Times New Roman" w:hint="default"/>
                <w:b w:val="0"/>
                <w:bCs w:val="0"/>
                <w:i w:val="0"/>
                <w:sz w:val="24"/>
                <w:szCs w:val="24"/>
              </w:rPr>
              <w:tab/>
              <w:t>63</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9">
            <w:r>
              <w:rPr>
                <w:i w:val="0"/>
                <w:sz w:val="24"/>
                <w:szCs w:val="24"/>
              </w:rPr>
              <w:t>第十节 备查文件</w:t>
            </w:r>
            <w:r>
              <w:rPr>
                <w:rFonts w:ascii="Times New Roman" w:hAnsi="Times New Roman" w:cs="Times New Roman" w:eastAsia="Times New Roman" w:hint="default"/>
                <w:b w:val="0"/>
                <w:bCs w:val="0"/>
                <w:i w:val="0"/>
                <w:sz w:val="24"/>
                <w:szCs w:val="24"/>
              </w:rPr>
              <w:tab/>
              <w:t>138</w:t>
            </w:r>
          </w:hyperlink>
        </w:p>
      </w:sdtContent>
    </w:sdt>
    <w:p>
      <w:pPr>
        <w:spacing w:after="0" w:line="240" w:lineRule="auto"/>
        <w:jc w:val="left"/>
        <w:rPr>
          <w:rFonts w:ascii="Times New Roman" w:hAnsi="Times New Roman" w:cs="Times New Roman" w:eastAsia="Times New Roman" w:hint="default"/>
          <w:sz w:val="24"/>
          <w:szCs w:val="24"/>
        </w:rPr>
        <w:sectPr>
          <w:pgSz w:w="11910" w:h="16840"/>
          <w:pgMar w:header="850" w:footer="979" w:top="1400" w:bottom="1160" w:left="1660" w:right="1660"/>
        </w:sectPr>
      </w:pPr>
    </w:p>
    <w:p>
      <w:pPr>
        <w:pStyle w:val="Heading2"/>
        <w:spacing w:line="240" w:lineRule="auto" w:before="285"/>
        <w:ind w:left="2676" w:right="0"/>
        <w:jc w:val="left"/>
        <w:rPr>
          <w:b w:val="0"/>
          <w:bCs w:val="0"/>
        </w:rPr>
      </w:pPr>
      <w:bookmarkStart w:name="第一节 公司基本情况介绍" w:id="1"/>
      <w:bookmarkEnd w:id="1"/>
      <w:r>
        <w:rPr>
          <w:b w:val="0"/>
          <w:bCs w:val="0"/>
        </w:rPr>
      </w:r>
      <w:bookmarkStart w:name="_bookmark0" w:id="2"/>
      <w:bookmarkEnd w:id="2"/>
      <w:r>
        <w:rPr>
          <w:b w:val="0"/>
          <w:bCs w:val="0"/>
        </w:rPr>
      </w:r>
      <w:r>
        <w:rPr/>
        <w:t>第一节</w:t>
      </w:r>
      <w:r>
        <w:rPr>
          <w:spacing w:val="-2"/>
        </w:rPr>
        <w:t> </w:t>
      </w:r>
      <w:r>
        <w:rPr/>
        <w:t>公司基本情况介绍</w:t>
      </w:r>
      <w:r>
        <w:rPr>
          <w:b w:val="0"/>
          <w:bCs w:val="0"/>
        </w:rPr>
      </w:r>
    </w:p>
    <w:p>
      <w:pPr>
        <w:spacing w:line="240" w:lineRule="auto" w:before="5"/>
        <w:rPr>
          <w:rFonts w:ascii="宋体" w:hAnsi="宋体" w:cs="宋体" w:eastAsia="宋体" w:hint="default"/>
          <w:b/>
          <w:bCs/>
          <w:sz w:val="30"/>
          <w:szCs w:val="30"/>
        </w:rPr>
      </w:pPr>
    </w:p>
    <w:p>
      <w:pPr>
        <w:pStyle w:val="Heading3"/>
        <w:spacing w:line="240" w:lineRule="auto" w:before="0"/>
        <w:ind w:left="137" w:right="0"/>
        <w:jc w:val="left"/>
        <w:rPr>
          <w:b w:val="0"/>
          <w:bCs w:val="0"/>
        </w:rPr>
      </w:pPr>
      <w:r>
        <w:rPr/>
        <w:t>一、公司基本情况</w:t>
      </w:r>
      <w:r>
        <w:rPr>
          <w:b w:val="0"/>
          <w:bCs w:val="0"/>
        </w:rPr>
      </w:r>
    </w:p>
    <w:p>
      <w:pPr>
        <w:spacing w:line="240" w:lineRule="auto" w:before="12"/>
        <w:rPr>
          <w:rFonts w:ascii="宋体" w:hAnsi="宋体" w:cs="宋体" w:eastAsia="宋体" w:hint="default"/>
          <w:b/>
          <w:bCs/>
          <w:sz w:val="25"/>
          <w:szCs w:val="25"/>
        </w:rPr>
      </w:pPr>
    </w:p>
    <w:p>
      <w:pPr>
        <w:pStyle w:val="BodyText"/>
        <w:spacing w:line="364" w:lineRule="auto"/>
        <w:ind w:left="617" w:right="2909"/>
        <w:jc w:val="left"/>
      </w:pPr>
      <w:r>
        <w:rPr/>
        <w:t>法定中文名称：北京数字政通科技股份有限公司 法定英文名称：</w:t>
      </w:r>
      <w:r>
        <w:rPr>
          <w:rFonts w:ascii="Times New Roman" w:hAnsi="Times New Roman" w:cs="Times New Roman" w:eastAsia="Times New Roman" w:hint="default"/>
        </w:rPr>
        <w:t>Beijing eGOVA Co,.</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rPr>
        <w:t> </w:t>
      </w:r>
      <w:r>
        <w:rPr/>
        <w:t>中文简称：数字政通</w:t>
      </w:r>
    </w:p>
    <w:p>
      <w:pPr>
        <w:pStyle w:val="BodyText"/>
        <w:spacing w:line="352" w:lineRule="auto" w:before="48"/>
        <w:ind w:left="617" w:right="5789"/>
        <w:jc w:val="left"/>
      </w:pPr>
      <w:r>
        <w:rPr/>
        <w:t>英文简称：</w:t>
      </w:r>
      <w:r>
        <w:rPr>
          <w:rFonts w:ascii="Times New Roman" w:hAnsi="Times New Roman" w:cs="Times New Roman" w:eastAsia="Times New Roman" w:hint="default"/>
        </w:rPr>
        <w:t>eGOVA</w:t>
      </w:r>
      <w:r>
        <w:rPr>
          <w:rFonts w:ascii="Times New Roman" w:hAnsi="Times New Roman" w:cs="Times New Roman" w:eastAsia="Times New Roman" w:hint="default"/>
          <w:spacing w:val="-1"/>
          <w:w w:val="99"/>
        </w:rPr>
        <w:t> </w:t>
      </w:r>
      <w:r>
        <w:rPr/>
        <w:t>法定代表人：吴强华</w:t>
      </w:r>
    </w:p>
    <w:p>
      <w:pPr>
        <w:pStyle w:val="BodyText"/>
        <w:spacing w:line="352" w:lineRule="auto" w:before="62"/>
        <w:ind w:left="617" w:right="675"/>
        <w:jc w:val="left"/>
        <w:rPr>
          <w:rFonts w:ascii="Times New Roman" w:hAnsi="Times New Roman" w:cs="Times New Roman" w:eastAsia="Times New Roman" w:hint="default"/>
        </w:rPr>
      </w:pPr>
      <w:r>
        <w:rPr/>
        <w:t>注册地址：北京市海淀区西直门北大街</w:t>
      </w:r>
      <w:r>
        <w:rPr>
          <w:spacing w:val="-6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号节能大厦</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层</w:t>
      </w:r>
      <w:r>
        <w:rPr>
          <w:spacing w:val="-61"/>
        </w:rPr>
        <w:t> </w:t>
      </w:r>
      <w:r>
        <w:rPr>
          <w:rFonts w:ascii="Times New Roman" w:hAnsi="Times New Roman" w:cs="Times New Roman" w:eastAsia="Times New Roman" w:hint="default"/>
        </w:rPr>
        <w:t>701-707</w:t>
      </w:r>
      <w:r>
        <w:rPr>
          <w:rFonts w:ascii="Times New Roman" w:hAnsi="Times New Roman" w:cs="Times New Roman" w:eastAsia="Times New Roman" w:hint="default"/>
          <w:spacing w:val="-1"/>
        </w:rPr>
        <w:t> </w:t>
      </w:r>
      <w:r>
        <w:rPr/>
        <w:t>室 邮政编码：</w:t>
      </w:r>
      <w:r>
        <w:rPr>
          <w:rFonts w:ascii="Times New Roman" w:hAnsi="Times New Roman" w:cs="Times New Roman" w:eastAsia="Times New Roman" w:hint="default"/>
        </w:rPr>
        <w:t>100082</w:t>
      </w:r>
    </w:p>
    <w:p>
      <w:pPr>
        <w:pStyle w:val="BodyText"/>
        <w:spacing w:line="352" w:lineRule="auto" w:before="30"/>
        <w:ind w:left="617" w:right="509"/>
        <w:jc w:val="left"/>
        <w:rPr>
          <w:rFonts w:ascii="Times New Roman" w:hAnsi="Times New Roman" w:cs="Times New Roman" w:eastAsia="Times New Roman" w:hint="default"/>
        </w:rPr>
      </w:pPr>
      <w:r>
        <w:rPr/>
        <w:t>办公地址：北京市海淀区西直门北大街</w:t>
      </w:r>
      <w:r>
        <w:rPr>
          <w:spacing w:val="-60"/>
        </w:rPr>
        <w:t> </w:t>
      </w:r>
      <w:r>
        <w:rPr>
          <w:rFonts w:ascii="Times New Roman" w:hAnsi="Times New Roman" w:cs="Times New Roman" w:eastAsia="Times New Roman" w:hint="default"/>
        </w:rPr>
        <w:t>32 </w:t>
      </w:r>
      <w:r>
        <w:rPr/>
        <w:t>号枫蓝国际中心</w:t>
      </w:r>
      <w:r>
        <w:rPr>
          <w:spacing w:val="-60"/>
        </w:rPr>
        <w:t> </w:t>
      </w:r>
      <w:r>
        <w:rPr>
          <w:rFonts w:ascii="Times New Roman" w:hAnsi="Times New Roman" w:cs="Times New Roman" w:eastAsia="Times New Roman" w:hint="default"/>
        </w:rPr>
        <w:t>1 </w:t>
      </w:r>
      <w:r>
        <w:rPr/>
        <w:t>号楼</w:t>
      </w:r>
      <w:r>
        <w:rPr>
          <w:spacing w:val="-60"/>
        </w:rPr>
        <w:t> </w:t>
      </w:r>
      <w:r>
        <w:rPr>
          <w:rFonts w:ascii="Times New Roman" w:hAnsi="Times New Roman" w:cs="Times New Roman" w:eastAsia="Times New Roman" w:hint="default"/>
        </w:rPr>
        <w:t>18 </w:t>
      </w:r>
      <w:r>
        <w:rPr/>
        <w:t>层 邮政编码：</w:t>
      </w:r>
      <w:r>
        <w:rPr>
          <w:rFonts w:ascii="Times New Roman" w:hAnsi="Times New Roman" w:cs="Times New Roman" w:eastAsia="Times New Roman" w:hint="default"/>
        </w:rPr>
        <w:t>100082</w:t>
      </w:r>
    </w:p>
    <w:p>
      <w:pPr>
        <w:pStyle w:val="BodyText"/>
        <w:spacing w:line="352" w:lineRule="auto" w:before="32"/>
        <w:ind w:left="617" w:right="4596"/>
        <w:jc w:val="left"/>
        <w:rPr>
          <w:rFonts w:ascii="Times New Roman" w:hAnsi="Times New Roman" w:cs="Times New Roman" w:eastAsia="Times New Roman" w:hint="default"/>
        </w:rPr>
      </w:pPr>
      <w:r>
        <w:rPr/>
        <w:t>互联网地址：</w:t>
      </w:r>
      <w:hyperlink r:id="rId9">
        <w:r>
          <w:rPr>
            <w:rFonts w:ascii="Times New Roman" w:hAnsi="Times New Roman" w:cs="Times New Roman" w:eastAsia="Times New Roman" w:hint="default"/>
          </w:rPr>
          <w:t>www.egova.com.cn</w:t>
        </w:r>
      </w:hyperlink>
      <w:r>
        <w:rPr>
          <w:rFonts w:ascii="Times New Roman" w:hAnsi="Times New Roman" w:cs="Times New Roman" w:eastAsia="Times New Roman" w:hint="default"/>
        </w:rPr>
        <w:t> </w:t>
      </w:r>
      <w:r>
        <w:rPr/>
        <w:t>电子邮箱：</w:t>
      </w:r>
      <w:hyperlink r:id="rId10">
        <w:r>
          <w:rPr>
            <w:rFonts w:ascii="Times New Roman" w:hAnsi="Times New Roman" w:cs="Times New Roman" w:eastAsia="Times New Roman" w:hint="default"/>
          </w:rPr>
          <w:t>egova@egova.com</w:t>
        </w:r>
      </w:hyperlink>
    </w:p>
    <w:p>
      <w:pPr>
        <w:pStyle w:val="Heading3"/>
        <w:spacing w:line="240" w:lineRule="auto" w:before="193"/>
        <w:ind w:left="137" w:right="0"/>
        <w:jc w:val="left"/>
        <w:rPr>
          <w:b w:val="0"/>
          <w:bCs w:val="0"/>
        </w:rPr>
      </w:pPr>
      <w:r>
        <w:rPr/>
        <w:t>二、董事会秘书和证券事务代表</w:t>
      </w:r>
      <w:r>
        <w:rPr>
          <w:b w:val="0"/>
          <w:bCs w:val="0"/>
        </w:rPr>
      </w:r>
    </w:p>
    <w:p>
      <w:pPr>
        <w:spacing w:line="240" w:lineRule="auto" w:before="13"/>
        <w:rPr>
          <w:rFonts w:ascii="宋体" w:hAnsi="宋体" w:cs="宋体" w:eastAsia="宋体" w:hint="default"/>
          <w:b/>
          <w:bCs/>
          <w:sz w:val="21"/>
          <w:szCs w:val="21"/>
        </w:rPr>
      </w:pPr>
    </w:p>
    <w:tbl>
      <w:tblPr>
        <w:tblW w:w="0" w:type="auto"/>
        <w:jc w:val="left"/>
        <w:tblInd w:w="189" w:type="dxa"/>
        <w:tblLayout w:type="fixed"/>
        <w:tblCellMar>
          <w:top w:w="0" w:type="dxa"/>
          <w:left w:w="0" w:type="dxa"/>
          <w:bottom w:w="0" w:type="dxa"/>
          <w:right w:w="0" w:type="dxa"/>
        </w:tblCellMar>
        <w:tblLook w:val="01E0"/>
      </w:tblPr>
      <w:tblGrid>
        <w:gridCol w:w="1549"/>
        <w:gridCol w:w="3360"/>
        <w:gridCol w:w="3302"/>
      </w:tblGrid>
      <w:tr>
        <w:trPr>
          <w:trHeight w:val="499" w:hRule="exact"/>
        </w:trPr>
        <w:tc>
          <w:tcPr>
            <w:tcW w:w="154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33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72"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3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923"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99" w:hRule="exact"/>
        </w:trPr>
        <w:tc>
          <w:tcPr>
            <w:tcW w:w="1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3"/>
              <w:jc w:val="center"/>
              <w:rPr>
                <w:rFonts w:ascii="宋体" w:hAnsi="宋体" w:cs="宋体" w:eastAsia="宋体" w:hint="default"/>
                <w:sz w:val="24"/>
                <w:szCs w:val="24"/>
              </w:rPr>
            </w:pPr>
            <w:r>
              <w:rPr>
                <w:rFonts w:ascii="宋体" w:hAnsi="宋体" w:cs="宋体" w:eastAsia="宋体" w:hint="default"/>
                <w:sz w:val="24"/>
                <w:szCs w:val="24"/>
              </w:rPr>
              <w:t>姓名</w:t>
            </w:r>
          </w:p>
        </w:tc>
        <w:tc>
          <w:tcPr>
            <w:tcW w:w="336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24"/>
                <w:szCs w:val="24"/>
              </w:rPr>
            </w:pPr>
            <w:r>
              <w:rPr>
                <w:rFonts w:ascii="宋体" w:hAnsi="宋体" w:cs="宋体" w:eastAsia="宋体" w:hint="default"/>
                <w:sz w:val="24"/>
                <w:szCs w:val="24"/>
              </w:rPr>
              <w:t>陈睿</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彭芬</w:t>
            </w:r>
          </w:p>
        </w:tc>
      </w:tr>
      <w:tr>
        <w:trPr>
          <w:trHeight w:val="250" w:hRule="exact"/>
        </w:trPr>
        <w:tc>
          <w:tcPr>
            <w:tcW w:w="1549" w:type="dxa"/>
            <w:tcBorders>
              <w:top w:val="single" w:sz="4" w:space="0" w:color="000000"/>
              <w:left w:val="single" w:sz="4" w:space="0" w:color="000000"/>
              <w:bottom w:val="nil" w:sz="6" w:space="0" w:color="auto"/>
              <w:right w:val="single" w:sz="4" w:space="0" w:color="000000"/>
            </w:tcBorders>
            <w:shd w:val="clear" w:color="auto" w:fill="DDDDDD"/>
          </w:tcPr>
          <w:p>
            <w:pPr/>
          </w:p>
        </w:tc>
        <w:tc>
          <w:tcPr>
            <w:tcW w:w="3360" w:type="dxa"/>
            <w:vMerge w:val="restart"/>
            <w:tcBorders>
              <w:top w:val="single" w:sz="4" w:space="0" w:color="000000"/>
              <w:left w:val="single" w:sz="9" w:space="0" w:color="DDDDDD"/>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北京市海淀区西直门北大街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32</w:t>
            </w:r>
          </w:p>
          <w:p>
            <w:pPr>
              <w:pStyle w:val="TableParagraph"/>
              <w:spacing w:line="240" w:lineRule="auto" w:before="157"/>
              <w:ind w:left="15" w:right="0"/>
              <w:jc w:val="left"/>
              <w:rPr>
                <w:rFonts w:ascii="宋体" w:hAnsi="宋体" w:cs="宋体" w:eastAsia="宋体" w:hint="default"/>
                <w:sz w:val="24"/>
                <w:szCs w:val="24"/>
              </w:rPr>
            </w:pPr>
            <w:r>
              <w:rPr>
                <w:rFonts w:ascii="宋体" w:hAnsi="宋体" w:cs="宋体" w:eastAsia="宋体" w:hint="default"/>
                <w:sz w:val="24"/>
                <w:szCs w:val="24"/>
              </w:rPr>
              <w:t>号枫蓝国际中心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层</w:t>
            </w:r>
          </w:p>
        </w:tc>
        <w:tc>
          <w:tcPr>
            <w:tcW w:w="3302" w:type="dxa"/>
            <w:vMerge w:val="restart"/>
            <w:tcBorders>
              <w:top w:val="single" w:sz="4" w:space="0" w:color="000000"/>
              <w:left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北京市海淀区西直门北大街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32</w:t>
            </w:r>
          </w:p>
          <w:p>
            <w:pPr>
              <w:pStyle w:val="TableParagraph"/>
              <w:spacing w:line="240" w:lineRule="auto" w:before="157"/>
              <w:ind w:left="21" w:right="0"/>
              <w:jc w:val="left"/>
              <w:rPr>
                <w:rFonts w:ascii="宋体" w:hAnsi="宋体" w:cs="宋体" w:eastAsia="宋体" w:hint="default"/>
                <w:sz w:val="24"/>
                <w:szCs w:val="24"/>
              </w:rPr>
            </w:pPr>
            <w:r>
              <w:rPr>
                <w:rFonts w:ascii="宋体" w:hAnsi="宋体" w:cs="宋体" w:eastAsia="宋体" w:hint="default"/>
                <w:sz w:val="24"/>
                <w:szCs w:val="24"/>
              </w:rPr>
              <w:t>号枫蓝国际中心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层</w:t>
            </w:r>
          </w:p>
        </w:tc>
      </w:tr>
      <w:tr>
        <w:trPr>
          <w:trHeight w:val="490" w:hRule="exact"/>
        </w:trPr>
        <w:tc>
          <w:tcPr>
            <w:tcW w:w="1549"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right="13"/>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360" w:type="dxa"/>
            <w:vMerge/>
            <w:tcBorders>
              <w:left w:val="single" w:sz="9" w:space="0" w:color="DDDDDD"/>
              <w:right w:val="single" w:sz="4" w:space="0" w:color="000000"/>
            </w:tcBorders>
          </w:tcPr>
          <w:p>
            <w:pPr/>
          </w:p>
        </w:tc>
        <w:tc>
          <w:tcPr>
            <w:tcW w:w="3302" w:type="dxa"/>
            <w:vMerge/>
            <w:tcBorders>
              <w:left w:val="single" w:sz="4" w:space="0" w:color="000000"/>
              <w:right w:val="single" w:sz="4" w:space="0" w:color="000000"/>
            </w:tcBorders>
          </w:tcPr>
          <w:p>
            <w:pPr/>
          </w:p>
        </w:tc>
      </w:tr>
      <w:tr>
        <w:trPr>
          <w:trHeight w:val="247" w:hRule="exact"/>
        </w:trPr>
        <w:tc>
          <w:tcPr>
            <w:tcW w:w="1549" w:type="dxa"/>
            <w:tcBorders>
              <w:top w:val="nil" w:sz="6" w:space="0" w:color="auto"/>
              <w:left w:val="single" w:sz="4" w:space="0" w:color="000000"/>
              <w:bottom w:val="single" w:sz="4" w:space="0" w:color="000000"/>
              <w:right w:val="single" w:sz="4" w:space="0" w:color="000000"/>
            </w:tcBorders>
            <w:shd w:val="clear" w:color="auto" w:fill="DDDDDD"/>
          </w:tcPr>
          <w:p>
            <w:pPr/>
          </w:p>
        </w:tc>
        <w:tc>
          <w:tcPr>
            <w:tcW w:w="3360" w:type="dxa"/>
            <w:vMerge/>
            <w:tcBorders>
              <w:left w:val="single" w:sz="9" w:space="0" w:color="DDDDDD"/>
              <w:bottom w:val="single" w:sz="4" w:space="0" w:color="000000"/>
              <w:right w:val="single" w:sz="4" w:space="0" w:color="000000"/>
            </w:tcBorders>
          </w:tcPr>
          <w:p>
            <w:pPr/>
          </w:p>
        </w:tc>
        <w:tc>
          <w:tcPr>
            <w:tcW w:w="3302" w:type="dxa"/>
            <w:vMerge/>
            <w:tcBorders>
              <w:left w:val="single" w:sz="4" w:space="0" w:color="000000"/>
              <w:bottom w:val="single" w:sz="4" w:space="0" w:color="000000"/>
              <w:right w:val="single" w:sz="4" w:space="0" w:color="000000"/>
            </w:tcBorders>
          </w:tcPr>
          <w:p>
            <w:pPr/>
          </w:p>
        </w:tc>
      </w:tr>
      <w:tr>
        <w:trPr>
          <w:trHeight w:val="499" w:hRule="exact"/>
        </w:trPr>
        <w:tc>
          <w:tcPr>
            <w:tcW w:w="1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right="13"/>
              <w:jc w:val="center"/>
              <w:rPr>
                <w:rFonts w:ascii="宋体" w:hAnsi="宋体" w:cs="宋体" w:eastAsia="宋体" w:hint="default"/>
                <w:sz w:val="24"/>
                <w:szCs w:val="24"/>
              </w:rPr>
            </w:pPr>
            <w:r>
              <w:rPr>
                <w:rFonts w:ascii="宋体" w:hAnsi="宋体" w:cs="宋体" w:eastAsia="宋体" w:hint="default"/>
                <w:sz w:val="24"/>
                <w:szCs w:val="24"/>
              </w:rPr>
              <w:t>电话</w:t>
            </w:r>
          </w:p>
        </w:tc>
        <w:tc>
          <w:tcPr>
            <w:tcW w:w="336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7"/>
              <w:ind w:left="9" w:right="0"/>
              <w:jc w:val="left"/>
              <w:rPr>
                <w:rFonts w:ascii="Times New Roman" w:hAnsi="Times New Roman" w:cs="Times New Roman" w:eastAsia="Times New Roman" w:hint="default"/>
                <w:sz w:val="24"/>
                <w:szCs w:val="24"/>
              </w:rPr>
            </w:pPr>
            <w:r>
              <w:rPr>
                <w:rFonts w:ascii="Times New Roman"/>
                <w:sz w:val="24"/>
              </w:rPr>
              <w:t>010-62212336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Times New Roman" w:hAnsi="Times New Roman" w:cs="Times New Roman" w:eastAsia="Times New Roman" w:hint="default"/>
                <w:sz w:val="24"/>
                <w:szCs w:val="24"/>
              </w:rPr>
            </w:pPr>
            <w:r>
              <w:rPr>
                <w:rFonts w:ascii="Times New Roman"/>
                <w:sz w:val="24"/>
              </w:rPr>
              <w:t>010-62212336</w:t>
            </w:r>
          </w:p>
        </w:tc>
      </w:tr>
      <w:tr>
        <w:trPr>
          <w:trHeight w:val="499" w:hRule="exact"/>
        </w:trPr>
        <w:tc>
          <w:tcPr>
            <w:tcW w:w="1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right="13"/>
              <w:jc w:val="center"/>
              <w:rPr>
                <w:rFonts w:ascii="宋体" w:hAnsi="宋体" w:cs="宋体" w:eastAsia="宋体" w:hint="default"/>
                <w:sz w:val="24"/>
                <w:szCs w:val="24"/>
              </w:rPr>
            </w:pPr>
            <w:r>
              <w:rPr>
                <w:rFonts w:ascii="宋体" w:hAnsi="宋体" w:cs="宋体" w:eastAsia="宋体" w:hint="default"/>
                <w:sz w:val="24"/>
                <w:szCs w:val="24"/>
              </w:rPr>
              <w:t>传真</w:t>
            </w:r>
          </w:p>
        </w:tc>
        <w:tc>
          <w:tcPr>
            <w:tcW w:w="336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7"/>
              <w:ind w:left="9" w:right="0"/>
              <w:jc w:val="left"/>
              <w:rPr>
                <w:rFonts w:ascii="Times New Roman" w:hAnsi="Times New Roman" w:cs="Times New Roman" w:eastAsia="Times New Roman" w:hint="default"/>
                <w:sz w:val="24"/>
                <w:szCs w:val="24"/>
              </w:rPr>
            </w:pPr>
            <w:r>
              <w:rPr>
                <w:rFonts w:ascii="Times New Roman"/>
                <w:sz w:val="24"/>
              </w:rPr>
              <w:t>010-62212336-656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Times New Roman" w:hAnsi="Times New Roman" w:cs="Times New Roman" w:eastAsia="Times New Roman" w:hint="default"/>
                <w:sz w:val="24"/>
                <w:szCs w:val="24"/>
              </w:rPr>
            </w:pPr>
            <w:r>
              <w:rPr>
                <w:rFonts w:ascii="Times New Roman"/>
                <w:sz w:val="24"/>
              </w:rPr>
              <w:t>010-62212336-656</w:t>
            </w:r>
          </w:p>
        </w:tc>
      </w:tr>
      <w:tr>
        <w:trPr>
          <w:trHeight w:val="499" w:hRule="exact"/>
        </w:trPr>
        <w:tc>
          <w:tcPr>
            <w:tcW w:w="1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3"/>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36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4"/>
              <w:ind w:left="9" w:right="0"/>
              <w:jc w:val="left"/>
              <w:rPr>
                <w:rFonts w:ascii="Times New Roman" w:hAnsi="Times New Roman" w:cs="Times New Roman" w:eastAsia="Times New Roman" w:hint="default"/>
                <w:sz w:val="24"/>
                <w:szCs w:val="24"/>
              </w:rPr>
            </w:pPr>
            <w:hyperlink r:id="rId10">
              <w:r>
                <w:rPr>
                  <w:rFonts w:ascii="Times New Roman"/>
                  <w:sz w:val="24"/>
                </w:rPr>
                <w:t>egova@egova.com</w:t>
              </w:r>
            </w:hyperlink>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Times New Roman" w:hAnsi="Times New Roman" w:cs="Times New Roman" w:eastAsia="Times New Roman" w:hint="default"/>
                <w:sz w:val="24"/>
                <w:szCs w:val="24"/>
              </w:rPr>
            </w:pPr>
            <w:hyperlink r:id="rId11">
              <w:r>
                <w:rPr>
                  <w:rFonts w:ascii="Times New Roman"/>
                  <w:sz w:val="24"/>
                </w:rPr>
                <w:t>Pengfen815@yahoo.com.cn</w:t>
              </w:r>
            </w:hyperlink>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0"/>
        <w:ind w:left="137" w:right="0" w:firstLine="0"/>
        <w:jc w:val="left"/>
        <w:rPr>
          <w:rFonts w:ascii="宋体" w:hAnsi="宋体" w:cs="宋体" w:eastAsia="宋体" w:hint="default"/>
          <w:sz w:val="24"/>
          <w:szCs w:val="24"/>
        </w:rPr>
      </w:pPr>
      <w:r>
        <w:rPr>
          <w:rFonts w:ascii="宋体" w:hAnsi="宋体" w:cs="宋体" w:eastAsia="宋体" w:hint="default"/>
          <w:b/>
          <w:bCs/>
          <w:sz w:val="24"/>
          <w:szCs w:val="24"/>
        </w:rPr>
        <w:t>三、年报披露方式</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p>
      <w:pPr>
        <w:pStyle w:val="BodyText"/>
        <w:spacing w:line="372" w:lineRule="auto"/>
        <w:ind w:left="617" w:right="600"/>
        <w:jc w:val="left"/>
        <w:rPr>
          <w:rFonts w:ascii="Times New Roman" w:hAnsi="Times New Roman" w:cs="Times New Roman" w:eastAsia="Times New Roman" w:hint="default"/>
        </w:rPr>
      </w:pPr>
      <w:r>
        <w:rPr/>
        <w:t>公司选定披露的报纸名称：《中国证券报》、《证券时报》 登载年度报告的中国证监会指定网站：巨潮资讯网</w:t>
      </w:r>
      <w:r>
        <w:rPr>
          <w:spacing w:val="-4"/>
        </w:rPr>
        <w:t> </w:t>
      </w:r>
      <w:hyperlink r:id="rId12">
        <w:r>
          <w:rPr>
            <w:rFonts w:ascii="Times New Roman" w:hAnsi="Times New Roman" w:cs="Times New Roman" w:eastAsia="Times New Roman" w:hint="default"/>
          </w:rPr>
          <w:t>www.cninfo.com.cn</w:t>
        </w:r>
      </w:hyperlink>
    </w:p>
    <w:p>
      <w:pPr>
        <w:spacing w:after="0" w:line="372" w:lineRule="auto"/>
        <w:jc w:val="left"/>
        <w:rPr>
          <w:rFonts w:ascii="Times New Roman" w:hAnsi="Times New Roman" w:cs="Times New Roman" w:eastAsia="Times New Roman" w:hint="default"/>
        </w:rPr>
        <w:sectPr>
          <w:pgSz w:w="11910" w:h="16840"/>
          <w:pgMar w:header="850" w:footer="979" w:top="1400" w:bottom="1160" w:left="1660" w:right="1660"/>
        </w:sectPr>
      </w:pPr>
    </w:p>
    <w:p>
      <w:pPr>
        <w:spacing w:line="499" w:lineRule="auto" w:before="72"/>
        <w:ind w:left="137" w:right="3369" w:firstLine="480"/>
        <w:jc w:val="left"/>
        <w:rPr>
          <w:rFonts w:ascii="宋体" w:hAnsi="宋体" w:cs="宋体" w:eastAsia="宋体" w:hint="default"/>
          <w:sz w:val="24"/>
          <w:szCs w:val="24"/>
        </w:rPr>
      </w:pPr>
      <w:r>
        <w:rPr>
          <w:rFonts w:ascii="宋体" w:hAnsi="宋体" w:cs="宋体" w:eastAsia="宋体" w:hint="default"/>
          <w:sz w:val="24"/>
          <w:szCs w:val="24"/>
        </w:rPr>
        <w:t>公司年度报告置备地点：公司证券事务部 </w:t>
      </w:r>
      <w:r>
        <w:rPr>
          <w:rFonts w:ascii="宋体" w:hAnsi="宋体" w:cs="宋体" w:eastAsia="宋体" w:hint="default"/>
          <w:b/>
          <w:bCs/>
          <w:sz w:val="24"/>
          <w:szCs w:val="24"/>
        </w:rPr>
        <w:t>四、公司股票上市交易所、股票简称和股票代码</w:t>
      </w:r>
      <w:r>
        <w:rPr>
          <w:rFonts w:ascii="宋体" w:hAnsi="宋体" w:cs="宋体" w:eastAsia="宋体" w:hint="default"/>
          <w:sz w:val="24"/>
          <w:szCs w:val="24"/>
        </w:rPr>
      </w:r>
    </w:p>
    <w:p>
      <w:pPr>
        <w:pStyle w:val="BodyText"/>
        <w:spacing w:line="374" w:lineRule="auto" w:before="77"/>
        <w:ind w:left="603" w:right="3883"/>
        <w:jc w:val="left"/>
      </w:pPr>
      <w:r>
        <w:rPr/>
        <w:t>公司股票上市交易所：深圳证券交易所 股票简称：数字政通</w:t>
      </w:r>
    </w:p>
    <w:p>
      <w:pPr>
        <w:pStyle w:val="BodyText"/>
        <w:spacing w:line="240" w:lineRule="auto" w:before="41"/>
        <w:ind w:left="603" w:right="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300075</w:t>
      </w:r>
    </w:p>
    <w:p>
      <w:pPr>
        <w:spacing w:after="0" w:line="240" w:lineRule="auto"/>
        <w:jc w:val="left"/>
        <w:rPr>
          <w:rFonts w:ascii="Times New Roman" w:hAnsi="Times New Roman" w:cs="Times New Roman" w:eastAsia="Times New Roman" w:hint="default"/>
        </w:rPr>
        <w:sectPr>
          <w:pgSz w:w="11910" w:h="16840"/>
          <w:pgMar w:header="850" w:footer="979" w:top="1400" w:bottom="1160" w:left="1660" w:right="166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ind w:left="2974" w:right="769"/>
        <w:jc w:val="left"/>
        <w:rPr>
          <w:b w:val="0"/>
          <w:bCs w:val="0"/>
        </w:rPr>
      </w:pPr>
      <w:bookmarkStart w:name="第二节 会计数据和业务数据摘要" w:id="3"/>
      <w:bookmarkEnd w:id="3"/>
      <w:r>
        <w:rPr>
          <w:b w:val="0"/>
          <w:bCs w:val="0"/>
        </w:rPr>
      </w:r>
      <w:bookmarkStart w:name="_bookmark1" w:id="4"/>
      <w:bookmarkEnd w:id="4"/>
      <w:r>
        <w:rPr>
          <w:b w:val="0"/>
          <w:bCs w:val="0"/>
        </w:rPr>
      </w:r>
      <w:r>
        <w:rPr/>
        <w:t>第二节</w:t>
      </w:r>
      <w:r>
        <w:rPr>
          <w:spacing w:val="-1"/>
        </w:rPr>
        <w:t> </w:t>
      </w:r>
      <w:r>
        <w:rPr/>
        <w:t>会计数据和业务数据摘要</w:t>
      </w:r>
      <w:r>
        <w:rPr>
          <w:b w:val="0"/>
          <w:bCs w:val="0"/>
        </w:rPr>
      </w:r>
    </w:p>
    <w:p>
      <w:pPr>
        <w:spacing w:line="240" w:lineRule="auto" w:before="6"/>
        <w:rPr>
          <w:rFonts w:ascii="宋体" w:hAnsi="宋体" w:cs="宋体" w:eastAsia="宋体" w:hint="default"/>
          <w:b/>
          <w:bCs/>
          <w:sz w:val="28"/>
          <w:szCs w:val="28"/>
        </w:rPr>
      </w:pPr>
    </w:p>
    <w:p>
      <w:pPr>
        <w:pStyle w:val="Heading3"/>
        <w:spacing w:line="240" w:lineRule="auto"/>
        <w:ind w:left="857" w:right="769"/>
        <w:jc w:val="left"/>
        <w:rPr>
          <w:b w:val="0"/>
          <w:bCs w:val="0"/>
        </w:rPr>
      </w:pPr>
      <w:r>
        <w:rPr/>
        <w:t>一、主要会计数据</w:t>
      </w:r>
      <w:r>
        <w:rPr>
          <w:b w:val="0"/>
          <w:bCs w:val="0"/>
        </w:rPr>
      </w:r>
    </w:p>
    <w:p>
      <w:pPr>
        <w:spacing w:line="240" w:lineRule="auto" w:before="13"/>
        <w:rPr>
          <w:rFonts w:ascii="宋体" w:hAnsi="宋体" w:cs="宋体" w:eastAsia="宋体" w:hint="default"/>
          <w:b/>
          <w:bCs/>
          <w:sz w:val="21"/>
          <w:szCs w:val="21"/>
        </w:rPr>
      </w:pPr>
    </w:p>
    <w:tbl>
      <w:tblPr>
        <w:tblW w:w="0" w:type="auto"/>
        <w:jc w:val="left"/>
        <w:tblInd w:w="106" w:type="dxa"/>
        <w:tblLayout w:type="fixed"/>
        <w:tblCellMar>
          <w:top w:w="0" w:type="dxa"/>
          <w:left w:w="0" w:type="dxa"/>
          <w:bottom w:w="0" w:type="dxa"/>
          <w:right w:w="0" w:type="dxa"/>
        </w:tblCellMar>
        <w:tblLook w:val="01E0"/>
      </w:tblPr>
      <w:tblGrid>
        <w:gridCol w:w="1704"/>
        <w:gridCol w:w="2028"/>
        <w:gridCol w:w="2028"/>
        <w:gridCol w:w="2028"/>
        <w:gridCol w:w="2028"/>
      </w:tblGrid>
      <w:tr>
        <w:trPr>
          <w:trHeight w:val="250" w:hRule="exact"/>
        </w:trPr>
        <w:tc>
          <w:tcPr>
            <w:tcW w:w="1704"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51"/>
              <w:ind w:left="2" w:right="0"/>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240" w:lineRule="auto" w:before="175"/>
              <w:ind w:left="2" w:right="0"/>
              <w:jc w:val="center"/>
              <w:rPr>
                <w:rFonts w:ascii="宋体" w:hAnsi="宋体" w:cs="宋体" w:eastAsia="宋体" w:hint="default"/>
                <w:sz w:val="24"/>
                <w:szCs w:val="24"/>
              </w:rPr>
            </w:pPr>
            <w:r>
              <w:rPr>
                <w:rFonts w:ascii="宋体" w:hAnsi="宋体" w:cs="宋体" w:eastAsia="宋体" w:hint="default"/>
                <w:sz w:val="24"/>
                <w:szCs w:val="24"/>
              </w:rPr>
              <w:t>（％）</w:t>
            </w: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490" w:hRule="exact"/>
        </w:trPr>
        <w:tc>
          <w:tcPr>
            <w:tcW w:w="1704" w:type="dxa"/>
            <w:tcBorders>
              <w:top w:val="nil" w:sz="6" w:space="0" w:color="auto"/>
              <w:left w:val="single" w:sz="4" w:space="0" w:color="000000"/>
              <w:bottom w:val="nil" w:sz="6" w:space="0" w:color="auto"/>
              <w:right w:val="single" w:sz="4" w:space="0" w:color="000000"/>
            </w:tcBorders>
            <w:shd w:val="clear" w:color="auto" w:fill="DDDDDD"/>
          </w:tcPr>
          <w:p>
            <w:pP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6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6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2028" w:type="dxa"/>
            <w:vMerge/>
            <w:tcBorders>
              <w:left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61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r>
      <w:tr>
        <w:trPr>
          <w:trHeight w:val="250" w:hRule="exact"/>
        </w:trPr>
        <w:tc>
          <w:tcPr>
            <w:tcW w:w="1704"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vMerge/>
            <w:tcBorders>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986"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7"/>
              <w:jc w:val="center"/>
              <w:rPr>
                <w:rFonts w:ascii="宋体" w:hAnsi="宋体" w:cs="宋体" w:eastAsia="宋体" w:hint="default"/>
                <w:sz w:val="24"/>
                <w:szCs w:val="24"/>
              </w:rPr>
            </w:pPr>
            <w:r>
              <w:rPr>
                <w:rFonts w:ascii="宋体" w:hAnsi="宋体" w:cs="宋体" w:eastAsia="宋体" w:hint="default"/>
                <w:sz w:val="24"/>
                <w:szCs w:val="24"/>
              </w:rPr>
              <w:t>营业总收入</w:t>
            </w:r>
          </w:p>
          <w:p>
            <w:pPr>
              <w:pStyle w:val="TableParagraph"/>
              <w:spacing w:line="240" w:lineRule="auto" w:before="175"/>
              <w:ind w:right="7"/>
              <w:jc w:val="center"/>
              <w:rPr>
                <w:rFonts w:ascii="宋体" w:hAnsi="宋体" w:cs="宋体" w:eastAsia="宋体" w:hint="default"/>
                <w:sz w:val="24"/>
                <w:szCs w:val="24"/>
              </w:rPr>
            </w:pPr>
            <w:r>
              <w:rPr>
                <w:rFonts w:ascii="宋体" w:hAnsi="宋体" w:cs="宋体" w:eastAsia="宋体" w:hint="default"/>
                <w:sz w:val="24"/>
                <w:szCs w:val="24"/>
              </w:rPr>
              <w:t>（元）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95,741,632.41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72,181,239.76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8"/>
              <w:jc w:val="right"/>
              <w:rPr>
                <w:rFonts w:ascii="Times New Roman" w:hAnsi="Times New Roman" w:cs="Times New Roman" w:eastAsia="Times New Roman" w:hint="default"/>
                <w:sz w:val="24"/>
                <w:szCs w:val="24"/>
              </w:rPr>
            </w:pPr>
            <w:r>
              <w:rPr>
                <w:rFonts w:ascii="Times New Roman"/>
                <w:w w:val="95"/>
                <w:sz w:val="24"/>
              </w:rPr>
              <w:t>32.64%</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55,037,887.49</w:t>
            </w:r>
          </w:p>
        </w:tc>
      </w:tr>
      <w:tr>
        <w:trPr>
          <w:trHeight w:val="499"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9" w:right="0"/>
              <w:jc w:val="center"/>
              <w:rPr>
                <w:rFonts w:ascii="宋体" w:hAnsi="宋体" w:cs="宋体" w:eastAsia="宋体" w:hint="default"/>
                <w:sz w:val="24"/>
                <w:szCs w:val="24"/>
              </w:rPr>
            </w:pPr>
            <w:r>
              <w:rPr>
                <w:rFonts w:ascii="宋体" w:hAnsi="宋体" w:cs="宋体" w:eastAsia="宋体" w:hint="default"/>
                <w:sz w:val="24"/>
                <w:szCs w:val="24"/>
              </w:rPr>
              <w:t>利润总额（元）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58,738,899.03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46,296,509.61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8"/>
              <w:jc w:val="right"/>
              <w:rPr>
                <w:rFonts w:ascii="Times New Roman" w:hAnsi="Times New Roman" w:cs="Times New Roman" w:eastAsia="Times New Roman" w:hint="default"/>
                <w:sz w:val="24"/>
                <w:szCs w:val="24"/>
              </w:rPr>
            </w:pPr>
            <w:r>
              <w:rPr>
                <w:rFonts w:ascii="Times New Roman"/>
                <w:w w:val="95"/>
                <w:sz w:val="24"/>
              </w:rPr>
              <w:t>26.88%</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33,973,985.10</w:t>
            </w:r>
          </w:p>
        </w:tc>
      </w:tr>
      <w:tr>
        <w:trPr>
          <w:trHeight w:val="1478"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4" w:lineRule="auto" w:before="53"/>
              <w:ind w:left="122" w:right="131"/>
              <w:jc w:val="center"/>
              <w:rPr>
                <w:rFonts w:ascii="宋体" w:hAnsi="宋体" w:cs="宋体" w:eastAsia="宋体" w:hint="default"/>
                <w:sz w:val="24"/>
                <w:szCs w:val="24"/>
              </w:rPr>
            </w:pPr>
            <w:r>
              <w:rPr>
                <w:rFonts w:ascii="宋体" w:hAnsi="宋体" w:cs="宋体" w:eastAsia="宋体" w:hint="default"/>
                <w:sz w:val="24"/>
                <w:szCs w:val="24"/>
              </w:rPr>
              <w:t>归属于上市公 司股东的净利 润（元）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51,449,622.88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41,251,019.92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24"/>
                <w:szCs w:val="24"/>
              </w:rPr>
            </w:pPr>
            <w:r>
              <w:rPr>
                <w:rFonts w:ascii="Times New Roman"/>
                <w:w w:val="95"/>
                <w:sz w:val="24"/>
              </w:rPr>
              <w:t>24.72%</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30,132,293.11</w:t>
            </w:r>
          </w:p>
        </w:tc>
      </w:tr>
      <w:tr>
        <w:trPr>
          <w:trHeight w:val="1966"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4" w:lineRule="auto" w:before="51"/>
              <w:ind w:left="12" w:right="0" w:firstLine="110"/>
              <w:jc w:val="both"/>
              <w:rPr>
                <w:rFonts w:ascii="宋体" w:hAnsi="宋体" w:cs="宋体" w:eastAsia="宋体" w:hint="default"/>
                <w:sz w:val="24"/>
                <w:szCs w:val="24"/>
              </w:rPr>
            </w:pPr>
            <w:r>
              <w:rPr>
                <w:rFonts w:ascii="宋体" w:hAnsi="宋体" w:cs="宋体" w:eastAsia="宋体" w:hint="default"/>
                <w:sz w:val="24"/>
                <w:szCs w:val="24"/>
              </w:rPr>
              <w:t>归属于上市公 司股东的扣除 非经常性损益 的净利润（元）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11"/>
              <w:ind w:right="19"/>
              <w:jc w:val="right"/>
              <w:rPr>
                <w:rFonts w:ascii="Times New Roman" w:hAnsi="Times New Roman" w:cs="Times New Roman" w:eastAsia="Times New Roman" w:hint="default"/>
                <w:sz w:val="24"/>
                <w:szCs w:val="24"/>
              </w:rPr>
            </w:pPr>
            <w:r>
              <w:rPr>
                <w:rFonts w:ascii="Times New Roman"/>
                <w:sz w:val="24"/>
              </w:rPr>
              <w:t>48,986,936.87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11"/>
              <w:ind w:right="19"/>
              <w:jc w:val="right"/>
              <w:rPr>
                <w:rFonts w:ascii="Times New Roman" w:hAnsi="Times New Roman" w:cs="Times New Roman" w:eastAsia="Times New Roman" w:hint="default"/>
                <w:sz w:val="24"/>
                <w:szCs w:val="24"/>
              </w:rPr>
            </w:pPr>
            <w:r>
              <w:rPr>
                <w:rFonts w:ascii="Times New Roman"/>
                <w:sz w:val="24"/>
              </w:rPr>
              <w:t>41,043,076.95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11"/>
              <w:ind w:right="18"/>
              <w:jc w:val="right"/>
              <w:rPr>
                <w:rFonts w:ascii="Times New Roman" w:hAnsi="Times New Roman" w:cs="Times New Roman" w:eastAsia="Times New Roman" w:hint="default"/>
                <w:sz w:val="24"/>
                <w:szCs w:val="24"/>
              </w:rPr>
            </w:pPr>
            <w:r>
              <w:rPr>
                <w:rFonts w:ascii="Times New Roman"/>
                <w:w w:val="95"/>
                <w:sz w:val="24"/>
              </w:rPr>
              <w:t>19.35%</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11"/>
              <w:ind w:right="19"/>
              <w:jc w:val="right"/>
              <w:rPr>
                <w:rFonts w:ascii="Times New Roman" w:hAnsi="Times New Roman" w:cs="Times New Roman" w:eastAsia="Times New Roman" w:hint="default"/>
                <w:sz w:val="24"/>
                <w:szCs w:val="24"/>
              </w:rPr>
            </w:pPr>
            <w:r>
              <w:rPr>
                <w:rFonts w:ascii="Times New Roman"/>
                <w:sz w:val="24"/>
              </w:rPr>
              <w:t>30,133,973.56</w:t>
            </w:r>
          </w:p>
        </w:tc>
      </w:tr>
      <w:tr>
        <w:trPr>
          <w:trHeight w:val="1477"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4" w:lineRule="auto" w:before="51"/>
              <w:ind w:left="122" w:right="131"/>
              <w:jc w:val="center"/>
              <w:rPr>
                <w:rFonts w:ascii="宋体" w:hAnsi="宋体" w:cs="宋体" w:eastAsia="宋体" w:hint="default"/>
                <w:sz w:val="24"/>
                <w:szCs w:val="24"/>
              </w:rPr>
            </w:pPr>
            <w:r>
              <w:rPr>
                <w:rFonts w:ascii="宋体" w:hAnsi="宋体" w:cs="宋体" w:eastAsia="宋体" w:hint="default"/>
                <w:sz w:val="24"/>
                <w:szCs w:val="24"/>
              </w:rPr>
              <w:t>经营活动产生 的现金流量净 额（元）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14,763,233.87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45,412,639.46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pacing w:val="-1"/>
                <w:sz w:val="24"/>
              </w:rPr>
              <w:t>-67.49%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33,519,164.87</w:t>
            </w:r>
          </w:p>
        </w:tc>
      </w:tr>
      <w:tr>
        <w:trPr>
          <w:trHeight w:val="248" w:hRule="exact"/>
        </w:trPr>
        <w:tc>
          <w:tcPr>
            <w:tcW w:w="1704"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c>
          <w:tcPr>
            <w:tcW w:w="2028" w:type="dxa"/>
            <w:vMerge w:val="restart"/>
            <w:tcBorders>
              <w:top w:val="single" w:sz="4" w:space="0" w:color="000000"/>
              <w:left w:val="single" w:sz="4" w:space="0" w:color="000000"/>
              <w:right w:val="single" w:sz="4" w:space="0" w:color="000000"/>
            </w:tcBorders>
            <w:shd w:val="clear" w:color="auto" w:fill="DDDDDD"/>
          </w:tcPr>
          <w:p>
            <w:pPr>
              <w:pStyle w:val="TableParagraph"/>
              <w:spacing w:line="372" w:lineRule="auto" w:before="52"/>
              <w:ind w:left="530" w:right="47" w:hanging="480"/>
              <w:jc w:val="left"/>
              <w:rPr>
                <w:rFonts w:ascii="宋体" w:hAnsi="宋体" w:cs="宋体" w:eastAsia="宋体" w:hint="default"/>
                <w:sz w:val="24"/>
                <w:szCs w:val="24"/>
              </w:rPr>
            </w:pPr>
            <w:r>
              <w:rPr>
                <w:rFonts w:ascii="宋体" w:hAnsi="宋体" w:cs="宋体" w:eastAsia="宋体" w:hint="default"/>
                <w:sz w:val="24"/>
                <w:szCs w:val="24"/>
              </w:rPr>
              <w:t>本年末比上年末增 减（％）</w:t>
            </w:r>
          </w:p>
        </w:tc>
        <w:tc>
          <w:tcPr>
            <w:tcW w:w="2028"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490" w:hRule="exact"/>
        </w:trPr>
        <w:tc>
          <w:tcPr>
            <w:tcW w:w="1704" w:type="dxa"/>
            <w:tcBorders>
              <w:top w:val="nil" w:sz="6" w:space="0" w:color="auto"/>
              <w:left w:val="single" w:sz="4" w:space="0" w:color="000000"/>
              <w:bottom w:val="nil" w:sz="6" w:space="0" w:color="auto"/>
              <w:right w:val="single" w:sz="4" w:space="0" w:color="000000"/>
            </w:tcBorders>
            <w:shd w:val="clear" w:color="auto" w:fill="DDDDDD"/>
          </w:tcPr>
          <w:p>
            <w:pP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49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年末</w:t>
            </w: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49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年末</w:t>
            </w:r>
          </w:p>
        </w:tc>
        <w:tc>
          <w:tcPr>
            <w:tcW w:w="2028" w:type="dxa"/>
            <w:vMerge/>
            <w:tcBorders>
              <w:left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49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年末</w:t>
            </w:r>
          </w:p>
        </w:tc>
      </w:tr>
      <w:tr>
        <w:trPr>
          <w:trHeight w:val="250" w:hRule="exact"/>
        </w:trPr>
        <w:tc>
          <w:tcPr>
            <w:tcW w:w="1704"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c>
          <w:tcPr>
            <w:tcW w:w="2028" w:type="dxa"/>
            <w:vMerge/>
            <w:tcBorders>
              <w:left w:val="single" w:sz="4" w:space="0" w:color="000000"/>
              <w:bottom w:val="single" w:sz="4" w:space="0" w:color="000000"/>
              <w:right w:val="single" w:sz="4" w:space="0" w:color="000000"/>
            </w:tcBorders>
            <w:shd w:val="clear" w:color="auto" w:fill="DDDDDD"/>
          </w:tcPr>
          <w:p>
            <w:pPr/>
          </w:p>
        </w:tc>
        <w:tc>
          <w:tcPr>
            <w:tcW w:w="2028"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499"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7"/>
              <w:jc w:val="center"/>
              <w:rPr>
                <w:rFonts w:ascii="宋体" w:hAnsi="宋体" w:cs="宋体" w:eastAsia="宋体" w:hint="default"/>
                <w:sz w:val="24"/>
                <w:szCs w:val="24"/>
              </w:rPr>
            </w:pPr>
            <w:r>
              <w:rPr>
                <w:rFonts w:ascii="宋体" w:hAnsi="宋体" w:cs="宋体" w:eastAsia="宋体" w:hint="default"/>
                <w:sz w:val="24"/>
                <w:szCs w:val="24"/>
              </w:rPr>
              <w:t>总资产（元）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875,716,668.83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131,403,060.21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24"/>
                <w:szCs w:val="24"/>
              </w:rPr>
            </w:pPr>
            <w:r>
              <w:rPr>
                <w:rFonts w:ascii="Times New Roman"/>
                <w:sz w:val="24"/>
              </w:rPr>
              <w:t>566.44%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94,383,027.04</w:t>
            </w:r>
          </w:p>
        </w:tc>
      </w:tr>
      <w:tr>
        <w:trPr>
          <w:trHeight w:val="1476"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4" w:lineRule="auto" w:before="51"/>
              <w:ind w:left="122" w:right="131"/>
              <w:jc w:val="both"/>
              <w:rPr>
                <w:rFonts w:ascii="宋体" w:hAnsi="宋体" w:cs="宋体" w:eastAsia="宋体" w:hint="default"/>
                <w:sz w:val="24"/>
                <w:szCs w:val="24"/>
              </w:rPr>
            </w:pPr>
            <w:r>
              <w:rPr>
                <w:rFonts w:ascii="宋体" w:hAnsi="宋体" w:cs="宋体" w:eastAsia="宋体" w:hint="default"/>
                <w:sz w:val="24"/>
                <w:szCs w:val="24"/>
              </w:rPr>
              <w:t>归属于上市公 司股东的所有 者权益（元）</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859,114,327.65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113,711,704.77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24"/>
                <w:szCs w:val="24"/>
              </w:rPr>
            </w:pPr>
            <w:r>
              <w:rPr>
                <w:rFonts w:ascii="Times New Roman"/>
                <w:w w:val="95"/>
                <w:sz w:val="24"/>
              </w:rPr>
              <w:t>655.52%</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69,480,551.82</w:t>
            </w:r>
          </w:p>
        </w:tc>
      </w:tr>
      <w:tr>
        <w:trPr>
          <w:trHeight w:val="499" w:hRule="exact"/>
        </w:trPr>
        <w:tc>
          <w:tcPr>
            <w:tcW w:w="17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right="7"/>
              <w:jc w:val="center"/>
              <w:rPr>
                <w:rFonts w:ascii="宋体" w:hAnsi="宋体" w:cs="宋体" w:eastAsia="宋体" w:hint="default"/>
                <w:sz w:val="24"/>
                <w:szCs w:val="24"/>
              </w:rPr>
            </w:pPr>
            <w:r>
              <w:rPr>
                <w:rFonts w:ascii="宋体" w:hAnsi="宋体" w:cs="宋体" w:eastAsia="宋体" w:hint="default"/>
                <w:sz w:val="24"/>
                <w:szCs w:val="24"/>
              </w:rPr>
              <w:t>股本（股）</w:t>
            </w:r>
          </w:p>
        </w:tc>
        <w:tc>
          <w:tcPr>
            <w:tcW w:w="2028"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56,000,000.00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42,000,000.00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8"/>
              <w:jc w:val="right"/>
              <w:rPr>
                <w:rFonts w:ascii="Times New Roman" w:hAnsi="Times New Roman" w:cs="Times New Roman" w:eastAsia="Times New Roman" w:hint="default"/>
                <w:sz w:val="24"/>
                <w:szCs w:val="24"/>
              </w:rPr>
            </w:pPr>
            <w:r>
              <w:rPr>
                <w:rFonts w:ascii="Times New Roman"/>
                <w:w w:val="95"/>
                <w:sz w:val="24"/>
              </w:rPr>
              <w:t>33.33%</w:t>
            </w:r>
            <w:r>
              <w:rPr>
                <w:rFonts w:ascii="Times New Roman"/>
                <w:sz w:val="24"/>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6,617,200.00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26"/>
        <w:ind w:left="857" w:right="769" w:firstLine="0"/>
        <w:jc w:val="left"/>
        <w:rPr>
          <w:rFonts w:ascii="宋体" w:hAnsi="宋体" w:cs="宋体" w:eastAsia="宋体" w:hint="default"/>
          <w:sz w:val="24"/>
          <w:szCs w:val="24"/>
        </w:rPr>
      </w:pPr>
      <w:r>
        <w:rPr>
          <w:rFonts w:ascii="宋体" w:hAnsi="宋体" w:cs="宋体" w:eastAsia="宋体" w:hint="default"/>
          <w:b/>
          <w:bCs/>
          <w:sz w:val="24"/>
          <w:szCs w:val="24"/>
        </w:rPr>
        <w:t>二、主要财务指标</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9" w:top="1400" w:bottom="1160" w:left="940" w:right="920"/>
        </w:sectPr>
      </w:pPr>
    </w:p>
    <w:p>
      <w:pPr>
        <w:spacing w:line="240" w:lineRule="auto" w:before="0"/>
        <w:rPr>
          <w:rFonts w:ascii="宋体" w:hAnsi="宋体" w:cs="宋体" w:eastAsia="宋体" w:hint="default"/>
          <w:b/>
          <w:bCs/>
          <w:sz w:val="2"/>
          <w:szCs w:val="2"/>
        </w:rPr>
      </w:pPr>
    </w:p>
    <w:tbl>
      <w:tblPr>
        <w:tblW w:w="0" w:type="auto"/>
        <w:jc w:val="left"/>
        <w:tblInd w:w="131" w:type="dxa"/>
        <w:tblLayout w:type="fixed"/>
        <w:tblCellMar>
          <w:top w:w="0" w:type="dxa"/>
          <w:left w:w="0" w:type="dxa"/>
          <w:bottom w:w="0" w:type="dxa"/>
          <w:right w:w="0" w:type="dxa"/>
        </w:tblCellMar>
        <w:tblLook w:val="01E0"/>
      </w:tblPr>
      <w:tblGrid>
        <w:gridCol w:w="2548"/>
        <w:gridCol w:w="1652"/>
        <w:gridCol w:w="1925"/>
        <w:gridCol w:w="1769"/>
        <w:gridCol w:w="1922"/>
      </w:tblGrid>
      <w:tr>
        <w:trPr>
          <w:trHeight w:val="989"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925"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5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769"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right="5"/>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240" w:lineRule="auto" w:before="175"/>
              <w:ind w:right="5"/>
              <w:jc w:val="center"/>
              <w:rPr>
                <w:rFonts w:ascii="宋体" w:hAnsi="宋体" w:cs="宋体" w:eastAsia="宋体" w:hint="default"/>
                <w:sz w:val="24"/>
                <w:szCs w:val="24"/>
              </w:rPr>
            </w:pPr>
            <w:r>
              <w:rPr>
                <w:rFonts w:ascii="宋体" w:hAnsi="宋体" w:cs="宋体" w:eastAsia="宋体" w:hint="default"/>
                <w:sz w:val="24"/>
                <w:szCs w:val="24"/>
              </w:rPr>
              <w:t>（％）</w:t>
            </w:r>
          </w:p>
        </w:tc>
        <w:tc>
          <w:tcPr>
            <w:tcW w:w="1922"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56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r>
      <w:tr>
        <w:trPr>
          <w:trHeight w:val="499"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基本每股收</w:t>
            </w:r>
            <w:r>
              <w:rPr>
                <w:rFonts w:ascii="宋体" w:hAnsi="宋体" w:cs="宋体" w:eastAsia="宋体" w:hint="default"/>
                <w:spacing w:val="-116"/>
                <w:sz w:val="24"/>
                <w:szCs w:val="24"/>
              </w:rPr>
              <w:t>益</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1.00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0.98</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24"/>
                <w:szCs w:val="24"/>
              </w:rPr>
            </w:pPr>
            <w:r>
              <w:rPr>
                <w:rFonts w:ascii="Times New Roman"/>
                <w:sz w:val="24"/>
              </w:rPr>
              <w:t>2.04%</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0.72</w:t>
            </w:r>
          </w:p>
        </w:tc>
      </w:tr>
      <w:tr>
        <w:trPr>
          <w:trHeight w:val="497"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稀释每股收</w:t>
            </w:r>
            <w:r>
              <w:rPr>
                <w:rFonts w:ascii="宋体" w:hAnsi="宋体" w:cs="宋体" w:eastAsia="宋体" w:hint="default"/>
                <w:spacing w:val="-116"/>
                <w:sz w:val="24"/>
                <w:szCs w:val="24"/>
              </w:rPr>
              <w:t>益</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1.00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0.98</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24"/>
                <w:szCs w:val="24"/>
              </w:rPr>
            </w:pPr>
            <w:r>
              <w:rPr>
                <w:rFonts w:ascii="Times New Roman"/>
                <w:sz w:val="24"/>
              </w:rPr>
              <w:t>2.04%</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
              <w:jc w:val="right"/>
              <w:rPr>
                <w:rFonts w:ascii="Times New Roman" w:hAnsi="Times New Roman" w:cs="Times New Roman" w:eastAsia="Times New Roman" w:hint="default"/>
                <w:sz w:val="24"/>
                <w:szCs w:val="24"/>
              </w:rPr>
            </w:pPr>
            <w:r>
              <w:rPr>
                <w:rFonts w:ascii="Times New Roman"/>
                <w:sz w:val="24"/>
              </w:rPr>
              <w:t>0.72</w:t>
            </w:r>
          </w:p>
        </w:tc>
      </w:tr>
      <w:tr>
        <w:trPr>
          <w:trHeight w:val="496"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8"/>
              <w:ind w:left="16" w:right="0"/>
              <w:jc w:val="left"/>
              <w:rPr>
                <w:rFonts w:ascii="宋体" w:hAnsi="宋体" w:cs="宋体" w:eastAsia="宋体" w:hint="default"/>
                <w:sz w:val="24"/>
                <w:szCs w:val="24"/>
              </w:rPr>
            </w:pPr>
            <w:r>
              <w:rPr>
                <w:rFonts w:ascii="宋体" w:hAnsi="宋体" w:cs="宋体" w:eastAsia="宋体" w:hint="default"/>
                <w:sz w:val="24"/>
                <w:szCs w:val="24"/>
              </w:rPr>
              <w:t>扣除非经常性损益后</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495"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49"/>
              <w:ind w:left="16"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的基本每股收益（元</w:t>
            </w:r>
            <w:r>
              <w:rPr>
                <w:rFonts w:ascii="Times New Roman" w:hAnsi="Times New Roman" w:cs="Times New Roman" w:eastAsia="Times New Roman" w:hint="default"/>
                <w:sz w:val="24"/>
                <w:szCs w:val="2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sz w:val="24"/>
              </w:rPr>
              <w:t>0.95</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sz w:val="24"/>
              </w:rPr>
              <w:t>0.98</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0"/>
              <w:jc w:val="right"/>
              <w:rPr>
                <w:rFonts w:ascii="Times New Roman" w:hAnsi="Times New Roman" w:cs="Times New Roman" w:eastAsia="Times New Roman" w:hint="default"/>
                <w:sz w:val="24"/>
                <w:szCs w:val="24"/>
              </w:rPr>
            </w:pPr>
            <w:r>
              <w:rPr>
                <w:rFonts w:ascii="Times New Roman"/>
                <w:spacing w:val="-1"/>
                <w:sz w:val="24"/>
              </w:rPr>
              <w:t>-3.06%</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sz w:val="24"/>
              </w:rPr>
              <w:t>0.72</w:t>
            </w:r>
          </w:p>
        </w:tc>
      </w:tr>
      <w:tr>
        <w:trPr>
          <w:trHeight w:val="488"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44"/>
              <w:ind w:left="16"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378"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加权平均净资产收益</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245"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8.42%</w:t>
            </w:r>
          </w:p>
        </w:tc>
        <w:tc>
          <w:tcPr>
            <w:tcW w:w="1925"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w w:val="95"/>
                <w:sz w:val="24"/>
              </w:rPr>
              <w:t>46.48%</w:t>
            </w:r>
            <w:r>
              <w:rPr>
                <w:rFonts w:ascii="Times New Roman"/>
                <w:sz w:val="24"/>
              </w:rPr>
            </w:r>
          </w:p>
        </w:tc>
        <w:tc>
          <w:tcPr>
            <w:tcW w:w="1769" w:type="dxa"/>
            <w:tcBorders>
              <w:top w:val="nil" w:sz="6" w:space="0" w:color="auto"/>
              <w:left w:val="nil" w:sz="6" w:space="0" w:color="auto"/>
              <w:bottom w:val="nil" w:sz="6" w:space="0" w:color="auto"/>
              <w:right w:val="nil" w:sz="6" w:space="0" w:color="auto"/>
            </w:tcBorders>
          </w:tcPr>
          <w:p>
            <w:pPr>
              <w:pStyle w:val="TableParagraph"/>
              <w:spacing w:line="253" w:lineRule="exact"/>
              <w:ind w:right="30"/>
              <w:jc w:val="right"/>
              <w:rPr>
                <w:rFonts w:ascii="Times New Roman" w:hAnsi="Times New Roman" w:cs="Times New Roman" w:eastAsia="Times New Roman" w:hint="default"/>
                <w:sz w:val="24"/>
                <w:szCs w:val="24"/>
              </w:rPr>
            </w:pPr>
            <w:r>
              <w:rPr>
                <w:rFonts w:ascii="Times New Roman"/>
                <w:spacing w:val="-1"/>
                <w:sz w:val="24"/>
              </w:rPr>
              <w:t>-38.06%</w:t>
            </w:r>
          </w:p>
        </w:tc>
        <w:tc>
          <w:tcPr>
            <w:tcW w:w="192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w w:val="95"/>
                <w:sz w:val="24"/>
              </w:rPr>
              <w:t>54.13%</w:t>
            </w:r>
            <w:r>
              <w:rPr>
                <w:rFonts w:ascii="Times New Roman"/>
                <w:sz w:val="24"/>
              </w:rPr>
            </w:r>
          </w:p>
        </w:tc>
      </w:tr>
      <w:tr>
        <w:trPr>
          <w:trHeight w:val="366"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55" w:lineRule="exact"/>
              <w:ind w:left="16" w:right="0"/>
              <w:jc w:val="left"/>
              <w:rPr>
                <w:rFonts w:ascii="宋体" w:hAnsi="宋体" w:cs="宋体" w:eastAsia="宋体" w:hint="default"/>
                <w:sz w:val="24"/>
                <w:szCs w:val="24"/>
              </w:rPr>
            </w:pPr>
            <w:r>
              <w:rPr>
                <w:rFonts w:ascii="宋体" w:hAnsi="宋体" w:cs="宋体" w:eastAsia="宋体" w:hint="default"/>
                <w:sz w:val="24"/>
                <w:szCs w:val="24"/>
              </w:rPr>
              <w:t>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493"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扣除非经常性损益后</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494"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49"/>
              <w:ind w:left="16" w:right="0"/>
              <w:jc w:val="left"/>
              <w:rPr>
                <w:rFonts w:ascii="宋体" w:hAnsi="宋体" w:cs="宋体" w:eastAsia="宋体" w:hint="default"/>
                <w:sz w:val="24"/>
                <w:szCs w:val="24"/>
              </w:rPr>
            </w:pPr>
            <w:r>
              <w:rPr>
                <w:rFonts w:ascii="宋体" w:hAnsi="宋体" w:cs="宋体" w:eastAsia="宋体" w:hint="default"/>
                <w:sz w:val="24"/>
                <w:szCs w:val="24"/>
              </w:rPr>
              <w:t>的加权平均净资产收</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sz w:val="24"/>
              </w:rPr>
              <w:t>8.18%</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w w:val="95"/>
                <w:sz w:val="24"/>
              </w:rPr>
              <w:t>46.24%</w:t>
            </w:r>
            <w:r>
              <w:rPr>
                <w:rFonts w:ascii="Times New Roman"/>
                <w:sz w:val="24"/>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0"/>
              <w:jc w:val="right"/>
              <w:rPr>
                <w:rFonts w:ascii="Times New Roman" w:hAnsi="Times New Roman" w:cs="Times New Roman" w:eastAsia="Times New Roman" w:hint="default"/>
                <w:sz w:val="24"/>
                <w:szCs w:val="24"/>
              </w:rPr>
            </w:pPr>
            <w:r>
              <w:rPr>
                <w:rFonts w:ascii="Times New Roman"/>
                <w:spacing w:val="-1"/>
                <w:sz w:val="24"/>
              </w:rPr>
              <w:t>-38.06%</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24"/>
                <w:szCs w:val="24"/>
              </w:rPr>
            </w:pPr>
            <w:r>
              <w:rPr>
                <w:rFonts w:ascii="Times New Roman"/>
                <w:w w:val="95"/>
                <w:sz w:val="24"/>
              </w:rPr>
              <w:t>54.13%</w:t>
            </w:r>
            <w:r>
              <w:rPr>
                <w:rFonts w:ascii="Times New Roman"/>
                <w:sz w:val="24"/>
              </w:rPr>
            </w:r>
          </w:p>
        </w:tc>
      </w:tr>
      <w:tr>
        <w:trPr>
          <w:trHeight w:val="489"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45"/>
              <w:ind w:left="16" w:right="0"/>
              <w:jc w:val="left"/>
              <w:rPr>
                <w:rFonts w:ascii="宋体" w:hAnsi="宋体" w:cs="宋体" w:eastAsia="宋体" w:hint="default"/>
                <w:sz w:val="24"/>
                <w:szCs w:val="24"/>
              </w:rPr>
            </w:pPr>
            <w:r>
              <w:rPr>
                <w:rFonts w:ascii="宋体" w:hAnsi="宋体" w:cs="宋体" w:eastAsia="宋体" w:hint="default"/>
                <w:sz w:val="24"/>
                <w:szCs w:val="24"/>
              </w:rPr>
              <w:t>益率（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378"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每股经营活动产生的</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245"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0.26</w:t>
            </w:r>
          </w:p>
        </w:tc>
        <w:tc>
          <w:tcPr>
            <w:tcW w:w="1925"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1.08</w:t>
            </w:r>
          </w:p>
        </w:tc>
        <w:tc>
          <w:tcPr>
            <w:tcW w:w="1769" w:type="dxa"/>
            <w:tcBorders>
              <w:top w:val="nil" w:sz="6" w:space="0" w:color="auto"/>
              <w:left w:val="nil" w:sz="6" w:space="0" w:color="auto"/>
              <w:bottom w:val="nil" w:sz="6" w:space="0" w:color="auto"/>
              <w:right w:val="nil" w:sz="6" w:space="0" w:color="auto"/>
            </w:tcBorders>
          </w:tcPr>
          <w:p>
            <w:pPr>
              <w:pStyle w:val="TableParagraph"/>
              <w:spacing w:line="253" w:lineRule="exact"/>
              <w:ind w:right="30"/>
              <w:jc w:val="right"/>
              <w:rPr>
                <w:rFonts w:ascii="Times New Roman" w:hAnsi="Times New Roman" w:cs="Times New Roman" w:eastAsia="Times New Roman" w:hint="default"/>
                <w:sz w:val="24"/>
                <w:szCs w:val="24"/>
              </w:rPr>
            </w:pPr>
            <w:r>
              <w:rPr>
                <w:rFonts w:ascii="Times New Roman"/>
                <w:spacing w:val="-1"/>
                <w:sz w:val="24"/>
              </w:rPr>
              <w:t>-75.93%</w:t>
            </w:r>
          </w:p>
        </w:tc>
        <w:tc>
          <w:tcPr>
            <w:tcW w:w="192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5.07</w:t>
            </w:r>
          </w:p>
        </w:tc>
      </w:tr>
      <w:tr>
        <w:trPr>
          <w:trHeight w:val="366"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55" w:lineRule="exact"/>
              <w:ind w:left="16" w:right="0"/>
              <w:jc w:val="left"/>
              <w:rPr>
                <w:rFonts w:ascii="宋体" w:hAnsi="宋体" w:cs="宋体" w:eastAsia="宋体" w:hint="default"/>
                <w:sz w:val="24"/>
                <w:szCs w:val="24"/>
              </w:rPr>
            </w:pPr>
            <w:r>
              <w:rPr>
                <w:rFonts w:ascii="宋体" w:hAnsi="宋体" w:cs="宋体" w:eastAsia="宋体" w:hint="default"/>
                <w:sz w:val="24"/>
                <w:szCs w:val="24"/>
              </w:rPr>
              <w:t>现金流量净</w:t>
            </w:r>
            <w:r>
              <w:rPr>
                <w:rFonts w:ascii="宋体" w:hAnsi="宋体" w:cs="宋体" w:eastAsia="宋体" w:hint="default"/>
                <w:spacing w:val="-116"/>
                <w:sz w:val="24"/>
                <w:szCs w:val="24"/>
              </w:rPr>
              <w:t>额</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624"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7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年末</w:t>
            </w:r>
          </w:p>
        </w:tc>
        <w:tc>
          <w:tcPr>
            <w:tcW w:w="1925"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45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年末</w:t>
            </w:r>
          </w:p>
        </w:tc>
        <w:tc>
          <w:tcPr>
            <w:tcW w:w="1769"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right="47"/>
              <w:jc w:val="right"/>
              <w:rPr>
                <w:rFonts w:ascii="宋体" w:hAnsi="宋体" w:cs="宋体" w:eastAsia="宋体" w:hint="default"/>
                <w:sz w:val="24"/>
                <w:szCs w:val="24"/>
              </w:rPr>
            </w:pPr>
            <w:r>
              <w:rPr>
                <w:rFonts w:ascii="宋体" w:hAnsi="宋体" w:cs="宋体" w:eastAsia="宋体" w:hint="default"/>
                <w:sz w:val="24"/>
                <w:szCs w:val="24"/>
              </w:rPr>
              <w:t>本年末比上年末</w:t>
            </w:r>
          </w:p>
        </w:tc>
        <w:tc>
          <w:tcPr>
            <w:tcW w:w="1922"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44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年末</w:t>
            </w:r>
          </w:p>
        </w:tc>
      </w:tr>
      <w:tr>
        <w:trPr>
          <w:trHeight w:val="363"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shd w:val="clear" w:color="auto" w:fill="DDDDDD"/>
          </w:tcPr>
          <w:p>
            <w:pPr/>
          </w:p>
        </w:tc>
        <w:tc>
          <w:tcPr>
            <w:tcW w:w="1925" w:type="dxa"/>
            <w:tcBorders>
              <w:top w:val="nil" w:sz="6" w:space="0" w:color="auto"/>
              <w:left w:val="nil" w:sz="6" w:space="0" w:color="auto"/>
              <w:bottom w:val="nil" w:sz="6" w:space="0" w:color="auto"/>
              <w:right w:val="nil" w:sz="6" w:space="0" w:color="auto"/>
            </w:tcBorders>
            <w:shd w:val="clear" w:color="auto" w:fill="DDDDDD"/>
          </w:tcPr>
          <w:p>
            <w:pPr/>
          </w:p>
        </w:tc>
        <w:tc>
          <w:tcPr>
            <w:tcW w:w="1769"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36" w:lineRule="exact"/>
              <w:ind w:left="280" w:right="0"/>
              <w:jc w:val="left"/>
              <w:rPr>
                <w:rFonts w:ascii="宋体" w:hAnsi="宋体" w:cs="宋体" w:eastAsia="宋体" w:hint="default"/>
                <w:sz w:val="24"/>
                <w:szCs w:val="24"/>
              </w:rPr>
            </w:pPr>
            <w:r>
              <w:rPr>
                <w:rFonts w:ascii="宋体" w:hAnsi="宋体" w:cs="宋体" w:eastAsia="宋体" w:hint="default"/>
                <w:sz w:val="24"/>
                <w:szCs w:val="24"/>
              </w:rPr>
              <w:t>增减（％）</w:t>
            </w:r>
          </w:p>
        </w:tc>
        <w:tc>
          <w:tcPr>
            <w:tcW w:w="1922" w:type="dxa"/>
            <w:tcBorders>
              <w:top w:val="nil" w:sz="6" w:space="0" w:color="auto"/>
              <w:left w:val="nil" w:sz="6" w:space="0" w:color="auto"/>
              <w:bottom w:val="nil" w:sz="6" w:space="0" w:color="auto"/>
              <w:right w:val="nil" w:sz="6" w:space="0" w:color="auto"/>
            </w:tcBorders>
            <w:shd w:val="clear" w:color="auto" w:fill="DDDDDD"/>
          </w:tcPr>
          <w:p>
            <w:pPr/>
          </w:p>
        </w:tc>
      </w:tr>
      <w:tr>
        <w:trPr>
          <w:trHeight w:val="378"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40" w:lineRule="auto" w:before="55"/>
              <w:ind w:left="16" w:right="0"/>
              <w:jc w:val="left"/>
              <w:rPr>
                <w:rFonts w:ascii="宋体" w:hAnsi="宋体" w:cs="宋体" w:eastAsia="宋体" w:hint="default"/>
                <w:sz w:val="24"/>
                <w:szCs w:val="24"/>
              </w:rPr>
            </w:pPr>
            <w:r>
              <w:rPr>
                <w:rFonts w:ascii="宋体" w:hAnsi="宋体" w:cs="宋体" w:eastAsia="宋体" w:hint="default"/>
                <w:sz w:val="24"/>
                <w:szCs w:val="24"/>
              </w:rPr>
              <w:t>归属于上市公司股东</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r>
        <w:trPr>
          <w:trHeight w:val="245"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15.34</w:t>
            </w:r>
          </w:p>
        </w:tc>
        <w:tc>
          <w:tcPr>
            <w:tcW w:w="1925"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2.71</w:t>
            </w:r>
          </w:p>
        </w:tc>
        <w:tc>
          <w:tcPr>
            <w:tcW w:w="1769" w:type="dxa"/>
            <w:tcBorders>
              <w:top w:val="nil" w:sz="6" w:space="0" w:color="auto"/>
              <w:left w:val="nil" w:sz="6" w:space="0" w:color="auto"/>
              <w:bottom w:val="nil" w:sz="6" w:space="0" w:color="auto"/>
              <w:right w:val="nil" w:sz="6" w:space="0" w:color="auto"/>
            </w:tcBorders>
          </w:tcPr>
          <w:p>
            <w:pPr>
              <w:pStyle w:val="TableParagraph"/>
              <w:spacing w:line="253" w:lineRule="exact"/>
              <w:ind w:right="28"/>
              <w:jc w:val="right"/>
              <w:rPr>
                <w:rFonts w:ascii="Times New Roman" w:hAnsi="Times New Roman" w:cs="Times New Roman" w:eastAsia="Times New Roman" w:hint="default"/>
                <w:sz w:val="24"/>
                <w:szCs w:val="24"/>
              </w:rPr>
            </w:pPr>
            <w:r>
              <w:rPr>
                <w:rFonts w:ascii="Times New Roman"/>
                <w:w w:val="95"/>
                <w:sz w:val="24"/>
              </w:rPr>
              <w:t>466.05%</w:t>
            </w:r>
            <w:r>
              <w:rPr>
                <w:rFonts w:ascii="Times New Roman"/>
                <w:sz w:val="24"/>
              </w:rPr>
            </w:r>
          </w:p>
        </w:tc>
        <w:tc>
          <w:tcPr>
            <w:tcW w:w="1922" w:type="dxa"/>
            <w:tcBorders>
              <w:top w:val="nil" w:sz="6" w:space="0" w:color="auto"/>
              <w:left w:val="nil" w:sz="6" w:space="0" w:color="auto"/>
              <w:bottom w:val="nil" w:sz="6" w:space="0" w:color="auto"/>
              <w:right w:val="nil" w:sz="6" w:space="0" w:color="auto"/>
            </w:tcBorders>
          </w:tcPr>
          <w:p>
            <w:pPr>
              <w:pStyle w:val="TableParagraph"/>
              <w:spacing w:line="253" w:lineRule="exact"/>
              <w:ind w:right="26"/>
              <w:jc w:val="right"/>
              <w:rPr>
                <w:rFonts w:ascii="Times New Roman" w:hAnsi="Times New Roman" w:cs="Times New Roman" w:eastAsia="Times New Roman" w:hint="default"/>
                <w:sz w:val="24"/>
                <w:szCs w:val="24"/>
              </w:rPr>
            </w:pPr>
            <w:r>
              <w:rPr>
                <w:rFonts w:ascii="Times New Roman"/>
                <w:sz w:val="24"/>
              </w:rPr>
              <w:t>10.50</w:t>
            </w:r>
          </w:p>
        </w:tc>
      </w:tr>
      <w:tr>
        <w:trPr>
          <w:trHeight w:val="366" w:hRule="exact"/>
        </w:trPr>
        <w:tc>
          <w:tcPr>
            <w:tcW w:w="2548" w:type="dxa"/>
            <w:tcBorders>
              <w:top w:val="nil" w:sz="6" w:space="0" w:color="auto"/>
              <w:left w:val="nil" w:sz="6" w:space="0" w:color="auto"/>
              <w:bottom w:val="nil" w:sz="6" w:space="0" w:color="auto"/>
              <w:right w:val="nil" w:sz="6" w:space="0" w:color="auto"/>
            </w:tcBorders>
            <w:shd w:val="clear" w:color="auto" w:fill="DDDDDD"/>
          </w:tcPr>
          <w:p>
            <w:pPr>
              <w:pStyle w:val="TableParagraph"/>
              <w:spacing w:line="255" w:lineRule="exact"/>
              <w:ind w:left="16" w:right="0"/>
              <w:jc w:val="left"/>
              <w:rPr>
                <w:rFonts w:ascii="宋体" w:hAnsi="宋体" w:cs="宋体" w:eastAsia="宋体" w:hint="default"/>
                <w:sz w:val="24"/>
                <w:szCs w:val="24"/>
              </w:rPr>
            </w:pPr>
            <w:r>
              <w:rPr>
                <w:rFonts w:ascii="宋体" w:hAnsi="宋体" w:cs="宋体" w:eastAsia="宋体" w:hint="default"/>
                <w:sz w:val="24"/>
                <w:szCs w:val="24"/>
              </w:rPr>
              <w:t>的每股净资</w:t>
            </w:r>
            <w:r>
              <w:rPr>
                <w:rFonts w:ascii="宋体" w:hAnsi="宋体" w:cs="宋体" w:eastAsia="宋体" w:hint="default"/>
                <w:spacing w:val="-116"/>
                <w:sz w:val="24"/>
                <w:szCs w:val="24"/>
              </w:rPr>
              <w:t>产</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52"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before="26"/>
        <w:ind w:left="877" w:right="745" w:firstLine="0"/>
        <w:jc w:val="left"/>
        <w:rPr>
          <w:rFonts w:ascii="宋体" w:hAnsi="宋体" w:cs="宋体" w:eastAsia="宋体" w:hint="default"/>
          <w:sz w:val="24"/>
          <w:szCs w:val="24"/>
        </w:rPr>
      </w:pPr>
      <w:r>
        <w:rPr/>
        <w:pict>
          <v:group style="position:absolute;margin-left:51.720001pt;margin-top:-471.044373pt;width:491.9pt;height:445.6pt;mso-position-horizontal-relative:page;mso-position-vertical-relative:paragraph;z-index:-606568" coordorigin="1034,-9421" coordsize="9838,8912">
            <v:group style="position:absolute;left:1044;top:-9406;width:2278;height:245" coordorigin="1044,-9406" coordsize="2278,245">
              <v:shape style="position:absolute;left:1044;top:-9406;width:2278;height:245" coordorigin="1044,-9406" coordsize="2278,245" path="m1044,-9162l3322,-9162,3322,-9406,1044,-9406,1044,-9162xe" filled="true" fillcolor="#dddddd" stroked="false">
                <v:path arrowok="t"/>
                <v:fill type="solid"/>
              </v:shape>
            </v:group>
            <v:group style="position:absolute;left:1056;top:-9162;width:2;height:490" coordorigin="1056,-9162" coordsize="2,490">
              <v:shape style="position:absolute;left:1056;top:-9162;width:2;height:490" coordorigin="1056,-9162" coordsize="0,490" path="m1056,-9162l1056,-8672e" filled="false" stroked="true" strokeweight="1.2pt" strokecolor="#dddddd">
                <v:path arrowok="t"/>
              </v:shape>
            </v:group>
            <v:group style="position:absolute;left:3311;top:-9162;width:2;height:490" coordorigin="3311,-9162" coordsize="2,490">
              <v:shape style="position:absolute;left:3311;top:-9162;width:2;height:490" coordorigin="3311,-9162" coordsize="0,490" path="m3311,-9162l3311,-8672e" filled="false" stroked="true" strokeweight="1.08pt" strokecolor="#dddddd">
                <v:path arrowok="t"/>
              </v:shape>
            </v:group>
            <v:group style="position:absolute;left:1044;top:-8672;width:2278;height:245" coordorigin="1044,-8672" coordsize="2278,245">
              <v:shape style="position:absolute;left:1044;top:-8672;width:2278;height:245" coordorigin="1044,-8672" coordsize="2278,245" path="m1044,-8427l3322,-8427,3322,-8672,1044,-8672,1044,-8427xe" filled="true" fillcolor="#dddddd" stroked="false">
                <v:path arrowok="t"/>
                <v:fill type="solid"/>
              </v:shape>
            </v:group>
            <v:group style="position:absolute;left:1068;top:-9162;width:2232;height:490" coordorigin="1068,-9162" coordsize="2232,490">
              <v:shape style="position:absolute;left:1068;top:-9162;width:2232;height:490" coordorigin="1068,-9162" coordsize="2232,490" path="m1068,-8672l3300,-8672,3300,-9162,1068,-9162,1068,-8672xe" filled="true" fillcolor="#dddddd" stroked="false">
                <v:path arrowok="t"/>
                <v:fill type="solid"/>
              </v:shape>
            </v:group>
            <v:group style="position:absolute;left:3331;top:-9406;width:1916;height:245" coordorigin="3331,-9406" coordsize="1916,245">
              <v:shape style="position:absolute;left:3331;top:-9406;width:1916;height:245" coordorigin="3331,-9406" coordsize="1916,245" path="m3331,-9162l5246,-9162,5246,-9406,3331,-9406,3331,-9162xe" filled="true" fillcolor="#dddddd" stroked="false">
                <v:path arrowok="t"/>
                <v:fill type="solid"/>
              </v:shape>
            </v:group>
            <v:group style="position:absolute;left:3343;top:-9162;width:2;height:490" coordorigin="3343,-9162" coordsize="2,490">
              <v:shape style="position:absolute;left:3343;top:-9162;width:2;height:490" coordorigin="3343,-9162" coordsize="0,490" path="m3343,-9162l3343,-8672e" filled="false" stroked="true" strokeweight="1.2pt" strokecolor="#dddddd">
                <v:path arrowok="t"/>
              </v:shape>
            </v:group>
            <v:group style="position:absolute;left:5234;top:-9162;width:2;height:490" coordorigin="5234,-9162" coordsize="2,490">
              <v:shape style="position:absolute;left:5234;top:-9162;width:2;height:490" coordorigin="5234,-9162" coordsize="0,490" path="m5234,-9162l5234,-8672e" filled="false" stroked="true" strokeweight="1.2pt" strokecolor="#dddddd">
                <v:path arrowok="t"/>
              </v:shape>
            </v:group>
            <v:group style="position:absolute;left:3331;top:-8672;width:1916;height:245" coordorigin="3331,-8672" coordsize="1916,245">
              <v:shape style="position:absolute;left:3331;top:-8672;width:1916;height:245" coordorigin="3331,-8672" coordsize="1916,245" path="m3331,-8427l5246,-8427,5246,-8672,3331,-8672,3331,-8427xe" filled="true" fillcolor="#dddddd" stroked="false">
                <v:path arrowok="t"/>
                <v:fill type="solid"/>
              </v:shape>
            </v:group>
            <v:group style="position:absolute;left:3355;top:-9162;width:1868;height:490" coordorigin="3355,-9162" coordsize="1868,490">
              <v:shape style="position:absolute;left:3355;top:-9162;width:1868;height:490" coordorigin="3355,-9162" coordsize="1868,490" path="m3355,-8672l5222,-8672,5222,-9162,3355,-9162,3355,-8672xe" filled="true" fillcolor="#dddddd" stroked="false">
                <v:path arrowok="t"/>
                <v:fill type="solid"/>
              </v:shape>
            </v:group>
            <v:group style="position:absolute;left:5256;top:-9406;width:1916;height:245" coordorigin="5256,-9406" coordsize="1916,245">
              <v:shape style="position:absolute;left:5256;top:-9406;width:1916;height:245" coordorigin="5256,-9406" coordsize="1916,245" path="m5256,-9162l7171,-9162,7171,-9406,5256,-9406,5256,-9162xe" filled="true" fillcolor="#dddddd" stroked="false">
                <v:path arrowok="t"/>
                <v:fill type="solid"/>
              </v:shape>
            </v:group>
            <v:group style="position:absolute;left:5268;top:-9162;width:2;height:490" coordorigin="5268,-9162" coordsize="2,490">
              <v:shape style="position:absolute;left:5268;top:-9162;width:2;height:490" coordorigin="5268,-9162" coordsize="0,490" path="m5268,-9162l5268,-8672e" filled="false" stroked="true" strokeweight="1.2pt" strokecolor="#dddddd">
                <v:path arrowok="t"/>
              </v:shape>
            </v:group>
            <v:group style="position:absolute;left:7159;top:-9162;width:2;height:490" coordorigin="7159,-9162" coordsize="2,490">
              <v:shape style="position:absolute;left:7159;top:-9162;width:2;height:490" coordorigin="7159,-9162" coordsize="0,490" path="m7159,-9162l7159,-8672e" filled="false" stroked="true" strokeweight="1.2pt" strokecolor="#dddddd">
                <v:path arrowok="t"/>
              </v:shape>
            </v:group>
            <v:group style="position:absolute;left:5256;top:-8672;width:1916;height:245" coordorigin="5256,-8672" coordsize="1916,245">
              <v:shape style="position:absolute;left:5256;top:-8672;width:1916;height:245" coordorigin="5256,-8672" coordsize="1916,245" path="m5256,-8427l7171,-8427,7171,-8672,5256,-8672,5256,-8427xe" filled="true" fillcolor="#dddddd" stroked="false">
                <v:path arrowok="t"/>
                <v:fill type="solid"/>
              </v:shape>
            </v:group>
            <v:group style="position:absolute;left:5280;top:-9162;width:1868;height:490" coordorigin="5280,-9162" coordsize="1868,490">
              <v:shape style="position:absolute;left:5280;top:-9162;width:1868;height:490" coordorigin="5280,-9162" coordsize="1868,490" path="m5280,-8672l7147,-8672,7147,-9162,5280,-9162,5280,-8672xe" filled="true" fillcolor="#dddddd" stroked="false">
                <v:path arrowok="t"/>
                <v:fill type="solid"/>
              </v:shape>
            </v:group>
            <v:group style="position:absolute;left:7192;top:-9406;width:2;height:980" coordorigin="7192,-9406" coordsize="2,980">
              <v:shape style="position:absolute;left:7192;top:-9406;width:2;height:980" coordorigin="7192,-9406" coordsize="0,980" path="m7192,-9406l7192,-8427e" filled="false" stroked="true" strokeweight="1.08pt" strokecolor="#dddddd">
                <v:path arrowok="t"/>
              </v:shape>
            </v:group>
            <v:group style="position:absolute;left:8927;top:-9406;width:2;height:980" coordorigin="8927,-9406" coordsize="2,980">
              <v:shape style="position:absolute;left:8927;top:-9406;width:2;height:980" coordorigin="8927,-9406" coordsize="0,980" path="m8927,-9406l8927,-8427e" filled="false" stroked="true" strokeweight="1.08pt" strokecolor="#dddddd">
                <v:path arrowok="t"/>
              </v:shape>
            </v:group>
            <v:group style="position:absolute;left:7202;top:-9406;width:1714;height:490" coordorigin="7202,-9406" coordsize="1714,490">
              <v:shape style="position:absolute;left:7202;top:-9406;width:1714;height:490" coordorigin="7202,-9406" coordsize="1714,490" path="m7202,-8917l8916,-8917,8916,-9406,7202,-9406,7202,-8917xe" filled="true" fillcolor="#dddddd" stroked="false">
                <v:path arrowok="t"/>
                <v:fill type="solid"/>
              </v:shape>
            </v:group>
            <v:group style="position:absolute;left:7202;top:-8917;width:1714;height:490" coordorigin="7202,-8917" coordsize="1714,490">
              <v:shape style="position:absolute;left:7202;top:-8917;width:1714;height:490" coordorigin="7202,-8917" coordsize="1714,490" path="m7202,-8427l8916,-8427,8916,-8917,7202,-8917,7202,-8427xe" filled="true" fillcolor="#dddddd" stroked="false">
                <v:path arrowok="t"/>
                <v:fill type="solid"/>
              </v:shape>
            </v:group>
            <v:group style="position:absolute;left:8947;top:-9406;width:1916;height:245" coordorigin="8947,-9406" coordsize="1916,245">
              <v:shape style="position:absolute;left:8947;top:-9406;width:1916;height:245" coordorigin="8947,-9406" coordsize="1916,245" path="m8947,-9162l10862,-9162,10862,-9406,8947,-9406,8947,-9162xe" filled="true" fillcolor="#dddddd" stroked="false">
                <v:path arrowok="t"/>
                <v:fill type="solid"/>
              </v:shape>
            </v:group>
            <v:group style="position:absolute;left:8959;top:-9162;width:2;height:490" coordorigin="8959,-9162" coordsize="2,490">
              <v:shape style="position:absolute;left:8959;top:-9162;width:2;height:490" coordorigin="8959,-9162" coordsize="0,490" path="m8959,-9162l8959,-8672e" filled="false" stroked="true" strokeweight="1.2pt" strokecolor="#dddddd">
                <v:path arrowok="t"/>
              </v:shape>
            </v:group>
            <v:group style="position:absolute;left:10850;top:-9162;width:2;height:490" coordorigin="10850,-9162" coordsize="2,490">
              <v:shape style="position:absolute;left:10850;top:-9162;width:2;height:490" coordorigin="10850,-9162" coordsize="0,490" path="m10850,-9162l10850,-8672e" filled="false" stroked="true" strokeweight="1.2pt" strokecolor="#dddddd">
                <v:path arrowok="t"/>
              </v:shape>
            </v:group>
            <v:group style="position:absolute;left:8947;top:-8672;width:1916;height:245" coordorigin="8947,-8672" coordsize="1916,245">
              <v:shape style="position:absolute;left:8947;top:-8672;width:1916;height:245" coordorigin="8947,-8672" coordsize="1916,245" path="m8947,-8427l10862,-8427,10862,-8672,8947,-8672,8947,-8427xe" filled="true" fillcolor="#dddddd" stroked="false">
                <v:path arrowok="t"/>
                <v:fill type="solid"/>
              </v:shape>
            </v:group>
            <v:group style="position:absolute;left:8971;top:-9162;width:1868;height:490" coordorigin="8971,-9162" coordsize="1868,490">
              <v:shape style="position:absolute;left:8971;top:-9162;width:1868;height:490" coordorigin="8971,-9162" coordsize="1868,490" path="m8971,-8672l10838,-8672,10838,-9162,8971,-9162,8971,-8672xe" filled="true" fillcolor="#dddddd" stroked="false">
                <v:path arrowok="t"/>
                <v:fill type="solid"/>
              </v:shape>
            </v:group>
            <v:group style="position:absolute;left:1044;top:-9411;width:2280;height:2" coordorigin="1044,-9411" coordsize="2280,2">
              <v:shape style="position:absolute;left:1044;top:-9411;width:2280;height:2" coordorigin="1044,-9411" coordsize="2280,0" path="m1044,-9411l3324,-9411e" filled="false" stroked="true" strokeweight=".48pt" strokecolor="#000000">
                <v:path arrowok="t"/>
              </v:shape>
            </v:group>
            <v:group style="position:absolute;left:3334;top:-9411;width:1913;height:2" coordorigin="3334,-9411" coordsize="1913,2">
              <v:shape style="position:absolute;left:3334;top:-9411;width:1913;height:2" coordorigin="3334,-9411" coordsize="1913,0" path="m3334,-9411l5246,-9411e" filled="false" stroked="true" strokeweight=".48pt" strokecolor="#000000">
                <v:path arrowok="t"/>
              </v:shape>
            </v:group>
            <v:group style="position:absolute;left:5256;top:-9411;width:1916;height:2" coordorigin="5256,-9411" coordsize="1916,2">
              <v:shape style="position:absolute;left:5256;top:-9411;width:1916;height:2" coordorigin="5256,-9411" coordsize="1916,0" path="m5256,-9411l7171,-9411e" filled="false" stroked="true" strokeweight=".48pt" strokecolor="#000000">
                <v:path arrowok="t"/>
              </v:shape>
            </v:group>
            <v:group style="position:absolute;left:7181;top:-9411;width:1760;height:2" coordorigin="7181,-9411" coordsize="1760,2">
              <v:shape style="position:absolute;left:7181;top:-9411;width:1760;height:2" coordorigin="7181,-9411" coordsize="1760,0" path="m7181,-9411l8940,-9411e" filled="false" stroked="true" strokeweight=".48pt" strokecolor="#000000">
                <v:path arrowok="t"/>
              </v:shape>
            </v:group>
            <v:group style="position:absolute;left:8950;top:-9411;width:1913;height:2" coordorigin="8950,-9411" coordsize="1913,2">
              <v:shape style="position:absolute;left:8950;top:-9411;width:1913;height:2" coordorigin="8950,-9411" coordsize="1913,0" path="m8950,-9411l10862,-9411e" filled="false" stroked="true" strokeweight=".48pt" strokecolor="#000000">
                <v:path arrowok="t"/>
              </v:shape>
            </v:group>
            <v:group style="position:absolute;left:1056;top:-8418;width:2;height:490" coordorigin="1056,-8418" coordsize="2,490">
              <v:shape style="position:absolute;left:1056;top:-8418;width:2;height:490" coordorigin="1056,-8418" coordsize="0,490" path="m1056,-8418l1056,-7928e" filled="false" stroked="true" strokeweight="1.2pt" strokecolor="#dddddd">
                <v:path arrowok="t"/>
              </v:shape>
            </v:group>
            <v:group style="position:absolute;left:3311;top:-8418;width:2;height:490" coordorigin="3311,-8418" coordsize="2,490">
              <v:shape style="position:absolute;left:3311;top:-8418;width:2;height:490" coordorigin="3311,-8418" coordsize="0,490" path="m3311,-8418l3311,-7928e" filled="false" stroked="true" strokeweight="1.08pt" strokecolor="#dddddd">
                <v:path arrowok="t"/>
              </v:shape>
            </v:group>
            <v:group style="position:absolute;left:1068;top:-8418;width:2232;height:490" coordorigin="1068,-8418" coordsize="2232,490">
              <v:shape style="position:absolute;left:1068;top:-8418;width:2232;height:490" coordorigin="1068,-8418" coordsize="2232,490" path="m1068,-7928l3300,-7928,3300,-8418,1068,-8418,1068,-7928xe" filled="true" fillcolor="#dddddd" stroked="false">
                <v:path arrowok="t"/>
                <v:fill type="solid"/>
              </v:shape>
            </v:group>
            <v:group style="position:absolute;left:1044;top:-8422;width:2280;height:2" coordorigin="1044,-8422" coordsize="2280,2">
              <v:shape style="position:absolute;left:1044;top:-8422;width:2280;height:2" coordorigin="1044,-8422" coordsize="2280,0" path="m1044,-8422l3324,-8422e" filled="false" stroked="true" strokeweight=".48pt" strokecolor="#000000">
                <v:path arrowok="t"/>
              </v:shape>
            </v:group>
            <v:group style="position:absolute;left:3334;top:-8422;width:1913;height:2" coordorigin="3334,-8422" coordsize="1913,2">
              <v:shape style="position:absolute;left:3334;top:-8422;width:1913;height:2" coordorigin="3334,-8422" coordsize="1913,0" path="m3334,-8422l5246,-8422e" filled="false" stroked="true" strokeweight=".48pt" strokecolor="#000000">
                <v:path arrowok="t"/>
              </v:shape>
            </v:group>
            <v:group style="position:absolute;left:5256;top:-8422;width:1916;height:2" coordorigin="5256,-8422" coordsize="1916,2">
              <v:shape style="position:absolute;left:5256;top:-8422;width:1916;height:2" coordorigin="5256,-8422" coordsize="1916,0" path="m5256,-8422l7171,-8422e" filled="false" stroked="true" strokeweight=".48pt" strokecolor="#000000">
                <v:path arrowok="t"/>
              </v:shape>
            </v:group>
            <v:group style="position:absolute;left:7181;top:-8422;width:1760;height:2" coordorigin="7181,-8422" coordsize="1760,2">
              <v:shape style="position:absolute;left:7181;top:-8422;width:1760;height:2" coordorigin="7181,-8422" coordsize="1760,0" path="m7181,-8422l8940,-8422e" filled="false" stroked="true" strokeweight=".48pt" strokecolor="#000000">
                <v:path arrowok="t"/>
              </v:shape>
            </v:group>
            <v:group style="position:absolute;left:8950;top:-8422;width:1913;height:2" coordorigin="8950,-8422" coordsize="1913,2">
              <v:shape style="position:absolute;left:8950;top:-8422;width:1913;height:2" coordorigin="8950,-8422" coordsize="1913,0" path="m8950,-8422l10862,-8422e" filled="false" stroked="true" strokeweight=".48pt" strokecolor="#000000">
                <v:path arrowok="t"/>
              </v:shape>
            </v:group>
            <v:group style="position:absolute;left:1056;top:-7918;width:2;height:488" coordorigin="1056,-7918" coordsize="2,488">
              <v:shape style="position:absolute;left:1056;top:-7918;width:2;height:488" coordorigin="1056,-7918" coordsize="0,488" path="m1056,-7918l1056,-7431e" filled="false" stroked="true" strokeweight="1.2pt" strokecolor="#dddddd">
                <v:path arrowok="t"/>
              </v:shape>
            </v:group>
            <v:group style="position:absolute;left:3311;top:-7918;width:2;height:488" coordorigin="3311,-7918" coordsize="2,488">
              <v:shape style="position:absolute;left:3311;top:-7918;width:2;height:488" coordorigin="3311,-7918" coordsize="0,488" path="m3311,-7918l3311,-7431e" filled="false" stroked="true" strokeweight="1.08pt" strokecolor="#dddddd">
                <v:path arrowok="t"/>
              </v:shape>
            </v:group>
            <v:group style="position:absolute;left:1068;top:-7918;width:2232;height:488" coordorigin="1068,-7918" coordsize="2232,488">
              <v:shape style="position:absolute;left:1068;top:-7918;width:2232;height:488" coordorigin="1068,-7918" coordsize="2232,488" path="m1068,-7431l3300,-7431,3300,-7918,1068,-7918,1068,-7431xe" filled="true" fillcolor="#dddddd" stroked="false">
                <v:path arrowok="t"/>
                <v:fill type="solid"/>
              </v:shape>
            </v:group>
            <v:group style="position:absolute;left:1044;top:-7923;width:2280;height:2" coordorigin="1044,-7923" coordsize="2280,2">
              <v:shape style="position:absolute;left:1044;top:-7923;width:2280;height:2" coordorigin="1044,-7923" coordsize="2280,0" path="m1044,-7923l3324,-7923e" filled="false" stroked="true" strokeweight=".48pt" strokecolor="#000000">
                <v:path arrowok="t"/>
              </v:shape>
            </v:group>
            <v:group style="position:absolute;left:3334;top:-7923;width:1913;height:2" coordorigin="3334,-7923" coordsize="1913,2">
              <v:shape style="position:absolute;left:3334;top:-7923;width:1913;height:2" coordorigin="3334,-7923" coordsize="1913,0" path="m3334,-7923l5246,-7923e" filled="false" stroked="true" strokeweight=".48pt" strokecolor="#000000">
                <v:path arrowok="t"/>
              </v:shape>
            </v:group>
            <v:group style="position:absolute;left:5256;top:-7923;width:1916;height:2" coordorigin="5256,-7923" coordsize="1916,2">
              <v:shape style="position:absolute;left:5256;top:-7923;width:1916;height:2" coordorigin="5256,-7923" coordsize="1916,0" path="m5256,-7923l7171,-7923e" filled="false" stroked="true" strokeweight=".48pt" strokecolor="#000000">
                <v:path arrowok="t"/>
              </v:shape>
            </v:group>
            <v:group style="position:absolute;left:7181;top:-7923;width:1760;height:2" coordorigin="7181,-7923" coordsize="1760,2">
              <v:shape style="position:absolute;left:7181;top:-7923;width:1760;height:2" coordorigin="7181,-7923" coordsize="1760,0" path="m7181,-7923l8940,-7923e" filled="false" stroked="true" strokeweight=".48pt" strokecolor="#000000">
                <v:path arrowok="t"/>
              </v:shape>
            </v:group>
            <v:group style="position:absolute;left:8950;top:-7923;width:1913;height:2" coordorigin="8950,-7923" coordsize="1913,2">
              <v:shape style="position:absolute;left:8950;top:-7923;width:1913;height:2" coordorigin="8950,-7923" coordsize="1913,0" path="m8950,-7923l10862,-7923e" filled="false" stroked="true" strokeweight=".48pt" strokecolor="#000000">
                <v:path arrowok="t"/>
              </v:shape>
            </v:group>
            <v:group style="position:absolute;left:1056;top:-7419;width:2;height:1467" coordorigin="1056,-7419" coordsize="2,1467">
              <v:shape style="position:absolute;left:1056;top:-7419;width:2;height:1467" coordorigin="1056,-7419" coordsize="0,1467" path="m1056,-7419l1056,-5953e" filled="false" stroked="true" strokeweight="1.2pt" strokecolor="#dddddd">
                <v:path arrowok="t"/>
              </v:shape>
            </v:group>
            <v:group style="position:absolute;left:3311;top:-7419;width:2;height:1467" coordorigin="3311,-7419" coordsize="2,1467">
              <v:shape style="position:absolute;left:3311;top:-7419;width:2;height:1467" coordorigin="3311,-7419" coordsize="0,1467" path="m3311,-7419l3311,-5953e" filled="false" stroked="true" strokeweight="1.08pt" strokecolor="#dddddd">
                <v:path arrowok="t"/>
              </v:shape>
            </v:group>
            <v:group style="position:absolute;left:1068;top:-7419;width:2232;height:488" coordorigin="1068,-7419" coordsize="2232,488">
              <v:shape style="position:absolute;left:1068;top:-7419;width:2232;height:488" coordorigin="1068,-7419" coordsize="2232,488" path="m1068,-6932l3300,-6932,3300,-7419,1068,-7419,1068,-6932xe" filled="true" fillcolor="#dddddd" stroked="false">
                <v:path arrowok="t"/>
                <v:fill type="solid"/>
              </v:shape>
            </v:group>
            <v:group style="position:absolute;left:1068;top:-6932;width:2232;height:490" coordorigin="1068,-6932" coordsize="2232,490">
              <v:shape style="position:absolute;left:1068;top:-6932;width:2232;height:490" coordorigin="1068,-6932" coordsize="2232,490" path="m1068,-6442l3300,-6442,3300,-6932,1068,-6932,1068,-6442xe" filled="true" fillcolor="#dddddd" stroked="false">
                <v:path arrowok="t"/>
                <v:fill type="solid"/>
              </v:shape>
            </v:group>
            <v:group style="position:absolute;left:1068;top:-6442;width:2232;height:490" coordorigin="1068,-6442" coordsize="2232,490">
              <v:shape style="position:absolute;left:1068;top:-6442;width:2232;height:490" coordorigin="1068,-6442" coordsize="2232,490" path="m1068,-5953l3300,-5953,3300,-6442,1068,-6442,1068,-5953xe" filled="true" fillcolor="#dddddd" stroked="false">
                <v:path arrowok="t"/>
                <v:fill type="solid"/>
              </v:shape>
            </v:group>
            <v:group style="position:absolute;left:1044;top:-7426;width:2280;height:2" coordorigin="1044,-7426" coordsize="2280,2">
              <v:shape style="position:absolute;left:1044;top:-7426;width:2280;height:2" coordorigin="1044,-7426" coordsize="2280,0" path="m1044,-7426l3324,-7426e" filled="false" stroked="true" strokeweight=".48pt" strokecolor="#000000">
                <v:path arrowok="t"/>
              </v:shape>
            </v:group>
            <v:group style="position:absolute;left:3334;top:-7426;width:1913;height:2" coordorigin="3334,-7426" coordsize="1913,2">
              <v:shape style="position:absolute;left:3334;top:-7426;width:1913;height:2" coordorigin="3334,-7426" coordsize="1913,0" path="m3334,-7426l5246,-7426e" filled="false" stroked="true" strokeweight=".48pt" strokecolor="#000000">
                <v:path arrowok="t"/>
              </v:shape>
            </v:group>
            <v:group style="position:absolute;left:5256;top:-7426;width:1916;height:2" coordorigin="5256,-7426" coordsize="1916,2">
              <v:shape style="position:absolute;left:5256;top:-7426;width:1916;height:2" coordorigin="5256,-7426" coordsize="1916,0" path="m5256,-7426l7171,-7426e" filled="false" stroked="true" strokeweight=".48pt" strokecolor="#000000">
                <v:path arrowok="t"/>
              </v:shape>
            </v:group>
            <v:group style="position:absolute;left:7181;top:-7426;width:1760;height:2" coordorigin="7181,-7426" coordsize="1760,2">
              <v:shape style="position:absolute;left:7181;top:-7426;width:1760;height:2" coordorigin="7181,-7426" coordsize="1760,0" path="m7181,-7426l8940,-7426e" filled="false" stroked="true" strokeweight=".48pt" strokecolor="#000000">
                <v:path arrowok="t"/>
              </v:shape>
            </v:group>
            <v:group style="position:absolute;left:8950;top:-7426;width:1913;height:2" coordorigin="8950,-7426" coordsize="1913,2">
              <v:shape style="position:absolute;left:8950;top:-7426;width:1913;height:2" coordorigin="8950,-7426" coordsize="1913,0" path="m8950,-7426l10862,-7426e" filled="false" stroked="true" strokeweight=".48pt" strokecolor="#000000">
                <v:path arrowok="t"/>
              </v:shape>
            </v:group>
            <v:group style="position:absolute;left:1056;top:-5943;width:2;height:980" coordorigin="1056,-5943" coordsize="2,980">
              <v:shape style="position:absolute;left:1056;top:-5943;width:2;height:980" coordorigin="1056,-5943" coordsize="0,980" path="m1056,-5943l1056,-4964e" filled="false" stroked="true" strokeweight="1.2pt" strokecolor="#dddddd">
                <v:path arrowok="t"/>
              </v:shape>
            </v:group>
            <v:group style="position:absolute;left:3311;top:-5943;width:2;height:980" coordorigin="3311,-5943" coordsize="2,980">
              <v:shape style="position:absolute;left:3311;top:-5943;width:2;height:980" coordorigin="3311,-5943" coordsize="0,980" path="m3311,-5943l3311,-4964e" filled="false" stroked="true" strokeweight="1.08pt" strokecolor="#dddddd">
                <v:path arrowok="t"/>
              </v:shape>
            </v:group>
            <v:group style="position:absolute;left:1068;top:-5943;width:2232;height:490" coordorigin="1068,-5943" coordsize="2232,490">
              <v:shape style="position:absolute;left:1068;top:-5943;width:2232;height:490" coordorigin="1068,-5943" coordsize="2232,490" path="m1068,-5454l3300,-5454,3300,-5943,1068,-5943,1068,-5454xe" filled="true" fillcolor="#dddddd" stroked="false">
                <v:path arrowok="t"/>
                <v:fill type="solid"/>
              </v:shape>
            </v:group>
            <v:group style="position:absolute;left:1068;top:-5454;width:2232;height:490" coordorigin="1068,-5454" coordsize="2232,490">
              <v:shape style="position:absolute;left:1068;top:-5454;width:2232;height:490" coordorigin="1068,-5454" coordsize="2232,490" path="m1068,-4964l3300,-4964,3300,-5454,1068,-5454,1068,-4964xe" filled="true" fillcolor="#dddddd" stroked="false">
                <v:path arrowok="t"/>
                <v:fill type="solid"/>
              </v:shape>
            </v:group>
            <v:group style="position:absolute;left:1044;top:-5948;width:2280;height:2" coordorigin="1044,-5948" coordsize="2280,2">
              <v:shape style="position:absolute;left:1044;top:-5948;width:2280;height:2" coordorigin="1044,-5948" coordsize="2280,0" path="m1044,-5948l3324,-5948e" filled="false" stroked="true" strokeweight=".48pt" strokecolor="#000000">
                <v:path arrowok="t"/>
              </v:shape>
            </v:group>
            <v:group style="position:absolute;left:3334;top:-5948;width:1913;height:2" coordorigin="3334,-5948" coordsize="1913,2">
              <v:shape style="position:absolute;left:3334;top:-5948;width:1913;height:2" coordorigin="3334,-5948" coordsize="1913,0" path="m3334,-5948l5246,-5948e" filled="false" stroked="true" strokeweight=".48pt" strokecolor="#000000">
                <v:path arrowok="t"/>
              </v:shape>
            </v:group>
            <v:group style="position:absolute;left:5256;top:-5948;width:1916;height:2" coordorigin="5256,-5948" coordsize="1916,2">
              <v:shape style="position:absolute;left:5256;top:-5948;width:1916;height:2" coordorigin="5256,-5948" coordsize="1916,0" path="m5256,-5948l7171,-5948e" filled="false" stroked="true" strokeweight=".48pt" strokecolor="#000000">
                <v:path arrowok="t"/>
              </v:shape>
            </v:group>
            <v:group style="position:absolute;left:7181;top:-5948;width:1760;height:2" coordorigin="7181,-5948" coordsize="1760,2">
              <v:shape style="position:absolute;left:7181;top:-5948;width:1760;height:2" coordorigin="7181,-5948" coordsize="1760,0" path="m7181,-5948l8940,-5948e" filled="false" stroked="true" strokeweight=".48pt" strokecolor="#000000">
                <v:path arrowok="t"/>
              </v:shape>
            </v:group>
            <v:group style="position:absolute;left:8950;top:-5948;width:1913;height:2" coordorigin="8950,-5948" coordsize="1913,2">
              <v:shape style="position:absolute;left:8950;top:-5948;width:1913;height:2" coordorigin="8950,-5948" coordsize="1913,0" path="m8950,-5948l10862,-5948e" filled="false" stroked="true" strokeweight=".48pt" strokecolor="#000000">
                <v:path arrowok="t"/>
              </v:shape>
            </v:group>
            <v:group style="position:absolute;left:1056;top:-4954;width:2;height:1467" coordorigin="1056,-4954" coordsize="2,1467">
              <v:shape style="position:absolute;left:1056;top:-4954;width:2;height:1467" coordorigin="1056,-4954" coordsize="0,1467" path="m1056,-4954l1056,-3488e" filled="false" stroked="true" strokeweight="1.2pt" strokecolor="#dddddd">
                <v:path arrowok="t"/>
              </v:shape>
            </v:group>
            <v:group style="position:absolute;left:3311;top:-4954;width:2;height:1467" coordorigin="3311,-4954" coordsize="2,1467">
              <v:shape style="position:absolute;left:3311;top:-4954;width:2;height:1467" coordorigin="3311,-4954" coordsize="0,1467" path="m3311,-4954l3311,-3488e" filled="false" stroked="true" strokeweight="1.08pt" strokecolor="#dddddd">
                <v:path arrowok="t"/>
              </v:shape>
            </v:group>
            <v:group style="position:absolute;left:1068;top:-4954;width:2232;height:488" coordorigin="1068,-4954" coordsize="2232,488">
              <v:shape style="position:absolute;left:1068;top:-4954;width:2232;height:488" coordorigin="1068,-4954" coordsize="2232,488" path="m1068,-4467l3300,-4467,3300,-4954,1068,-4954,1068,-4467xe" filled="true" fillcolor="#dddddd" stroked="false">
                <v:path arrowok="t"/>
                <v:fill type="solid"/>
              </v:shape>
            </v:group>
            <v:group style="position:absolute;left:1068;top:-4467;width:2232;height:490" coordorigin="1068,-4467" coordsize="2232,490">
              <v:shape style="position:absolute;left:1068;top:-4467;width:2232;height:490" coordorigin="1068,-4467" coordsize="2232,490" path="m1068,-3978l3300,-3978,3300,-4467,1068,-4467,1068,-3978xe" filled="true" fillcolor="#dddddd" stroked="false">
                <v:path arrowok="t"/>
                <v:fill type="solid"/>
              </v:shape>
            </v:group>
            <v:group style="position:absolute;left:1068;top:-3978;width:2232;height:490" coordorigin="1068,-3978" coordsize="2232,490">
              <v:shape style="position:absolute;left:1068;top:-3978;width:2232;height:490" coordorigin="1068,-3978" coordsize="2232,490" path="m1068,-3488l3300,-3488,3300,-3978,1068,-3978,1068,-3488xe" filled="true" fillcolor="#dddddd" stroked="false">
                <v:path arrowok="t"/>
                <v:fill type="solid"/>
              </v:shape>
            </v:group>
            <v:group style="position:absolute;left:1044;top:-4959;width:2280;height:2" coordorigin="1044,-4959" coordsize="2280,2">
              <v:shape style="position:absolute;left:1044;top:-4959;width:2280;height:2" coordorigin="1044,-4959" coordsize="2280,0" path="m1044,-4959l3324,-4959e" filled="false" stroked="true" strokeweight=".48pt" strokecolor="#000000">
                <v:path arrowok="t"/>
              </v:shape>
            </v:group>
            <v:group style="position:absolute;left:3334;top:-4959;width:1913;height:2" coordorigin="3334,-4959" coordsize="1913,2">
              <v:shape style="position:absolute;left:3334;top:-4959;width:1913;height:2" coordorigin="3334,-4959" coordsize="1913,0" path="m3334,-4959l5246,-4959e" filled="false" stroked="true" strokeweight=".48pt" strokecolor="#000000">
                <v:path arrowok="t"/>
              </v:shape>
            </v:group>
            <v:group style="position:absolute;left:5256;top:-4959;width:1916;height:2" coordorigin="5256,-4959" coordsize="1916,2">
              <v:shape style="position:absolute;left:5256;top:-4959;width:1916;height:2" coordorigin="5256,-4959" coordsize="1916,0" path="m5256,-4959l7171,-4959e" filled="false" stroked="true" strokeweight=".48pt" strokecolor="#000000">
                <v:path arrowok="t"/>
              </v:shape>
            </v:group>
            <v:group style="position:absolute;left:7181;top:-4959;width:1760;height:2" coordorigin="7181,-4959" coordsize="1760,2">
              <v:shape style="position:absolute;left:7181;top:-4959;width:1760;height:2" coordorigin="7181,-4959" coordsize="1760,0" path="m7181,-4959l8940,-4959e" filled="false" stroked="true" strokeweight=".48pt" strokecolor="#000000">
                <v:path arrowok="t"/>
              </v:shape>
            </v:group>
            <v:group style="position:absolute;left:8950;top:-4959;width:1913;height:2" coordorigin="8950,-4959" coordsize="1913,2">
              <v:shape style="position:absolute;left:8950;top:-4959;width:1913;height:2" coordorigin="8950,-4959" coordsize="1913,0" path="m8950,-4959l10862,-4959e" filled="false" stroked="true" strokeweight=".48pt" strokecolor="#000000">
                <v:path arrowok="t"/>
              </v:shape>
            </v:group>
            <v:group style="position:absolute;left:1056;top:-3478;width:2;height:980" coordorigin="1056,-3478" coordsize="2,980">
              <v:shape style="position:absolute;left:1056;top:-3478;width:2;height:980" coordorigin="1056,-3478" coordsize="0,980" path="m1056,-3478l1056,-2499e" filled="false" stroked="true" strokeweight="1.2pt" strokecolor="#dddddd">
                <v:path arrowok="t"/>
              </v:shape>
            </v:group>
            <v:group style="position:absolute;left:3311;top:-3478;width:2;height:980" coordorigin="3311,-3478" coordsize="2,980">
              <v:shape style="position:absolute;left:3311;top:-3478;width:2;height:980" coordorigin="3311,-3478" coordsize="0,980" path="m3311,-3478l3311,-2499e" filled="false" stroked="true" strokeweight="1.08pt" strokecolor="#dddddd">
                <v:path arrowok="t"/>
              </v:shape>
            </v:group>
            <v:group style="position:absolute;left:1068;top:-3478;width:2232;height:490" coordorigin="1068,-3478" coordsize="2232,490">
              <v:shape style="position:absolute;left:1068;top:-3478;width:2232;height:490" coordorigin="1068,-3478" coordsize="2232,490" path="m1068,-2989l3300,-2989,3300,-3478,1068,-3478,1068,-2989xe" filled="true" fillcolor="#dddddd" stroked="false">
                <v:path arrowok="t"/>
                <v:fill type="solid"/>
              </v:shape>
            </v:group>
            <v:group style="position:absolute;left:1068;top:-2989;width:2232;height:490" coordorigin="1068,-2989" coordsize="2232,490">
              <v:shape style="position:absolute;left:1068;top:-2989;width:2232;height:490" coordorigin="1068,-2989" coordsize="2232,490" path="m1068,-2499l3300,-2499,3300,-2989,1068,-2989,1068,-2499xe" filled="true" fillcolor="#dddddd" stroked="false">
                <v:path arrowok="t"/>
                <v:fill type="solid"/>
              </v:shape>
            </v:group>
            <v:group style="position:absolute;left:1044;top:-3483;width:2280;height:2" coordorigin="1044,-3483" coordsize="2280,2">
              <v:shape style="position:absolute;left:1044;top:-3483;width:2280;height:2" coordorigin="1044,-3483" coordsize="2280,0" path="m1044,-3483l3324,-3483e" filled="false" stroked="true" strokeweight=".48pt" strokecolor="#000000">
                <v:path arrowok="t"/>
              </v:shape>
            </v:group>
            <v:group style="position:absolute;left:3334;top:-3483;width:1913;height:2" coordorigin="3334,-3483" coordsize="1913,2">
              <v:shape style="position:absolute;left:3334;top:-3483;width:1913;height:2" coordorigin="3334,-3483" coordsize="1913,0" path="m3334,-3483l5246,-3483e" filled="false" stroked="true" strokeweight=".48pt" strokecolor="#000000">
                <v:path arrowok="t"/>
              </v:shape>
            </v:group>
            <v:group style="position:absolute;left:5256;top:-3483;width:1916;height:2" coordorigin="5256,-3483" coordsize="1916,2">
              <v:shape style="position:absolute;left:5256;top:-3483;width:1916;height:2" coordorigin="5256,-3483" coordsize="1916,0" path="m5256,-3483l7171,-3483e" filled="false" stroked="true" strokeweight=".48pt" strokecolor="#000000">
                <v:path arrowok="t"/>
              </v:shape>
            </v:group>
            <v:group style="position:absolute;left:7181;top:-3483;width:1760;height:2" coordorigin="7181,-3483" coordsize="1760,2">
              <v:shape style="position:absolute;left:7181;top:-3483;width:1760;height:2" coordorigin="7181,-3483" coordsize="1760,0" path="m7181,-3483l8940,-3483e" filled="false" stroked="true" strokeweight=".48pt" strokecolor="#000000">
                <v:path arrowok="t"/>
              </v:shape>
            </v:group>
            <v:group style="position:absolute;left:8950;top:-3483;width:1913;height:2" coordorigin="8950,-3483" coordsize="1913,2">
              <v:shape style="position:absolute;left:8950;top:-3483;width:1913;height:2" coordorigin="8950,-3483" coordsize="1913,0" path="m8950,-3483l10862,-3483e" filled="false" stroked="true" strokeweight=".48pt" strokecolor="#000000">
                <v:path arrowok="t"/>
              </v:shape>
            </v:group>
            <v:group style="position:absolute;left:1044;top:-2490;width:2278;height:245" coordorigin="1044,-2490" coordsize="2278,245">
              <v:shape style="position:absolute;left:1044;top:-2490;width:2278;height:245" coordorigin="1044,-2490" coordsize="2278,245" path="m1044,-2245l3322,-2245,3322,-2490,1044,-2490,1044,-2245xe" filled="true" fillcolor="#dddddd" stroked="false">
                <v:path arrowok="t"/>
                <v:fill type="solid"/>
              </v:shape>
            </v:group>
            <v:group style="position:absolute;left:1056;top:-2245;width:2;height:488" coordorigin="1056,-2245" coordsize="2,488">
              <v:shape style="position:absolute;left:1056;top:-2245;width:2;height:488" coordorigin="1056,-2245" coordsize="0,488" path="m1056,-2245l1056,-1758e" filled="false" stroked="true" strokeweight="1.2pt" strokecolor="#dddddd">
                <v:path arrowok="t"/>
              </v:shape>
            </v:group>
            <v:group style="position:absolute;left:3311;top:-2245;width:2;height:488" coordorigin="3311,-2245" coordsize="2,488">
              <v:shape style="position:absolute;left:3311;top:-2245;width:2;height:488" coordorigin="3311,-2245" coordsize="0,488" path="m3311,-2245l3311,-1758e" filled="false" stroked="true" strokeweight="1.08pt" strokecolor="#dddddd">
                <v:path arrowok="t"/>
              </v:shape>
            </v:group>
            <v:group style="position:absolute;left:1044;top:-1758;width:2278;height:245" coordorigin="1044,-1758" coordsize="2278,245">
              <v:shape style="position:absolute;left:1044;top:-1758;width:2278;height:245" coordorigin="1044,-1758" coordsize="2278,245" path="m1044,-1513l3322,-1513,3322,-1758,1044,-1758,1044,-1513xe" filled="true" fillcolor="#dddddd" stroked="false">
                <v:path arrowok="t"/>
                <v:fill type="solid"/>
              </v:shape>
            </v:group>
            <v:group style="position:absolute;left:1068;top:-2245;width:2232;height:488" coordorigin="1068,-2245" coordsize="2232,488">
              <v:shape style="position:absolute;left:1068;top:-2245;width:2232;height:488" coordorigin="1068,-2245" coordsize="2232,488" path="m1068,-1758l3300,-1758,3300,-2245,1068,-2245,1068,-1758xe" filled="true" fillcolor="#dddddd" stroked="false">
                <v:path arrowok="t"/>
                <v:fill type="solid"/>
              </v:shape>
            </v:group>
            <v:group style="position:absolute;left:3331;top:-2490;width:1916;height:245" coordorigin="3331,-2490" coordsize="1916,245">
              <v:shape style="position:absolute;left:3331;top:-2490;width:1916;height:245" coordorigin="3331,-2490" coordsize="1916,245" path="m3331,-2245l5246,-2245,5246,-2490,3331,-2490,3331,-2245xe" filled="true" fillcolor="#dddddd" stroked="false">
                <v:path arrowok="t"/>
                <v:fill type="solid"/>
              </v:shape>
            </v:group>
            <v:group style="position:absolute;left:3343;top:-2245;width:2;height:488" coordorigin="3343,-2245" coordsize="2,488">
              <v:shape style="position:absolute;left:3343;top:-2245;width:2;height:488" coordorigin="3343,-2245" coordsize="0,488" path="m3343,-2245l3343,-1758e" filled="false" stroked="true" strokeweight="1.2pt" strokecolor="#dddddd">
                <v:path arrowok="t"/>
              </v:shape>
            </v:group>
            <v:group style="position:absolute;left:5234;top:-2245;width:2;height:488" coordorigin="5234,-2245" coordsize="2,488">
              <v:shape style="position:absolute;left:5234;top:-2245;width:2;height:488" coordorigin="5234,-2245" coordsize="0,488" path="m5234,-2245l5234,-1758e" filled="false" stroked="true" strokeweight="1.2pt" strokecolor="#dddddd">
                <v:path arrowok="t"/>
              </v:shape>
            </v:group>
            <v:group style="position:absolute;left:3331;top:-1758;width:1916;height:245" coordorigin="3331,-1758" coordsize="1916,245">
              <v:shape style="position:absolute;left:3331;top:-1758;width:1916;height:245" coordorigin="3331,-1758" coordsize="1916,245" path="m3331,-1513l5246,-1513,5246,-1758,3331,-1758,3331,-1513xe" filled="true" fillcolor="#dddddd" stroked="false">
                <v:path arrowok="t"/>
                <v:fill type="solid"/>
              </v:shape>
            </v:group>
            <v:group style="position:absolute;left:3355;top:-2245;width:1868;height:488" coordorigin="3355,-2245" coordsize="1868,488">
              <v:shape style="position:absolute;left:3355;top:-2245;width:1868;height:488" coordorigin="3355,-2245" coordsize="1868,488" path="m3355,-1758l5222,-1758,5222,-2245,3355,-2245,3355,-1758xe" filled="true" fillcolor="#dddddd" stroked="false">
                <v:path arrowok="t"/>
                <v:fill type="solid"/>
              </v:shape>
            </v:group>
            <v:group style="position:absolute;left:5256;top:-2490;width:1916;height:245" coordorigin="5256,-2490" coordsize="1916,245">
              <v:shape style="position:absolute;left:5256;top:-2490;width:1916;height:245" coordorigin="5256,-2490" coordsize="1916,245" path="m5256,-2245l7171,-2245,7171,-2490,5256,-2490,5256,-2245xe" filled="true" fillcolor="#dddddd" stroked="false">
                <v:path arrowok="t"/>
                <v:fill type="solid"/>
              </v:shape>
            </v:group>
            <v:group style="position:absolute;left:5268;top:-2245;width:2;height:488" coordorigin="5268,-2245" coordsize="2,488">
              <v:shape style="position:absolute;left:5268;top:-2245;width:2;height:488" coordorigin="5268,-2245" coordsize="0,488" path="m5268,-2245l5268,-1758e" filled="false" stroked="true" strokeweight="1.2pt" strokecolor="#dddddd">
                <v:path arrowok="t"/>
              </v:shape>
            </v:group>
            <v:group style="position:absolute;left:7159;top:-2245;width:2;height:488" coordorigin="7159,-2245" coordsize="2,488">
              <v:shape style="position:absolute;left:7159;top:-2245;width:2;height:488" coordorigin="7159,-2245" coordsize="0,488" path="m7159,-2245l7159,-1758e" filled="false" stroked="true" strokeweight="1.2pt" strokecolor="#dddddd">
                <v:path arrowok="t"/>
              </v:shape>
            </v:group>
            <v:group style="position:absolute;left:5256;top:-1758;width:1916;height:245" coordorigin="5256,-1758" coordsize="1916,245">
              <v:shape style="position:absolute;left:5256;top:-1758;width:1916;height:245" coordorigin="5256,-1758" coordsize="1916,245" path="m5256,-1513l7171,-1513,7171,-1758,5256,-1758,5256,-1513xe" filled="true" fillcolor="#dddddd" stroked="false">
                <v:path arrowok="t"/>
                <v:fill type="solid"/>
              </v:shape>
            </v:group>
            <v:group style="position:absolute;left:5280;top:-2245;width:1868;height:488" coordorigin="5280,-2245" coordsize="1868,488">
              <v:shape style="position:absolute;left:5280;top:-2245;width:1868;height:488" coordorigin="5280,-2245" coordsize="1868,488" path="m5280,-1758l7147,-1758,7147,-2245,5280,-2245,5280,-1758xe" filled="true" fillcolor="#dddddd" stroked="false">
                <v:path arrowok="t"/>
                <v:fill type="solid"/>
              </v:shape>
            </v:group>
            <v:group style="position:absolute;left:7192;top:-2490;width:2;height:977" coordorigin="7192,-2490" coordsize="2,977">
              <v:shape style="position:absolute;left:7192;top:-2490;width:2;height:977" coordorigin="7192,-2490" coordsize="0,977" path="m7192,-2490l7192,-1513e" filled="false" stroked="true" strokeweight="1.08pt" strokecolor="#dddddd">
                <v:path arrowok="t"/>
              </v:shape>
            </v:group>
            <v:group style="position:absolute;left:8927;top:-2490;width:2;height:977" coordorigin="8927,-2490" coordsize="2,977">
              <v:shape style="position:absolute;left:8927;top:-2490;width:2;height:977" coordorigin="8927,-2490" coordsize="0,977" path="m8927,-2490l8927,-1513e" filled="false" stroked="true" strokeweight="1.08pt" strokecolor="#dddddd">
                <v:path arrowok="t"/>
              </v:shape>
            </v:group>
            <v:group style="position:absolute;left:7202;top:-2490;width:1714;height:490" coordorigin="7202,-2490" coordsize="1714,490">
              <v:shape style="position:absolute;left:7202;top:-2490;width:1714;height:490" coordorigin="7202,-2490" coordsize="1714,490" path="m7202,-2000l8916,-2000,8916,-2490,7202,-2490,7202,-2000xe" filled="true" fillcolor="#dddddd" stroked="false">
                <v:path arrowok="t"/>
                <v:fill type="solid"/>
              </v:shape>
            </v:group>
            <v:group style="position:absolute;left:7202;top:-2000;width:1714;height:488" coordorigin="7202,-2000" coordsize="1714,488">
              <v:shape style="position:absolute;left:7202;top:-2000;width:1714;height:488" coordorigin="7202,-2000" coordsize="1714,488" path="m7202,-1513l8916,-1513,8916,-2000,7202,-2000,7202,-1513xe" filled="true" fillcolor="#dddddd" stroked="false">
                <v:path arrowok="t"/>
                <v:fill type="solid"/>
              </v:shape>
            </v:group>
            <v:group style="position:absolute;left:8947;top:-2490;width:1916;height:245" coordorigin="8947,-2490" coordsize="1916,245">
              <v:shape style="position:absolute;left:8947;top:-2490;width:1916;height:245" coordorigin="8947,-2490" coordsize="1916,245" path="m8947,-2245l10862,-2245,10862,-2490,8947,-2490,8947,-2245xe" filled="true" fillcolor="#dddddd" stroked="false">
                <v:path arrowok="t"/>
                <v:fill type="solid"/>
              </v:shape>
            </v:group>
            <v:group style="position:absolute;left:8959;top:-2245;width:2;height:488" coordorigin="8959,-2245" coordsize="2,488">
              <v:shape style="position:absolute;left:8959;top:-2245;width:2;height:488" coordorigin="8959,-2245" coordsize="0,488" path="m8959,-2245l8959,-1758e" filled="false" stroked="true" strokeweight="1.2pt" strokecolor="#dddddd">
                <v:path arrowok="t"/>
              </v:shape>
            </v:group>
            <v:group style="position:absolute;left:10850;top:-2245;width:2;height:488" coordorigin="10850,-2245" coordsize="2,488">
              <v:shape style="position:absolute;left:10850;top:-2245;width:2;height:488" coordorigin="10850,-2245" coordsize="0,488" path="m10850,-2245l10850,-1758e" filled="false" stroked="true" strokeweight="1.2pt" strokecolor="#dddddd">
                <v:path arrowok="t"/>
              </v:shape>
            </v:group>
            <v:group style="position:absolute;left:8947;top:-1758;width:1916;height:245" coordorigin="8947,-1758" coordsize="1916,245">
              <v:shape style="position:absolute;left:8947;top:-1758;width:1916;height:245" coordorigin="8947,-1758" coordsize="1916,245" path="m8947,-1513l10862,-1513,10862,-1758,8947,-1758,8947,-1513xe" filled="true" fillcolor="#dddddd" stroked="false">
                <v:path arrowok="t"/>
                <v:fill type="solid"/>
              </v:shape>
            </v:group>
            <v:group style="position:absolute;left:8971;top:-2245;width:1868;height:488" coordorigin="8971,-2245" coordsize="1868,488">
              <v:shape style="position:absolute;left:8971;top:-2245;width:1868;height:488" coordorigin="8971,-2245" coordsize="1868,488" path="m8971,-1758l10838,-1758,10838,-2245,8971,-2245,8971,-1758xe" filled="true" fillcolor="#dddddd" stroked="false">
                <v:path arrowok="t"/>
                <v:fill type="solid"/>
              </v:shape>
            </v:group>
            <v:group style="position:absolute;left:1044;top:-2494;width:2280;height:2" coordorigin="1044,-2494" coordsize="2280,2">
              <v:shape style="position:absolute;left:1044;top:-2494;width:2280;height:2" coordorigin="1044,-2494" coordsize="2280,0" path="m1044,-2494l3324,-2494e" filled="false" stroked="true" strokeweight=".48pt" strokecolor="#000000">
                <v:path arrowok="t"/>
              </v:shape>
            </v:group>
            <v:group style="position:absolute;left:3334;top:-2494;width:1913;height:2" coordorigin="3334,-2494" coordsize="1913,2">
              <v:shape style="position:absolute;left:3334;top:-2494;width:1913;height:2" coordorigin="3334,-2494" coordsize="1913,0" path="m3334,-2494l5246,-2494e" filled="false" stroked="true" strokeweight=".48pt" strokecolor="#000000">
                <v:path arrowok="t"/>
              </v:shape>
            </v:group>
            <v:group style="position:absolute;left:5256;top:-2494;width:1916;height:2" coordorigin="5256,-2494" coordsize="1916,2">
              <v:shape style="position:absolute;left:5256;top:-2494;width:1916;height:2" coordorigin="5256,-2494" coordsize="1916,0" path="m5256,-2494l7171,-2494e" filled="false" stroked="true" strokeweight=".48pt" strokecolor="#000000">
                <v:path arrowok="t"/>
              </v:shape>
            </v:group>
            <v:group style="position:absolute;left:7181;top:-2494;width:1760;height:2" coordorigin="7181,-2494" coordsize="1760,2">
              <v:shape style="position:absolute;left:7181;top:-2494;width:1760;height:2" coordorigin="7181,-2494" coordsize="1760,0" path="m7181,-2494l8940,-2494e" filled="false" stroked="true" strokeweight=".48pt" strokecolor="#000000">
                <v:path arrowok="t"/>
              </v:shape>
            </v:group>
            <v:group style="position:absolute;left:8950;top:-2494;width:1913;height:2" coordorigin="8950,-2494" coordsize="1913,2">
              <v:shape style="position:absolute;left:8950;top:-2494;width:1913;height:2" coordorigin="8950,-2494" coordsize="1913,0" path="m8950,-2494l10862,-2494e" filled="false" stroked="true" strokeweight=".48pt" strokecolor="#000000">
                <v:path arrowok="t"/>
              </v:shape>
            </v:group>
            <v:group style="position:absolute;left:1056;top:-1503;width:2;height:980" coordorigin="1056,-1503" coordsize="2,980">
              <v:shape style="position:absolute;left:1056;top:-1503;width:2;height:980" coordorigin="1056,-1503" coordsize="0,980" path="m1056,-1503l1056,-524e" filled="false" stroked="true" strokeweight="1.2pt" strokecolor="#dddddd">
                <v:path arrowok="t"/>
              </v:shape>
            </v:group>
            <v:group style="position:absolute;left:3311;top:-1503;width:2;height:980" coordorigin="3311,-1503" coordsize="2,980">
              <v:shape style="position:absolute;left:3311;top:-1503;width:2;height:980" coordorigin="3311,-1503" coordsize="0,980" path="m3311,-1503l3311,-524e" filled="false" stroked="true" strokeweight="1.08pt" strokecolor="#dddddd">
                <v:path arrowok="t"/>
              </v:shape>
            </v:group>
            <v:group style="position:absolute;left:1068;top:-1503;width:2232;height:490" coordorigin="1068,-1503" coordsize="2232,490">
              <v:shape style="position:absolute;left:1068;top:-1503;width:2232;height:490" coordorigin="1068,-1503" coordsize="2232,490" path="m1068,-1014l3300,-1014,3300,-1503,1068,-1503,1068,-1014xe" filled="true" fillcolor="#dddddd" stroked="false">
                <v:path arrowok="t"/>
                <v:fill type="solid"/>
              </v:shape>
            </v:group>
            <v:group style="position:absolute;left:1068;top:-1014;width:2232;height:490" coordorigin="1068,-1014" coordsize="2232,490">
              <v:shape style="position:absolute;left:1068;top:-1014;width:2232;height:490" coordorigin="1068,-1014" coordsize="2232,490" path="m1068,-524l3300,-524,3300,-1014,1068,-1014,1068,-524xe" filled="true" fillcolor="#dddddd" stroked="false">
                <v:path arrowok="t"/>
                <v:fill type="solid"/>
              </v:shape>
            </v:group>
            <v:group style="position:absolute;left:1044;top:-1508;width:2280;height:2" coordorigin="1044,-1508" coordsize="2280,2">
              <v:shape style="position:absolute;left:1044;top:-1508;width:2280;height:2" coordorigin="1044,-1508" coordsize="2280,0" path="m1044,-1508l3324,-1508e" filled="false" stroked="true" strokeweight=".48pt" strokecolor="#000000">
                <v:path arrowok="t"/>
              </v:shape>
            </v:group>
            <v:group style="position:absolute;left:3334;top:-1508;width:1913;height:2" coordorigin="3334,-1508" coordsize="1913,2">
              <v:shape style="position:absolute;left:3334;top:-1508;width:1913;height:2" coordorigin="3334,-1508" coordsize="1913,0" path="m3334,-1508l5246,-1508e" filled="false" stroked="true" strokeweight=".48pt" strokecolor="#000000">
                <v:path arrowok="t"/>
              </v:shape>
            </v:group>
            <v:group style="position:absolute;left:5256;top:-1508;width:1916;height:2" coordorigin="5256,-1508" coordsize="1916,2">
              <v:shape style="position:absolute;left:5256;top:-1508;width:1916;height:2" coordorigin="5256,-1508" coordsize="1916,0" path="m5256,-1508l7171,-1508e" filled="false" stroked="true" strokeweight=".48pt" strokecolor="#000000">
                <v:path arrowok="t"/>
              </v:shape>
            </v:group>
            <v:group style="position:absolute;left:7181;top:-1508;width:1760;height:2" coordorigin="7181,-1508" coordsize="1760,2">
              <v:shape style="position:absolute;left:7181;top:-1508;width:1760;height:2" coordorigin="7181,-1508" coordsize="1760,0" path="m7181,-1508l8940,-1508e" filled="false" stroked="true" strokeweight=".48pt" strokecolor="#000000">
                <v:path arrowok="t"/>
              </v:shape>
            </v:group>
            <v:group style="position:absolute;left:8950;top:-1508;width:1913;height:2" coordorigin="8950,-1508" coordsize="1913,2">
              <v:shape style="position:absolute;left:8950;top:-1508;width:1913;height:2" coordorigin="8950,-1508" coordsize="1913,0" path="m8950,-1508l10862,-1508e" filled="false" stroked="true" strokeweight=".48pt" strokecolor="#000000">
                <v:path arrowok="t"/>
              </v:shape>
            </v:group>
            <v:group style="position:absolute;left:1039;top:-9416;width:2;height:8902" coordorigin="1039,-9416" coordsize="2,8902">
              <v:shape style="position:absolute;left:1039;top:-9416;width:2;height:8902" coordorigin="1039,-9416" coordsize="0,8902" path="m1039,-9416l1039,-514e" filled="false" stroked="true" strokeweight=".48pt" strokecolor="#000000">
                <v:path arrowok="t"/>
              </v:shape>
            </v:group>
            <v:group style="position:absolute;left:1044;top:-519;width:2280;height:2" coordorigin="1044,-519" coordsize="2280,2">
              <v:shape style="position:absolute;left:1044;top:-519;width:2280;height:2" coordorigin="1044,-519" coordsize="2280,0" path="m1044,-519l3324,-519e" filled="false" stroked="true" strokeweight=".48pt" strokecolor="#000000">
                <v:path arrowok="t"/>
              </v:shape>
            </v:group>
            <v:group style="position:absolute;left:3329;top:-9416;width:2;height:8902" coordorigin="3329,-9416" coordsize="2,8902">
              <v:shape style="position:absolute;left:3329;top:-9416;width:2;height:8902" coordorigin="3329,-9416" coordsize="0,8902" path="m3329,-9416l3329,-514e" filled="false" stroked="true" strokeweight=".48pt" strokecolor="#000000">
                <v:path arrowok="t"/>
              </v:shape>
            </v:group>
            <v:group style="position:absolute;left:3334;top:-519;width:1913;height:2" coordorigin="3334,-519" coordsize="1913,2">
              <v:shape style="position:absolute;left:3334;top:-519;width:1913;height:2" coordorigin="3334,-519" coordsize="1913,0" path="m3334,-519l5246,-519e" filled="false" stroked="true" strokeweight=".48pt" strokecolor="#000000">
                <v:path arrowok="t"/>
              </v:shape>
            </v:group>
            <v:group style="position:absolute;left:5251;top:-9416;width:2;height:8902" coordorigin="5251,-9416" coordsize="2,8902">
              <v:shape style="position:absolute;left:5251;top:-9416;width:2;height:8902" coordorigin="5251,-9416" coordsize="0,8902" path="m5251,-9416l5251,-514e" filled="false" stroked="true" strokeweight=".48pt" strokecolor="#000000">
                <v:path arrowok="t"/>
              </v:shape>
            </v:group>
            <v:group style="position:absolute;left:5256;top:-519;width:1916;height:2" coordorigin="5256,-519" coordsize="1916,2">
              <v:shape style="position:absolute;left:5256;top:-519;width:1916;height:2" coordorigin="5256,-519" coordsize="1916,0" path="m5256,-519l7171,-519e" filled="false" stroked="true" strokeweight=".48pt" strokecolor="#000000">
                <v:path arrowok="t"/>
              </v:shape>
            </v:group>
            <v:group style="position:absolute;left:7176;top:-9416;width:2;height:8902" coordorigin="7176,-9416" coordsize="2,8902">
              <v:shape style="position:absolute;left:7176;top:-9416;width:2;height:8902" coordorigin="7176,-9416" coordsize="0,8902" path="m7176,-9416l7176,-514e" filled="false" stroked="true" strokeweight=".48pt" strokecolor="#000000">
                <v:path arrowok="t"/>
              </v:shape>
            </v:group>
            <v:group style="position:absolute;left:7181;top:-519;width:1760;height:2" coordorigin="7181,-519" coordsize="1760,2">
              <v:shape style="position:absolute;left:7181;top:-519;width:1760;height:2" coordorigin="7181,-519" coordsize="1760,0" path="m7181,-519l8940,-519e" filled="false" stroked="true" strokeweight=".48pt" strokecolor="#000000">
                <v:path arrowok="t"/>
              </v:shape>
            </v:group>
            <v:group style="position:absolute;left:8945;top:-9416;width:2;height:8902" coordorigin="8945,-9416" coordsize="2,8902">
              <v:shape style="position:absolute;left:8945;top:-9416;width:2;height:8902" coordorigin="8945,-9416" coordsize="0,8902" path="m8945,-9416l8945,-514e" filled="false" stroked="true" strokeweight=".48pt" strokecolor="#000000">
                <v:path arrowok="t"/>
              </v:shape>
            </v:group>
            <v:group style="position:absolute;left:8950;top:-519;width:1913;height:2" coordorigin="8950,-519" coordsize="1913,2">
              <v:shape style="position:absolute;left:8950;top:-519;width:1913;height:2" coordorigin="8950,-519" coordsize="1913,0" path="m8950,-519l10862,-519e" filled="false" stroked="true" strokeweight=".48pt" strokecolor="#000000">
                <v:path arrowok="t"/>
              </v:shape>
            </v:group>
            <v:group style="position:absolute;left:10867;top:-9416;width:2;height:8902" coordorigin="10867,-9416" coordsize="2,8902">
              <v:shape style="position:absolute;left:10867;top:-9416;width:2;height:8902" coordorigin="10867,-9416" coordsize="0,8902" path="m10867,-9416l10867,-514e" filled="false" stroked="true" strokeweight=".48pt" strokecolor="#000000">
                <v:path arrowok="t"/>
              </v:shape>
            </v:group>
            <w10:wrap type="none"/>
          </v:group>
        </w:pict>
      </w:r>
      <w:r>
        <w:rPr>
          <w:rFonts w:ascii="宋体" w:hAnsi="宋体" w:cs="宋体" w:eastAsia="宋体" w:hint="default"/>
          <w:b/>
          <w:bCs/>
          <w:sz w:val="24"/>
          <w:szCs w:val="24"/>
        </w:rPr>
        <w:t>三、非经常性损益</w:t>
      </w:r>
      <w:r>
        <w:rPr>
          <w:rFonts w:ascii="宋体" w:hAnsi="宋体" w:cs="宋体" w:eastAsia="宋体" w:hint="default"/>
          <w:sz w:val="24"/>
          <w:szCs w:val="24"/>
        </w:rPr>
      </w:r>
    </w:p>
    <w:p>
      <w:pPr>
        <w:spacing w:line="240" w:lineRule="auto" w:before="12"/>
        <w:rPr>
          <w:rFonts w:ascii="宋体" w:hAnsi="宋体" w:cs="宋体" w:eastAsia="宋体" w:hint="default"/>
          <w:b/>
          <w:bCs/>
          <w:sz w:val="23"/>
          <w:szCs w:val="23"/>
        </w:rPr>
      </w:pPr>
    </w:p>
    <w:p>
      <w:pPr>
        <w:pStyle w:val="BodyText"/>
        <w:spacing w:line="240" w:lineRule="auto" w:before="26"/>
        <w:ind w:left="0" w:right="875"/>
        <w:jc w:val="right"/>
      </w:pPr>
      <w:r>
        <w:rPr/>
        <w:t>单位：元</w:t>
      </w:r>
    </w:p>
    <w:p>
      <w:pPr>
        <w:spacing w:line="240" w:lineRule="auto" w:before="4"/>
        <w:rPr>
          <w:rFonts w:ascii="宋体" w:hAnsi="宋体" w:cs="宋体" w:eastAsia="宋体" w:hint="default"/>
          <w:sz w:val="9"/>
          <w:szCs w:val="9"/>
        </w:rPr>
      </w:pPr>
    </w:p>
    <w:tbl>
      <w:tblPr>
        <w:tblW w:w="0" w:type="auto"/>
        <w:jc w:val="left"/>
        <w:tblInd w:w="1129" w:type="dxa"/>
        <w:tblLayout w:type="fixed"/>
        <w:tblCellMar>
          <w:top w:w="0" w:type="dxa"/>
          <w:left w:w="0" w:type="dxa"/>
          <w:bottom w:w="0" w:type="dxa"/>
          <w:right w:w="0" w:type="dxa"/>
        </w:tblCellMar>
        <w:tblLook w:val="01E0"/>
      </w:tblPr>
      <w:tblGrid>
        <w:gridCol w:w="5198"/>
        <w:gridCol w:w="2602"/>
      </w:tblGrid>
      <w:tr>
        <w:trPr>
          <w:trHeight w:val="499" w:hRule="exact"/>
        </w:trPr>
        <w:tc>
          <w:tcPr>
            <w:tcW w:w="51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632"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6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499"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-13,606.98</w:t>
            </w:r>
          </w:p>
        </w:tc>
      </w:tr>
      <w:tr>
        <w:trPr>
          <w:trHeight w:val="1478"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1" w:right="125"/>
              <w:jc w:val="both"/>
              <w:rPr>
                <w:rFonts w:ascii="宋体" w:hAnsi="宋体" w:cs="宋体" w:eastAsia="宋体" w:hint="default"/>
                <w:sz w:val="24"/>
                <w:szCs w:val="24"/>
              </w:rPr>
            </w:pPr>
            <w:r>
              <w:rPr>
                <w:rFonts w:ascii="宋体" w:hAnsi="宋体" w:cs="宋体" w:eastAsia="宋体" w:hint="default"/>
                <w:sz w:val="24"/>
                <w:szCs w:val="24"/>
              </w:rPr>
              <w:t>计入当期损益的政府补助，但与公司正常经营业 务密切相关，符合国家政策规定、按照一定标准 定额或定量持续享受的政府补助除外</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7,330,884.64</w:t>
            </w:r>
          </w:p>
        </w:tc>
      </w:tr>
      <w:tr>
        <w:trPr>
          <w:trHeight w:val="499"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-4,420,000.00</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79" w:top="1400" w:bottom="1160" w:left="920" w:right="920"/>
        </w:sectPr>
      </w:pPr>
    </w:p>
    <w:tbl>
      <w:tblPr>
        <w:tblW w:w="0" w:type="auto"/>
        <w:jc w:val="left"/>
        <w:tblInd w:w="389" w:type="dxa"/>
        <w:tblLayout w:type="fixed"/>
        <w:tblCellMar>
          <w:top w:w="0" w:type="dxa"/>
          <w:left w:w="0" w:type="dxa"/>
          <w:bottom w:w="0" w:type="dxa"/>
          <w:right w:w="0" w:type="dxa"/>
        </w:tblCellMar>
        <w:tblLook w:val="01E0"/>
      </w:tblPr>
      <w:tblGrid>
        <w:gridCol w:w="5198"/>
        <w:gridCol w:w="2602"/>
      </w:tblGrid>
      <w:tr>
        <w:trPr>
          <w:trHeight w:val="499" w:hRule="exact"/>
        </w:trPr>
        <w:tc>
          <w:tcPr>
            <w:tcW w:w="5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-434,591.65</w:t>
            </w:r>
          </w:p>
        </w:tc>
      </w:tr>
      <w:tr>
        <w:trPr>
          <w:trHeight w:val="499" w:hRule="exact"/>
        </w:trPr>
        <w:tc>
          <w:tcPr>
            <w:tcW w:w="51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合计</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2,462,686.01</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79" w:top="1400" w:bottom="1160" w:left="1660" w:right="1660"/>
        </w:sectPr>
      </w:pPr>
    </w:p>
    <w:p>
      <w:pPr>
        <w:spacing w:line="240" w:lineRule="auto" w:before="9"/>
        <w:rPr>
          <w:rFonts w:ascii="宋体" w:hAnsi="宋体" w:cs="宋体" w:eastAsia="宋体" w:hint="default"/>
          <w:sz w:val="20"/>
          <w:szCs w:val="20"/>
        </w:rPr>
      </w:pPr>
    </w:p>
    <w:p>
      <w:pPr>
        <w:pStyle w:val="Heading2"/>
        <w:spacing w:line="240" w:lineRule="auto"/>
        <w:ind w:left="3078" w:right="3138"/>
        <w:jc w:val="center"/>
        <w:rPr>
          <w:b w:val="0"/>
          <w:bCs w:val="0"/>
        </w:rPr>
      </w:pPr>
      <w:bookmarkStart w:name="第三节 董事会报告" w:id="5"/>
      <w:bookmarkEnd w:id="5"/>
      <w:r>
        <w:rPr>
          <w:b w:val="0"/>
          <w:bCs w:val="0"/>
        </w:rPr>
      </w:r>
      <w:bookmarkStart w:name="_bookmark2" w:id="6"/>
      <w:bookmarkEnd w:id="6"/>
      <w:r>
        <w:rPr>
          <w:b w:val="0"/>
          <w:bCs w:val="0"/>
        </w:rPr>
      </w:r>
      <w:r>
        <w:rPr/>
        <w:t>第三节</w:t>
      </w:r>
      <w:r>
        <w:rPr>
          <w:spacing w:val="-1"/>
        </w:rPr>
        <w:t> </w:t>
      </w:r>
      <w:r>
        <w:rPr/>
        <w:t>董事会报告</w:t>
      </w:r>
      <w:r>
        <w:rPr>
          <w:b w:val="0"/>
          <w:bCs w:val="0"/>
        </w:rPr>
      </w:r>
    </w:p>
    <w:p>
      <w:pPr>
        <w:spacing w:line="240" w:lineRule="auto" w:before="5"/>
        <w:rPr>
          <w:rFonts w:ascii="宋体" w:hAnsi="宋体" w:cs="宋体" w:eastAsia="宋体" w:hint="default"/>
          <w:b/>
          <w:bCs/>
          <w:sz w:val="30"/>
          <w:szCs w:val="30"/>
        </w:rPr>
      </w:pPr>
    </w:p>
    <w:p>
      <w:pPr>
        <w:pStyle w:val="Heading3"/>
        <w:spacing w:line="240" w:lineRule="auto" w:before="0"/>
        <w:ind w:left="137" w:right="0"/>
        <w:jc w:val="both"/>
        <w:rPr>
          <w:b w:val="0"/>
          <w:bCs w:val="0"/>
        </w:rPr>
      </w:pPr>
      <w:r>
        <w:rPr/>
        <w:t>一、报告期内公司经营情况的回顾</w:t>
      </w:r>
      <w:r>
        <w:rPr>
          <w:b w:val="0"/>
          <w:bCs w:val="0"/>
        </w:rPr>
      </w:r>
    </w:p>
    <w:p>
      <w:pPr>
        <w:spacing w:line="240" w:lineRule="auto" w:before="12"/>
        <w:rPr>
          <w:rFonts w:ascii="宋体" w:hAnsi="宋体" w:cs="宋体" w:eastAsia="宋体" w:hint="default"/>
          <w:b/>
          <w:bCs/>
          <w:sz w:val="25"/>
          <w:szCs w:val="25"/>
        </w:rPr>
      </w:pPr>
    </w:p>
    <w:p>
      <w:pPr>
        <w:spacing w:before="0"/>
        <w:ind w:left="620" w:right="179" w:firstLine="0"/>
        <w:jc w:val="left"/>
        <w:rPr>
          <w:rFonts w:ascii="宋体" w:hAnsi="宋体" w:cs="宋体" w:eastAsia="宋体" w:hint="default"/>
          <w:sz w:val="24"/>
          <w:szCs w:val="24"/>
        </w:rPr>
      </w:pPr>
      <w:r>
        <w:rPr>
          <w:rFonts w:ascii="宋体" w:hAnsi="宋体" w:cs="宋体" w:eastAsia="宋体" w:hint="default"/>
          <w:b/>
          <w:bCs/>
          <w:sz w:val="24"/>
          <w:szCs w:val="24"/>
        </w:rPr>
        <w:t>（一）公司总体经营情况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p>
      <w:pPr>
        <w:pStyle w:val="BodyText"/>
        <w:spacing w:line="362" w:lineRule="auto"/>
        <w:ind w:right="179" w:firstLine="480"/>
        <w:jc w:val="left"/>
      </w:pPr>
      <w:r>
        <w:rPr>
          <w:rFonts w:ascii="Times New Roman" w:hAnsi="Times New Roman" w:cs="Times New Roman" w:eastAsia="Times New Roman" w:hint="default"/>
        </w:rPr>
        <w:t>2010 </w:t>
      </w:r>
      <w:r>
        <w:rPr/>
        <w:t>年，公司在董事会、管理层的领导以及全体员工的共同努力下，取得 </w:t>
      </w:r>
      <w:r>
        <w:rPr>
          <w:spacing w:val="-3"/>
        </w:rPr>
        <w:t>进一步发展，在数字化城市管理系统软件领域继续保持行业的龙头地位，在信息</w:t>
      </w:r>
      <w:r>
        <w:rPr>
          <w:spacing w:val="-103"/>
        </w:rPr>
        <w:t> </w:t>
      </w:r>
      <w:r>
        <w:rPr>
          <w:spacing w:val="-103"/>
        </w:rPr>
      </w:r>
      <w:r>
        <w:rPr/>
        <w:t>采集、数据普查等技术服务类领域取得突破。</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日，公司首次公开 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spacing w:val="-3"/>
        </w:rPr>
        <w:t>股）并在深圳证券交易所创业板挂牌上市。上市后，公司</w:t>
      </w:r>
      <w:r>
        <w:rPr/>
        <w:t> </w:t>
      </w:r>
      <w:r>
        <w:rPr>
          <w:spacing w:val="-3"/>
        </w:rPr>
        <w:t>行业地位得到进一步巩固，知名度大幅度提升，为公司继续保持行业地位、加快</w:t>
      </w:r>
      <w:r>
        <w:rPr>
          <w:spacing w:val="-102"/>
        </w:rPr>
        <w:t> </w:t>
      </w:r>
      <w:r>
        <w:rPr>
          <w:spacing w:val="-102"/>
        </w:rPr>
      </w:r>
      <w:r>
        <w:rPr/>
        <w:t>发展步伐奠定了良好的基础。</w:t>
      </w:r>
    </w:p>
    <w:p>
      <w:pPr>
        <w:pStyle w:val="BodyText"/>
        <w:spacing w:line="352" w:lineRule="auto" w:before="50"/>
        <w:ind w:right="89" w:firstLine="480"/>
        <w:jc w:val="left"/>
      </w:pPr>
      <w:r>
        <w:rPr/>
        <w:t>报告期内，公司的经营业绩保持稳定增长的势头。</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年度，公司实现销 </w:t>
      </w:r>
      <w:r>
        <w:rPr>
          <w:spacing w:val="24"/>
        </w:rPr>
        <w:t>售收入 </w:t>
      </w:r>
      <w:r>
        <w:rPr>
          <w:rFonts w:ascii="Times New Roman" w:hAnsi="Times New Roman" w:cs="Times New Roman" w:eastAsia="Times New Roman" w:hint="default"/>
        </w:rPr>
        <w:t>95,741,632.41   </w:t>
      </w:r>
      <w:r>
        <w:rPr>
          <w:spacing w:val="32"/>
        </w:rPr>
        <w:t>元，与上年同比增长 </w:t>
      </w:r>
      <w:r>
        <w:rPr>
          <w:rFonts w:ascii="Times New Roman" w:hAnsi="Times New Roman" w:cs="Times New Roman" w:eastAsia="Times New Roman" w:hint="default"/>
        </w:rPr>
        <w:t>32.64%</w:t>
      </w:r>
      <w:r>
        <w:rPr>
          <w:rFonts w:ascii="Times New Roman" w:hAnsi="Times New Roman" w:cs="Times New Roman" w:eastAsia="Times New Roman" w:hint="default"/>
          <w:spacing w:val="-34"/>
        </w:rPr>
        <w:t> </w:t>
      </w:r>
      <w:r>
        <w:rPr>
          <w:spacing w:val="32"/>
        </w:rPr>
        <w:t>；公司实现营业利润</w:t>
      </w:r>
      <w:r>
        <w:rPr>
          <w:spacing w:val="-84"/>
        </w:rPr>
        <w:t> </w:t>
      </w:r>
      <w:r>
        <w:rPr/>
      </w:r>
    </w:p>
    <w:p>
      <w:pPr>
        <w:pStyle w:val="BodyText"/>
        <w:spacing w:line="352" w:lineRule="auto" w:before="32"/>
        <w:ind w:right="183"/>
        <w:jc w:val="both"/>
      </w:pPr>
      <w:r>
        <w:rPr>
          <w:rFonts w:ascii="Times New Roman" w:hAnsi="Times New Roman" w:cs="Times New Roman" w:eastAsia="Times New Roman" w:hint="default"/>
        </w:rPr>
        <w:t>45,715,409.23</w:t>
      </w:r>
      <w:r>
        <w:rPr>
          <w:rFonts w:ascii="Times New Roman" w:hAnsi="Times New Roman" w:cs="Times New Roman" w:eastAsia="Times New Roman" w:hint="default"/>
          <w:spacing w:val="2"/>
        </w:rPr>
        <w:t> </w:t>
      </w:r>
      <w:r>
        <w:rPr/>
        <w:t>元，与上年同期增长</w:t>
      </w:r>
      <w:r>
        <w:rPr>
          <w:spacing w:val="-58"/>
        </w:rPr>
        <w:t> </w:t>
      </w:r>
      <w:r>
        <w:rPr>
          <w:rFonts w:ascii="Times New Roman" w:hAnsi="Times New Roman" w:cs="Times New Roman" w:eastAsia="Times New Roman" w:hint="default"/>
        </w:rPr>
        <w:t>25.43%</w:t>
      </w:r>
      <w:r>
        <w:rPr/>
        <w:t>；公司实现净利润</w:t>
      </w:r>
      <w:r>
        <w:rPr>
          <w:spacing w:val="-58"/>
        </w:rPr>
        <w:t> </w:t>
      </w:r>
      <w:r>
        <w:rPr>
          <w:rFonts w:ascii="Times New Roman" w:hAnsi="Times New Roman" w:cs="Times New Roman" w:eastAsia="Times New Roman" w:hint="default"/>
        </w:rPr>
        <w:t>51,424,745.57</w:t>
      </w:r>
      <w:r>
        <w:rPr>
          <w:rFonts w:ascii="Times New Roman" w:hAnsi="Times New Roman" w:cs="Times New Roman" w:eastAsia="Times New Roman" w:hint="default"/>
          <w:spacing w:val="2"/>
        </w:rPr>
        <w:t> </w:t>
      </w:r>
      <w:r>
        <w:rPr/>
        <w:t>元， 与上年同比增长</w:t>
      </w:r>
      <w:r>
        <w:rPr>
          <w:spacing w:val="7"/>
        </w:rPr>
        <w:t> </w:t>
      </w:r>
      <w:r>
        <w:rPr>
          <w:rFonts w:ascii="Times New Roman" w:hAnsi="Times New Roman" w:cs="Times New Roman" w:eastAsia="Times New Roman" w:hint="default"/>
        </w:rPr>
        <w:t>24.66%</w:t>
      </w:r>
      <w:r>
        <w:rPr/>
        <w:t>。公司经营业绩的增长主要得力于公司业务领域及业务 </w:t>
      </w:r>
      <w:r>
        <w:rPr>
          <w:spacing w:val="7"/>
        </w:rPr>
        <w:t>范围的快速增长所带来的公司订单数量的增加。</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71"/>
        </w:rPr>
        <w:t> </w:t>
      </w:r>
      <w:r>
        <w:rPr>
          <w:spacing w:val="8"/>
        </w:rPr>
        <w:t>年，公司获得订单总计</w:t>
      </w:r>
      <w:r>
        <w:rPr>
          <w:spacing w:val="9"/>
        </w:rPr>
        <w:t> </w:t>
      </w:r>
      <w:r>
        <w:rPr>
          <w:rFonts w:ascii="Times New Roman" w:hAnsi="Times New Roman" w:cs="Times New Roman" w:eastAsia="Times New Roman" w:hint="default"/>
        </w:rPr>
        <w:t>135,310,318 </w:t>
      </w:r>
      <w:r>
        <w:rPr/>
        <w:t>元，比上年同比增长</w:t>
      </w:r>
      <w:r>
        <w:rPr>
          <w:spacing w:val="-61"/>
        </w:rPr>
        <w:t> </w:t>
      </w:r>
      <w:r>
        <w:rPr>
          <w:rFonts w:ascii="Times New Roman" w:hAnsi="Times New Roman" w:cs="Times New Roman" w:eastAsia="Times New Roman" w:hint="default"/>
        </w:rPr>
        <w:t>50.36%</w:t>
      </w:r>
      <w:r>
        <w:rPr/>
        <w:t>。</w:t>
      </w:r>
    </w:p>
    <w:p>
      <w:pPr>
        <w:pStyle w:val="Heading3"/>
        <w:spacing w:line="240" w:lineRule="auto" w:before="195"/>
        <w:ind w:right="179"/>
        <w:jc w:val="left"/>
        <w:rPr>
          <w:b w:val="0"/>
          <w:bCs w:val="0"/>
        </w:rPr>
      </w:pPr>
      <w:r>
        <w:rPr/>
        <w:t>（二）公司主营业务及其经营情况分析</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left="617" w:right="179"/>
        <w:jc w:val="left"/>
      </w:pPr>
      <w:r>
        <w:rPr>
          <w:rFonts w:ascii="Times New Roman" w:hAnsi="Times New Roman" w:cs="Times New Roman" w:eastAsia="Times New Roman" w:hint="default"/>
        </w:rPr>
        <w:t>1</w:t>
      </w:r>
      <w:r>
        <w:rPr/>
        <w:t>、主营业务及主要产品</w:t>
      </w:r>
    </w:p>
    <w:p>
      <w:pPr>
        <w:pStyle w:val="BodyText"/>
        <w:spacing w:line="357" w:lineRule="auto" w:before="157"/>
        <w:ind w:right="195" w:firstLine="480"/>
        <w:jc w:val="both"/>
      </w:pPr>
      <w:r>
        <w:rPr/>
        <w:t>公司专业从事基于</w:t>
      </w:r>
      <w:r>
        <w:rPr>
          <w:spacing w:val="-5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spacing w:val="-6"/>
        </w:rPr>
        <w:t>应用的电子政务平台（包括数字化城市管理、国土资</w:t>
      </w:r>
      <w:r>
        <w:rPr/>
        <w:t> 源管理和规划管理等）的开发和推广工作，为政府部门提供</w:t>
      </w:r>
      <w:r>
        <w:rPr>
          <w:spacing w:val="-62"/>
        </w:rPr>
        <w:t> </w:t>
      </w:r>
      <w:r>
        <w:rPr>
          <w:rFonts w:ascii="Times New Roman" w:hAnsi="Times New Roman" w:cs="Times New Roman" w:eastAsia="Times New Roman" w:hint="default"/>
        </w:rPr>
        <w:t>GIS</w:t>
      </w:r>
      <w:r>
        <w:rPr/>
        <w:t>、</w:t>
      </w:r>
      <w:r>
        <w:rPr>
          <w:rFonts w:ascii="Times New Roman" w:hAnsi="Times New Roman" w:cs="Times New Roman" w:eastAsia="Times New Roman" w:hint="default"/>
        </w:rPr>
        <w:t>MIS</w:t>
      </w:r>
      <w:r>
        <w:rPr/>
        <w:t>、</w:t>
      </w:r>
      <w:r>
        <w:rPr>
          <w:rFonts w:ascii="Times New Roman" w:hAnsi="Times New Roman" w:cs="Times New Roman" w:eastAsia="Times New Roman" w:hint="default"/>
        </w:rPr>
        <w:t>OA</w:t>
      </w:r>
      <w:r>
        <w:rPr>
          <w:rFonts w:ascii="Times New Roman" w:hAnsi="Times New Roman" w:cs="Times New Roman" w:eastAsia="Times New Roman" w:hint="default"/>
          <w:spacing w:val="-3"/>
        </w:rPr>
        <w:t> </w:t>
      </w:r>
      <w:r>
        <w:rPr/>
        <w:t>一 </w:t>
      </w:r>
      <w:r>
        <w:rPr>
          <w:spacing w:val="-3"/>
        </w:rPr>
        <w:t>体化的电子政务解决方案，并为政府提供各个部门间基于数据共享的协同工作平</w:t>
      </w:r>
      <w:r>
        <w:rPr>
          <w:spacing w:val="-104"/>
        </w:rPr>
        <w:t> </w:t>
      </w:r>
      <w:r>
        <w:rPr>
          <w:spacing w:val="-104"/>
        </w:rPr>
      </w:r>
      <w:r>
        <w:rPr/>
        <w:t>台。自</w:t>
      </w:r>
      <w:r>
        <w:rPr>
          <w:spacing w:val="-60"/>
        </w:rPr>
        <w:t> </w:t>
      </w:r>
      <w:r>
        <w:rPr>
          <w:rFonts w:ascii="Times New Roman" w:hAnsi="Times New Roman" w:cs="Times New Roman" w:eastAsia="Times New Roman" w:hint="default"/>
        </w:rPr>
        <w:t>2010 </w:t>
      </w:r>
      <w:r>
        <w:rPr/>
        <w:t>年开始，公司为政府相关部门提供数字化城市管理系统建设和运营 中的相关数据普查和信息采集服务。</w:t>
      </w:r>
    </w:p>
    <w:p>
      <w:pPr>
        <w:pStyle w:val="BodyText"/>
        <w:spacing w:line="374" w:lineRule="auto" w:before="58"/>
        <w:ind w:right="89" w:firstLine="480"/>
        <w:jc w:val="left"/>
      </w:pPr>
      <w:r>
        <w:rPr>
          <w:spacing w:val="-3"/>
        </w:rPr>
        <w:t>报告期内，公司在数字化城市管理领域继续保持行业龙头地位。在数字化城</w:t>
      </w:r>
      <w:r>
        <w:rPr/>
        <w:t> 市管理系统建设方面，公司新增大量优质客户，例如：贵州自贡高新区、遵义、 </w:t>
      </w:r>
      <w:r>
        <w:rPr>
          <w:spacing w:val="-3"/>
        </w:rPr>
        <w:t>温州、银川、衡水、哈尔滨群力区等。其中，云贵、东北等地区项目的开拓标志</w:t>
      </w:r>
      <w:r>
        <w:rPr>
          <w:spacing w:val="-105"/>
        </w:rPr>
        <w:t> </w:t>
      </w:r>
      <w:r>
        <w:rPr>
          <w:spacing w:val="-105"/>
        </w:rPr>
      </w:r>
      <w:r>
        <w:rPr>
          <w:spacing w:val="-3"/>
        </w:rPr>
        <w:t>着公司业务进入新的区域市场。在数字化城市管理整体解决方案提供方面，公司</w:t>
      </w:r>
    </w:p>
    <w:p>
      <w:pPr>
        <w:spacing w:after="0" w:line="374" w:lineRule="auto"/>
        <w:jc w:val="left"/>
        <w:sectPr>
          <w:pgSz w:w="11910" w:h="16840"/>
          <w:pgMar w:header="850" w:footer="979" w:top="1400" w:bottom="1160" w:left="1660" w:right="1600"/>
        </w:sectPr>
      </w:pPr>
    </w:p>
    <w:p>
      <w:pPr>
        <w:pStyle w:val="BodyText"/>
        <w:spacing w:line="374" w:lineRule="auto" w:before="72"/>
        <w:ind w:left="877" w:right="873"/>
        <w:jc w:val="both"/>
      </w:pPr>
      <w:r>
        <w:rPr>
          <w:spacing w:val="-3"/>
        </w:rPr>
        <w:t>着力于与部分优质客户合作，为其提供软件、硬件等全方位的产品。整体解决方</w:t>
      </w:r>
      <w:r>
        <w:rPr>
          <w:spacing w:val="-102"/>
        </w:rPr>
        <w:t> </w:t>
      </w:r>
      <w:r>
        <w:rPr>
          <w:spacing w:val="-102"/>
        </w:rPr>
      </w:r>
      <w:r>
        <w:rPr>
          <w:spacing w:val="-3"/>
        </w:rPr>
        <w:t>案的提供，说明公司在项目管理方面的能力进一步加强，公司的竞争力得到进一</w:t>
      </w:r>
      <w:r>
        <w:rPr>
          <w:spacing w:val="-103"/>
        </w:rPr>
        <w:t> </w:t>
      </w:r>
      <w:r>
        <w:rPr>
          <w:spacing w:val="-103"/>
        </w:rPr>
      </w:r>
      <w:r>
        <w:rPr/>
        <w:t>步提升。</w:t>
      </w:r>
    </w:p>
    <w:p>
      <w:pPr>
        <w:pStyle w:val="BodyText"/>
        <w:spacing w:line="374" w:lineRule="auto" w:before="41"/>
        <w:ind w:left="877" w:right="745" w:firstLine="480"/>
        <w:jc w:val="left"/>
      </w:pPr>
      <w:r>
        <w:rPr>
          <w:spacing w:val="-7"/>
        </w:rPr>
        <w:t>报告期内，在规划和国土资源管理领域，公司继续保持在北京、上海、山西、</w:t>
      </w:r>
      <w:r>
        <w:rPr/>
        <w:t> </w:t>
      </w:r>
      <w:r>
        <w:rPr>
          <w:spacing w:val="-6"/>
        </w:rPr>
        <w:t>云南、浙江等省份和地区的市场地位。公司不仅为客户提供升级运维方面的服务，</w:t>
      </w:r>
      <w:r>
        <w:rPr>
          <w:spacing w:val="-112"/>
        </w:rPr>
        <w:t> </w:t>
      </w:r>
      <w:r>
        <w:rPr>
          <w:spacing w:val="-112"/>
        </w:rPr>
      </w:r>
      <w:r>
        <w:rPr>
          <w:spacing w:val="-3"/>
        </w:rPr>
        <w:t>也为客户提供新的产品系统。此外，公司也参与了长春、江门等地区的规划和国</w:t>
      </w:r>
      <w:r>
        <w:rPr>
          <w:spacing w:val="-102"/>
        </w:rPr>
        <w:t> </w:t>
      </w:r>
      <w:r>
        <w:rPr>
          <w:spacing w:val="-102"/>
        </w:rPr>
      </w:r>
      <w:r>
        <w:rPr/>
        <w:t>土资源管理系统建设工作，为公司在新的区域开拓业务提供了有利条件。</w:t>
      </w:r>
    </w:p>
    <w:p>
      <w:pPr>
        <w:pStyle w:val="BodyText"/>
        <w:spacing w:line="374" w:lineRule="auto" w:before="41"/>
        <w:ind w:left="877" w:right="873" w:firstLine="480"/>
        <w:jc w:val="both"/>
      </w:pPr>
      <w:r>
        <w:rPr>
          <w:spacing w:val="-3"/>
        </w:rPr>
        <w:t>报告期内，公司新增了数据普查和信息采集方面的技术服务业务。在数据普</w:t>
      </w:r>
      <w:r>
        <w:rPr/>
        <w:t> </w:t>
      </w:r>
      <w:r>
        <w:rPr>
          <w:spacing w:val="-3"/>
        </w:rPr>
        <w:t>查方面，公司自主研发了数据普查车等移动测量设备。利用移动测量设备，公司</w:t>
      </w:r>
      <w:r>
        <w:rPr>
          <w:spacing w:val="-102"/>
        </w:rPr>
        <w:t> </w:t>
      </w:r>
      <w:r>
        <w:rPr>
          <w:spacing w:val="-102"/>
        </w:rPr>
      </w:r>
      <w:r>
        <w:rPr>
          <w:spacing w:val="-3"/>
        </w:rPr>
        <w:t>可在数字化城市管理系统建设初期为客户提供系统所需的部件普查工作，并在系</w:t>
      </w:r>
      <w:r>
        <w:rPr>
          <w:spacing w:val="-104"/>
        </w:rPr>
        <w:t> </w:t>
      </w:r>
      <w:r>
        <w:rPr>
          <w:spacing w:val="-104"/>
        </w:rPr>
      </w:r>
      <w:r>
        <w:rPr>
          <w:spacing w:val="-3"/>
        </w:rPr>
        <w:t>统运行中为客户提供部件普查更新服务。该服务的提供，可以极大地提高数字化</w:t>
      </w:r>
      <w:r>
        <w:rPr>
          <w:spacing w:val="-103"/>
        </w:rPr>
        <w:t> </w:t>
      </w:r>
      <w:r>
        <w:rPr>
          <w:spacing w:val="-103"/>
        </w:rPr>
      </w:r>
      <w:r>
        <w:rPr>
          <w:spacing w:val="-3"/>
        </w:rPr>
        <w:t>城市管理建设的效率和质量，得到了广大客户的一致认可。报告期内，公司已为</w:t>
      </w:r>
      <w:r>
        <w:rPr>
          <w:spacing w:val="-102"/>
        </w:rPr>
        <w:t> </w:t>
      </w:r>
      <w:r>
        <w:rPr>
          <w:spacing w:val="-102"/>
        </w:rPr>
      </w:r>
      <w:r>
        <w:rPr>
          <w:spacing w:val="-3"/>
        </w:rPr>
        <w:t>鄂尔多斯东胜区、贵州自贡市、淄博高新区、天津开发区等多个地区提供数据普</w:t>
      </w:r>
      <w:r>
        <w:rPr>
          <w:spacing w:val="-102"/>
        </w:rPr>
        <w:t> </w:t>
      </w:r>
      <w:r>
        <w:rPr>
          <w:spacing w:val="-102"/>
        </w:rPr>
      </w:r>
      <w:r>
        <w:rPr>
          <w:spacing w:val="-3"/>
        </w:rPr>
        <w:t>查服务。在信息采集方面，公司为客户提供信息采集服务。该服务可大幅度提高</w:t>
      </w:r>
      <w:r>
        <w:rPr>
          <w:spacing w:val="-102"/>
        </w:rPr>
        <w:t> </w:t>
      </w:r>
      <w:r>
        <w:rPr>
          <w:spacing w:val="-102"/>
        </w:rPr>
      </w:r>
      <w:r>
        <w:rPr>
          <w:spacing w:val="-3"/>
        </w:rPr>
        <w:t>数字化城市管理系统运行过程中的信息采集员工作效率，极大地降低数字化城市</w:t>
      </w:r>
      <w:r>
        <w:rPr>
          <w:spacing w:val="-104"/>
        </w:rPr>
        <w:t> </w:t>
      </w:r>
      <w:r>
        <w:rPr>
          <w:spacing w:val="-104"/>
        </w:rPr>
      </w:r>
      <w:r>
        <w:rPr>
          <w:spacing w:val="-3"/>
        </w:rPr>
        <w:t>管理系统的运行成本，契合多地客户提出的建立</w:t>
      </w:r>
      <w:r>
        <w:rPr>
          <w:rFonts w:ascii="宋体" w:hAnsi="宋体" w:cs="宋体" w:eastAsia="宋体" w:hint="default"/>
          <w:spacing w:val="-3"/>
        </w:rPr>
        <w:t>“</w:t>
      </w:r>
      <w:r>
        <w:rPr>
          <w:spacing w:val="-3"/>
        </w:rPr>
        <w:t>节约型数字化城市管理</w:t>
      </w:r>
      <w:r>
        <w:rPr>
          <w:rFonts w:ascii="宋体" w:hAnsi="宋体" w:cs="宋体" w:eastAsia="宋体" w:hint="default"/>
          <w:spacing w:val="-3"/>
        </w:rPr>
        <w:t>”</w:t>
      </w:r>
      <w:r>
        <w:rPr>
          <w:spacing w:val="-3"/>
        </w:rPr>
        <w:t>的要</w:t>
      </w:r>
      <w:r>
        <w:rPr>
          <w:spacing w:val="-102"/>
        </w:rPr>
        <w:t> </w:t>
      </w:r>
      <w:r>
        <w:rPr>
          <w:spacing w:val="-3"/>
        </w:rPr>
        <w:t>求。报告期内，公司为保定市、天津保税区、天津和平区、贵阳市等多个地区提</w:t>
      </w:r>
      <w:r>
        <w:rPr>
          <w:spacing w:val="-106"/>
        </w:rPr>
        <w:t> </w:t>
      </w:r>
      <w:r>
        <w:rPr>
          <w:spacing w:val="-106"/>
        </w:rPr>
      </w:r>
      <w:r>
        <w:rPr>
          <w:spacing w:val="-3"/>
        </w:rPr>
        <w:t>供信息采集服务。技术服务业务的增长，可以提高公司的可持续盈利能力，为公</w:t>
      </w:r>
    </w:p>
    <w:p>
      <w:pPr>
        <w:spacing w:after="0" w:line="374" w:lineRule="auto"/>
        <w:jc w:val="both"/>
        <w:sectPr>
          <w:pgSz w:w="11910" w:h="16840"/>
          <w:pgMar w:header="850" w:footer="979" w:top="1400" w:bottom="1160" w:left="920" w:right="920"/>
        </w:sectPr>
      </w:pPr>
    </w:p>
    <w:p>
      <w:pPr>
        <w:pStyle w:val="BodyText"/>
        <w:spacing w:line="240" w:lineRule="auto" w:before="38"/>
        <w:ind w:left="877" w:right="-20"/>
        <w:jc w:val="left"/>
      </w:pPr>
      <w:r>
        <w:rPr/>
        <w:t>司提供持续稳定的现金流。</w:t>
      </w:r>
    </w:p>
    <w:p>
      <w:pPr>
        <w:pStyle w:val="BodyText"/>
        <w:spacing w:line="240" w:lineRule="auto" w:before="175"/>
        <w:ind w:left="1357" w:right="-20"/>
        <w:jc w:val="left"/>
      </w:pPr>
      <w:r>
        <w:rPr>
          <w:rFonts w:ascii="Times New Roman" w:hAnsi="Times New Roman" w:cs="Times New Roman" w:eastAsia="Times New Roman" w:hint="default"/>
        </w:rPr>
        <w:t>2</w:t>
      </w:r>
      <w:r>
        <w:rPr/>
        <w:t>、主营业务收入及主营业务利润构成分析</w:t>
      </w:r>
    </w:p>
    <w:p>
      <w:pPr>
        <w:pStyle w:val="BodyText"/>
        <w:spacing w:line="240" w:lineRule="auto" w:before="157"/>
        <w:ind w:left="1357" w:right="-20"/>
        <w:jc w:val="left"/>
      </w:pPr>
      <w:r>
        <w:rPr/>
        <w:t>（</w:t>
      </w:r>
      <w:r>
        <w:rPr>
          <w:rFonts w:ascii="Times New Roman" w:hAnsi="Times New Roman" w:cs="Times New Roman" w:eastAsia="Times New Roman" w:hint="default"/>
        </w:rPr>
        <w:t>1</w:t>
      </w:r>
      <w:r>
        <w:rPr/>
        <w:t>）按产品和服务构成情况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left="877" w:right="0"/>
        <w:jc w:val="left"/>
      </w:pPr>
      <w:r>
        <w:rPr/>
        <w:t>单位：万元</w:t>
      </w:r>
    </w:p>
    <w:p>
      <w:pPr>
        <w:spacing w:after="0" w:line="240" w:lineRule="auto"/>
        <w:jc w:val="left"/>
        <w:sectPr>
          <w:type w:val="continuous"/>
          <w:pgSz w:w="11910" w:h="16840"/>
          <w:pgMar w:top="1380" w:bottom="1380" w:left="920" w:right="920"/>
          <w:cols w:num="2" w:equalWidth="0">
            <w:col w:w="5798" w:space="1313"/>
            <w:col w:w="2959"/>
          </w:cols>
        </w:sectPr>
      </w:pPr>
    </w:p>
    <w:p>
      <w:pPr>
        <w:spacing w:line="240" w:lineRule="auto" w:before="6"/>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028"/>
        <w:gridCol w:w="1301"/>
        <w:gridCol w:w="1301"/>
        <w:gridCol w:w="1298"/>
        <w:gridCol w:w="1301"/>
        <w:gridCol w:w="1301"/>
        <w:gridCol w:w="1298"/>
      </w:tblGrid>
      <w:tr>
        <w:trPr>
          <w:trHeight w:val="1477" w:hRule="exact"/>
        </w:trPr>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24"/>
                <w:szCs w:val="24"/>
              </w:rPr>
            </w:pPr>
            <w:r>
              <w:rPr>
                <w:rFonts w:ascii="宋体" w:hAnsi="宋体" w:cs="宋体" w:eastAsia="宋体" w:hint="default"/>
                <w:sz w:val="24"/>
                <w:szCs w:val="24"/>
              </w:rPr>
              <w:t>分产品或服务</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2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毛利率</w:t>
            </w:r>
            <w:r>
              <w:rPr>
                <w:rFonts w:ascii="Times New Roman" w:hAnsi="Times New Roman" w:cs="Times New Roman" w:eastAsia="Times New Roman" w:hint="default"/>
                <w:sz w:val="24"/>
                <w:szCs w:val="24"/>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2" w:lineRule="auto" w:before="52"/>
              <w:ind w:left="45" w:right="43"/>
              <w:jc w:val="center"/>
              <w:rPr>
                <w:rFonts w:ascii="宋体" w:hAnsi="宋体" w:cs="宋体" w:eastAsia="宋体" w:hint="default"/>
                <w:sz w:val="24"/>
                <w:szCs w:val="24"/>
              </w:rPr>
            </w:pPr>
            <w:r>
              <w:rPr>
                <w:rFonts w:ascii="宋体" w:hAnsi="宋体" w:cs="宋体" w:eastAsia="宋体" w:hint="default"/>
                <w:sz w:val="24"/>
                <w:szCs w:val="24"/>
              </w:rPr>
              <w:t>营业收入比 上年同期增</w:t>
            </w:r>
          </w:p>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2" w:lineRule="auto" w:before="52"/>
              <w:ind w:left="43" w:right="47"/>
              <w:jc w:val="center"/>
              <w:rPr>
                <w:rFonts w:ascii="宋体" w:hAnsi="宋体" w:cs="宋体" w:eastAsia="宋体" w:hint="default"/>
                <w:sz w:val="24"/>
                <w:szCs w:val="24"/>
              </w:rPr>
            </w:pPr>
            <w:r>
              <w:rPr>
                <w:rFonts w:ascii="宋体" w:hAnsi="宋体" w:cs="宋体" w:eastAsia="宋体" w:hint="default"/>
                <w:sz w:val="24"/>
                <w:szCs w:val="24"/>
              </w:rPr>
              <w:t>营业成本比 上年同期增</w:t>
            </w:r>
          </w:p>
          <w:p>
            <w:pPr>
              <w:pStyle w:val="TableParagraph"/>
              <w:spacing w:line="240" w:lineRule="auto" w:before="43"/>
              <w:ind w:right="5"/>
              <w:jc w:val="center"/>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2" w:lineRule="auto" w:before="52"/>
              <w:ind w:left="43" w:right="43"/>
              <w:jc w:val="center"/>
              <w:rPr>
                <w:rFonts w:ascii="宋体" w:hAnsi="宋体" w:cs="宋体" w:eastAsia="宋体" w:hint="default"/>
                <w:sz w:val="24"/>
                <w:szCs w:val="24"/>
              </w:rPr>
            </w:pPr>
            <w:r>
              <w:rPr>
                <w:rFonts w:ascii="宋体" w:hAnsi="宋体" w:cs="宋体" w:eastAsia="宋体" w:hint="default"/>
                <w:sz w:val="24"/>
                <w:szCs w:val="24"/>
              </w:rPr>
              <w:t>毛利率比上 年同期增减</w:t>
            </w:r>
          </w:p>
          <w:p>
            <w:pPr>
              <w:pStyle w:val="TableParagraph"/>
              <w:spacing w:line="240" w:lineRule="auto" w:before="43"/>
              <w:ind w:right="2"/>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软件开发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7,760.17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24"/>
                <w:szCs w:val="24"/>
              </w:rPr>
            </w:pPr>
            <w:r>
              <w:rPr>
                <w:rFonts w:ascii="Times New Roman"/>
                <w:sz w:val="24"/>
              </w:rPr>
              <w:t>1,445.52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81.37%</w:t>
            </w:r>
            <w:r>
              <w:rPr>
                <w:rFonts w:ascii="Times New Roman"/>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15.80%</w:t>
            </w:r>
            <w:r>
              <w:rPr>
                <w:rFonts w:ascii="Times New Roman"/>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w w:val="95"/>
                <w:sz w:val="24"/>
              </w:rPr>
              <w:t>30.43%</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-2.09%</w:t>
            </w:r>
          </w:p>
        </w:tc>
      </w:tr>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软硬件代购</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1,308.96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24"/>
                <w:szCs w:val="24"/>
              </w:rPr>
            </w:pPr>
            <w:r>
              <w:rPr>
                <w:rFonts w:ascii="Times New Roman"/>
                <w:sz w:val="24"/>
              </w:rPr>
              <w:t>1,188.25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9.22%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319.52%</w:t>
            </w:r>
            <w:r>
              <w:rPr>
                <w:rFonts w:ascii="Times New Roman"/>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w w:val="95"/>
                <w:sz w:val="24"/>
              </w:rPr>
              <w:t>298.35%</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4.83%</w:t>
            </w:r>
          </w:p>
        </w:tc>
      </w:tr>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技术服务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455.13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24"/>
                <w:szCs w:val="24"/>
              </w:rPr>
            </w:pPr>
            <w:r>
              <w:rPr>
                <w:rFonts w:ascii="Times New Roman"/>
                <w:sz w:val="24"/>
              </w:rPr>
              <w:t>238.48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47.60%</w:t>
            </w:r>
            <w:r>
              <w:rPr>
                <w:rFonts w:ascii="Times New Roman"/>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123.83%</w:t>
            </w:r>
            <w:r>
              <w:rPr>
                <w:rFonts w:ascii="Times New Roman"/>
                <w:sz w:val="24"/>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w w:val="95"/>
                <w:sz w:val="24"/>
              </w:rPr>
              <w:t>328.18%</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-25.01%</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380" w:bottom="1380" w:left="920" w:right="920"/>
        </w:sectPr>
      </w:pPr>
    </w:p>
    <w:tbl>
      <w:tblPr>
        <w:tblW w:w="0" w:type="auto"/>
        <w:jc w:val="left"/>
        <w:tblInd w:w="114" w:type="dxa"/>
        <w:tblLayout w:type="fixed"/>
        <w:tblCellMar>
          <w:top w:w="0" w:type="dxa"/>
          <w:left w:w="0" w:type="dxa"/>
          <w:bottom w:w="0" w:type="dxa"/>
          <w:right w:w="0" w:type="dxa"/>
        </w:tblCellMar>
        <w:tblLook w:val="01E0"/>
      </w:tblPr>
      <w:tblGrid>
        <w:gridCol w:w="2028"/>
        <w:gridCol w:w="1301"/>
        <w:gridCol w:w="1301"/>
        <w:gridCol w:w="1298"/>
        <w:gridCol w:w="1301"/>
        <w:gridCol w:w="1301"/>
        <w:gridCol w:w="1298"/>
      </w:tblGrid>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7" w:right="0"/>
              <w:jc w:val="left"/>
              <w:rPr>
                <w:rFonts w:ascii="Times New Roman" w:hAnsi="Times New Roman" w:cs="Times New Roman" w:eastAsia="Times New Roman" w:hint="default"/>
                <w:sz w:val="24"/>
                <w:szCs w:val="24"/>
              </w:rPr>
            </w:pPr>
            <w:r>
              <w:rPr>
                <w:rFonts w:ascii="Times New Roman"/>
                <w:sz w:val="24"/>
              </w:rPr>
              <w:t>9,574.16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4" w:right="0"/>
              <w:jc w:val="left"/>
              <w:rPr>
                <w:rFonts w:ascii="Times New Roman" w:hAnsi="Times New Roman" w:cs="Times New Roman" w:eastAsia="Times New Roman" w:hint="default"/>
                <w:sz w:val="24"/>
                <w:szCs w:val="24"/>
              </w:rPr>
            </w:pPr>
            <w:r>
              <w:rPr>
                <w:rFonts w:ascii="Times New Roman"/>
                <w:sz w:val="24"/>
              </w:rPr>
              <w:t>2,872.25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5" w:right="0"/>
              <w:jc w:val="left"/>
              <w:rPr>
                <w:rFonts w:ascii="Times New Roman" w:hAnsi="Times New Roman" w:cs="Times New Roman" w:eastAsia="Times New Roman" w:hint="default"/>
                <w:sz w:val="24"/>
                <w:szCs w:val="24"/>
              </w:rPr>
            </w:pPr>
            <w:r>
              <w:rPr>
                <w:rFonts w:ascii="Times New Roman"/>
                <w:sz w:val="24"/>
              </w:rPr>
              <w:t>70.00%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7" w:right="0"/>
              <w:jc w:val="left"/>
              <w:rPr>
                <w:rFonts w:ascii="Times New Roman" w:hAnsi="Times New Roman" w:cs="Times New Roman" w:eastAsia="Times New Roman" w:hint="default"/>
                <w:sz w:val="24"/>
                <w:szCs w:val="24"/>
              </w:rPr>
            </w:pPr>
            <w:r>
              <w:rPr>
                <w:rFonts w:ascii="Times New Roman"/>
                <w:sz w:val="24"/>
              </w:rPr>
              <w:t>32.64%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5" w:right="0"/>
              <w:jc w:val="left"/>
              <w:rPr>
                <w:rFonts w:ascii="Times New Roman" w:hAnsi="Times New Roman" w:cs="Times New Roman" w:eastAsia="Times New Roman" w:hint="default"/>
                <w:sz w:val="24"/>
                <w:szCs w:val="24"/>
              </w:rPr>
            </w:pPr>
            <w:r>
              <w:rPr>
                <w:rFonts w:ascii="Times New Roman"/>
                <w:sz w:val="24"/>
              </w:rPr>
              <w:t>96.43%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3" w:right="0"/>
              <w:jc w:val="left"/>
              <w:rPr>
                <w:rFonts w:ascii="Times New Roman" w:hAnsi="Times New Roman" w:cs="Times New Roman" w:eastAsia="Times New Roman" w:hint="default"/>
                <w:sz w:val="24"/>
                <w:szCs w:val="24"/>
              </w:rPr>
            </w:pPr>
            <w:r>
              <w:rPr>
                <w:rFonts w:ascii="Times New Roman"/>
                <w:sz w:val="24"/>
              </w:rPr>
              <w:t>-9.74%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26"/>
        <w:ind w:left="1357" w:right="745"/>
        <w:jc w:val="left"/>
      </w:pPr>
      <w:r>
        <w:rPr/>
        <w:t>（</w:t>
      </w:r>
      <w:r>
        <w:rPr>
          <w:rFonts w:ascii="Times New Roman" w:hAnsi="Times New Roman" w:cs="Times New Roman" w:eastAsia="Times New Roman" w:hint="default"/>
        </w:rPr>
        <w:t>2</w:t>
      </w:r>
      <w:r>
        <w:rPr/>
        <w:t>）按地区构成情况</w:t>
      </w:r>
    </w:p>
    <w:p>
      <w:pPr>
        <w:pStyle w:val="BodyText"/>
        <w:spacing w:line="240" w:lineRule="auto" w:before="157"/>
        <w:ind w:left="0" w:right="875"/>
        <w:jc w:val="right"/>
      </w:pPr>
      <w:r>
        <w:rPr/>
        <w:t>单位：万元</w:t>
      </w:r>
    </w:p>
    <w:p>
      <w:pPr>
        <w:spacing w:line="240" w:lineRule="auto" w:before="4"/>
        <w:rPr>
          <w:rFonts w:ascii="宋体" w:hAnsi="宋体" w:cs="宋体" w:eastAsia="宋体" w:hint="default"/>
          <w:sz w:val="9"/>
          <w:szCs w:val="9"/>
        </w:rPr>
      </w:pPr>
    </w:p>
    <w:tbl>
      <w:tblPr>
        <w:tblW w:w="0" w:type="auto"/>
        <w:jc w:val="left"/>
        <w:tblInd w:w="992" w:type="dxa"/>
        <w:tblLayout w:type="fixed"/>
        <w:tblCellMar>
          <w:top w:w="0" w:type="dxa"/>
          <w:left w:w="0" w:type="dxa"/>
          <w:bottom w:w="0" w:type="dxa"/>
          <w:right w:w="0" w:type="dxa"/>
        </w:tblCellMar>
        <w:tblLook w:val="01E0"/>
      </w:tblPr>
      <w:tblGrid>
        <w:gridCol w:w="2184"/>
        <w:gridCol w:w="2419"/>
        <w:gridCol w:w="3468"/>
      </w:tblGrid>
      <w:tr>
        <w:trPr>
          <w:trHeight w:val="499" w:hRule="exact"/>
        </w:trPr>
        <w:tc>
          <w:tcPr>
            <w:tcW w:w="21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地区</w:t>
            </w:r>
          </w:p>
        </w:tc>
        <w:tc>
          <w:tcPr>
            <w:tcW w:w="24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724"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34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07"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9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北方</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7,544.38</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64.57%</w:t>
            </w:r>
          </w:p>
        </w:tc>
      </w:tr>
      <w:tr>
        <w:trPr>
          <w:trHeight w:val="499"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南方</w:t>
            </w:r>
          </w:p>
        </w:tc>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1,979.88</w:t>
            </w:r>
          </w:p>
        </w:tc>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-24.79%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3"/>
          <w:pgSz w:w="11910" w:h="16840"/>
          <w:pgMar w:footer="979" w:header="850" w:top="1400" w:bottom="1160" w:left="920" w:right="920"/>
        </w:sectPr>
      </w:pPr>
    </w:p>
    <w:p>
      <w:pPr>
        <w:pStyle w:val="BodyText"/>
        <w:spacing w:line="240" w:lineRule="auto" w:before="26"/>
        <w:ind w:left="1357" w:right="-20"/>
        <w:jc w:val="left"/>
      </w:pPr>
      <w:r>
        <w:rPr>
          <w:rFonts w:ascii="Times New Roman" w:hAnsi="Times New Roman" w:cs="Times New Roman" w:eastAsia="Times New Roman" w:hint="default"/>
        </w:rPr>
        <w:t>3</w:t>
      </w:r>
      <w:r>
        <w:rPr/>
        <w:t>、公司主要客户及供应商情况</w:t>
      </w:r>
    </w:p>
    <w:p>
      <w:pPr>
        <w:pStyle w:val="BodyText"/>
        <w:spacing w:line="240" w:lineRule="auto" w:before="157"/>
        <w:ind w:left="1357" w:right="-20"/>
        <w:jc w:val="left"/>
      </w:pPr>
      <w:r>
        <w:rPr/>
        <w:t>（</w:t>
      </w:r>
      <w:r>
        <w:rPr>
          <w:rFonts w:ascii="Times New Roman" w:hAnsi="Times New Roman" w:cs="Times New Roman" w:eastAsia="Times New Roman" w:hint="default"/>
        </w:rPr>
        <w:t>1</w:t>
      </w:r>
      <w:r>
        <w:rPr/>
        <w:t>）前五名客户情况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BodyText"/>
        <w:spacing w:line="240" w:lineRule="auto"/>
        <w:ind w:left="1357" w:right="0"/>
        <w:jc w:val="left"/>
      </w:pPr>
      <w:r>
        <w:rPr/>
        <w:t>单位：元</w:t>
      </w:r>
    </w:p>
    <w:p>
      <w:pPr>
        <w:spacing w:after="0" w:line="240" w:lineRule="auto"/>
        <w:jc w:val="left"/>
        <w:sectPr>
          <w:type w:val="continuous"/>
          <w:pgSz w:w="11910" w:h="16840"/>
          <w:pgMar w:top="1380" w:bottom="1380" w:left="920" w:right="920"/>
          <w:cols w:num="2" w:equalWidth="0">
            <w:col w:w="4598" w:space="2273"/>
            <w:col w:w="3199"/>
          </w:cols>
        </w:sectPr>
      </w:pP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808"/>
        <w:gridCol w:w="1781"/>
        <w:gridCol w:w="1601"/>
        <w:gridCol w:w="1690"/>
        <w:gridCol w:w="1949"/>
      </w:tblGrid>
      <w:tr>
        <w:trPr>
          <w:trHeight w:val="989" w:hRule="exact"/>
        </w:trPr>
        <w:tc>
          <w:tcPr>
            <w:tcW w:w="28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19" w:right="0"/>
              <w:jc w:val="left"/>
              <w:rPr>
                <w:rFonts w:ascii="宋体" w:hAnsi="宋体" w:cs="宋体" w:eastAsia="宋体" w:hint="default"/>
                <w:sz w:val="24"/>
                <w:szCs w:val="24"/>
              </w:rPr>
            </w:pPr>
            <w:r>
              <w:rPr>
                <w:rFonts w:ascii="宋体" w:hAnsi="宋体" w:cs="宋体" w:eastAsia="宋体" w:hint="default"/>
                <w:sz w:val="24"/>
                <w:szCs w:val="24"/>
              </w:rPr>
              <w:t>客户名称</w:t>
            </w:r>
          </w:p>
        </w:tc>
        <w:tc>
          <w:tcPr>
            <w:tcW w:w="17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25" w:right="0"/>
              <w:jc w:val="left"/>
              <w:rPr>
                <w:rFonts w:ascii="宋体" w:hAnsi="宋体" w:cs="宋体" w:eastAsia="宋体" w:hint="default"/>
                <w:sz w:val="24"/>
                <w:szCs w:val="24"/>
              </w:rPr>
            </w:pPr>
            <w:r>
              <w:rPr>
                <w:rFonts w:ascii="宋体" w:hAnsi="宋体" w:cs="宋体" w:eastAsia="宋体" w:hint="default"/>
                <w:sz w:val="24"/>
                <w:szCs w:val="24"/>
              </w:rPr>
              <w:t>销售额</w:t>
            </w:r>
          </w:p>
        </w:tc>
        <w:tc>
          <w:tcPr>
            <w:tcW w:w="16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占销售总额的</w:t>
            </w:r>
          </w:p>
          <w:p>
            <w:pPr>
              <w:pStyle w:val="TableParagraph"/>
              <w:spacing w:line="240" w:lineRule="auto" w:before="175"/>
              <w:ind w:right="0"/>
              <w:jc w:val="center"/>
              <w:rPr>
                <w:rFonts w:ascii="宋体" w:hAnsi="宋体" w:cs="宋体" w:eastAsia="宋体" w:hint="default"/>
                <w:sz w:val="24"/>
                <w:szCs w:val="24"/>
              </w:rPr>
            </w:pPr>
            <w:r>
              <w:rPr>
                <w:rFonts w:ascii="宋体" w:hAnsi="宋体" w:cs="宋体" w:eastAsia="宋体" w:hint="default"/>
                <w:sz w:val="24"/>
                <w:szCs w:val="24"/>
              </w:rPr>
              <w:t>比重（</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6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7" w:right="0"/>
              <w:jc w:val="left"/>
              <w:rPr>
                <w:rFonts w:ascii="宋体" w:hAnsi="宋体" w:cs="宋体" w:eastAsia="宋体" w:hint="default"/>
                <w:sz w:val="24"/>
                <w:szCs w:val="24"/>
              </w:rPr>
            </w:pPr>
            <w:r>
              <w:rPr>
                <w:rFonts w:ascii="宋体" w:hAnsi="宋体" w:cs="宋体" w:eastAsia="宋体" w:hint="default"/>
                <w:sz w:val="24"/>
                <w:szCs w:val="24"/>
              </w:rPr>
              <w:t>应收账款余额</w:t>
            </w:r>
          </w:p>
        </w:tc>
        <w:tc>
          <w:tcPr>
            <w:tcW w:w="19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占应收账款总额</w:t>
            </w:r>
          </w:p>
          <w:p>
            <w:pPr>
              <w:pStyle w:val="TableParagraph"/>
              <w:spacing w:line="240" w:lineRule="auto" w:before="175"/>
              <w:ind w:right="5"/>
              <w:jc w:val="center"/>
              <w:rPr>
                <w:rFonts w:ascii="Times New Roman" w:hAnsi="Times New Roman" w:cs="Times New Roman" w:eastAsia="Times New Roman" w:hint="default"/>
                <w:sz w:val="24"/>
                <w:szCs w:val="24"/>
              </w:rPr>
            </w:pPr>
            <w:r>
              <w:rPr>
                <w:rFonts w:ascii="宋体" w:hAnsi="宋体" w:cs="宋体" w:eastAsia="宋体" w:hint="default"/>
                <w:sz w:val="24"/>
                <w:szCs w:val="24"/>
              </w:rPr>
              <w:t>的比例</w:t>
            </w:r>
            <w:r>
              <w:rPr>
                <w:rFonts w:ascii="Times New Roman" w:hAnsi="Times New Roman" w:cs="Times New Roman" w:eastAsia="Times New Roman" w:hint="default"/>
                <w:sz w:val="24"/>
                <w:szCs w:val="24"/>
              </w:rPr>
              <w:t>(%)</w:t>
            </w:r>
          </w:p>
        </w:tc>
      </w:tr>
      <w:tr>
        <w:trPr>
          <w:trHeight w:val="98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132"/>
              <w:jc w:val="left"/>
              <w:rPr>
                <w:rFonts w:ascii="宋体" w:hAnsi="宋体" w:cs="宋体" w:eastAsia="宋体" w:hint="default"/>
                <w:sz w:val="24"/>
                <w:szCs w:val="24"/>
              </w:rPr>
            </w:pPr>
            <w:r>
              <w:rPr>
                <w:rFonts w:ascii="宋体" w:hAnsi="宋体" w:cs="宋体" w:eastAsia="宋体" w:hint="default"/>
                <w:sz w:val="24"/>
                <w:szCs w:val="24"/>
              </w:rPr>
              <w:t>张家口市城市管理行政执 法局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12,796,283.83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w w:val="95"/>
                <w:sz w:val="24"/>
              </w:rPr>
              <w:t>13.37%</w:t>
            </w:r>
            <w:r>
              <w:rPr>
                <w:rFonts w:ascii="Times New Roman"/>
                <w:sz w:val="24"/>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0.00%</w:t>
            </w:r>
          </w:p>
        </w:tc>
      </w:tr>
      <w:tr>
        <w:trPr>
          <w:trHeight w:val="497"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昌吉市城乡建设委员会</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7,517,153.83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7.85%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5,453,051.28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14.08%</w:t>
            </w:r>
          </w:p>
        </w:tc>
      </w:tr>
      <w:tr>
        <w:trPr>
          <w:trHeight w:val="49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24"/>
                <w:szCs w:val="24"/>
              </w:rPr>
            </w:pPr>
            <w:r>
              <w:rPr>
                <w:rFonts w:ascii="宋体" w:hAnsi="宋体" w:cs="宋体" w:eastAsia="宋体" w:hint="default"/>
                <w:sz w:val="24"/>
                <w:szCs w:val="24"/>
              </w:rPr>
              <w:t>赤峰市城市管理监察支队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6,479,487.16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24"/>
                <w:szCs w:val="24"/>
              </w:rPr>
            </w:pPr>
            <w:r>
              <w:rPr>
                <w:rFonts w:ascii="Times New Roman"/>
                <w:sz w:val="24"/>
              </w:rPr>
              <w:t>6.77%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2,205,982.91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24"/>
                <w:szCs w:val="24"/>
              </w:rPr>
            </w:pPr>
            <w:r>
              <w:rPr>
                <w:rFonts w:ascii="Times New Roman"/>
                <w:sz w:val="24"/>
              </w:rPr>
              <w:t>6.03%</w:t>
            </w:r>
          </w:p>
        </w:tc>
      </w:tr>
      <w:tr>
        <w:trPr>
          <w:trHeight w:val="98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3"/>
              <w:ind w:left="24" w:right="132"/>
              <w:jc w:val="left"/>
              <w:rPr>
                <w:rFonts w:ascii="宋体" w:hAnsi="宋体" w:cs="宋体" w:eastAsia="宋体" w:hint="default"/>
                <w:sz w:val="24"/>
                <w:szCs w:val="24"/>
              </w:rPr>
            </w:pPr>
            <w:r>
              <w:rPr>
                <w:rFonts w:ascii="宋体" w:hAnsi="宋体" w:cs="宋体" w:eastAsia="宋体" w:hint="default"/>
                <w:sz w:val="24"/>
                <w:szCs w:val="24"/>
              </w:rPr>
              <w:t>准格尔旗信息化工作办公 室</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4,793,901.28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5.01%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3,355,730.77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8.66%</w:t>
            </w:r>
          </w:p>
        </w:tc>
      </w:tr>
      <w:tr>
        <w:trPr>
          <w:trHeight w:val="989"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132"/>
              <w:jc w:val="left"/>
              <w:rPr>
                <w:rFonts w:ascii="宋体" w:hAnsi="宋体" w:cs="宋体" w:eastAsia="宋体" w:hint="default"/>
                <w:sz w:val="24"/>
                <w:szCs w:val="24"/>
              </w:rPr>
            </w:pPr>
            <w:r>
              <w:rPr>
                <w:rFonts w:ascii="宋体" w:hAnsi="宋体" w:cs="宋体" w:eastAsia="宋体" w:hint="default"/>
                <w:sz w:val="24"/>
                <w:szCs w:val="24"/>
              </w:rPr>
              <w:t>中国移动通信河北沧州分 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3,730,769.22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3.90%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1,309,500.00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3.58%</w:t>
            </w:r>
          </w:p>
        </w:tc>
      </w:tr>
      <w:tr>
        <w:trPr>
          <w:trHeight w:val="499" w:hRule="exact"/>
        </w:trPr>
        <w:tc>
          <w:tcPr>
            <w:tcW w:w="28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35,317,595.32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36.89%</w:t>
            </w:r>
            <w:r>
              <w:rPr>
                <w:rFonts w:ascii="Times New Roman"/>
                <w:sz w:val="24"/>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10,324,264.96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32.35%</w:t>
            </w:r>
          </w:p>
        </w:tc>
      </w:tr>
    </w:tbl>
    <w:p>
      <w:pPr>
        <w:pStyle w:val="BodyText"/>
        <w:spacing w:line="240" w:lineRule="auto" w:before="51"/>
        <w:ind w:left="877" w:right="745"/>
        <w:jc w:val="left"/>
      </w:pPr>
      <w:r>
        <w:rPr/>
        <w:t>说明：公司与前五大客户不存在关联关系。</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26"/>
        <w:ind w:left="1357" w:right="745"/>
        <w:jc w:val="left"/>
      </w:pPr>
      <w:r>
        <w:rPr/>
        <w:t>（</w:t>
      </w:r>
      <w:r>
        <w:rPr>
          <w:rFonts w:ascii="Times New Roman" w:hAnsi="Times New Roman" w:cs="Times New Roman" w:eastAsia="Times New Roman" w:hint="default"/>
        </w:rPr>
        <w:t>2</w:t>
      </w:r>
      <w:r>
        <w:rPr/>
        <w:t>）前五名供应商情况</w:t>
      </w:r>
    </w:p>
    <w:p>
      <w:pPr>
        <w:pStyle w:val="BodyText"/>
        <w:spacing w:line="240" w:lineRule="auto" w:before="157"/>
        <w:ind w:left="0" w:right="875"/>
        <w:jc w:val="right"/>
      </w:pPr>
      <w:r>
        <w:rPr/>
        <w:t>单位：元</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598"/>
        <w:gridCol w:w="1416"/>
        <w:gridCol w:w="1418"/>
        <w:gridCol w:w="1447"/>
        <w:gridCol w:w="1949"/>
      </w:tblGrid>
      <w:tr>
        <w:trPr>
          <w:trHeight w:val="988" w:hRule="exact"/>
        </w:trPr>
        <w:tc>
          <w:tcPr>
            <w:tcW w:w="35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92" w:right="0"/>
              <w:jc w:val="left"/>
              <w:rPr>
                <w:rFonts w:ascii="宋体" w:hAnsi="宋体" w:cs="宋体" w:eastAsia="宋体" w:hint="default"/>
                <w:sz w:val="24"/>
                <w:szCs w:val="24"/>
              </w:rPr>
            </w:pPr>
            <w:r>
              <w:rPr>
                <w:rFonts w:ascii="宋体" w:hAnsi="宋体" w:cs="宋体" w:eastAsia="宋体" w:hint="default"/>
                <w:sz w:val="24"/>
                <w:szCs w:val="24"/>
              </w:rPr>
              <w:t>供应商名称</w:t>
            </w:r>
          </w:p>
        </w:tc>
        <w:tc>
          <w:tcPr>
            <w:tcW w:w="141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24"/>
                <w:szCs w:val="24"/>
              </w:rPr>
            </w:pPr>
            <w:r>
              <w:rPr>
                <w:rFonts w:ascii="宋体" w:hAnsi="宋体" w:cs="宋体" w:eastAsia="宋体" w:hint="default"/>
                <w:sz w:val="24"/>
                <w:szCs w:val="24"/>
              </w:rPr>
              <w:t>采购额</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23" w:right="-15" w:firstLine="79"/>
              <w:jc w:val="left"/>
              <w:rPr>
                <w:rFonts w:ascii="宋体" w:hAnsi="宋体" w:cs="宋体" w:eastAsia="宋体" w:hint="default"/>
                <w:sz w:val="24"/>
                <w:szCs w:val="24"/>
              </w:rPr>
            </w:pPr>
            <w:r>
              <w:rPr>
                <w:rFonts w:ascii="宋体" w:hAnsi="宋体" w:cs="宋体" w:eastAsia="宋体" w:hint="default"/>
                <w:sz w:val="24"/>
                <w:szCs w:val="24"/>
              </w:rPr>
              <w:t>占采购总额</w:t>
            </w:r>
          </w:p>
          <w:p>
            <w:pPr>
              <w:pStyle w:val="TableParagraph"/>
              <w:spacing w:line="240" w:lineRule="auto" w:before="175"/>
              <w:ind w:left="23" w:right="-15"/>
              <w:jc w:val="left"/>
              <w:rPr>
                <w:rFonts w:ascii="宋体" w:hAnsi="宋体" w:cs="宋体" w:eastAsia="宋体" w:hint="default"/>
                <w:sz w:val="24"/>
                <w:szCs w:val="24"/>
              </w:rPr>
            </w:pPr>
            <w:r>
              <w:rPr>
                <w:rFonts w:ascii="宋体" w:hAnsi="宋体" w:cs="宋体" w:eastAsia="宋体" w:hint="default"/>
                <w:sz w:val="24"/>
                <w:szCs w:val="24"/>
              </w:rPr>
              <w:t>的比重（</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74" w:lineRule="auto" w:before="51"/>
              <w:ind w:left="597" w:right="119" w:hanging="480"/>
              <w:jc w:val="left"/>
              <w:rPr>
                <w:rFonts w:ascii="宋体" w:hAnsi="宋体" w:cs="宋体" w:eastAsia="宋体" w:hint="default"/>
                <w:sz w:val="24"/>
                <w:szCs w:val="24"/>
              </w:rPr>
            </w:pPr>
            <w:r>
              <w:rPr>
                <w:rFonts w:ascii="宋体" w:hAnsi="宋体" w:cs="宋体" w:eastAsia="宋体" w:hint="default"/>
                <w:sz w:val="24"/>
                <w:szCs w:val="24"/>
              </w:rPr>
              <w:t>应付账款余 额</w:t>
            </w:r>
          </w:p>
        </w:tc>
        <w:tc>
          <w:tcPr>
            <w:tcW w:w="19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占应付账款总额</w:t>
            </w:r>
          </w:p>
          <w:p>
            <w:pPr>
              <w:pStyle w:val="TableParagraph"/>
              <w:spacing w:line="240" w:lineRule="auto" w:before="175"/>
              <w:ind w:right="5"/>
              <w:jc w:val="center"/>
              <w:rPr>
                <w:rFonts w:ascii="Times New Roman" w:hAnsi="Times New Roman" w:cs="Times New Roman" w:eastAsia="Times New Roman" w:hint="default"/>
                <w:sz w:val="24"/>
                <w:szCs w:val="24"/>
              </w:rPr>
            </w:pPr>
            <w:r>
              <w:rPr>
                <w:rFonts w:ascii="宋体" w:hAnsi="宋体" w:cs="宋体" w:eastAsia="宋体" w:hint="default"/>
                <w:sz w:val="24"/>
                <w:szCs w:val="24"/>
              </w:rPr>
              <w:t>的比例</w:t>
            </w:r>
            <w:r>
              <w:rPr>
                <w:rFonts w:ascii="Times New Roman" w:hAnsi="Times New Roman" w:cs="Times New Roman" w:eastAsia="Times New Roman" w:hint="default"/>
                <w:sz w:val="24"/>
                <w:szCs w:val="24"/>
              </w:rPr>
              <w:t>(%)</w:t>
            </w:r>
          </w:p>
        </w:tc>
      </w:tr>
    </w:tbl>
    <w:p>
      <w:pPr>
        <w:spacing w:after="0" w:line="240" w:lineRule="auto"/>
        <w:jc w:val="center"/>
        <w:rPr>
          <w:rFonts w:ascii="Times New Roman" w:hAnsi="Times New Roman" w:cs="Times New Roman" w:eastAsia="Times New Roman" w:hint="default"/>
          <w:sz w:val="24"/>
          <w:szCs w:val="24"/>
        </w:rPr>
        <w:sectPr>
          <w:type w:val="continuous"/>
          <w:pgSz w:w="11910" w:h="16840"/>
          <w:pgMar w:top="1380" w:bottom="1380" w:left="920" w:right="920"/>
        </w:sectPr>
      </w:pPr>
    </w:p>
    <w:tbl>
      <w:tblPr>
        <w:tblW w:w="0" w:type="auto"/>
        <w:jc w:val="left"/>
        <w:tblInd w:w="114" w:type="dxa"/>
        <w:tblLayout w:type="fixed"/>
        <w:tblCellMar>
          <w:top w:w="0" w:type="dxa"/>
          <w:left w:w="0" w:type="dxa"/>
          <w:bottom w:w="0" w:type="dxa"/>
          <w:right w:w="0" w:type="dxa"/>
        </w:tblCellMar>
        <w:tblLook w:val="01E0"/>
      </w:tblPr>
      <w:tblGrid>
        <w:gridCol w:w="3598"/>
        <w:gridCol w:w="1416"/>
        <w:gridCol w:w="1418"/>
        <w:gridCol w:w="1447"/>
        <w:gridCol w:w="1949"/>
      </w:tblGrid>
      <w:tr>
        <w:trPr>
          <w:trHeight w:val="499"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北京锐智科技有限公司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1,150,688.00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12.79%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994.85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0.12%</w:t>
            </w:r>
          </w:p>
        </w:tc>
      </w:tr>
      <w:tr>
        <w:trPr>
          <w:trHeight w:val="499"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北京中达恒业科技发展有限公司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772,820.63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8.59%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0.00%</w:t>
            </w:r>
          </w:p>
        </w:tc>
      </w:tr>
      <w:tr>
        <w:trPr>
          <w:trHeight w:val="499"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中科软科技股份有限公司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598,290.60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6.65%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0.00%</w:t>
            </w:r>
            <w:r>
              <w:rPr>
                <w:rFonts w:ascii="Times New Roman"/>
                <w:sz w:val="24"/>
              </w:rPr>
            </w:r>
          </w:p>
        </w:tc>
      </w:tr>
      <w:tr>
        <w:trPr>
          <w:trHeight w:val="499"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宁波</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GQY</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视讯股份有限公司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461,538.46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5.13%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0.00%</w:t>
            </w:r>
          </w:p>
        </w:tc>
      </w:tr>
      <w:tr>
        <w:trPr>
          <w:trHeight w:val="499"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北京中原合聚经贸有限公司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350,427.35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3.89%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0.00%</w:t>
            </w:r>
          </w:p>
        </w:tc>
      </w:tr>
      <w:tr>
        <w:trPr>
          <w:trHeight w:val="499" w:hRule="exact"/>
        </w:trPr>
        <w:tc>
          <w:tcPr>
            <w:tcW w:w="35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24"/>
                <w:szCs w:val="24"/>
              </w:rPr>
            </w:pPr>
            <w:r>
              <w:rPr>
                <w:rFonts w:ascii="Times New Roman"/>
                <w:sz w:val="24"/>
              </w:rPr>
              <w:t>3,333,765.04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37.05%</w:t>
            </w:r>
            <w:r>
              <w:rPr>
                <w:rFonts w:ascii="Times New Roman"/>
                <w:sz w:val="24"/>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994.85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0.12%</w:t>
            </w:r>
          </w:p>
        </w:tc>
      </w:tr>
    </w:tbl>
    <w:p>
      <w:pPr>
        <w:pStyle w:val="BodyText"/>
        <w:spacing w:line="240" w:lineRule="auto" w:before="72"/>
        <w:ind w:left="877" w:right="745"/>
        <w:jc w:val="left"/>
      </w:pPr>
      <w:r>
        <w:rPr/>
        <w:t>说明：公司与前五大供应商不存在关联关系。</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pStyle w:val="Heading3"/>
        <w:spacing w:line="240" w:lineRule="auto" w:before="0"/>
        <w:ind w:left="1360" w:right="745"/>
        <w:jc w:val="left"/>
        <w:rPr>
          <w:b w:val="0"/>
          <w:bCs w:val="0"/>
        </w:rPr>
      </w:pPr>
      <w:r>
        <w:rPr/>
        <w:t>（三）公司主要财务数据分析</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26"/>
        <w:ind w:left="1357" w:right="745"/>
        <w:jc w:val="left"/>
      </w:pPr>
      <w:r>
        <w:rPr>
          <w:rFonts w:ascii="Times New Roman" w:hAnsi="Times New Roman" w:cs="Times New Roman" w:eastAsia="Times New Roman" w:hint="default"/>
        </w:rPr>
        <w:t>1</w:t>
      </w:r>
      <w:r>
        <w:rPr/>
        <w:t>、资产、负债构成情况分析</w:t>
      </w:r>
    </w:p>
    <w:p>
      <w:pPr>
        <w:pStyle w:val="BodyText"/>
        <w:spacing w:line="240" w:lineRule="auto" w:before="155"/>
        <w:ind w:left="0" w:right="875"/>
        <w:jc w:val="right"/>
      </w:pPr>
      <w:r>
        <w:rPr/>
        <w:t>单位：元</w:t>
      </w:r>
    </w:p>
    <w:p>
      <w:pPr>
        <w:spacing w:line="240" w:lineRule="auto" w:before="7"/>
        <w:rPr>
          <w:rFonts w:ascii="宋体" w:hAnsi="宋体" w:cs="宋体" w:eastAsia="宋体" w:hint="default"/>
          <w:sz w:val="9"/>
          <w:szCs w:val="9"/>
        </w:rPr>
      </w:pPr>
    </w:p>
    <w:tbl>
      <w:tblPr>
        <w:tblW w:w="0" w:type="auto"/>
        <w:jc w:val="left"/>
        <w:tblInd w:w="841" w:type="dxa"/>
        <w:tblLayout w:type="fixed"/>
        <w:tblCellMar>
          <w:top w:w="0" w:type="dxa"/>
          <w:left w:w="0" w:type="dxa"/>
          <w:bottom w:w="0" w:type="dxa"/>
          <w:right w:w="0" w:type="dxa"/>
        </w:tblCellMar>
        <w:tblLook w:val="01E0"/>
      </w:tblPr>
      <w:tblGrid>
        <w:gridCol w:w="2018"/>
        <w:gridCol w:w="2412"/>
        <w:gridCol w:w="2268"/>
        <w:gridCol w:w="1678"/>
      </w:tblGrid>
      <w:tr>
        <w:trPr>
          <w:trHeight w:val="499" w:hRule="exact"/>
        </w:trPr>
        <w:tc>
          <w:tcPr>
            <w:tcW w:w="2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2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6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52" w:right="0"/>
              <w:jc w:val="left"/>
              <w:rPr>
                <w:rFonts w:ascii="宋体" w:hAnsi="宋体" w:cs="宋体" w:eastAsia="宋体" w:hint="default"/>
                <w:sz w:val="24"/>
                <w:szCs w:val="24"/>
              </w:rPr>
            </w:pPr>
            <w:r>
              <w:rPr>
                <w:rFonts w:ascii="宋体" w:hAnsi="宋体" w:cs="宋体" w:eastAsia="宋体" w:hint="default"/>
                <w:sz w:val="24"/>
                <w:szCs w:val="24"/>
              </w:rPr>
              <w:t>变动比率</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774,570,706.59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96,073,116.01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706.23%</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600,000.00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100.00%</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36,569,213.82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7,955,190.00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359.69%</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2,036,000.00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100.00%</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2,586,252.43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1,466,492.47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76.36%</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38,809,152.35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1,932,544.89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1,908.19%</w:t>
            </w:r>
          </w:p>
        </w:tc>
      </w:tr>
      <w:tr>
        <w:trPr>
          <w:trHeight w:val="497"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450,032.52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100.00%</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14,153,714.74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4,258,786.61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24"/>
                <w:szCs w:val="24"/>
              </w:rPr>
            </w:pPr>
            <w:r>
              <w:rPr>
                <w:rFonts w:ascii="Times New Roman"/>
                <w:w w:val="95"/>
                <w:sz w:val="24"/>
              </w:rPr>
              <w:t>232.34%</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2,985,277.06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24"/>
                <w:szCs w:val="24"/>
              </w:rPr>
            </w:pPr>
            <w:r>
              <w:rPr>
                <w:rFonts w:ascii="Times New Roman"/>
                <w:w w:val="95"/>
                <w:sz w:val="24"/>
              </w:rPr>
              <w:t>100.00%</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825,069.85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2,181,564.80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-62.18%</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4,273,727.36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3,197,612.00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33.65%</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52" w:lineRule="auto" w:before="26"/>
        <w:ind w:left="877" w:right="860" w:firstLine="480"/>
        <w:jc w:val="left"/>
      </w:pPr>
      <w:r>
        <w:rPr>
          <w:spacing w:val="-3"/>
        </w:rPr>
        <w:t>（</w:t>
      </w:r>
      <w:r>
        <w:rPr>
          <w:rFonts w:ascii="Times New Roman" w:hAnsi="Times New Roman" w:cs="Times New Roman" w:eastAsia="Times New Roman" w:hint="default"/>
          <w:spacing w:val="-3"/>
        </w:rPr>
        <w:t>1</w:t>
      </w:r>
      <w:r>
        <w:rPr>
          <w:spacing w:val="-3"/>
        </w:rPr>
        <w:t>）货币资金</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日期末余额为</w:t>
      </w:r>
      <w:r>
        <w:rPr>
          <w:spacing w:val="-59"/>
        </w:rPr>
        <w:t> </w:t>
      </w:r>
      <w:r>
        <w:rPr>
          <w:rFonts w:ascii="Times New Roman" w:hAnsi="Times New Roman" w:cs="Times New Roman" w:eastAsia="Times New Roman" w:hint="default"/>
        </w:rPr>
        <w:t>774,570,706.59</w:t>
      </w:r>
      <w:r>
        <w:rPr>
          <w:rFonts w:ascii="Times New Roman" w:hAnsi="Times New Roman" w:cs="Times New Roman" w:eastAsia="Times New Roman" w:hint="default"/>
          <w:spacing w:val="1"/>
        </w:rPr>
        <w:t> </w:t>
      </w:r>
      <w:r>
        <w:rPr>
          <w:spacing w:val="-3"/>
        </w:rPr>
        <w:t>元，比年初余</w:t>
      </w:r>
      <w:r>
        <w:rPr/>
        <w:t> 额增加</w:t>
      </w:r>
      <w:r>
        <w:rPr>
          <w:spacing w:val="-61"/>
        </w:rPr>
        <w:t> </w:t>
      </w:r>
      <w:r>
        <w:rPr>
          <w:rFonts w:ascii="Times New Roman" w:hAnsi="Times New Roman" w:cs="Times New Roman" w:eastAsia="Times New Roman" w:hint="default"/>
        </w:rPr>
        <w:t>706.23%</w:t>
      </w:r>
      <w:r>
        <w:rPr/>
        <w:t>，主要是由于公司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年首次公开发行股票融资所致。</w:t>
      </w:r>
    </w:p>
    <w:p>
      <w:pPr>
        <w:spacing w:after="0" w:line="352" w:lineRule="auto"/>
        <w:jc w:val="left"/>
        <w:sectPr>
          <w:footerReference w:type="default" r:id="rId14"/>
          <w:pgSz w:w="11910" w:h="16840"/>
          <w:pgMar w:footer="979" w:header="850" w:top="1400" w:bottom="1160" w:left="920" w:right="920"/>
          <w:pgNumType w:start="11"/>
        </w:sectPr>
      </w:pPr>
    </w:p>
    <w:p>
      <w:pPr>
        <w:pStyle w:val="BodyText"/>
        <w:spacing w:line="240" w:lineRule="auto" w:before="72"/>
        <w:ind w:left="617" w:right="179"/>
        <w:jc w:val="left"/>
      </w:pPr>
      <w:r>
        <w:rPr/>
        <w:t>（</w:t>
      </w:r>
      <w:r>
        <w:rPr>
          <w:rFonts w:ascii="Times New Roman" w:hAnsi="Times New Roman" w:cs="Times New Roman" w:eastAsia="Times New Roman" w:hint="default"/>
        </w:rPr>
        <w:t>2</w:t>
      </w:r>
      <w:r>
        <w:rPr/>
        <w:t>）应收票据</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日期末余额为</w:t>
      </w:r>
      <w:r>
        <w:rPr>
          <w:spacing w:val="-60"/>
        </w:rPr>
        <w:t> </w:t>
      </w:r>
      <w:r>
        <w:rPr>
          <w:rFonts w:ascii="Times New Roman" w:hAnsi="Times New Roman" w:cs="Times New Roman" w:eastAsia="Times New Roman" w:hint="default"/>
        </w:rPr>
        <w:t>600,000.00 </w:t>
      </w:r>
      <w:r>
        <w:rPr/>
        <w:t>元，年初余额为</w:t>
      </w:r>
    </w:p>
    <w:p>
      <w:pPr>
        <w:pStyle w:val="BodyText"/>
        <w:spacing w:line="240" w:lineRule="auto" w:before="157"/>
        <w:ind w:right="179"/>
        <w:jc w:val="left"/>
      </w:pPr>
      <w:r>
        <w:rPr>
          <w:rFonts w:ascii="Times New Roman" w:hAnsi="Times New Roman" w:cs="Times New Roman" w:eastAsia="Times New Roman" w:hint="default"/>
        </w:rPr>
        <w:t>0.00 </w:t>
      </w:r>
      <w:r>
        <w:rPr/>
        <w:t>元，主要是贵州自贡市数字化城市管理项目款。</w:t>
      </w:r>
    </w:p>
    <w:p>
      <w:pPr>
        <w:pStyle w:val="BodyText"/>
        <w:spacing w:line="352" w:lineRule="auto" w:before="155"/>
        <w:ind w:right="181" w:firstLine="480"/>
        <w:jc w:val="left"/>
      </w:pPr>
      <w:r>
        <w:rPr/>
        <w:t>（</w:t>
      </w:r>
      <w:r>
        <w:rPr>
          <w:rFonts w:ascii="Times New Roman" w:hAnsi="Times New Roman" w:cs="Times New Roman" w:eastAsia="Times New Roman" w:hint="default"/>
        </w:rPr>
        <w:t>3</w:t>
      </w:r>
      <w:r>
        <w:rPr/>
        <w:t>）应收账款</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日期末余额为</w:t>
      </w:r>
      <w:r>
        <w:rPr>
          <w:spacing w:val="-60"/>
        </w:rPr>
        <w:t> </w:t>
      </w:r>
      <w:r>
        <w:rPr>
          <w:rFonts w:ascii="Times New Roman" w:hAnsi="Times New Roman" w:cs="Times New Roman" w:eastAsia="Times New Roman" w:hint="default"/>
        </w:rPr>
        <w:t>36,569,213.82 </w:t>
      </w:r>
      <w:r>
        <w:rPr/>
        <w:t>元，比年初余 额增长</w:t>
      </w:r>
      <w:r>
        <w:rPr>
          <w:spacing w:val="-42"/>
        </w:rPr>
        <w:t> </w:t>
      </w:r>
      <w:r>
        <w:rPr>
          <w:rFonts w:ascii="Times New Roman" w:hAnsi="Times New Roman" w:cs="Times New Roman" w:eastAsia="Times New Roman" w:hint="default"/>
          <w:spacing w:val="-2"/>
        </w:rPr>
        <w:t>359.69%</w:t>
      </w:r>
      <w:r>
        <w:rPr>
          <w:spacing w:val="-2"/>
        </w:rPr>
        <w:t>，主要是由于公司报告期内业务增长较快，部分项目已经客户确</w:t>
      </w:r>
      <w:r>
        <w:rPr>
          <w:spacing w:val="-118"/>
        </w:rPr>
        <w:t> </w:t>
      </w:r>
      <w:r>
        <w:rPr>
          <w:spacing w:val="-118"/>
        </w:rPr>
      </w:r>
      <w:r>
        <w:rPr/>
        <w:t>认完工进度，但未达到付款节点。</w:t>
      </w:r>
    </w:p>
    <w:p>
      <w:pPr>
        <w:pStyle w:val="BodyText"/>
        <w:spacing w:line="352" w:lineRule="auto" w:before="62"/>
        <w:ind w:right="195" w:firstLine="480"/>
        <w:jc w:val="both"/>
      </w:pPr>
      <w:r>
        <w:rPr>
          <w:spacing w:val="-6"/>
        </w:rPr>
        <w:t>（</w:t>
      </w:r>
      <w:r>
        <w:rPr>
          <w:rFonts w:ascii="Times New Roman" w:hAnsi="Times New Roman" w:cs="Times New Roman" w:eastAsia="Times New Roman" w:hint="default"/>
          <w:spacing w:val="-6"/>
        </w:rPr>
        <w:t>4</w:t>
      </w:r>
      <w:r>
        <w:rPr>
          <w:spacing w:val="-6"/>
        </w:rPr>
        <w:t>）存货</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日期末余额为</w:t>
      </w:r>
      <w:r>
        <w:rPr>
          <w:spacing w:val="-62"/>
        </w:rPr>
        <w:t> </w:t>
      </w:r>
      <w:r>
        <w:rPr>
          <w:rFonts w:ascii="Times New Roman" w:hAnsi="Times New Roman" w:cs="Times New Roman" w:eastAsia="Times New Roman" w:hint="default"/>
        </w:rPr>
        <w:t>2,586,252.43</w:t>
      </w:r>
      <w:r>
        <w:rPr>
          <w:rFonts w:ascii="Times New Roman" w:hAnsi="Times New Roman" w:cs="Times New Roman" w:eastAsia="Times New Roman" w:hint="default"/>
          <w:spacing w:val="-2"/>
        </w:rPr>
        <w:t> </w:t>
      </w:r>
      <w:r>
        <w:rPr/>
        <w:t>元，比年初余额增长 </w:t>
      </w:r>
      <w:r>
        <w:rPr>
          <w:rFonts w:ascii="Times New Roman" w:hAnsi="Times New Roman" w:cs="Times New Roman" w:eastAsia="Times New Roman" w:hint="default"/>
          <w:spacing w:val="-3"/>
        </w:rPr>
        <w:t>76.36%</w:t>
      </w:r>
      <w:r>
        <w:rPr>
          <w:spacing w:val="-3"/>
        </w:rPr>
        <w:t>，主要是由于公司报告期内业务增长较快，部分项目已先期投入，但客户</w:t>
      </w:r>
      <w:r>
        <w:rPr>
          <w:spacing w:val="-115"/>
        </w:rPr>
        <w:t> </w:t>
      </w:r>
      <w:r>
        <w:rPr>
          <w:spacing w:val="-115"/>
        </w:rPr>
      </w:r>
      <w:r>
        <w:rPr/>
        <w:t>尚未确认完工进度。</w:t>
      </w:r>
    </w:p>
    <w:p>
      <w:pPr>
        <w:pStyle w:val="BodyText"/>
        <w:spacing w:line="352" w:lineRule="auto" w:before="62"/>
        <w:ind w:right="286" w:firstLine="480"/>
        <w:jc w:val="both"/>
      </w:pPr>
      <w:r>
        <w:rPr/>
        <w:t>（</w:t>
      </w:r>
      <w:r>
        <w:rPr>
          <w:rFonts w:ascii="Times New Roman" w:hAnsi="Times New Roman" w:cs="Times New Roman" w:eastAsia="Times New Roman" w:hint="default"/>
        </w:rPr>
        <w:t>5</w:t>
      </w:r>
      <w:r>
        <w:rPr/>
        <w:t>）固定资产</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日期末余额为</w:t>
      </w:r>
      <w:r>
        <w:rPr>
          <w:spacing w:val="-60"/>
        </w:rPr>
        <w:t> </w:t>
      </w:r>
      <w:r>
        <w:rPr>
          <w:rFonts w:ascii="Times New Roman" w:hAnsi="Times New Roman" w:cs="Times New Roman" w:eastAsia="Times New Roman" w:hint="default"/>
        </w:rPr>
        <w:t>38,809,152.35 </w:t>
      </w:r>
      <w:r>
        <w:rPr/>
        <w:t>元，比年初余 额增长</w:t>
      </w:r>
      <w:r>
        <w:rPr>
          <w:spacing w:val="-61"/>
        </w:rPr>
        <w:t> </w:t>
      </w:r>
      <w:r>
        <w:rPr>
          <w:rFonts w:ascii="Times New Roman" w:hAnsi="Times New Roman" w:cs="Times New Roman" w:eastAsia="Times New Roman" w:hint="default"/>
        </w:rPr>
        <w:t>1,908.19%</w:t>
      </w:r>
      <w:r>
        <w:rPr/>
        <w:t>，主要是由于公司报告期内购买办公场所。</w:t>
      </w:r>
    </w:p>
    <w:p>
      <w:pPr>
        <w:pStyle w:val="BodyText"/>
        <w:spacing w:line="240" w:lineRule="auto" w:before="30"/>
        <w:ind w:left="617" w:right="179"/>
        <w:jc w:val="left"/>
      </w:pPr>
      <w:r>
        <w:rPr/>
        <w:t>（</w:t>
      </w:r>
      <w:r>
        <w:rPr>
          <w:rFonts w:ascii="Times New Roman" w:hAnsi="Times New Roman" w:cs="Times New Roman" w:eastAsia="Times New Roman" w:hint="default"/>
        </w:rPr>
        <w:t>6</w:t>
      </w:r>
      <w:r>
        <w:rPr/>
        <w:t>）在建工程</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日期末余额为</w:t>
      </w:r>
      <w:r>
        <w:rPr>
          <w:spacing w:val="-60"/>
        </w:rPr>
        <w:t> </w:t>
      </w:r>
      <w:r>
        <w:rPr>
          <w:rFonts w:ascii="Times New Roman" w:hAnsi="Times New Roman" w:cs="Times New Roman" w:eastAsia="Times New Roman" w:hint="default"/>
        </w:rPr>
        <w:t>450,032.52 </w:t>
      </w:r>
      <w:r>
        <w:rPr/>
        <w:t>元，年初余额为</w:t>
      </w:r>
    </w:p>
    <w:p>
      <w:pPr>
        <w:pStyle w:val="BodyText"/>
        <w:spacing w:line="352" w:lineRule="auto" w:before="157"/>
        <w:ind w:right="178"/>
        <w:jc w:val="left"/>
      </w:pP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spacing w:val="-3"/>
        </w:rPr>
        <w:t>元，主要是公司购买数据普查车、数据普查设备等，待车辆安装调试达到使</w:t>
      </w:r>
      <w:r>
        <w:rPr/>
        <w:t> 用状态后转入固定资产。</w:t>
      </w:r>
    </w:p>
    <w:p>
      <w:pPr>
        <w:pStyle w:val="BodyText"/>
        <w:spacing w:line="352" w:lineRule="auto" w:before="62"/>
        <w:ind w:right="286" w:firstLine="480"/>
        <w:jc w:val="both"/>
      </w:pPr>
      <w:r>
        <w:rPr/>
        <w:t>（</w:t>
      </w:r>
      <w:r>
        <w:rPr>
          <w:rFonts w:ascii="Times New Roman" w:hAnsi="Times New Roman" w:cs="Times New Roman" w:eastAsia="Times New Roman" w:hint="default"/>
        </w:rPr>
        <w:t>7</w:t>
      </w:r>
      <w:r>
        <w:rPr/>
        <w:t>）开发支出</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日期末余额为</w:t>
      </w:r>
      <w:r>
        <w:rPr>
          <w:spacing w:val="-60"/>
        </w:rPr>
        <w:t> </w:t>
      </w:r>
      <w:r>
        <w:rPr>
          <w:rFonts w:ascii="Times New Roman" w:hAnsi="Times New Roman" w:cs="Times New Roman" w:eastAsia="Times New Roman" w:hint="default"/>
        </w:rPr>
        <w:t>14,153,714.74 </w:t>
      </w:r>
      <w:r>
        <w:rPr/>
        <w:t>元，比年初余 额增长</w:t>
      </w:r>
      <w:r>
        <w:rPr>
          <w:spacing w:val="-61"/>
        </w:rPr>
        <w:t> </w:t>
      </w:r>
      <w:r>
        <w:rPr>
          <w:rFonts w:ascii="Times New Roman" w:hAnsi="Times New Roman" w:cs="Times New Roman" w:eastAsia="Times New Roman" w:hint="default"/>
        </w:rPr>
        <w:t>232.34%</w:t>
      </w:r>
      <w:r>
        <w:rPr/>
        <w:t>，主要是由于公司实施募集资金投资项目研发投入增加。</w:t>
      </w:r>
    </w:p>
    <w:p>
      <w:pPr>
        <w:pStyle w:val="BodyText"/>
        <w:spacing w:line="352" w:lineRule="auto" w:before="32"/>
        <w:ind w:right="193" w:firstLine="480"/>
        <w:jc w:val="both"/>
      </w:pPr>
      <w:r>
        <w:rPr>
          <w:spacing w:val="-7"/>
        </w:rPr>
        <w:t>（</w:t>
      </w:r>
      <w:r>
        <w:rPr>
          <w:rFonts w:ascii="Times New Roman" w:hAnsi="Times New Roman" w:cs="Times New Roman" w:eastAsia="Times New Roman" w:hint="default"/>
          <w:spacing w:val="-7"/>
        </w:rPr>
        <w:t>8</w:t>
      </w:r>
      <w:r>
        <w:rPr>
          <w:spacing w:val="-7"/>
        </w:rPr>
        <w:t>）应付账款</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日期末余额为</w:t>
      </w:r>
      <w:r>
        <w:rPr>
          <w:spacing w:val="-59"/>
        </w:rPr>
        <w:t> </w:t>
      </w:r>
      <w:r>
        <w:rPr>
          <w:rFonts w:ascii="Times New Roman" w:hAnsi="Times New Roman" w:cs="Times New Roman" w:eastAsia="Times New Roman" w:hint="default"/>
        </w:rPr>
        <w:t>825,069.85</w:t>
      </w:r>
      <w:r>
        <w:rPr>
          <w:rFonts w:ascii="Times New Roman" w:hAnsi="Times New Roman" w:cs="Times New Roman" w:eastAsia="Times New Roman" w:hint="default"/>
          <w:spacing w:val="1"/>
        </w:rPr>
        <w:t> </w:t>
      </w:r>
      <w:r>
        <w:rPr>
          <w:spacing w:val="-6"/>
        </w:rPr>
        <w:t>元，比年初余额下</w:t>
      </w:r>
      <w:r>
        <w:rPr/>
        <w:t> 降</w:t>
      </w:r>
      <w:r>
        <w:rPr>
          <w:spacing w:val="-61"/>
        </w:rPr>
        <w:t> </w:t>
      </w:r>
      <w:r>
        <w:rPr>
          <w:rFonts w:ascii="Times New Roman" w:hAnsi="Times New Roman" w:cs="Times New Roman" w:eastAsia="Times New Roman" w:hint="default"/>
        </w:rPr>
        <w:t>62.18%</w:t>
      </w:r>
      <w:r>
        <w:rPr/>
        <w:t>，主要是由于公司报告期前采购软硬件，报告期内公司支付了部分应 付账款。</w:t>
      </w:r>
    </w:p>
    <w:p>
      <w:pPr>
        <w:pStyle w:val="BodyText"/>
        <w:spacing w:line="352" w:lineRule="auto" w:before="60"/>
        <w:ind w:right="106" w:firstLine="480"/>
        <w:jc w:val="both"/>
      </w:pPr>
      <w:r>
        <w:rPr/>
        <w:t>（</w:t>
      </w:r>
      <w:r>
        <w:rPr>
          <w:rFonts w:ascii="Times New Roman" w:hAnsi="Times New Roman" w:cs="Times New Roman" w:eastAsia="Times New Roman" w:hint="default"/>
        </w:rPr>
        <w:t>9</w:t>
      </w:r>
      <w:r>
        <w:rPr/>
        <w:t>）专项应付款</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日期末余额为</w:t>
      </w:r>
      <w:r>
        <w:rPr>
          <w:spacing w:val="-62"/>
        </w:rPr>
        <w:t> </w:t>
      </w:r>
      <w:r>
        <w:rPr>
          <w:rFonts w:ascii="Times New Roman" w:hAnsi="Times New Roman" w:cs="Times New Roman" w:eastAsia="Times New Roman" w:hint="default"/>
        </w:rPr>
        <w:t>4,273,727.36</w:t>
      </w:r>
      <w:r>
        <w:rPr>
          <w:rFonts w:ascii="Times New Roman" w:hAnsi="Times New Roman" w:cs="Times New Roman" w:eastAsia="Times New Roman" w:hint="default"/>
          <w:spacing w:val="-2"/>
        </w:rPr>
        <w:t> </w:t>
      </w:r>
      <w:r>
        <w:rPr>
          <w:spacing w:val="-3"/>
        </w:rPr>
        <w:t>元，比年初余</w:t>
      </w:r>
      <w:r>
        <w:rPr/>
        <w:t> 额增加</w:t>
      </w:r>
      <w:r>
        <w:rPr>
          <w:spacing w:val="-61"/>
        </w:rPr>
        <w:t> </w:t>
      </w:r>
      <w:r>
        <w:rPr>
          <w:rFonts w:ascii="Times New Roman" w:hAnsi="Times New Roman" w:cs="Times New Roman" w:eastAsia="Times New Roman" w:hint="default"/>
        </w:rPr>
        <w:t>33.65%</w:t>
      </w:r>
      <w:r>
        <w:rPr/>
        <w:t>，主要是由于报告期内公司收到</w:t>
      </w:r>
      <w:r>
        <w:rPr>
          <w:spacing w:val="-61"/>
        </w:rPr>
        <w:t> </w:t>
      </w:r>
      <w:r>
        <w:rPr>
          <w:rFonts w:ascii="Times New Roman" w:hAnsi="Times New Roman" w:cs="Times New Roman" w:eastAsia="Times New Roman" w:hint="default"/>
        </w:rPr>
        <w:t>TD</w:t>
      </w:r>
      <w:r>
        <w:rPr>
          <w:rFonts w:ascii="Times New Roman" w:hAnsi="Times New Roman" w:cs="Times New Roman" w:eastAsia="Times New Roman" w:hint="default"/>
          <w:spacing w:val="-2"/>
        </w:rPr>
        <w:t> </w:t>
      </w:r>
      <w:r>
        <w:rPr/>
        <w:t>移动、</w:t>
      </w:r>
      <w:r>
        <w:rPr>
          <w:rFonts w:ascii="Times New Roman" w:hAnsi="Times New Roman" w:cs="Times New Roman" w:eastAsia="Times New Roman" w:hint="default"/>
        </w:rPr>
        <w:t>3G</w:t>
      </w:r>
      <w:r>
        <w:rPr>
          <w:rFonts w:ascii="Times New Roman" w:hAnsi="Times New Roman" w:cs="Times New Roman" w:eastAsia="Times New Roman" w:hint="default"/>
          <w:spacing w:val="-2"/>
        </w:rPr>
        <w:t> </w:t>
      </w:r>
      <w:r>
        <w:rPr/>
        <w:t>网络等课题项目的 专项拨款，并对相应的研发项目进行投入实施，使公司的专项应付款产生变化。</w:t>
      </w:r>
    </w:p>
    <w:p>
      <w:pPr>
        <w:pStyle w:val="BodyText"/>
        <w:spacing w:line="240" w:lineRule="auto" w:before="62"/>
        <w:ind w:left="617" w:right="179"/>
        <w:jc w:val="left"/>
      </w:pPr>
      <w:r>
        <w:rPr>
          <w:rFonts w:ascii="Times New Roman" w:hAnsi="Times New Roman" w:cs="Times New Roman" w:eastAsia="Times New Roman" w:hint="default"/>
        </w:rPr>
        <w:t>2</w:t>
      </w:r>
      <w:r>
        <w:rPr/>
        <w:t>、费用构成情况分析</w:t>
      </w:r>
    </w:p>
    <w:p>
      <w:pPr>
        <w:spacing w:line="240" w:lineRule="auto" w:before="11"/>
        <w:rPr>
          <w:rFonts w:ascii="宋体" w:hAnsi="宋体" w:cs="宋体" w:eastAsia="宋体" w:hint="default"/>
          <w:sz w:val="9"/>
          <w:szCs w:val="9"/>
        </w:rPr>
      </w:pPr>
    </w:p>
    <w:p>
      <w:pPr>
        <w:pStyle w:val="BodyText"/>
        <w:spacing w:line="240" w:lineRule="auto" w:before="26"/>
        <w:ind w:left="0" w:right="195"/>
        <w:jc w:val="right"/>
      </w:pPr>
      <w:r>
        <w:rPr/>
        <w:t>单位：元</w:t>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018"/>
        <w:gridCol w:w="2412"/>
        <w:gridCol w:w="2268"/>
        <w:gridCol w:w="1678"/>
      </w:tblGrid>
      <w:tr>
        <w:trPr>
          <w:trHeight w:val="499" w:hRule="exact"/>
        </w:trPr>
        <w:tc>
          <w:tcPr>
            <w:tcW w:w="2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7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6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52" w:right="0"/>
              <w:jc w:val="left"/>
              <w:rPr>
                <w:rFonts w:ascii="宋体" w:hAnsi="宋体" w:cs="宋体" w:eastAsia="宋体" w:hint="default"/>
                <w:sz w:val="24"/>
                <w:szCs w:val="24"/>
              </w:rPr>
            </w:pPr>
            <w:r>
              <w:rPr>
                <w:rFonts w:ascii="宋体" w:hAnsi="宋体" w:cs="宋体" w:eastAsia="宋体" w:hint="default"/>
                <w:sz w:val="24"/>
                <w:szCs w:val="24"/>
              </w:rPr>
              <w:t>变动比率</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12,458,997.88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7,693,559.13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61.94%</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15,514,154.64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12,768,514.01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21.50%</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-9,618,268.03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-792,092.77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-1,114.29%</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7,289,276.15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5,045,356.66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sz w:val="24"/>
              </w:rPr>
              <w:t>44.47%</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79" w:top="1400" w:bottom="1160" w:left="1660" w:right="16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352" w:lineRule="auto" w:before="26"/>
        <w:ind w:right="154" w:firstLine="480"/>
        <w:jc w:val="left"/>
      </w:pPr>
      <w:r>
        <w:rPr/>
        <w:t>（</w:t>
      </w:r>
      <w:r>
        <w:rPr>
          <w:rFonts w:ascii="Times New Roman" w:hAnsi="Times New Roman" w:cs="Times New Roman" w:eastAsia="Times New Roman" w:hint="default"/>
        </w:rPr>
        <w:t>1</w:t>
      </w:r>
      <w:r>
        <w:rPr/>
        <w:t>）销售费用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年度为</w:t>
      </w:r>
      <w:r>
        <w:rPr>
          <w:spacing w:val="-61"/>
        </w:rPr>
        <w:t> </w:t>
      </w:r>
      <w:r>
        <w:rPr>
          <w:rFonts w:ascii="Times New Roman" w:hAnsi="Times New Roman" w:cs="Times New Roman" w:eastAsia="Times New Roman" w:hint="default"/>
        </w:rPr>
        <w:t>12,458,997.88</w:t>
      </w:r>
      <w:r>
        <w:rPr>
          <w:rFonts w:ascii="Times New Roman" w:hAnsi="Times New Roman" w:cs="Times New Roman" w:eastAsia="Times New Roman" w:hint="default"/>
          <w:spacing w:val="-1"/>
        </w:rPr>
        <w:t> </w:t>
      </w:r>
      <w:r>
        <w:rPr/>
        <w:t>元，比上一年度增长</w:t>
      </w:r>
      <w:r>
        <w:rPr>
          <w:spacing w:val="-61"/>
        </w:rPr>
        <w:t> </w:t>
      </w:r>
      <w:r>
        <w:rPr>
          <w:rFonts w:ascii="Times New Roman" w:hAnsi="Times New Roman" w:cs="Times New Roman" w:eastAsia="Times New Roman" w:hint="default"/>
        </w:rPr>
        <w:t>61.94%</w:t>
      </w:r>
      <w:r>
        <w:rPr/>
        <w:t>，主 要是由于公司报告期内业务开展较快，投入较多销售人员。</w:t>
      </w:r>
    </w:p>
    <w:p>
      <w:pPr>
        <w:pStyle w:val="BodyText"/>
        <w:spacing w:line="352" w:lineRule="auto" w:before="62"/>
        <w:ind w:right="154" w:firstLine="480"/>
        <w:jc w:val="left"/>
      </w:pPr>
      <w:r>
        <w:rPr/>
        <w:t>（</w:t>
      </w:r>
      <w:r>
        <w:rPr>
          <w:rFonts w:ascii="Times New Roman" w:hAnsi="Times New Roman" w:cs="Times New Roman" w:eastAsia="Times New Roman" w:hint="default"/>
        </w:rPr>
        <w:t>2</w:t>
      </w:r>
      <w:r>
        <w:rPr/>
        <w:t>）管理费用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年度为</w:t>
      </w:r>
      <w:r>
        <w:rPr>
          <w:spacing w:val="-61"/>
        </w:rPr>
        <w:t> </w:t>
      </w:r>
      <w:r>
        <w:rPr>
          <w:rFonts w:ascii="Times New Roman" w:hAnsi="Times New Roman" w:cs="Times New Roman" w:eastAsia="Times New Roman" w:hint="default"/>
        </w:rPr>
        <w:t>15,514,154.64</w:t>
      </w:r>
      <w:r>
        <w:rPr>
          <w:rFonts w:ascii="Times New Roman" w:hAnsi="Times New Roman" w:cs="Times New Roman" w:eastAsia="Times New Roman" w:hint="default"/>
          <w:spacing w:val="-1"/>
        </w:rPr>
        <w:t> </w:t>
      </w:r>
      <w:r>
        <w:rPr/>
        <w:t>元，比上一年度增长</w:t>
      </w:r>
      <w:r>
        <w:rPr>
          <w:spacing w:val="-61"/>
        </w:rPr>
        <w:t> </w:t>
      </w:r>
      <w:r>
        <w:rPr>
          <w:rFonts w:ascii="Times New Roman" w:hAnsi="Times New Roman" w:cs="Times New Roman" w:eastAsia="Times New Roman" w:hint="default"/>
        </w:rPr>
        <w:t>21.50%</w:t>
      </w:r>
      <w:r>
        <w:rPr/>
        <w:t>，主 要是由于公司管理人员及相关费用增加。</w:t>
      </w:r>
    </w:p>
    <w:p>
      <w:pPr>
        <w:pStyle w:val="BodyText"/>
        <w:spacing w:line="352" w:lineRule="auto" w:before="62"/>
        <w:ind w:right="208" w:firstLine="465"/>
        <w:jc w:val="left"/>
      </w:pPr>
      <w:r>
        <w:rPr/>
        <w:t>（</w:t>
      </w:r>
      <w:r>
        <w:rPr>
          <w:rFonts w:ascii="Times New Roman" w:hAnsi="Times New Roman" w:cs="Times New Roman" w:eastAsia="Times New Roman" w:hint="default"/>
        </w:rPr>
        <w:t>3</w:t>
      </w:r>
      <w:r>
        <w:rPr/>
        <w:t>）财务费用</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年度为</w:t>
      </w:r>
      <w:r>
        <w:rPr>
          <w:rFonts w:ascii="Times New Roman" w:hAnsi="Times New Roman" w:cs="Times New Roman" w:eastAsia="Times New Roman" w:hint="default"/>
        </w:rPr>
        <w:t>-9,618,268.03</w:t>
      </w:r>
      <w:r>
        <w:rPr>
          <w:rFonts w:ascii="Times New Roman" w:hAnsi="Times New Roman" w:cs="Times New Roman" w:eastAsia="Times New Roman" w:hint="default"/>
          <w:spacing w:val="-1"/>
        </w:rPr>
        <w:t> </w:t>
      </w:r>
      <w:r>
        <w:rPr/>
        <w:t>元，比上一年度下降</w:t>
      </w:r>
      <w:r>
        <w:rPr>
          <w:spacing w:val="-61"/>
        </w:rPr>
        <w:t> </w:t>
      </w:r>
      <w:r>
        <w:rPr>
          <w:rFonts w:ascii="Times New Roman" w:hAnsi="Times New Roman" w:cs="Times New Roman" w:eastAsia="Times New Roman" w:hint="default"/>
        </w:rPr>
        <w:t>1,114.29%</w:t>
      </w:r>
      <w:r>
        <w:rPr/>
        <w:t>， 主要是由于公司首次公开发行募集资金存放银行利息增加。</w:t>
      </w:r>
    </w:p>
    <w:p>
      <w:pPr>
        <w:pStyle w:val="BodyText"/>
        <w:spacing w:line="352" w:lineRule="auto" w:before="62"/>
        <w:ind w:right="174" w:firstLine="465"/>
        <w:jc w:val="left"/>
      </w:pPr>
      <w:r>
        <w:rPr>
          <w:spacing w:val="-4"/>
        </w:rPr>
        <w:t>（</w:t>
      </w:r>
      <w:r>
        <w:rPr>
          <w:rFonts w:ascii="Times New Roman" w:hAnsi="Times New Roman" w:cs="Times New Roman" w:eastAsia="Times New Roman" w:hint="default"/>
          <w:spacing w:val="-4"/>
        </w:rPr>
        <w:t>4</w:t>
      </w:r>
      <w:r>
        <w:rPr>
          <w:spacing w:val="-4"/>
        </w:rPr>
        <w:t>）所得税费用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年度为</w:t>
      </w:r>
      <w:r>
        <w:rPr>
          <w:spacing w:val="-58"/>
        </w:rPr>
        <w:t> </w:t>
      </w:r>
      <w:r>
        <w:rPr>
          <w:rFonts w:ascii="Times New Roman" w:hAnsi="Times New Roman" w:cs="Times New Roman" w:eastAsia="Times New Roman" w:hint="default"/>
        </w:rPr>
        <w:t>7,289,276.15</w:t>
      </w:r>
      <w:r>
        <w:rPr>
          <w:rFonts w:ascii="Times New Roman" w:hAnsi="Times New Roman" w:cs="Times New Roman" w:eastAsia="Times New Roman" w:hint="default"/>
          <w:spacing w:val="2"/>
        </w:rPr>
        <w:t> </w:t>
      </w:r>
      <w:r>
        <w:rPr>
          <w:spacing w:val="-4"/>
        </w:rPr>
        <w:t>元，比上一年度增长</w:t>
      </w:r>
      <w:r>
        <w:rPr>
          <w:spacing w:val="-58"/>
        </w:rPr>
        <w:t> </w:t>
      </w:r>
      <w:r>
        <w:rPr>
          <w:rFonts w:ascii="Times New Roman" w:hAnsi="Times New Roman" w:cs="Times New Roman" w:eastAsia="Times New Roman" w:hint="default"/>
          <w:spacing w:val="-9"/>
        </w:rPr>
        <w:t>44.47%</w:t>
      </w:r>
      <w:r>
        <w:rPr>
          <w:spacing w:val="-9"/>
        </w:rPr>
        <w:t>，主</w:t>
      </w:r>
      <w:r>
        <w:rPr>
          <w:spacing w:val="-32"/>
        </w:rPr>
        <w:t> </w:t>
      </w:r>
      <w:r>
        <w:rPr/>
        <w:t>要是由于公司报告期内收入增长较快。</w:t>
      </w:r>
    </w:p>
    <w:p>
      <w:pPr>
        <w:pStyle w:val="BodyText"/>
        <w:spacing w:line="240" w:lineRule="auto" w:before="62"/>
        <w:ind w:left="617" w:right="154"/>
        <w:jc w:val="left"/>
      </w:pPr>
      <w:r>
        <w:rPr>
          <w:rFonts w:ascii="Times New Roman" w:hAnsi="Times New Roman" w:cs="Times New Roman" w:eastAsia="Times New Roman" w:hint="default"/>
        </w:rPr>
        <w:t>3</w:t>
      </w:r>
      <w:r>
        <w:rPr/>
        <w:t>、现金流量构成情况分析</w:t>
      </w:r>
    </w:p>
    <w:p>
      <w:pPr>
        <w:spacing w:line="240" w:lineRule="auto" w:before="11"/>
        <w:rPr>
          <w:rFonts w:ascii="宋体" w:hAnsi="宋体" w:cs="宋体" w:eastAsia="宋体" w:hint="default"/>
          <w:sz w:val="9"/>
          <w:szCs w:val="9"/>
        </w:rPr>
      </w:pPr>
    </w:p>
    <w:p>
      <w:pPr>
        <w:pStyle w:val="BodyText"/>
        <w:spacing w:line="240" w:lineRule="auto" w:before="26"/>
        <w:ind w:left="0" w:right="155"/>
        <w:jc w:val="right"/>
      </w:pPr>
      <w:r>
        <w:rPr/>
        <w:t>单位：元</w:t>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018"/>
        <w:gridCol w:w="2412"/>
        <w:gridCol w:w="2268"/>
        <w:gridCol w:w="1678"/>
      </w:tblGrid>
      <w:tr>
        <w:trPr>
          <w:trHeight w:val="499" w:hRule="exact"/>
        </w:trPr>
        <w:tc>
          <w:tcPr>
            <w:tcW w:w="2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73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6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52" w:right="0"/>
              <w:jc w:val="left"/>
              <w:rPr>
                <w:rFonts w:ascii="宋体" w:hAnsi="宋体" w:cs="宋体" w:eastAsia="宋体" w:hint="default"/>
                <w:sz w:val="24"/>
                <w:szCs w:val="24"/>
              </w:rPr>
            </w:pPr>
            <w:r>
              <w:rPr>
                <w:rFonts w:ascii="宋体" w:hAnsi="宋体" w:cs="宋体" w:eastAsia="宋体" w:hint="default"/>
                <w:sz w:val="24"/>
                <w:szCs w:val="24"/>
              </w:rPr>
              <w:t>变动比率</w:t>
            </w:r>
          </w:p>
        </w:tc>
      </w:tr>
      <w:tr>
        <w:trPr>
          <w:trHeight w:val="499" w:hRule="exact"/>
        </w:trPr>
        <w:tc>
          <w:tcPr>
            <w:tcW w:w="8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一、经营活动产生的现金流量</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现金流入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107,516,804.11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97,173,031.61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10.64%</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现金流出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92,753,570.24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51,760,392.15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79.20%</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14,763,233.87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45,412,639.46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-67.49%</w:t>
            </w:r>
          </w:p>
        </w:tc>
      </w:tr>
      <w:tr>
        <w:trPr>
          <w:trHeight w:val="499" w:hRule="exact"/>
        </w:trPr>
        <w:tc>
          <w:tcPr>
            <w:tcW w:w="8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二、投资活动产生的现金流量</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现金流入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1,302.00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6,053.93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-78.49%</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现金流出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32,317,963.29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16,893,516.11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91.30%</w:t>
            </w:r>
            <w:r>
              <w:rPr>
                <w:rFonts w:ascii="Times New Roman"/>
                <w:sz w:val="24"/>
              </w:rPr>
            </w:r>
          </w:p>
        </w:tc>
      </w:tr>
      <w:tr>
        <w:trPr>
          <w:trHeight w:val="497"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-32,316,643.29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-16,987,462.18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90.24%</w:t>
            </w:r>
            <w:r>
              <w:rPr>
                <w:rFonts w:ascii="Times New Roman"/>
                <w:sz w:val="24"/>
              </w:rPr>
            </w:r>
          </w:p>
        </w:tc>
      </w:tr>
      <w:tr>
        <w:trPr>
          <w:trHeight w:val="499" w:hRule="exact"/>
        </w:trPr>
        <w:tc>
          <w:tcPr>
            <w:tcW w:w="8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4"/>
                <w:szCs w:val="24"/>
              </w:rPr>
            </w:pPr>
            <w:r>
              <w:rPr>
                <w:rFonts w:ascii="宋体" w:hAnsi="宋体" w:cs="宋体" w:eastAsia="宋体" w:hint="default"/>
                <w:sz w:val="24"/>
                <w:szCs w:val="24"/>
              </w:rPr>
              <w:t>三、筹资活动产生的现金流量</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4"/>
                <w:szCs w:val="24"/>
              </w:rPr>
            </w:pPr>
            <w:r>
              <w:rPr>
                <w:rFonts w:ascii="宋体" w:hAnsi="宋体" w:cs="宋体" w:eastAsia="宋体" w:hint="default"/>
                <w:sz w:val="24"/>
                <w:szCs w:val="24"/>
              </w:rPr>
              <w:t>现金流入</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712,780,000.00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Times New Roman" w:hAnsi="Times New Roman" w:cs="Times New Roman" w:eastAsia="Times New Roman" w:hint="default"/>
                <w:sz w:val="24"/>
                <w:szCs w:val="24"/>
              </w:rPr>
            </w:pPr>
            <w:r>
              <w:rPr>
                <w:rFonts w:ascii="Times New Roman"/>
                <w:sz w:val="24"/>
              </w:rPr>
              <w:t>10,080,073.02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Times New Roman" w:hAnsi="Times New Roman" w:cs="Times New Roman" w:eastAsia="Times New Roman" w:hint="default"/>
                <w:sz w:val="24"/>
                <w:szCs w:val="24"/>
              </w:rPr>
            </w:pPr>
            <w:r>
              <w:rPr>
                <w:rFonts w:ascii="Times New Roman"/>
                <w:w w:val="95"/>
                <w:sz w:val="24"/>
              </w:rPr>
              <w:t>6,971.18%</w:t>
            </w:r>
            <w:r>
              <w:rPr>
                <w:rFonts w:ascii="Times New Roman"/>
                <w:sz w:val="24"/>
              </w:rPr>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现金流出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16,729,000.00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18,557,997.74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-9.86%</w:t>
            </w:r>
          </w:p>
        </w:tc>
      </w:tr>
      <w:tr>
        <w:trPr>
          <w:trHeight w:val="49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现金净额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696,051,000.00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pacing w:val="-1"/>
                <w:sz w:val="24"/>
              </w:rPr>
              <w:t>-8,477,924.72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8,310.16%</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52" w:lineRule="auto" w:before="26"/>
        <w:ind w:right="0" w:firstLine="480"/>
        <w:jc w:val="left"/>
      </w:pPr>
      <w:r>
        <w:rPr/>
        <w:t>（</w:t>
      </w:r>
      <w:r>
        <w:rPr>
          <w:rFonts w:ascii="Times New Roman" w:hAnsi="Times New Roman" w:cs="Times New Roman" w:eastAsia="Times New Roman" w:hint="default"/>
        </w:rPr>
        <w:t>1</w:t>
      </w:r>
      <w:r>
        <w:rPr/>
        <w:t>）经营活动产生的现金流入和现金流出增加主要是由于公司报告期内业 </w:t>
      </w:r>
      <w:r>
        <w:rPr>
          <w:spacing w:val="-3"/>
        </w:rPr>
        <w:t>务拓展较快，人力资源成本增长较快，而且硬件代购比例有一定增加。现金净额</w:t>
      </w:r>
    </w:p>
    <w:p>
      <w:pPr>
        <w:spacing w:after="0" w:line="352" w:lineRule="auto"/>
        <w:jc w:val="left"/>
        <w:sectPr>
          <w:pgSz w:w="11910" w:h="16840"/>
          <w:pgMar w:header="850" w:footer="979" w:top="1400" w:bottom="1160" w:left="1660" w:right="1640"/>
        </w:sectPr>
      </w:pPr>
    </w:p>
    <w:p>
      <w:pPr>
        <w:pStyle w:val="BodyText"/>
        <w:spacing w:line="240" w:lineRule="auto" w:before="72"/>
        <w:ind w:left="657" w:right="0"/>
        <w:jc w:val="left"/>
      </w:pPr>
      <w:r>
        <w:rPr>
          <w:spacing w:val="-3"/>
        </w:rPr>
        <w:t>下降主要是由于公司年末回款力度不够，应收账款金额较大，但其中部分款项在</w:t>
      </w:r>
    </w:p>
    <w:p>
      <w:pPr>
        <w:pStyle w:val="BodyText"/>
        <w:spacing w:line="240" w:lineRule="auto" w:before="175"/>
        <w:ind w:left="657" w:right="0"/>
        <w:jc w:val="left"/>
      </w:pP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1 </w:t>
      </w:r>
      <w:r>
        <w:rPr/>
        <w:t>月份已经收回。</w:t>
      </w:r>
    </w:p>
    <w:p>
      <w:pPr>
        <w:pStyle w:val="BodyText"/>
        <w:spacing w:line="352" w:lineRule="auto" w:before="155"/>
        <w:ind w:left="657" w:right="669" w:firstLine="480"/>
        <w:jc w:val="left"/>
      </w:pPr>
      <w:r>
        <w:rPr/>
        <w:t>（</w:t>
      </w:r>
      <w:r>
        <w:rPr>
          <w:rFonts w:ascii="Times New Roman" w:hAnsi="Times New Roman" w:cs="Times New Roman" w:eastAsia="Times New Roman" w:hint="default"/>
        </w:rPr>
        <w:t>2</w:t>
      </w:r>
      <w:r>
        <w:rPr/>
        <w:t>）投资活动产生的现金流出增加较快主要是由于公司根据募集资金投资 计划购买办场所以及加大研发投入。</w:t>
      </w:r>
    </w:p>
    <w:p>
      <w:pPr>
        <w:pStyle w:val="BodyText"/>
        <w:spacing w:line="352" w:lineRule="auto" w:before="62"/>
        <w:ind w:left="657" w:right="669" w:firstLine="480"/>
        <w:jc w:val="left"/>
      </w:pPr>
      <w:r>
        <w:rPr/>
        <w:t>（</w:t>
      </w:r>
      <w:r>
        <w:rPr>
          <w:rFonts w:ascii="Times New Roman" w:hAnsi="Times New Roman" w:cs="Times New Roman" w:eastAsia="Times New Roman" w:hint="default"/>
        </w:rPr>
        <w:t>3</w:t>
      </w:r>
      <w:r>
        <w:rPr/>
        <w:t>）筹资活动产生的现金流入和现金净额大幅度增加，主要是由于公司在 报告期内完成首次公开发行股票募集资金获得现金较多。</w:t>
      </w:r>
    </w:p>
    <w:p>
      <w:pPr>
        <w:spacing w:line="240" w:lineRule="auto" w:before="1"/>
        <w:rPr>
          <w:rFonts w:ascii="宋体" w:hAnsi="宋体" w:cs="宋体" w:eastAsia="宋体" w:hint="default"/>
          <w:sz w:val="17"/>
          <w:szCs w:val="17"/>
        </w:rPr>
      </w:pPr>
    </w:p>
    <w:p>
      <w:pPr>
        <w:pStyle w:val="Heading3"/>
        <w:spacing w:line="240" w:lineRule="auto" w:before="0"/>
        <w:ind w:left="1140" w:right="0"/>
        <w:jc w:val="left"/>
        <w:rPr>
          <w:b w:val="0"/>
          <w:bCs w:val="0"/>
        </w:rPr>
      </w:pPr>
      <w:r>
        <w:rPr/>
        <w:t>（四）无形资产和核心技术情况</w:t>
      </w:r>
      <w:r>
        <w:rPr>
          <w:b w:val="0"/>
          <w:bCs w:val="0"/>
        </w:rPr>
      </w:r>
    </w:p>
    <w:p>
      <w:pPr>
        <w:spacing w:line="240" w:lineRule="auto" w:before="12"/>
        <w:rPr>
          <w:rFonts w:ascii="宋体" w:hAnsi="宋体" w:cs="宋体" w:eastAsia="宋体" w:hint="default"/>
          <w:b/>
          <w:bCs/>
          <w:sz w:val="25"/>
          <w:szCs w:val="25"/>
        </w:rPr>
      </w:pPr>
    </w:p>
    <w:p>
      <w:pPr>
        <w:pStyle w:val="BodyText"/>
        <w:spacing w:line="374" w:lineRule="auto"/>
        <w:ind w:left="657" w:right="648" w:firstLine="480"/>
        <w:jc w:val="left"/>
      </w:pPr>
      <w:r>
        <w:rPr>
          <w:spacing w:val="-3"/>
        </w:rPr>
        <w:t>公司目前拥有无形资产主要是商标、软件著作权，其中只有部分软件著作权</w:t>
      </w:r>
      <w:r>
        <w:rPr/>
        <w:t> 有账面价值。截至报告期末，公司的无形资产价值为</w:t>
      </w:r>
      <w:r>
        <w:rPr>
          <w:spacing w:val="-60"/>
        </w:rPr>
        <w:t> </w:t>
      </w:r>
      <w:r>
        <w:rPr>
          <w:rFonts w:ascii="Times New Roman" w:hAnsi="Times New Roman" w:cs="Times New Roman" w:eastAsia="Times New Roman" w:hint="default"/>
        </w:rPr>
        <w:t>1,057,500.00 </w:t>
      </w:r>
      <w:r>
        <w:rPr/>
        <w:t>元。</w:t>
      </w:r>
    </w:p>
    <w:p>
      <w:pPr>
        <w:pStyle w:val="BodyText"/>
        <w:spacing w:line="240" w:lineRule="auto" w:before="8"/>
        <w:ind w:left="1137" w:right="0"/>
        <w:jc w:val="left"/>
      </w:pPr>
      <w:r>
        <w:rPr>
          <w:rFonts w:ascii="Times New Roman" w:hAnsi="Times New Roman" w:cs="Times New Roman" w:eastAsia="Times New Roman" w:hint="default"/>
        </w:rPr>
        <w:t>1</w:t>
      </w:r>
      <w:r>
        <w:rPr/>
        <w:t>、商标</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42"/>
        <w:gridCol w:w="1169"/>
        <w:gridCol w:w="3305"/>
        <w:gridCol w:w="1212"/>
        <w:gridCol w:w="1476"/>
        <w:gridCol w:w="1476"/>
      </w:tblGrid>
      <w:tr>
        <w:trPr>
          <w:trHeight w:val="992" w:hRule="exact"/>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169"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申请号</w:t>
            </w:r>
          </w:p>
        </w:tc>
        <w:tc>
          <w:tcPr>
            <w:tcW w:w="3305"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
              <w:ind w:right="0"/>
              <w:jc w:val="left"/>
              <w:rPr>
                <w:rFonts w:ascii="宋体" w:hAnsi="宋体" w:cs="宋体" w:eastAsia="宋体" w:hint="default"/>
                <w:sz w:val="22"/>
                <w:szCs w:val="22"/>
              </w:rPr>
            </w:pPr>
          </w:p>
          <w:p>
            <w:pPr>
              <w:pStyle w:val="TableParagraph"/>
              <w:tabs>
                <w:tab w:pos="479"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商</w:t>
              <w:tab/>
              <w:t>标</w:t>
            </w:r>
          </w:p>
        </w:tc>
        <w:tc>
          <w:tcPr>
            <w:tcW w:w="1212"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372" w:lineRule="auto" w:before="52"/>
              <w:ind w:left="357" w:right="359"/>
              <w:jc w:val="left"/>
              <w:rPr>
                <w:rFonts w:ascii="宋体" w:hAnsi="宋体" w:cs="宋体" w:eastAsia="宋体" w:hint="default"/>
                <w:sz w:val="24"/>
                <w:szCs w:val="24"/>
              </w:rPr>
            </w:pPr>
            <w:r>
              <w:rPr>
                <w:rFonts w:ascii="宋体" w:hAnsi="宋体" w:cs="宋体" w:eastAsia="宋体" w:hint="default"/>
                <w:sz w:val="24"/>
                <w:szCs w:val="24"/>
              </w:rPr>
              <w:t>注册 类别</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申请日期</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受理日期</w:t>
            </w:r>
          </w:p>
        </w:tc>
      </w:tr>
      <w:tr>
        <w:trPr>
          <w:trHeight w:val="667"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1</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6674144</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
                <w:szCs w:val="2"/>
              </w:rPr>
            </w:pPr>
          </w:p>
          <w:p>
            <w:pPr>
              <w:pStyle w:val="TableParagraph"/>
              <w:spacing w:line="585" w:lineRule="exact"/>
              <w:ind w:left="1320"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406973" cy="372046"/>
                  <wp:effectExtent l="0" t="0" r="0" b="0"/>
                  <wp:docPr id="3" name="image3.png" descr="1.jpg"/>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06973" cy="372046"/>
                          </a:xfrm>
                          <a:prstGeom prst="rect">
                            <a:avLst/>
                          </a:prstGeom>
                        </pic:spPr>
                      </pic:pic>
                    </a:graphicData>
                  </a:graphic>
                </wp:inline>
              </w:drawing>
            </w:r>
            <w:r>
              <w:rPr>
                <w:rFonts w:ascii="宋体" w:hAnsi="宋体" w:cs="宋体" w:eastAsia="宋体" w:hint="default"/>
                <w:position w:val="-11"/>
                <w:sz w:val="20"/>
                <w:szCs w:val="20"/>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42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left="242" w:right="0"/>
              <w:jc w:val="left"/>
              <w:rPr>
                <w:rFonts w:ascii="Times New Roman" w:hAnsi="Times New Roman" w:cs="Times New Roman" w:eastAsia="Times New Roman" w:hint="default"/>
                <w:sz w:val="24"/>
                <w:szCs w:val="24"/>
              </w:rPr>
            </w:pPr>
            <w:r>
              <w:rPr>
                <w:rFonts w:ascii="Times New Roman"/>
                <w:sz w:val="24"/>
              </w:rPr>
              <w:t>2008/4/21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left="242" w:right="0"/>
              <w:jc w:val="left"/>
              <w:rPr>
                <w:rFonts w:ascii="Times New Roman" w:hAnsi="Times New Roman" w:cs="Times New Roman" w:eastAsia="Times New Roman" w:hint="default"/>
                <w:sz w:val="24"/>
                <w:szCs w:val="24"/>
              </w:rPr>
            </w:pPr>
            <w:r>
              <w:rPr>
                <w:rFonts w:ascii="Times New Roman"/>
                <w:sz w:val="24"/>
              </w:rPr>
              <w:t>2008/5/12</w:t>
            </w:r>
          </w:p>
        </w:tc>
      </w:tr>
      <w:tr>
        <w:trPr>
          <w:trHeight w:val="667" w:hRule="exact"/>
        </w:trPr>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2</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7573180</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415" w:lineRule="exact"/>
              <w:ind w:left="34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641861" cy="264033"/>
                  <wp:effectExtent l="0" t="0" r="0" b="0"/>
                  <wp:docPr id="5" name="image4.jpeg" descr="公司logo"/>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1641861" cy="264033"/>
                          </a:xfrm>
                          <a:prstGeom prst="rect">
                            <a:avLst/>
                          </a:prstGeom>
                        </pic:spPr>
                      </pic:pic>
                    </a:graphicData>
                  </a:graphic>
                </wp:inline>
              </w:drawing>
            </w:r>
            <w:r>
              <w:rPr>
                <w:rFonts w:ascii="宋体" w:hAnsi="宋体" w:cs="宋体" w:eastAsia="宋体" w:hint="default"/>
                <w:position w:val="-7"/>
                <w:sz w:val="20"/>
                <w:szCs w:val="20"/>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right="0"/>
              <w:jc w:val="center"/>
              <w:rPr>
                <w:rFonts w:ascii="Times New Roman" w:hAnsi="Times New Roman" w:cs="Times New Roman" w:eastAsia="Times New Roman" w:hint="default"/>
                <w:sz w:val="24"/>
                <w:szCs w:val="24"/>
              </w:rPr>
            </w:pPr>
            <w:r>
              <w:rPr>
                <w:rFonts w:ascii="Times New Roman"/>
                <w:sz w:val="24"/>
              </w:rPr>
              <w:t>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left="242" w:right="0"/>
              <w:jc w:val="left"/>
              <w:rPr>
                <w:rFonts w:ascii="Times New Roman" w:hAnsi="Times New Roman" w:cs="Times New Roman" w:eastAsia="Times New Roman" w:hint="default"/>
                <w:sz w:val="24"/>
                <w:szCs w:val="24"/>
              </w:rPr>
            </w:pPr>
            <w:r>
              <w:rPr>
                <w:rFonts w:ascii="Times New Roman"/>
                <w:sz w:val="24"/>
              </w:rPr>
              <w:t>2009/7/27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6"/>
              <w:ind w:left="302" w:right="0"/>
              <w:jc w:val="left"/>
              <w:rPr>
                <w:rFonts w:ascii="Times New Roman" w:hAnsi="Times New Roman" w:cs="Times New Roman" w:eastAsia="Times New Roman" w:hint="default"/>
                <w:sz w:val="24"/>
                <w:szCs w:val="24"/>
              </w:rPr>
            </w:pPr>
            <w:r>
              <w:rPr>
                <w:rFonts w:ascii="Times New Roman"/>
                <w:sz w:val="24"/>
              </w:rPr>
              <w:t>2009/8/4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26"/>
        <w:ind w:left="1137" w:right="0"/>
        <w:jc w:val="left"/>
      </w:pPr>
      <w:r>
        <w:rPr>
          <w:rFonts w:ascii="Times New Roman" w:hAnsi="Times New Roman" w:cs="Times New Roman" w:eastAsia="Times New Roman" w:hint="default"/>
        </w:rPr>
        <w:t>2</w:t>
      </w:r>
      <w:r>
        <w:rPr/>
        <w:t>、软件著作权</w:t>
      </w:r>
    </w:p>
    <w:p>
      <w:pPr>
        <w:pStyle w:val="BodyText"/>
        <w:spacing w:line="240" w:lineRule="auto" w:before="157"/>
        <w:ind w:left="1137" w:right="0"/>
        <w:jc w:val="left"/>
      </w:pPr>
      <w:r>
        <w:rPr/>
        <w:t>报告期内，公司新增软件著作权</w:t>
      </w:r>
      <w:r>
        <w:rPr>
          <w:spacing w:val="-60"/>
        </w:rPr>
        <w:t> </w:t>
      </w:r>
      <w:r>
        <w:rPr>
          <w:rFonts w:ascii="Times New Roman" w:hAnsi="Times New Roman" w:cs="Times New Roman" w:eastAsia="Times New Roman" w:hint="default"/>
        </w:rPr>
        <w:t>7 </w:t>
      </w:r>
      <w:r>
        <w:rPr/>
        <w:t>项。截至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日，公司共拥</w:t>
      </w:r>
    </w:p>
    <w:p>
      <w:pPr>
        <w:pStyle w:val="BodyText"/>
        <w:spacing w:line="240" w:lineRule="auto" w:before="155"/>
        <w:ind w:left="657" w:right="0"/>
        <w:jc w:val="left"/>
      </w:pPr>
      <w:r>
        <w:rPr/>
        <w:t>有软件著作权</w:t>
      </w:r>
      <w:r>
        <w:rPr>
          <w:spacing w:val="-60"/>
        </w:rPr>
        <w:t> </w:t>
      </w:r>
      <w:r>
        <w:rPr>
          <w:rFonts w:ascii="Times New Roman" w:hAnsi="Times New Roman" w:cs="Times New Roman" w:eastAsia="Times New Roman" w:hint="default"/>
        </w:rPr>
        <w:t>18 </w:t>
      </w:r>
      <w:r>
        <w:rPr/>
        <w:t>项（其中</w:t>
      </w:r>
      <w:r>
        <w:rPr>
          <w:spacing w:val="-60"/>
        </w:rPr>
        <w:t> </w:t>
      </w:r>
      <w:r>
        <w:rPr>
          <w:rFonts w:ascii="Times New Roman" w:hAnsi="Times New Roman" w:cs="Times New Roman" w:eastAsia="Times New Roman" w:hint="default"/>
        </w:rPr>
        <w:t>1 </w:t>
      </w:r>
      <w:r>
        <w:rPr/>
        <w:t>项为公司与他人共同拥有），具体情况如下：</w:t>
      </w:r>
    </w:p>
    <w:p>
      <w:pPr>
        <w:spacing w:line="240" w:lineRule="auto" w:before="2"/>
        <w:rPr>
          <w:rFonts w:ascii="宋体" w:hAnsi="宋体" w:cs="宋体" w:eastAsia="宋体" w:hint="default"/>
          <w:sz w:val="8"/>
          <w:szCs w:val="8"/>
        </w:rPr>
      </w:pPr>
    </w:p>
    <w:tbl>
      <w:tblPr>
        <w:tblW w:w="0" w:type="auto"/>
        <w:jc w:val="left"/>
        <w:tblInd w:w="333" w:type="dxa"/>
        <w:tblLayout w:type="fixed"/>
        <w:tblCellMar>
          <w:top w:w="0" w:type="dxa"/>
          <w:left w:w="0" w:type="dxa"/>
          <w:bottom w:w="0" w:type="dxa"/>
          <w:right w:w="0" w:type="dxa"/>
        </w:tblCellMar>
        <w:tblLook w:val="01E0"/>
      </w:tblPr>
      <w:tblGrid>
        <w:gridCol w:w="859"/>
        <w:gridCol w:w="4037"/>
        <w:gridCol w:w="1543"/>
        <w:gridCol w:w="1536"/>
        <w:gridCol w:w="970"/>
      </w:tblGrid>
      <w:tr>
        <w:trPr>
          <w:trHeight w:val="619" w:hRule="exact"/>
        </w:trPr>
        <w:tc>
          <w:tcPr>
            <w:tcW w:w="859"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108"/>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4037"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108"/>
              <w:ind w:right="0"/>
              <w:jc w:val="center"/>
              <w:rPr>
                <w:rFonts w:ascii="宋体" w:hAnsi="宋体" w:cs="宋体" w:eastAsia="宋体" w:hint="default"/>
                <w:sz w:val="24"/>
                <w:szCs w:val="24"/>
              </w:rPr>
            </w:pPr>
            <w:r>
              <w:rPr>
                <w:rFonts w:ascii="宋体" w:hAnsi="宋体" w:cs="宋体" w:eastAsia="宋体" w:hint="default"/>
                <w:sz w:val="24"/>
                <w:szCs w:val="24"/>
              </w:rPr>
              <w:t>著作权名称</w:t>
            </w:r>
          </w:p>
        </w:tc>
        <w:tc>
          <w:tcPr>
            <w:tcW w:w="1543"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108"/>
              <w:ind w:left="163" w:right="0"/>
              <w:jc w:val="left"/>
              <w:rPr>
                <w:rFonts w:ascii="宋体" w:hAnsi="宋体" w:cs="宋体" w:eastAsia="宋体" w:hint="default"/>
                <w:sz w:val="24"/>
                <w:szCs w:val="24"/>
              </w:rPr>
            </w:pPr>
            <w:r>
              <w:rPr>
                <w:rFonts w:ascii="宋体" w:hAnsi="宋体" w:cs="宋体" w:eastAsia="宋体" w:hint="default"/>
                <w:sz w:val="24"/>
                <w:szCs w:val="24"/>
              </w:rPr>
              <w:t>著作权编号</w:t>
            </w:r>
          </w:p>
        </w:tc>
        <w:tc>
          <w:tcPr>
            <w:tcW w:w="153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108"/>
              <w:ind w:right="0"/>
              <w:jc w:val="center"/>
              <w:rPr>
                <w:rFonts w:ascii="宋体" w:hAnsi="宋体" w:cs="宋体" w:eastAsia="宋体" w:hint="default"/>
                <w:sz w:val="24"/>
                <w:szCs w:val="24"/>
              </w:rPr>
            </w:pPr>
            <w:r>
              <w:rPr>
                <w:rFonts w:ascii="宋体" w:hAnsi="宋体" w:cs="宋体" w:eastAsia="宋体" w:hint="default"/>
                <w:sz w:val="24"/>
                <w:szCs w:val="24"/>
              </w:rPr>
              <w:t>发表日期</w:t>
            </w:r>
          </w:p>
        </w:tc>
        <w:tc>
          <w:tcPr>
            <w:tcW w:w="970"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108"/>
              <w:ind w:right="0"/>
              <w:jc w:val="center"/>
              <w:rPr>
                <w:rFonts w:ascii="宋体" w:hAnsi="宋体" w:cs="宋体" w:eastAsia="宋体" w:hint="default"/>
                <w:sz w:val="24"/>
                <w:szCs w:val="24"/>
              </w:rPr>
            </w:pPr>
            <w:r>
              <w:rPr>
                <w:rFonts w:ascii="宋体" w:hAnsi="宋体" w:cs="宋体" w:eastAsia="宋体" w:hint="default"/>
                <w:sz w:val="24"/>
                <w:szCs w:val="24"/>
              </w:rPr>
              <w:t>权利人</w:t>
            </w:r>
          </w:p>
        </w:tc>
      </w:tr>
      <w:tr>
        <w:trPr>
          <w:trHeight w:val="99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1"/>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电子政务管理信息系统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简称：政务关</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联</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eGova05]V1.0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010311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2002-07-03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2</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3"/>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国土资源管理信息系统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简称：国土关</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联</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eLand05]V1.0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010310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2002-08-12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3</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1"/>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城市市政监管信息系统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简称：市政关</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联</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emuni05]</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039143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2004-09-28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50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4</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24"/>
                <w:szCs w:val="24"/>
              </w:rPr>
            </w:pPr>
            <w:r>
              <w:rPr>
                <w:rFonts w:ascii="宋体" w:hAnsi="宋体" w:cs="宋体" w:eastAsia="宋体" w:hint="default"/>
                <w:sz w:val="24"/>
                <w:szCs w:val="24"/>
              </w:rPr>
              <w:t>数字化城市管理信息系统</w:t>
            </w:r>
            <w:r>
              <w:rPr>
                <w:rFonts w:ascii="Times New Roman" w:hAnsi="Times New Roman" w:cs="Times New Roman" w:eastAsia="Times New Roman" w:hint="default"/>
                <w:spacing w:val="1"/>
                <w:sz w:val="24"/>
                <w:szCs w:val="24"/>
              </w:rPr>
              <w:t>[</w:t>
            </w:r>
            <w:r>
              <w:rPr>
                <w:rFonts w:ascii="宋体" w:hAnsi="宋体" w:cs="宋体" w:eastAsia="宋体" w:hint="default"/>
                <w:sz w:val="24"/>
                <w:szCs w:val="24"/>
              </w:rPr>
              <w:t>简称</w:t>
            </w:r>
            <w:r>
              <w:rPr>
                <w:rFonts w:ascii="宋体" w:hAnsi="宋体" w:cs="宋体" w:eastAsia="宋体" w:hint="default"/>
                <w:spacing w:val="-99"/>
                <w:sz w:val="24"/>
                <w:szCs w:val="24"/>
              </w:rPr>
              <w:t>：</w:t>
            </w:r>
            <w:r>
              <w:rPr>
                <w:rFonts w:ascii="宋体" w:hAnsi="宋体" w:cs="宋体" w:eastAsia="宋体" w:hint="default"/>
                <w:sz w:val="24"/>
                <w:szCs w:val="24"/>
              </w:rPr>
              <w:t>数字</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Times New Roman" w:hAnsi="Times New Roman" w:cs="Times New Roman" w:eastAsia="Times New Roman" w:hint="default"/>
                <w:sz w:val="24"/>
                <w:szCs w:val="24"/>
              </w:rPr>
            </w:pPr>
            <w:r>
              <w:rPr>
                <w:rFonts w:ascii="Times New Roman"/>
                <w:sz w:val="24"/>
              </w:rPr>
              <w:t>2006-03-31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公司</w:t>
            </w:r>
          </w:p>
        </w:tc>
      </w:tr>
    </w:tbl>
    <w:p>
      <w:pPr>
        <w:spacing w:after="0" w:line="240" w:lineRule="auto"/>
        <w:jc w:val="center"/>
        <w:rPr>
          <w:rFonts w:ascii="宋体" w:hAnsi="宋体" w:cs="宋体" w:eastAsia="宋体" w:hint="default"/>
          <w:sz w:val="24"/>
          <w:szCs w:val="24"/>
        </w:rPr>
        <w:sectPr>
          <w:pgSz w:w="11910" w:h="16840"/>
          <w:pgMar w:header="850" w:footer="979" w:top="1400" w:bottom="1160" w:left="1140" w:right="1140"/>
        </w:sectPr>
      </w:pPr>
    </w:p>
    <w:tbl>
      <w:tblPr>
        <w:tblW w:w="0" w:type="auto"/>
        <w:jc w:val="left"/>
        <w:tblInd w:w="113" w:type="dxa"/>
        <w:tblLayout w:type="fixed"/>
        <w:tblCellMar>
          <w:top w:w="0" w:type="dxa"/>
          <w:left w:w="0" w:type="dxa"/>
          <w:bottom w:w="0" w:type="dxa"/>
          <w:right w:w="0" w:type="dxa"/>
        </w:tblCellMar>
        <w:tblLook w:val="01E0"/>
      </w:tblPr>
      <w:tblGrid>
        <w:gridCol w:w="859"/>
        <w:gridCol w:w="4037"/>
        <w:gridCol w:w="1543"/>
        <w:gridCol w:w="1536"/>
        <w:gridCol w:w="970"/>
      </w:tblGrid>
      <w:tr>
        <w:trPr>
          <w:trHeight w:val="504" w:hRule="exact"/>
        </w:trPr>
        <w:tc>
          <w:tcPr>
            <w:tcW w:w="859" w:type="dxa"/>
            <w:tcBorders>
              <w:top w:val="single" w:sz="6" w:space="0" w:color="000000"/>
              <w:left w:val="single" w:sz="6" w:space="0" w:color="000000"/>
              <w:bottom w:val="single" w:sz="6" w:space="0" w:color="000000"/>
              <w:right w:val="single" w:sz="6" w:space="0" w:color="000000"/>
            </w:tcBorders>
          </w:tcPr>
          <w:p>
            <w:pP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城管</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eurban06]V1.0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054647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60"/>
              <w:jc w:val="right"/>
              <w:rPr>
                <w:rFonts w:ascii="Times New Roman" w:hAnsi="Times New Roman" w:cs="Times New Roman" w:eastAsia="Times New Roman" w:hint="default"/>
                <w:sz w:val="24"/>
                <w:szCs w:val="24"/>
              </w:rPr>
            </w:pPr>
            <w:r>
              <w:rPr>
                <w:rFonts w:ascii="Times New Roman"/>
                <w:sz w:val="24"/>
              </w:rPr>
              <w:t>5</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1"/>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数字城管无线数据采集系统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管通</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cumi2008]</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072719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2006-06-15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60"/>
              <w:jc w:val="right"/>
              <w:rPr>
                <w:rFonts w:ascii="Times New Roman" w:hAnsi="Times New Roman" w:cs="Times New Roman" w:eastAsia="Times New Roman" w:hint="default"/>
                <w:sz w:val="24"/>
                <w:szCs w:val="24"/>
              </w:rPr>
            </w:pPr>
            <w:r>
              <w:rPr>
                <w:rFonts w:ascii="Times New Roman"/>
                <w:sz w:val="24"/>
              </w:rPr>
              <w:t>6</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1"/>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数字化社区管理信息系统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简称：数字</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社区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ecommu2008]</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108666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2007-12-20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60"/>
              <w:jc w:val="right"/>
              <w:rPr>
                <w:rFonts w:ascii="Times New Roman" w:hAnsi="Times New Roman" w:cs="Times New Roman" w:eastAsia="Times New Roman" w:hint="default"/>
                <w:sz w:val="24"/>
                <w:szCs w:val="24"/>
              </w:rPr>
            </w:pPr>
            <w:r>
              <w:rPr>
                <w:rFonts w:ascii="Times New Roman"/>
                <w:sz w:val="24"/>
              </w:rPr>
              <w:t>7</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流动人口与出租房屋无线数据采集</w:t>
            </w:r>
          </w:p>
          <w:p>
            <w:pPr>
              <w:pStyle w:val="TableParagraph"/>
              <w:spacing w:line="240" w:lineRule="auto" w:before="173"/>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系统</w:t>
            </w:r>
            <w:r>
              <w:rPr>
                <w:rFonts w:ascii="Times New Roman" w:hAnsi="Times New Roman" w:cs="Times New Roman" w:eastAsia="Times New Roman" w:hint="default"/>
                <w:sz w:val="24"/>
                <w:szCs w:val="24"/>
              </w:rPr>
              <w:t>[</w:t>
            </w:r>
            <w:r>
              <w:rPr>
                <w:rFonts w:ascii="宋体" w:hAnsi="宋体" w:cs="宋体" w:eastAsia="宋体" w:hint="default"/>
                <w:sz w:val="24"/>
                <w:szCs w:val="24"/>
              </w:rPr>
              <w:t>简称：流管通</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flomi2008]</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108667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2008-01-01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60"/>
              <w:jc w:val="right"/>
              <w:rPr>
                <w:rFonts w:ascii="Times New Roman" w:hAnsi="Times New Roman" w:cs="Times New Roman" w:eastAsia="Times New Roman" w:hint="default"/>
                <w:sz w:val="24"/>
                <w:szCs w:val="24"/>
              </w:rPr>
            </w:pPr>
            <w:r>
              <w:rPr>
                <w:rFonts w:ascii="Times New Roman"/>
                <w:sz w:val="24"/>
              </w:rPr>
              <w:t>8</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流动人口与出租房屋管理信息系统</w:t>
            </w:r>
          </w:p>
          <w:p>
            <w:pPr>
              <w:pStyle w:val="TableParagraph"/>
              <w:spacing w:line="240" w:lineRule="auto" w:before="175"/>
              <w:ind w:left="10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简称：流动人口</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eFPM2008]V1.0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108668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2008-01-01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60"/>
              <w:jc w:val="right"/>
              <w:rPr>
                <w:rFonts w:ascii="Times New Roman" w:hAnsi="Times New Roman" w:cs="Times New Roman" w:eastAsia="Times New Roman" w:hint="default"/>
                <w:sz w:val="24"/>
                <w:szCs w:val="24"/>
              </w:rPr>
            </w:pPr>
            <w:r>
              <w:rPr>
                <w:rFonts w:ascii="Times New Roman"/>
                <w:sz w:val="24"/>
              </w:rPr>
              <w:t>9</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政通</w:t>
            </w:r>
            <w:r>
              <w:rPr>
                <w:rFonts w:ascii="宋体" w:hAnsi="宋体" w:cs="宋体" w:eastAsia="宋体" w:hint="default"/>
                <w:sz w:val="24"/>
                <w:szCs w:val="24"/>
              </w:rPr>
              <w:t>”</w:t>
            </w:r>
            <w:r>
              <w:rPr>
                <w:rFonts w:ascii="宋体" w:hAnsi="宋体" w:cs="宋体" w:eastAsia="宋体" w:hint="default"/>
                <w:sz w:val="24"/>
                <w:szCs w:val="24"/>
              </w:rPr>
              <w:t>空间数据发布系统</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eGovaIMS]V1.0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0161967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2009-05-25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10</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1"/>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政通</w:t>
            </w:r>
            <w:r>
              <w:rPr>
                <w:rFonts w:ascii="宋体" w:hAnsi="宋体" w:cs="宋体" w:eastAsia="宋体" w:hint="default"/>
                <w:sz w:val="24"/>
                <w:szCs w:val="24"/>
              </w:rPr>
              <w:t>”</w:t>
            </w:r>
            <w:r>
              <w:rPr>
                <w:rFonts w:ascii="宋体" w:hAnsi="宋体" w:cs="宋体" w:eastAsia="宋体" w:hint="default"/>
                <w:sz w:val="24"/>
                <w:szCs w:val="24"/>
              </w:rPr>
              <w:t>嵌入式地图引擎系统</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eGovaPAD]V1.0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0161965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2007-09-28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11</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91" w:lineRule="auto" w:before="53"/>
              <w:ind w:left="100" w:right="120"/>
              <w:jc w:val="left"/>
              <w:rPr>
                <w:rFonts w:ascii="Times New Roman" w:hAnsi="Times New Roman" w:cs="Times New Roman" w:eastAsia="Times New Roman" w:hint="default"/>
                <w:sz w:val="24"/>
                <w:szCs w:val="24"/>
              </w:rPr>
            </w:pPr>
            <w:r>
              <w:rPr>
                <w:rFonts w:ascii="宋体" w:hAnsi="宋体" w:cs="宋体" w:eastAsia="宋体" w:hint="default"/>
                <w:sz w:val="24"/>
                <w:szCs w:val="24"/>
              </w:rPr>
              <w:t>规划管理信息系统</w:t>
            </w:r>
            <w:r>
              <w:rPr>
                <w:rFonts w:ascii="宋体" w:hAnsi="宋体" w:cs="宋体" w:eastAsia="宋体" w:hint="default"/>
                <w:spacing w:val="-2"/>
                <w:sz w:val="24"/>
                <w:szCs w:val="24"/>
              </w:rPr>
              <w:t> </w:t>
            </w:r>
            <w:r>
              <w:rPr>
                <w:rFonts w:ascii="Times New Roman" w:hAnsi="Times New Roman" w:cs="Times New Roman" w:eastAsia="Times New Roman" w:hint="default"/>
                <w:sz w:val="24"/>
                <w:szCs w:val="24"/>
              </w:rPr>
              <w:t>[</w:t>
            </w:r>
            <w:r>
              <w:rPr>
                <w:rFonts w:ascii="宋体" w:hAnsi="宋体" w:cs="宋体" w:eastAsia="宋体" w:hint="default"/>
                <w:sz w:val="24"/>
                <w:szCs w:val="24"/>
              </w:rPr>
              <w:t>简称：规划关联 </w:t>
            </w:r>
            <w:r>
              <w:rPr>
                <w:rFonts w:ascii="Times New Roman" w:hAnsi="Times New Roman" w:cs="Times New Roman" w:eastAsia="Times New Roman" w:hint="default"/>
                <w:sz w:val="24"/>
                <w:szCs w:val="24"/>
              </w:rPr>
              <w:t>ePlan09]</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0173738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2009-01-15</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12</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352" w:lineRule="auto" w:before="51"/>
              <w:ind w:left="100" w:right="96"/>
              <w:jc w:val="left"/>
              <w:rPr>
                <w:rFonts w:ascii="Times New Roman" w:hAnsi="Times New Roman" w:cs="Times New Roman" w:eastAsia="Times New Roman" w:hint="default"/>
                <w:sz w:val="24"/>
                <w:szCs w:val="24"/>
              </w:rPr>
            </w:pPr>
            <w:r>
              <w:rPr>
                <w:rFonts w:ascii="宋体" w:hAnsi="宋体" w:cs="宋体" w:eastAsia="宋体" w:hint="default"/>
                <w:spacing w:val="-6"/>
                <w:sz w:val="24"/>
                <w:szCs w:val="24"/>
              </w:rPr>
              <w:t>数字执法管理信息系统</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简称：数字执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法</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eLawEnforcement]V1.0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0250022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2009-05-10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13</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移动测量系统数据生产软件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eGovaMMSAuthor]V1.0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0262111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2010-07-01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1"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14</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移动测量系统采集软件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eGovaMMSRecorder]V1.0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0262113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2010-05-16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15</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移动测量系统检校软件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09"/>
              <w:ind w:left="100" w:right="0"/>
              <w:jc w:val="left"/>
              <w:rPr>
                <w:rFonts w:ascii="Times New Roman" w:hAnsi="Times New Roman" w:cs="Times New Roman" w:eastAsia="Times New Roman" w:hint="default"/>
                <w:sz w:val="24"/>
                <w:szCs w:val="24"/>
              </w:rPr>
            </w:pPr>
            <w:r>
              <w:rPr>
                <w:rFonts w:ascii="Times New Roman"/>
                <w:sz w:val="24"/>
              </w:rPr>
              <w:t>eGovaMMSCalib]V1.0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3"/>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0262116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2010-07-01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16</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1"/>
              <w:jc w:val="left"/>
              <w:rPr>
                <w:rFonts w:ascii="宋体" w:hAnsi="宋体" w:cs="宋体" w:eastAsia="宋体" w:hint="default"/>
                <w:sz w:val="24"/>
                <w:szCs w:val="24"/>
              </w:rPr>
            </w:pPr>
            <w:r>
              <w:rPr>
                <w:rFonts w:ascii="宋体" w:hAnsi="宋体" w:cs="宋体" w:eastAsia="宋体" w:hint="default"/>
                <w:sz w:val="24"/>
                <w:szCs w:val="24"/>
              </w:rPr>
              <w:t>实景三维“城管通”应用软件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eGovaMMSPad]V1.0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0261921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2010-06-16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0"/>
              <w:jc w:val="right"/>
              <w:rPr>
                <w:rFonts w:ascii="Times New Roman" w:hAnsi="Times New Roman" w:cs="Times New Roman" w:eastAsia="Times New Roman" w:hint="default"/>
                <w:sz w:val="24"/>
                <w:szCs w:val="24"/>
              </w:rPr>
            </w:pPr>
            <w:r>
              <w:rPr>
                <w:rFonts w:ascii="Times New Roman"/>
                <w:sz w:val="24"/>
              </w:rPr>
              <w:t>17</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实景三维浏览软件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w:t>
            </w:r>
          </w:p>
          <w:p>
            <w:pPr>
              <w:pStyle w:val="TableParagraph"/>
              <w:spacing w:line="240" w:lineRule="auto" w:before="211"/>
              <w:ind w:left="100" w:right="0"/>
              <w:jc w:val="left"/>
              <w:rPr>
                <w:rFonts w:ascii="Times New Roman" w:hAnsi="Times New Roman" w:cs="Times New Roman" w:eastAsia="Times New Roman" w:hint="default"/>
                <w:sz w:val="24"/>
                <w:szCs w:val="24"/>
              </w:rPr>
            </w:pPr>
            <w:r>
              <w:rPr>
                <w:rFonts w:ascii="Times New Roman"/>
                <w:sz w:val="24"/>
              </w:rPr>
              <w:t>eGovaMMSViewer]V1.0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p>
            <w:pPr>
              <w:pStyle w:val="TableParagraph"/>
              <w:spacing w:line="240" w:lineRule="auto" w:before="175"/>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0261923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3"/>
              <w:jc w:val="right"/>
              <w:rPr>
                <w:rFonts w:ascii="Times New Roman" w:hAnsi="Times New Roman" w:cs="Times New Roman" w:eastAsia="Times New Roman" w:hint="default"/>
                <w:sz w:val="24"/>
                <w:szCs w:val="24"/>
              </w:rPr>
            </w:pPr>
            <w:r>
              <w:rPr>
                <w:rFonts w:ascii="Times New Roman"/>
                <w:spacing w:val="-1"/>
                <w:sz w:val="24"/>
              </w:rPr>
              <w:t>2010-05-16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504"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00"/>
              <w:jc w:val="right"/>
              <w:rPr>
                <w:rFonts w:ascii="Times New Roman" w:hAnsi="Times New Roman" w:cs="Times New Roman" w:eastAsia="Times New Roman" w:hint="default"/>
                <w:sz w:val="24"/>
                <w:szCs w:val="24"/>
              </w:rPr>
            </w:pPr>
            <w:r>
              <w:rPr>
                <w:rFonts w:ascii="Times New Roman"/>
                <w:sz w:val="24"/>
              </w:rPr>
              <w:t>18</w:t>
            </w: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乡村生态旅游数字导引系统“乡游</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宋体" w:hAnsi="宋体" w:cs="宋体" w:eastAsia="宋体" w:hint="default"/>
                <w:sz w:val="24"/>
                <w:szCs w:val="24"/>
              </w:rPr>
              <w:t>软著登字第</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03"/>
              <w:jc w:val="right"/>
              <w:rPr>
                <w:rFonts w:ascii="Times New Roman" w:hAnsi="Times New Roman" w:cs="Times New Roman" w:eastAsia="Times New Roman" w:hint="default"/>
                <w:sz w:val="24"/>
                <w:szCs w:val="24"/>
              </w:rPr>
            </w:pPr>
            <w:r>
              <w:rPr>
                <w:rFonts w:ascii="Times New Roman"/>
                <w:spacing w:val="-1"/>
                <w:sz w:val="24"/>
              </w:rPr>
              <w:t>2010-08-10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公司、</w:t>
            </w:r>
          </w:p>
        </w:tc>
      </w:tr>
    </w:tbl>
    <w:p>
      <w:pPr>
        <w:spacing w:after="0" w:line="240" w:lineRule="auto"/>
        <w:jc w:val="center"/>
        <w:rPr>
          <w:rFonts w:ascii="宋体" w:hAnsi="宋体" w:cs="宋体" w:eastAsia="宋体" w:hint="default"/>
          <w:sz w:val="24"/>
          <w:szCs w:val="24"/>
        </w:rPr>
        <w:sectPr>
          <w:pgSz w:w="11910" w:h="16840"/>
          <w:pgMar w:header="850" w:footer="979" w:top="1440" w:bottom="1160" w:left="1360" w:right="1360"/>
        </w:sectPr>
      </w:pPr>
    </w:p>
    <w:tbl>
      <w:tblPr>
        <w:tblW w:w="0" w:type="auto"/>
        <w:jc w:val="left"/>
        <w:tblInd w:w="113" w:type="dxa"/>
        <w:tblLayout w:type="fixed"/>
        <w:tblCellMar>
          <w:top w:w="0" w:type="dxa"/>
          <w:left w:w="0" w:type="dxa"/>
          <w:bottom w:w="0" w:type="dxa"/>
          <w:right w:w="0" w:type="dxa"/>
        </w:tblCellMar>
        <w:tblLook w:val="01E0"/>
      </w:tblPr>
      <w:tblGrid>
        <w:gridCol w:w="859"/>
        <w:gridCol w:w="4037"/>
        <w:gridCol w:w="1543"/>
        <w:gridCol w:w="1536"/>
        <w:gridCol w:w="970"/>
      </w:tblGrid>
      <w:tr>
        <w:trPr>
          <w:trHeight w:val="1483" w:hRule="exact"/>
        </w:trPr>
        <w:tc>
          <w:tcPr>
            <w:tcW w:w="859" w:type="dxa"/>
            <w:tcBorders>
              <w:top w:val="single" w:sz="6" w:space="0" w:color="000000"/>
              <w:left w:val="single" w:sz="6" w:space="0" w:color="000000"/>
              <w:bottom w:val="single" w:sz="6" w:space="0" w:color="000000"/>
              <w:right w:val="single" w:sz="6" w:space="0" w:color="000000"/>
            </w:tcBorders>
          </w:tcPr>
          <w:p>
            <w:pPr/>
          </w:p>
        </w:tc>
        <w:tc>
          <w:tcPr>
            <w:tcW w:w="4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通”软件</w:t>
            </w:r>
            <w:r>
              <w:rPr>
                <w:rFonts w:ascii="Times New Roman" w:hAnsi="Times New Roman" w:cs="Times New Roman" w:eastAsia="Times New Roman" w:hint="default"/>
                <w:sz w:val="24"/>
                <w:szCs w:val="24"/>
              </w:rPr>
              <w:t>[</w:t>
            </w:r>
            <w:r>
              <w:rPr>
                <w:rFonts w:ascii="宋体" w:hAnsi="宋体" w:cs="宋体" w:eastAsia="宋体" w:hint="default"/>
                <w:sz w:val="24"/>
                <w:szCs w:val="24"/>
              </w:rPr>
              <w:t>简称：乡游通</w:t>
            </w:r>
            <w:r>
              <w:rPr>
                <w:rFonts w:ascii="Times New Roman" w:hAnsi="Times New Roman" w:cs="Times New Roman" w:eastAsia="Times New Roman" w:hint="default"/>
                <w:sz w:val="24"/>
                <w:szCs w:val="24"/>
              </w:rPr>
              <w:t>]V1.0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0260369 </w:t>
            </w:r>
            <w:r>
              <w:rPr>
                <w:rFonts w:ascii="宋体" w:hAnsi="宋体" w:cs="宋体" w:eastAsia="宋体" w:hint="default"/>
                <w:sz w:val="24"/>
                <w:szCs w:val="24"/>
              </w:rPr>
              <w:t>号</w:t>
            </w:r>
          </w:p>
        </w:tc>
        <w:tc>
          <w:tcPr>
            <w:tcW w:w="1536" w:type="dxa"/>
            <w:tcBorders>
              <w:top w:val="single" w:sz="6" w:space="0" w:color="000000"/>
              <w:left w:val="single" w:sz="6" w:space="0" w:color="000000"/>
              <w:bottom w:val="single" w:sz="6" w:space="0" w:color="000000"/>
              <w:right w:val="single" w:sz="6" w:space="0" w:color="000000"/>
            </w:tcBorders>
          </w:tcPr>
          <w:p>
            <w:pP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374" w:lineRule="auto" w:before="51"/>
              <w:ind w:left="117" w:right="115"/>
              <w:jc w:val="both"/>
              <w:rPr>
                <w:rFonts w:ascii="宋体" w:hAnsi="宋体" w:cs="宋体" w:eastAsia="宋体" w:hint="default"/>
                <w:sz w:val="24"/>
                <w:szCs w:val="24"/>
              </w:rPr>
            </w:pPr>
            <w:r>
              <w:rPr>
                <w:rFonts w:ascii="宋体" w:hAnsi="宋体" w:cs="宋体" w:eastAsia="宋体" w:hint="default"/>
                <w:sz w:val="24"/>
                <w:szCs w:val="24"/>
              </w:rPr>
              <w:t>中国建 筑设计 研究院</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917" w:right="449"/>
        <w:jc w:val="left"/>
      </w:pPr>
      <w:r>
        <w:rPr>
          <w:rFonts w:ascii="Times New Roman" w:hAnsi="Times New Roman" w:cs="Times New Roman" w:eastAsia="Times New Roman" w:hint="default"/>
        </w:rPr>
        <w:t>3</w:t>
      </w:r>
      <w:r>
        <w:rPr/>
        <w:t>、软件产品证书</w:t>
      </w:r>
    </w:p>
    <w:p>
      <w:pPr>
        <w:spacing w:line="240" w:lineRule="auto" w:before="2"/>
        <w:rPr>
          <w:rFonts w:ascii="宋体" w:hAnsi="宋体" w:cs="宋体" w:eastAsia="宋体" w:hint="default"/>
          <w:sz w:val="8"/>
          <w:szCs w:val="8"/>
        </w:rPr>
      </w:pPr>
    </w:p>
    <w:tbl>
      <w:tblPr>
        <w:tblW w:w="0" w:type="auto"/>
        <w:jc w:val="left"/>
        <w:tblInd w:w="231" w:type="dxa"/>
        <w:tblLayout w:type="fixed"/>
        <w:tblCellMar>
          <w:top w:w="0" w:type="dxa"/>
          <w:left w:w="0" w:type="dxa"/>
          <w:bottom w:w="0" w:type="dxa"/>
          <w:right w:w="0" w:type="dxa"/>
        </w:tblCellMar>
        <w:tblLook w:val="01E0"/>
      </w:tblPr>
      <w:tblGrid>
        <w:gridCol w:w="878"/>
        <w:gridCol w:w="2981"/>
        <w:gridCol w:w="2256"/>
        <w:gridCol w:w="1476"/>
        <w:gridCol w:w="1121"/>
      </w:tblGrid>
      <w:tr>
        <w:trPr>
          <w:trHeight w:val="504" w:hRule="exact"/>
        </w:trPr>
        <w:tc>
          <w:tcPr>
            <w:tcW w:w="878"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序号</w:t>
            </w:r>
          </w:p>
        </w:tc>
        <w:tc>
          <w:tcPr>
            <w:tcW w:w="2981"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51"/>
              <w:ind w:left="760" w:right="0"/>
              <w:jc w:val="left"/>
              <w:rPr>
                <w:rFonts w:ascii="宋体" w:hAnsi="宋体" w:cs="宋体" w:eastAsia="宋体" w:hint="default"/>
                <w:sz w:val="24"/>
                <w:szCs w:val="24"/>
              </w:rPr>
            </w:pPr>
            <w:r>
              <w:rPr>
                <w:rFonts w:ascii="宋体" w:hAnsi="宋体" w:cs="宋体" w:eastAsia="宋体" w:hint="default"/>
                <w:sz w:val="24"/>
                <w:szCs w:val="24"/>
              </w:rPr>
              <w:t>软件产品名称</w:t>
            </w:r>
          </w:p>
        </w:tc>
        <w:tc>
          <w:tcPr>
            <w:tcW w:w="225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79" w:val="left" w:leader="none"/>
              </w:tabs>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编</w:t>
              <w:tab/>
              <w:t>号</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51"/>
              <w:ind w:right="251"/>
              <w:jc w:val="right"/>
              <w:rPr>
                <w:rFonts w:ascii="宋体" w:hAnsi="宋体" w:cs="宋体" w:eastAsia="宋体" w:hint="default"/>
                <w:sz w:val="24"/>
                <w:szCs w:val="24"/>
              </w:rPr>
            </w:pPr>
            <w:r>
              <w:rPr>
                <w:rFonts w:ascii="宋体" w:hAnsi="宋体" w:cs="宋体" w:eastAsia="宋体" w:hint="default"/>
                <w:sz w:val="24"/>
                <w:szCs w:val="24"/>
              </w:rPr>
              <w:t>发表日期</w:t>
            </w:r>
          </w:p>
        </w:tc>
        <w:tc>
          <w:tcPr>
            <w:tcW w:w="1121"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权利人</w:t>
            </w:r>
          </w:p>
        </w:tc>
      </w:tr>
      <w:tr>
        <w:trPr>
          <w:trHeight w:val="99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1</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8" w:right="0"/>
              <w:jc w:val="left"/>
              <w:rPr>
                <w:rFonts w:ascii="宋体" w:hAnsi="宋体" w:cs="宋体" w:eastAsia="宋体" w:hint="default"/>
                <w:sz w:val="24"/>
                <w:szCs w:val="24"/>
              </w:rPr>
            </w:pPr>
            <w:r>
              <w:rPr>
                <w:rFonts w:ascii="宋体" w:hAnsi="宋体" w:cs="宋体" w:eastAsia="宋体" w:hint="default"/>
                <w:sz w:val="24"/>
                <w:szCs w:val="24"/>
              </w:rPr>
              <w:t>数字政通数字化城市管理</w:t>
            </w:r>
          </w:p>
          <w:p>
            <w:pPr>
              <w:pStyle w:val="TableParagraph"/>
              <w:spacing w:line="240" w:lineRule="auto" w:before="175"/>
              <w:ind w:left="9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信息系统软件</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V1.0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京</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DGY-2008-0062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2"/>
              <w:jc w:val="right"/>
              <w:rPr>
                <w:rFonts w:ascii="Times New Roman" w:hAnsi="Times New Roman" w:cs="Times New Roman" w:eastAsia="Times New Roman" w:hint="default"/>
                <w:sz w:val="24"/>
                <w:szCs w:val="24"/>
              </w:rPr>
            </w:pPr>
            <w:r>
              <w:rPr>
                <w:rFonts w:ascii="Times New Roman"/>
                <w:sz w:val="24"/>
              </w:rPr>
              <w:t>2008/2/15</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r>
        <w:trPr>
          <w:trHeight w:val="994" w:hRule="exact"/>
        </w:trPr>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4"/>
                <w:szCs w:val="24"/>
              </w:rPr>
            </w:pPr>
            <w:r>
              <w:rPr>
                <w:rFonts w:ascii="Times New Roman"/>
                <w:sz w:val="24"/>
              </w:rPr>
              <w:t>2</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98" w:right="0"/>
              <w:jc w:val="left"/>
              <w:rPr>
                <w:rFonts w:ascii="宋体" w:hAnsi="宋体" w:cs="宋体" w:eastAsia="宋体" w:hint="default"/>
                <w:sz w:val="24"/>
                <w:szCs w:val="24"/>
              </w:rPr>
            </w:pPr>
            <w:r>
              <w:rPr>
                <w:rFonts w:ascii="宋体" w:hAnsi="宋体" w:cs="宋体" w:eastAsia="宋体" w:hint="default"/>
                <w:sz w:val="24"/>
                <w:szCs w:val="24"/>
              </w:rPr>
              <w:t>数字城管无线数据采集系</w:t>
            </w:r>
          </w:p>
          <w:p>
            <w:pPr>
              <w:pStyle w:val="TableParagraph"/>
              <w:spacing w:line="240" w:lineRule="auto" w:before="175"/>
              <w:ind w:left="98"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统软件</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V1.0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京</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DGY-2009-1462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2"/>
              <w:jc w:val="right"/>
              <w:rPr>
                <w:rFonts w:ascii="Times New Roman" w:hAnsi="Times New Roman" w:cs="Times New Roman" w:eastAsia="Times New Roman" w:hint="default"/>
                <w:sz w:val="24"/>
                <w:szCs w:val="24"/>
              </w:rPr>
            </w:pPr>
            <w:r>
              <w:rPr>
                <w:rFonts w:ascii="Times New Roman"/>
                <w:sz w:val="24"/>
              </w:rPr>
              <w:t>2009/11/6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3"/>
        <w:spacing w:line="240" w:lineRule="auto"/>
        <w:ind w:left="920" w:right="449"/>
        <w:jc w:val="left"/>
        <w:rPr>
          <w:b w:val="0"/>
          <w:bCs w:val="0"/>
        </w:rPr>
      </w:pPr>
      <w:r>
        <w:rPr/>
        <w:t>（五）公司研发情况分析</w:t>
      </w:r>
      <w:r>
        <w:rPr>
          <w:b w:val="0"/>
          <w:bCs w:val="0"/>
        </w:rPr>
      </w:r>
    </w:p>
    <w:p>
      <w:pPr>
        <w:spacing w:line="240" w:lineRule="auto" w:before="9"/>
        <w:rPr>
          <w:rFonts w:ascii="宋体" w:hAnsi="宋体" w:cs="宋体" w:eastAsia="宋体" w:hint="default"/>
          <w:b/>
          <w:bCs/>
          <w:sz w:val="25"/>
          <w:szCs w:val="25"/>
        </w:rPr>
      </w:pPr>
    </w:p>
    <w:p>
      <w:pPr>
        <w:pStyle w:val="BodyText"/>
        <w:spacing w:line="374" w:lineRule="auto"/>
        <w:ind w:left="437" w:right="449" w:firstLine="480"/>
        <w:jc w:val="left"/>
      </w:pPr>
      <w:r>
        <w:rPr/>
        <w:t>公司在</w:t>
      </w:r>
      <w:r>
        <w:rPr>
          <w:spacing w:val="-60"/>
        </w:rPr>
        <w:t> </w:t>
      </w:r>
      <w:r>
        <w:rPr>
          <w:rFonts w:ascii="宋体" w:hAnsi="宋体" w:cs="宋体" w:eastAsia="宋体" w:hint="default"/>
        </w:rPr>
        <w:t>2008</w:t>
      </w:r>
      <w:r>
        <w:rPr/>
        <w:t>、</w:t>
      </w:r>
      <w:r>
        <w:rPr>
          <w:rFonts w:ascii="宋体" w:hAnsi="宋体" w:cs="宋体" w:eastAsia="宋体" w:hint="default"/>
        </w:rPr>
        <w:t>2009</w:t>
      </w:r>
      <w:r>
        <w:rPr/>
        <w:t>、</w:t>
      </w:r>
      <w:r>
        <w:rPr>
          <w:rFonts w:ascii="宋体" w:hAnsi="宋体" w:cs="宋体" w:eastAsia="宋体" w:hint="default"/>
        </w:rPr>
        <w:t>2010</w:t>
      </w:r>
      <w:r>
        <w:rPr>
          <w:rFonts w:ascii="宋体" w:hAnsi="宋体" w:cs="宋体" w:eastAsia="宋体" w:hint="default"/>
          <w:spacing w:val="-60"/>
        </w:rPr>
        <w:t> </w:t>
      </w:r>
      <w:r>
        <w:rPr/>
        <w:t>年度研发支出总额、研发支出资本化情况以及研 发支出占营业收入的比重如下：</w:t>
      </w:r>
    </w:p>
    <w:p>
      <w:pPr>
        <w:pStyle w:val="BodyText"/>
        <w:spacing w:line="240" w:lineRule="auto" w:before="204"/>
        <w:ind w:left="0" w:right="435"/>
        <w:jc w:val="right"/>
      </w:pPr>
      <w:r>
        <w:rPr/>
        <w:t>单位：万元</w:t>
      </w:r>
    </w:p>
    <w:p>
      <w:pPr>
        <w:spacing w:line="240" w:lineRule="auto" w:before="6"/>
        <w:rPr>
          <w:rFonts w:ascii="宋体" w:hAnsi="宋体" w:cs="宋体" w:eastAsia="宋体" w:hint="default"/>
          <w:sz w:val="9"/>
          <w:szCs w:val="9"/>
        </w:rPr>
      </w:pPr>
    </w:p>
    <w:tbl>
      <w:tblPr>
        <w:tblW w:w="0" w:type="auto"/>
        <w:jc w:val="left"/>
        <w:tblInd w:w="351" w:type="dxa"/>
        <w:tblLayout w:type="fixed"/>
        <w:tblCellMar>
          <w:top w:w="0" w:type="dxa"/>
          <w:left w:w="0" w:type="dxa"/>
          <w:bottom w:w="0" w:type="dxa"/>
          <w:right w:w="0" w:type="dxa"/>
        </w:tblCellMar>
        <w:tblLook w:val="01E0"/>
      </w:tblPr>
      <w:tblGrid>
        <w:gridCol w:w="3024"/>
        <w:gridCol w:w="1882"/>
        <w:gridCol w:w="1781"/>
        <w:gridCol w:w="1790"/>
      </w:tblGrid>
      <w:tr>
        <w:trPr>
          <w:trHeight w:val="498" w:hRule="exact"/>
        </w:trPr>
        <w:tc>
          <w:tcPr>
            <w:tcW w:w="30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2"/>
              <w:jc w:val="center"/>
              <w:rPr>
                <w:rFonts w:ascii="宋体" w:hAnsi="宋体" w:cs="宋体" w:eastAsia="宋体" w:hint="default"/>
                <w:sz w:val="24"/>
                <w:szCs w:val="24"/>
              </w:rPr>
            </w:pPr>
            <w:r>
              <w:rPr>
                <w:rFonts w:ascii="宋体" w:hAnsi="宋体" w:cs="宋体" w:eastAsia="宋体" w:hint="default"/>
                <w:sz w:val="24"/>
                <w:szCs w:val="24"/>
              </w:rPr>
              <w:t>项目</w:t>
            </w:r>
          </w:p>
        </w:tc>
        <w:tc>
          <w:tcPr>
            <w:tcW w:w="18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54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17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49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7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49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r>
      <w:tr>
        <w:trPr>
          <w:trHeight w:val="499"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研发支出总额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1,922.08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993.29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24"/>
                <w:szCs w:val="24"/>
              </w:rPr>
            </w:pPr>
            <w:r>
              <w:rPr>
                <w:rFonts w:ascii="Times New Roman"/>
                <w:sz w:val="24"/>
              </w:rPr>
              <w:t>652.94</w:t>
            </w:r>
          </w:p>
        </w:tc>
      </w:tr>
      <w:tr>
        <w:trPr>
          <w:trHeight w:val="499"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资本化研发支出的比重（</w:t>
            </w:r>
            <w:r>
              <w:rPr>
                <w:rFonts w:ascii="Times New Roman" w:hAnsi="Times New Roman" w:cs="Times New Roman" w:eastAsia="Times New Roman" w:hint="default"/>
                <w:sz w:val="24"/>
                <w:szCs w:val="24"/>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tabs>
                <w:tab w:pos="1108" w:val="left" w:leader="none"/>
              </w:tabs>
              <w:spacing w:line="240" w:lineRule="auto" w:before="51"/>
              <w:ind w:left="-164" w:right="21"/>
              <w:jc w:val="right"/>
              <w:rPr>
                <w:rFonts w:ascii="Times New Roman" w:hAnsi="Times New Roman" w:cs="Times New Roman" w:eastAsia="Times New Roman" w:hint="default"/>
                <w:sz w:val="24"/>
                <w:szCs w:val="24"/>
              </w:rPr>
            </w:pPr>
            <w:r>
              <w:rPr>
                <w:rFonts w:ascii="宋体" w:hAnsi="宋体" w:cs="宋体" w:eastAsia="宋体" w:hint="default"/>
                <w:sz w:val="24"/>
                <w:szCs w:val="24"/>
              </w:rPr>
              <w:t>）</w:t>
              <w:tab/>
            </w:r>
            <w:r>
              <w:rPr>
                <w:rFonts w:ascii="Times New Roman" w:hAnsi="Times New Roman" w:cs="Times New Roman" w:eastAsia="Times New Roman" w:hint="default"/>
                <w:sz w:val="24"/>
                <w:szCs w:val="24"/>
              </w:rPr>
              <w:t>51.48%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24"/>
                <w:szCs w:val="24"/>
              </w:rPr>
            </w:pPr>
            <w:r>
              <w:rPr>
                <w:rFonts w:ascii="Times New Roman"/>
                <w:w w:val="95"/>
                <w:sz w:val="24"/>
              </w:rPr>
              <w:t>28.30%</w:t>
            </w:r>
            <w:r>
              <w:rPr>
                <w:rFonts w:ascii="Times New Roman"/>
                <w:sz w:val="24"/>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w w:val="95"/>
                <w:sz w:val="24"/>
              </w:rPr>
              <w:t>13.38%</w:t>
            </w:r>
            <w:r>
              <w:rPr>
                <w:rFonts w:ascii="Times New Roman"/>
                <w:sz w:val="24"/>
              </w:rPr>
            </w:r>
          </w:p>
        </w:tc>
      </w:tr>
      <w:tr>
        <w:trPr>
          <w:trHeight w:val="989"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研发支出占营业收入的比重</w:t>
            </w:r>
          </w:p>
          <w:p>
            <w:pPr>
              <w:pStyle w:val="TableParagraph"/>
              <w:spacing w:line="240" w:lineRule="auto" w:before="175"/>
              <w:ind w:left="21"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20.08%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w w:val="95"/>
                <w:sz w:val="24"/>
              </w:rPr>
              <w:t>13.76%</w:t>
            </w:r>
            <w:r>
              <w:rPr>
                <w:rFonts w:ascii="Times New Roman"/>
                <w:sz w:val="24"/>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w w:val="95"/>
                <w:sz w:val="24"/>
              </w:rPr>
              <w:t>11.86%</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917" w:right="449"/>
        <w:jc w:val="left"/>
      </w:pPr>
      <w:r>
        <w:rPr/>
        <w:t>报告期内，公司目前正在从事的研发项目进展情况如下：</w:t>
      </w:r>
    </w:p>
    <w:p>
      <w:pPr>
        <w:spacing w:line="240" w:lineRule="auto" w:before="6"/>
        <w:rPr>
          <w:rFonts w:ascii="宋体" w:hAnsi="宋体" w:cs="宋体" w:eastAsia="宋体" w:hint="default"/>
          <w:sz w:val="9"/>
          <w:szCs w:val="9"/>
        </w:rPr>
      </w:pPr>
    </w:p>
    <w:tbl>
      <w:tblPr>
        <w:tblW w:w="0" w:type="auto"/>
        <w:jc w:val="left"/>
        <w:tblInd w:w="464" w:type="dxa"/>
        <w:tblLayout w:type="fixed"/>
        <w:tblCellMar>
          <w:top w:w="0" w:type="dxa"/>
          <w:left w:w="0" w:type="dxa"/>
          <w:bottom w:w="0" w:type="dxa"/>
          <w:right w:w="0" w:type="dxa"/>
        </w:tblCellMar>
        <w:tblLook w:val="01E0"/>
      </w:tblPr>
      <w:tblGrid>
        <w:gridCol w:w="2028"/>
        <w:gridCol w:w="6221"/>
      </w:tblGrid>
      <w:tr>
        <w:trPr>
          <w:trHeight w:val="498" w:hRule="exact"/>
        </w:trPr>
        <w:tc>
          <w:tcPr>
            <w:tcW w:w="20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622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2"/>
              <w:jc w:val="center"/>
              <w:rPr>
                <w:rFonts w:ascii="宋体" w:hAnsi="宋体" w:cs="宋体" w:eastAsia="宋体" w:hint="default"/>
                <w:sz w:val="24"/>
                <w:szCs w:val="24"/>
              </w:rPr>
            </w:pPr>
            <w:r>
              <w:rPr>
                <w:rFonts w:ascii="宋体" w:hAnsi="宋体" w:cs="宋体" w:eastAsia="宋体" w:hint="default"/>
                <w:sz w:val="24"/>
                <w:szCs w:val="24"/>
              </w:rPr>
              <w:t>进展说明</w:t>
            </w:r>
          </w:p>
        </w:tc>
      </w:tr>
      <w:tr>
        <w:trPr>
          <w:trHeight w:val="14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374" w:lineRule="auto"/>
              <w:ind w:left="21" w:right="74"/>
              <w:jc w:val="left"/>
              <w:rPr>
                <w:rFonts w:ascii="宋体" w:hAnsi="宋体" w:cs="宋体" w:eastAsia="宋体" w:hint="default"/>
                <w:sz w:val="24"/>
                <w:szCs w:val="24"/>
              </w:rPr>
            </w:pPr>
            <w:r>
              <w:rPr>
                <w:rFonts w:ascii="宋体" w:hAnsi="宋体" w:cs="宋体" w:eastAsia="宋体" w:hint="default"/>
                <w:sz w:val="24"/>
                <w:szCs w:val="24"/>
              </w:rPr>
              <w:t>政务地理信息共享 平台</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pacing w:val="-3"/>
                <w:sz w:val="24"/>
                <w:szCs w:val="24"/>
              </w:rPr>
              <w:t>已完成产品化，包括标准版本和高级版本。已经和公司现有</w:t>
            </w:r>
          </w:p>
          <w:p>
            <w:pPr>
              <w:pStyle w:val="TableParagraph"/>
              <w:spacing w:line="357" w:lineRule="auto" w:before="154"/>
              <w:ind w:left="21" w:right="19"/>
              <w:jc w:val="left"/>
              <w:rPr>
                <w:rFonts w:ascii="宋体" w:hAnsi="宋体" w:cs="宋体" w:eastAsia="宋体" w:hint="default"/>
                <w:sz w:val="24"/>
                <w:szCs w:val="24"/>
              </w:rPr>
            </w:pPr>
            <w:r>
              <w:rPr>
                <w:rFonts w:ascii="宋体" w:hAnsi="宋体" w:cs="宋体" w:eastAsia="宋体" w:hint="default"/>
                <w:spacing w:val="-3"/>
                <w:sz w:val="24"/>
                <w:szCs w:val="24"/>
              </w:rPr>
              <w:t>数字城管系统、数字社区系统相结合，并在杭州数字城管三</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期项目中投入实际使用。</w:t>
            </w:r>
          </w:p>
        </w:tc>
      </w:tr>
    </w:tbl>
    <w:p>
      <w:pPr>
        <w:spacing w:after="0" w:line="357" w:lineRule="auto"/>
        <w:jc w:val="left"/>
        <w:rPr>
          <w:rFonts w:ascii="宋体" w:hAnsi="宋体" w:cs="宋体" w:eastAsia="宋体" w:hint="default"/>
          <w:sz w:val="24"/>
          <w:szCs w:val="24"/>
        </w:rPr>
        <w:sectPr>
          <w:pgSz w:w="11910" w:h="16840"/>
          <w:pgMar w:header="850" w:footer="979" w:top="1400" w:bottom="1160" w:left="1360" w:right="1360"/>
        </w:sectPr>
      </w:pPr>
    </w:p>
    <w:p>
      <w:pPr>
        <w:spacing w:line="240" w:lineRule="auto" w:before="0"/>
        <w:rPr>
          <w:rFonts w:ascii="宋体" w:hAnsi="宋体" w:cs="宋体" w:eastAsia="宋体" w:hint="default"/>
          <w:sz w:val="20"/>
          <w:szCs w:val="20"/>
        </w:rPr>
      </w:pPr>
      <w:r>
        <w:rPr/>
        <w:pict>
          <v:shape style="position:absolute;margin-left:91.199997pt;margin-top:71.999985pt;width:413.2pt;height:690.1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8"/>
                    <w:gridCol w:w="6221"/>
                  </w:tblGrid>
                  <w:tr>
                    <w:trPr>
                      <w:trHeight w:val="343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72" w:lineRule="auto"/>
                          <w:ind w:left="21" w:right="7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新一代</w:t>
                        </w:r>
                        <w:r>
                          <w:rPr>
                            <w:rFonts w:ascii="宋体" w:hAnsi="宋体" w:cs="宋体" w:eastAsia="宋体" w:hint="default"/>
                            <w:sz w:val="24"/>
                            <w:szCs w:val="24"/>
                          </w:rPr>
                          <w:t>”</w:t>
                        </w:r>
                        <w:r>
                          <w:rPr>
                            <w:rFonts w:ascii="宋体" w:hAnsi="宋体" w:cs="宋体" w:eastAsia="宋体" w:hint="default"/>
                            <w:sz w:val="24"/>
                            <w:szCs w:val="24"/>
                          </w:rPr>
                          <w:t>数字城 管系统项目</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1" w:right="19"/>
                          <w:jc w:val="left"/>
                          <w:rPr>
                            <w:rFonts w:ascii="宋体" w:hAnsi="宋体" w:cs="宋体" w:eastAsia="宋体" w:hint="default"/>
                            <w:sz w:val="24"/>
                            <w:szCs w:val="24"/>
                          </w:rPr>
                        </w:pPr>
                        <w:r>
                          <w:rPr>
                            <w:rFonts w:ascii="宋体" w:hAnsi="宋体" w:cs="宋体" w:eastAsia="宋体" w:hint="default"/>
                            <w:sz w:val="24"/>
                            <w:szCs w:val="24"/>
                          </w:rPr>
                          <w:t>在整合</w:t>
                        </w:r>
                        <w:r>
                          <w:rPr>
                            <w:rFonts w:ascii="宋体" w:hAnsi="宋体" w:cs="宋体" w:eastAsia="宋体" w:hint="default"/>
                            <w:sz w:val="24"/>
                            <w:szCs w:val="24"/>
                          </w:rPr>
                          <w:t>“</w:t>
                        </w:r>
                        <w:r>
                          <w:rPr>
                            <w:rFonts w:ascii="宋体" w:hAnsi="宋体" w:cs="宋体" w:eastAsia="宋体" w:hint="default"/>
                            <w:sz w:val="24"/>
                            <w:szCs w:val="24"/>
                          </w:rPr>
                          <w:t>数字城管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eUrban2009</w:t>
                        </w:r>
                        <w:r>
                          <w:rPr>
                            <w:rFonts w:ascii="宋体" w:hAnsi="宋体" w:cs="宋体" w:eastAsia="宋体" w:hint="default"/>
                            <w:sz w:val="24"/>
                            <w:szCs w:val="24"/>
                          </w:rPr>
                          <w:t>”</w:t>
                        </w:r>
                        <w:r>
                          <w:rPr>
                            <w:rFonts w:ascii="宋体" w:hAnsi="宋体" w:cs="宋体" w:eastAsia="宋体" w:hint="default"/>
                            <w:sz w:val="24"/>
                            <w:szCs w:val="24"/>
                          </w:rPr>
                          <w:t>和</w:t>
                        </w:r>
                        <w:r>
                          <w:rPr>
                            <w:rFonts w:ascii="宋体" w:hAnsi="宋体" w:cs="宋体" w:eastAsia="宋体" w:hint="default"/>
                            <w:sz w:val="24"/>
                            <w:szCs w:val="24"/>
                          </w:rPr>
                          <w:t>“</w:t>
                        </w:r>
                        <w:r>
                          <w:rPr>
                            <w:rFonts w:ascii="宋体" w:hAnsi="宋体" w:cs="宋体" w:eastAsia="宋体" w:hint="default"/>
                            <w:sz w:val="24"/>
                            <w:szCs w:val="24"/>
                          </w:rPr>
                          <w:t>城管通</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Cumi2009</w:t>
                        </w:r>
                        <w:r>
                          <w:rPr>
                            <w:rFonts w:ascii="宋体" w:hAnsi="宋体" w:cs="宋体" w:eastAsia="宋体" w:hint="default"/>
                            <w:sz w:val="24"/>
                            <w:szCs w:val="24"/>
                          </w:rPr>
                          <w:t>”</w:t>
                        </w:r>
                        <w:r>
                          <w:rPr>
                            <w:rFonts w:ascii="宋体" w:hAnsi="宋体" w:cs="宋体" w:eastAsia="宋体" w:hint="default"/>
                            <w:sz w:val="24"/>
                            <w:szCs w:val="24"/>
                          </w:rPr>
                          <w:t>的</w:t>
                        </w:r>
                        <w:r>
                          <w:rPr>
                            <w:rFonts w:ascii="宋体" w:hAnsi="宋体" w:cs="宋体" w:eastAsia="宋体" w:hint="default"/>
                            <w:w w:val="99"/>
                            <w:sz w:val="24"/>
                            <w:szCs w:val="24"/>
                          </w:rPr>
                          <w:t> </w:t>
                        </w:r>
                        <w:r>
                          <w:rPr>
                            <w:rFonts w:ascii="宋体" w:hAnsi="宋体" w:cs="宋体" w:eastAsia="宋体" w:hint="default"/>
                            <w:sz w:val="24"/>
                            <w:szCs w:val="24"/>
                          </w:rPr>
                          <w:t>基础上，集成</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TD</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移动课题、</w:t>
                        </w:r>
                        <w:r>
                          <w:rPr>
                            <w:rFonts w:ascii="Times New Roman" w:hAnsi="Times New Roman" w:cs="Times New Roman" w:eastAsia="Times New Roman" w:hint="default"/>
                            <w:sz w:val="24"/>
                            <w:szCs w:val="24"/>
                          </w:rPr>
                          <w:t>3G</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网络研究课题、城市数字 化城管市区一体化平台研究课题、三维</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GIS</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展现模块开发 </w:t>
                        </w:r>
                        <w:r>
                          <w:rPr>
                            <w:rFonts w:ascii="宋体" w:hAnsi="宋体" w:cs="宋体" w:eastAsia="宋体" w:hint="default"/>
                            <w:spacing w:val="-3"/>
                            <w:sz w:val="24"/>
                            <w:szCs w:val="24"/>
                          </w:rPr>
                          <w:t>数字化城市管理数据挖掘模块开发的最新成果，实现了</w:t>
                        </w:r>
                        <w:r>
                          <w:rPr>
                            <w:rFonts w:ascii="宋体" w:hAnsi="宋体" w:cs="宋体" w:eastAsia="宋体" w:hint="default"/>
                            <w:spacing w:val="-3"/>
                            <w:sz w:val="24"/>
                            <w:szCs w:val="24"/>
                          </w:rPr>
                          <w:t>“</w:t>
                        </w:r>
                        <w:r>
                          <w:rPr>
                            <w:rFonts w:ascii="宋体" w:hAnsi="宋体" w:cs="宋体" w:eastAsia="宋体" w:hint="default"/>
                            <w:spacing w:val="-3"/>
                            <w:sz w:val="24"/>
                            <w:szCs w:val="24"/>
                          </w:rPr>
                          <w:t>新</w:t>
                        </w:r>
                        <w:r>
                          <w:rPr>
                            <w:rFonts w:ascii="宋体" w:hAnsi="宋体" w:cs="宋体" w:eastAsia="宋体" w:hint="default"/>
                            <w:spacing w:val="-114"/>
                            <w:sz w:val="24"/>
                            <w:szCs w:val="24"/>
                          </w:rPr>
                          <w:t> </w:t>
                        </w:r>
                        <w:r>
                          <w:rPr>
                            <w:rFonts w:ascii="宋体" w:hAnsi="宋体" w:cs="宋体" w:eastAsia="宋体" w:hint="default"/>
                            <w:spacing w:val="-3"/>
                            <w:sz w:val="24"/>
                            <w:szCs w:val="24"/>
                          </w:rPr>
                          <w:t>一代</w:t>
                        </w:r>
                        <w:r>
                          <w:rPr>
                            <w:rFonts w:ascii="宋体" w:hAnsi="宋体" w:cs="宋体" w:eastAsia="宋体" w:hint="default"/>
                            <w:spacing w:val="-3"/>
                            <w:sz w:val="24"/>
                            <w:szCs w:val="24"/>
                          </w:rPr>
                          <w:t>”</w:t>
                        </w:r>
                        <w:r>
                          <w:rPr>
                            <w:rFonts w:ascii="宋体" w:hAnsi="宋体" w:cs="宋体" w:eastAsia="宋体" w:hint="default"/>
                            <w:spacing w:val="-3"/>
                            <w:sz w:val="24"/>
                            <w:szCs w:val="24"/>
                          </w:rPr>
                          <w:t>数字城管系统标准功能部分，正在内部测试阶段，预</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计在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日发布第一个版本，之后陆续推出拓展 功能模块。</w:t>
                        </w:r>
                      </w:p>
                    </w:tc>
                  </w:tr>
                  <w:tr>
                    <w:trPr>
                      <w:trHeight w:val="98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3"/>
                          <w:ind w:left="21" w:right="74"/>
                          <w:jc w:val="left"/>
                          <w:rPr>
                            <w:rFonts w:ascii="宋体" w:hAnsi="宋体" w:cs="宋体" w:eastAsia="宋体" w:hint="default"/>
                            <w:sz w:val="24"/>
                            <w:szCs w:val="24"/>
                          </w:rPr>
                        </w:pPr>
                        <w:r>
                          <w:rPr>
                            <w:rFonts w:ascii="宋体" w:hAnsi="宋体" w:cs="宋体" w:eastAsia="宋体" w:hint="default"/>
                            <w:sz w:val="24"/>
                            <w:szCs w:val="24"/>
                          </w:rPr>
                          <w:t>数字社区管理与服 务系统项目</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实现了产品化，正在内部测试阶段，预计在</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18</w:t>
                        </w:r>
                      </w:p>
                      <w:p>
                        <w:pPr>
                          <w:pStyle w:val="TableParagraph"/>
                          <w:spacing w:line="240" w:lineRule="auto" w:before="155"/>
                          <w:ind w:left="21" w:right="0"/>
                          <w:jc w:val="left"/>
                          <w:rPr>
                            <w:rFonts w:ascii="宋体" w:hAnsi="宋体" w:cs="宋体" w:eastAsia="宋体" w:hint="default"/>
                            <w:sz w:val="24"/>
                            <w:szCs w:val="24"/>
                          </w:rPr>
                        </w:pPr>
                        <w:r>
                          <w:rPr>
                            <w:rFonts w:ascii="宋体" w:hAnsi="宋体" w:cs="宋体" w:eastAsia="宋体" w:hint="default"/>
                            <w:sz w:val="24"/>
                            <w:szCs w:val="24"/>
                          </w:rPr>
                          <w:t>日发布第一个版本。</w:t>
                        </w:r>
                      </w:p>
                    </w:tc>
                  </w:tr>
                  <w:tr>
                    <w:trPr>
                      <w:trHeight w:val="147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74" w:lineRule="auto"/>
                          <w:ind w:left="21" w:right="74"/>
                          <w:jc w:val="left"/>
                          <w:rPr>
                            <w:rFonts w:ascii="宋体" w:hAnsi="宋体" w:cs="宋体" w:eastAsia="宋体" w:hint="default"/>
                            <w:sz w:val="24"/>
                            <w:szCs w:val="24"/>
                          </w:rPr>
                        </w:pPr>
                        <w:r>
                          <w:rPr>
                            <w:rFonts w:ascii="宋体" w:hAnsi="宋体" w:cs="宋体" w:eastAsia="宋体" w:hint="default"/>
                            <w:sz w:val="24"/>
                            <w:szCs w:val="24"/>
                          </w:rPr>
                          <w:t>专业网格化系统项 目</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1" w:right="19"/>
                          <w:jc w:val="left"/>
                          <w:rPr>
                            <w:rFonts w:ascii="宋体" w:hAnsi="宋体" w:cs="宋体" w:eastAsia="宋体" w:hint="default"/>
                            <w:sz w:val="24"/>
                            <w:szCs w:val="24"/>
                          </w:rPr>
                        </w:pPr>
                        <w:r>
                          <w:rPr>
                            <w:rFonts w:ascii="宋体" w:hAnsi="宋体" w:cs="宋体" w:eastAsia="宋体" w:hint="default"/>
                            <w:spacing w:val="-3"/>
                            <w:sz w:val="24"/>
                            <w:szCs w:val="24"/>
                          </w:rPr>
                          <w:t>在数字执法系统基础上，结合公路署、海塘管理、工地管理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8"/>
                            <w:sz w:val="24"/>
                            <w:szCs w:val="24"/>
                          </w:rPr>
                          <w:t>等专业需求，制定接口标准、完成了大部分设计和编码工作</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将通过几个项目的磨合进行完善，正式发布版本。</w:t>
                        </w:r>
                      </w:p>
                    </w:tc>
                  </w:tr>
                  <w:tr>
                    <w:trPr>
                      <w:trHeight w:val="196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74" w:lineRule="auto"/>
                          <w:ind w:left="21" w:right="-32"/>
                          <w:jc w:val="left"/>
                          <w:rPr>
                            <w:rFonts w:ascii="宋体" w:hAnsi="宋体" w:cs="宋体" w:eastAsia="宋体" w:hint="default"/>
                            <w:sz w:val="24"/>
                            <w:szCs w:val="24"/>
                          </w:rPr>
                        </w:pPr>
                        <w:r>
                          <w:rPr>
                            <w:rFonts w:ascii="宋体" w:hAnsi="宋体" w:cs="宋体" w:eastAsia="宋体" w:hint="default"/>
                            <w:spacing w:val="-15"/>
                            <w:sz w:val="24"/>
                            <w:szCs w:val="24"/>
                          </w:rPr>
                          <w:t>金土工程</w:t>
                        </w:r>
                        <w:r>
                          <w:rPr>
                            <w:rFonts w:ascii="宋体" w:hAnsi="宋体" w:cs="宋体" w:eastAsia="宋体" w:hint="default"/>
                            <w:spacing w:val="-15"/>
                            <w:sz w:val="24"/>
                            <w:szCs w:val="24"/>
                          </w:rPr>
                          <w:t>“</w:t>
                        </w:r>
                        <w:r>
                          <w:rPr>
                            <w:rFonts w:ascii="宋体" w:hAnsi="宋体" w:cs="宋体" w:eastAsia="宋体" w:hint="default"/>
                            <w:spacing w:val="-15"/>
                            <w:sz w:val="24"/>
                            <w:szCs w:val="24"/>
                          </w:rPr>
                          <w:t>一张图</w:t>
                        </w:r>
                        <w:r>
                          <w:rPr>
                            <w:rFonts w:ascii="宋体" w:hAnsi="宋体" w:cs="宋体" w:eastAsia="宋体" w:hint="default"/>
                            <w:spacing w:val="-15"/>
                            <w:sz w:val="24"/>
                            <w:szCs w:val="24"/>
                          </w:rPr>
                          <w:t>”</w:t>
                        </w:r>
                        <w:r>
                          <w:rPr>
                            <w:rFonts w:ascii="宋体" w:hAnsi="宋体" w:cs="宋体" w:eastAsia="宋体" w:hint="default"/>
                            <w:spacing w:val="-118"/>
                            <w:sz w:val="24"/>
                            <w:szCs w:val="24"/>
                          </w:rPr>
                          <w:t> </w:t>
                        </w:r>
                        <w:r>
                          <w:rPr>
                            <w:rFonts w:ascii="宋体" w:hAnsi="宋体" w:cs="宋体" w:eastAsia="宋体" w:hint="default"/>
                            <w:sz w:val="24"/>
                            <w:szCs w:val="24"/>
                          </w:rPr>
                          <w:t>监管系统研发项目</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53"/>
                          <w:ind w:left="21" w:right="19"/>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z w:val="24"/>
                            <w:szCs w:val="24"/>
                          </w:rPr>
                          <w:t>“</w:t>
                        </w:r>
                        <w:r>
                          <w:rPr>
                            <w:rFonts w:ascii="宋体" w:hAnsi="宋体" w:cs="宋体" w:eastAsia="宋体" w:hint="default"/>
                            <w:sz w:val="24"/>
                            <w:szCs w:val="24"/>
                          </w:rPr>
                          <w:t>国土关联</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w:t>
                        </w:r>
                        <w:r>
                          <w:rPr>
                            <w:rFonts w:ascii="宋体" w:hAnsi="宋体" w:cs="宋体" w:eastAsia="宋体" w:hint="default"/>
                            <w:sz w:val="24"/>
                            <w:szCs w:val="24"/>
                          </w:rPr>
                          <w:t>”</w:t>
                        </w:r>
                        <w:r>
                          <w:rPr>
                            <w:rFonts w:ascii="宋体" w:hAnsi="宋体" w:cs="宋体" w:eastAsia="宋体" w:hint="default"/>
                            <w:sz w:val="24"/>
                            <w:szCs w:val="24"/>
                          </w:rPr>
                          <w:t>的基础上，集成</w:t>
                        </w:r>
                        <w:r>
                          <w:rPr>
                            <w:rFonts w:ascii="宋体" w:hAnsi="宋体" w:cs="宋体" w:eastAsia="宋体" w:hint="default"/>
                            <w:sz w:val="24"/>
                            <w:szCs w:val="24"/>
                          </w:rPr>
                          <w:t>“</w:t>
                        </w:r>
                        <w:r>
                          <w:rPr>
                            <w:rFonts w:ascii="宋体" w:hAnsi="宋体" w:cs="宋体" w:eastAsia="宋体" w:hint="default"/>
                            <w:sz w:val="24"/>
                            <w:szCs w:val="24"/>
                          </w:rPr>
                          <w:t>政务地理信息共享 </w:t>
                        </w:r>
                        <w:r>
                          <w:rPr>
                            <w:rFonts w:ascii="宋体" w:hAnsi="宋体" w:cs="宋体" w:eastAsia="宋体" w:hint="default"/>
                            <w:spacing w:val="-3"/>
                            <w:sz w:val="24"/>
                            <w:szCs w:val="24"/>
                          </w:rPr>
                          <w:t>平台</w:t>
                        </w:r>
                        <w:r>
                          <w:rPr>
                            <w:rFonts w:ascii="宋体" w:hAnsi="宋体" w:cs="宋体" w:eastAsia="宋体" w:hint="default"/>
                            <w:spacing w:val="-3"/>
                            <w:sz w:val="24"/>
                            <w:szCs w:val="24"/>
                          </w:rPr>
                          <w:t>”</w:t>
                        </w:r>
                        <w:r>
                          <w:rPr>
                            <w:rFonts w:ascii="宋体" w:hAnsi="宋体" w:cs="宋体" w:eastAsia="宋体" w:hint="default"/>
                            <w:spacing w:val="-3"/>
                            <w:sz w:val="24"/>
                            <w:szCs w:val="24"/>
                          </w:rPr>
                          <w:t>的最新成果，面向国土资源监管目标，完成了大部分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设计和编码工作。将通过几个项目的磨合进行完善，正式发</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布版本。</w:t>
                        </w:r>
                      </w:p>
                    </w:tc>
                  </w:tr>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城管通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Cumi2009</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版本封存，新项目采用</w:t>
                        </w:r>
                        <w:r>
                          <w:rPr>
                            <w:rFonts w:ascii="宋体" w:hAnsi="宋体" w:cs="宋体" w:eastAsia="宋体" w:hint="default"/>
                            <w:sz w:val="24"/>
                            <w:szCs w:val="24"/>
                          </w:rPr>
                          <w:t>“</w:t>
                        </w:r>
                        <w:r>
                          <w:rPr>
                            <w:rFonts w:ascii="宋体" w:hAnsi="宋体" w:cs="宋体" w:eastAsia="宋体" w:hint="default"/>
                            <w:sz w:val="24"/>
                            <w:szCs w:val="24"/>
                          </w:rPr>
                          <w:t>新一代</w:t>
                        </w:r>
                        <w:r>
                          <w:rPr>
                            <w:rFonts w:ascii="宋体" w:hAnsi="宋体" w:cs="宋体" w:eastAsia="宋体" w:hint="default"/>
                            <w:sz w:val="24"/>
                            <w:szCs w:val="24"/>
                          </w:rPr>
                          <w:t>”</w:t>
                        </w:r>
                        <w:r>
                          <w:rPr>
                            <w:rFonts w:ascii="宋体" w:hAnsi="宋体" w:cs="宋体" w:eastAsia="宋体" w:hint="default"/>
                            <w:sz w:val="24"/>
                            <w:szCs w:val="24"/>
                          </w:rPr>
                          <w:t>数字城管系统实施。</w:t>
                        </w:r>
                      </w:p>
                    </w:tc>
                  </w:tr>
                  <w:tr>
                    <w:trPr>
                      <w:trHeight w:val="98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数字城管</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 w:right="0"/>
                          <w:jc w:val="left"/>
                          <w:rPr>
                            <w:rFonts w:ascii="Times New Roman" w:hAnsi="Times New Roman" w:cs="Times New Roman" w:eastAsia="Times New Roman" w:hint="default"/>
                            <w:sz w:val="24"/>
                            <w:szCs w:val="24"/>
                          </w:rPr>
                        </w:pPr>
                        <w:r>
                          <w:rPr>
                            <w:rFonts w:ascii="Times New Roman"/>
                            <w:sz w:val="24"/>
                          </w:rPr>
                          <w:t>eUrban2009</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版本封存，新项目采用</w:t>
                        </w:r>
                        <w:r>
                          <w:rPr>
                            <w:rFonts w:ascii="宋体" w:hAnsi="宋体" w:cs="宋体" w:eastAsia="宋体" w:hint="default"/>
                            <w:sz w:val="24"/>
                            <w:szCs w:val="24"/>
                          </w:rPr>
                          <w:t>“</w:t>
                        </w:r>
                        <w:r>
                          <w:rPr>
                            <w:rFonts w:ascii="宋体" w:hAnsi="宋体" w:cs="宋体" w:eastAsia="宋体" w:hint="default"/>
                            <w:sz w:val="24"/>
                            <w:szCs w:val="24"/>
                          </w:rPr>
                          <w:t>新一代</w:t>
                        </w:r>
                        <w:r>
                          <w:rPr>
                            <w:rFonts w:ascii="宋体" w:hAnsi="宋体" w:cs="宋体" w:eastAsia="宋体" w:hint="default"/>
                            <w:sz w:val="24"/>
                            <w:szCs w:val="24"/>
                          </w:rPr>
                          <w:t>”</w:t>
                        </w:r>
                        <w:r>
                          <w:rPr>
                            <w:rFonts w:ascii="宋体" w:hAnsi="宋体" w:cs="宋体" w:eastAsia="宋体" w:hint="default"/>
                            <w:sz w:val="24"/>
                            <w:szCs w:val="24"/>
                          </w:rPr>
                          <w:t>数字城管系统实施。</w:t>
                        </w:r>
                      </w:p>
                    </w:tc>
                  </w:tr>
                  <w:tr>
                    <w:trPr>
                      <w:trHeight w:val="98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1" w:right="74"/>
                          <w:jc w:val="left"/>
                          <w:rPr>
                            <w:rFonts w:ascii="宋体" w:hAnsi="宋体" w:cs="宋体" w:eastAsia="宋体" w:hint="default"/>
                            <w:sz w:val="24"/>
                            <w:szCs w:val="24"/>
                          </w:rPr>
                        </w:pPr>
                        <w:r>
                          <w:rPr>
                            <w:rFonts w:ascii="宋体" w:hAnsi="宋体" w:cs="宋体" w:eastAsia="宋体" w:hint="default"/>
                            <w:sz w:val="24"/>
                            <w:szCs w:val="24"/>
                          </w:rPr>
                          <w:t>城市数字化城管市 区一体化平台</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1" w:right="19"/>
                          <w:jc w:val="left"/>
                          <w:rPr>
                            <w:rFonts w:ascii="宋体" w:hAnsi="宋体" w:cs="宋体" w:eastAsia="宋体" w:hint="default"/>
                            <w:sz w:val="24"/>
                            <w:szCs w:val="24"/>
                          </w:rPr>
                        </w:pPr>
                        <w:r>
                          <w:rPr>
                            <w:rFonts w:ascii="宋体" w:hAnsi="宋体" w:cs="宋体" w:eastAsia="宋体" w:hint="default"/>
                            <w:spacing w:val="-3"/>
                            <w:sz w:val="24"/>
                            <w:szCs w:val="24"/>
                          </w:rPr>
                          <w:t>完成系统开发和示范项目磨合，并通过课题验收。部分研究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成果已经应用于</w:t>
                        </w:r>
                        <w:r>
                          <w:rPr>
                            <w:rFonts w:ascii="宋体" w:hAnsi="宋体" w:cs="宋体" w:eastAsia="宋体" w:hint="default"/>
                            <w:sz w:val="24"/>
                            <w:szCs w:val="24"/>
                          </w:rPr>
                          <w:t>“</w:t>
                        </w:r>
                        <w:r>
                          <w:rPr>
                            <w:rFonts w:ascii="宋体" w:hAnsi="宋体" w:cs="宋体" w:eastAsia="宋体" w:hint="default"/>
                            <w:sz w:val="24"/>
                            <w:szCs w:val="24"/>
                          </w:rPr>
                          <w:t>新一代</w:t>
                        </w:r>
                        <w:r>
                          <w:rPr>
                            <w:rFonts w:ascii="宋体" w:hAnsi="宋体" w:cs="宋体" w:eastAsia="宋体" w:hint="default"/>
                            <w:sz w:val="24"/>
                            <w:szCs w:val="24"/>
                          </w:rPr>
                          <w:t>”</w:t>
                        </w:r>
                        <w:r>
                          <w:rPr>
                            <w:rFonts w:ascii="宋体" w:hAnsi="宋体" w:cs="宋体" w:eastAsia="宋体" w:hint="default"/>
                            <w:sz w:val="24"/>
                            <w:szCs w:val="24"/>
                          </w:rPr>
                          <w:t>数字城管系统。</w:t>
                        </w:r>
                      </w:p>
                    </w:tc>
                  </w:tr>
                  <w:tr>
                    <w:trPr>
                      <w:trHeight w:val="98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1" w:right="74"/>
                          <w:jc w:val="left"/>
                          <w:rPr>
                            <w:rFonts w:ascii="宋体" w:hAnsi="宋体" w:cs="宋体" w:eastAsia="宋体" w:hint="default"/>
                            <w:sz w:val="24"/>
                            <w:szCs w:val="24"/>
                          </w:rPr>
                        </w:pPr>
                        <w:r>
                          <w:rPr>
                            <w:rFonts w:ascii="宋体" w:hAnsi="宋体" w:cs="宋体" w:eastAsia="宋体" w:hint="default"/>
                            <w:sz w:val="24"/>
                            <w:szCs w:val="24"/>
                          </w:rPr>
                          <w:t>城镇体系规划遥感 监测管理信息系统</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已经形成正式版本，进入课题验收阶段。</w:t>
                        </w:r>
                      </w:p>
                    </w:tc>
                  </w:tr>
                  <w:tr>
                    <w:trPr>
                      <w:trHeight w:val="98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3G</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无线通信</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51"/>
                          <w:ind w:left="21" w:right="23"/>
                          <w:jc w:val="left"/>
                          <w:rPr>
                            <w:rFonts w:ascii="宋体" w:hAnsi="宋体" w:cs="宋体" w:eastAsia="宋体" w:hint="default"/>
                            <w:sz w:val="24"/>
                            <w:szCs w:val="24"/>
                          </w:rPr>
                        </w:pPr>
                        <w:r>
                          <w:rPr>
                            <w:rFonts w:ascii="宋体" w:hAnsi="宋体" w:cs="宋体" w:eastAsia="宋体" w:hint="default"/>
                            <w:sz w:val="24"/>
                            <w:szCs w:val="24"/>
                          </w:rPr>
                          <w:t>完成</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3G</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网络条件下移动视频传输关键技术研究，研究成果 已经应用于</w:t>
                        </w:r>
                        <w:r>
                          <w:rPr>
                            <w:rFonts w:ascii="Times New Roman" w:hAnsi="Times New Roman" w:cs="Times New Roman" w:eastAsia="Times New Roman" w:hint="default"/>
                            <w:sz w:val="24"/>
                            <w:szCs w:val="24"/>
                          </w:rPr>
                          <w:t>“</w:t>
                        </w:r>
                        <w:r>
                          <w:rPr>
                            <w:rFonts w:ascii="宋体" w:hAnsi="宋体" w:cs="宋体" w:eastAsia="宋体" w:hint="default"/>
                            <w:sz w:val="24"/>
                            <w:szCs w:val="24"/>
                          </w:rPr>
                          <w:t>新一代</w:t>
                        </w:r>
                        <w:r>
                          <w:rPr>
                            <w:rFonts w:ascii="Times New Roman" w:hAnsi="Times New Roman" w:cs="Times New Roman" w:eastAsia="Times New Roman" w:hint="default"/>
                            <w:sz w:val="24"/>
                            <w:szCs w:val="24"/>
                          </w:rPr>
                          <w:t>”</w:t>
                        </w:r>
                        <w:r>
                          <w:rPr>
                            <w:rFonts w:ascii="宋体" w:hAnsi="宋体" w:cs="宋体" w:eastAsia="宋体" w:hint="default"/>
                            <w:sz w:val="24"/>
                            <w:szCs w:val="24"/>
                          </w:rPr>
                          <w:t>数字城管系统。</w:t>
                        </w:r>
                      </w:p>
                    </w:tc>
                  </w:tr>
                  <w:tr>
                    <w:trPr>
                      <w:trHeight w:val="147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TD</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移动</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51"/>
                          <w:ind w:left="21" w:right="19"/>
                          <w:jc w:val="both"/>
                          <w:rPr>
                            <w:rFonts w:ascii="宋体" w:hAnsi="宋体" w:cs="宋体" w:eastAsia="宋体" w:hint="default"/>
                            <w:sz w:val="24"/>
                            <w:szCs w:val="24"/>
                          </w:rPr>
                        </w:pPr>
                        <w:r>
                          <w:rPr>
                            <w:rFonts w:ascii="宋体" w:hAnsi="宋体" w:cs="宋体" w:eastAsia="宋体" w:hint="default"/>
                            <w:sz w:val="24"/>
                            <w:szCs w:val="24"/>
                          </w:rPr>
                          <w:t>完成了</w:t>
                        </w:r>
                        <w:r>
                          <w:rPr>
                            <w:rFonts w:ascii="宋体" w:hAnsi="宋体" w:cs="宋体" w:eastAsia="宋体" w:hint="default"/>
                            <w:spacing w:val="-76"/>
                            <w:sz w:val="24"/>
                            <w:szCs w:val="24"/>
                          </w:rPr>
                          <w:t> </w:t>
                        </w:r>
                        <w:r>
                          <w:rPr>
                            <w:rFonts w:ascii="Times New Roman" w:hAnsi="Times New Roman" w:cs="Times New Roman" w:eastAsia="Times New Roman" w:hint="default"/>
                            <w:spacing w:val="-1"/>
                            <w:w w:val="99"/>
                            <w:sz w:val="24"/>
                            <w:szCs w:val="24"/>
                          </w:rPr>
                          <w:t>TD</w:t>
                        </w:r>
                        <w:r>
                          <w:rPr>
                            <w:rFonts w:ascii="Times New Roman" w:hAnsi="Times New Roman" w:cs="Times New Roman" w:eastAsia="Times New Roman" w:hint="default"/>
                            <w:spacing w:val="-17"/>
                            <w:w w:val="99"/>
                            <w:sz w:val="24"/>
                            <w:szCs w:val="24"/>
                          </w:rPr>
                          <w:t> </w:t>
                        </w:r>
                        <w:r>
                          <w:rPr>
                            <w:rFonts w:ascii="宋体" w:hAnsi="宋体" w:cs="宋体" w:eastAsia="宋体" w:hint="default"/>
                            <w:spacing w:val="-6"/>
                            <w:sz w:val="24"/>
                            <w:szCs w:val="24"/>
                          </w:rPr>
                          <w:t>网络条件下城管通功能开发，包括融合通信研究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移动视频传输；完成了</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SaaS </w:t>
                        </w:r>
                        <w:r>
                          <w:rPr>
                            <w:rFonts w:ascii="宋体" w:hAnsi="宋体" w:cs="宋体" w:eastAsia="宋体" w:hint="default"/>
                            <w:sz w:val="24"/>
                            <w:szCs w:val="24"/>
                          </w:rPr>
                          <w:t>模型的构建平台和在线服务平 </w:t>
                        </w:r>
                        <w:r>
                          <w:rPr>
                            <w:rFonts w:ascii="宋体" w:hAnsi="宋体" w:cs="宋体" w:eastAsia="宋体" w:hint="default"/>
                            <w:spacing w:val="-3"/>
                            <w:sz w:val="24"/>
                            <w:szCs w:val="24"/>
                          </w:rPr>
                          <w:t>台研究，并开发了相应的原型系统。将在几个示范项目上验</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left="0" w:right="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left="0" w:right="11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26"/>
        <w:ind w:left="0" w:right="115"/>
        <w:jc w:val="right"/>
      </w:pPr>
      <w:r>
        <w:rPr/>
        <w:t>、</w:t>
      </w:r>
    </w:p>
    <w:p>
      <w:pPr>
        <w:spacing w:after="0" w:line="240" w:lineRule="auto"/>
        <w:jc w:val="right"/>
        <w:sectPr>
          <w:pgSz w:w="11910" w:h="16840"/>
          <w:pgMar w:header="850" w:footer="979" w:top="1440" w:bottom="1160" w:left="1660" w:right="1620"/>
        </w:sectPr>
      </w:pPr>
    </w:p>
    <w:tbl>
      <w:tblPr>
        <w:tblW w:w="0" w:type="auto"/>
        <w:jc w:val="left"/>
        <w:tblInd w:w="163" w:type="dxa"/>
        <w:tblLayout w:type="fixed"/>
        <w:tblCellMar>
          <w:top w:w="0" w:type="dxa"/>
          <w:left w:w="0" w:type="dxa"/>
          <w:bottom w:w="0" w:type="dxa"/>
          <w:right w:w="0" w:type="dxa"/>
        </w:tblCellMar>
        <w:tblLook w:val="01E0"/>
      </w:tblPr>
      <w:tblGrid>
        <w:gridCol w:w="2028"/>
        <w:gridCol w:w="6221"/>
      </w:tblGrid>
      <w:tr>
        <w:trPr>
          <w:trHeight w:val="499" w:hRule="exact"/>
        </w:trPr>
        <w:tc>
          <w:tcPr>
            <w:tcW w:w="2028" w:type="dxa"/>
            <w:tcBorders>
              <w:top w:val="single" w:sz="4" w:space="0" w:color="000000"/>
              <w:left w:val="single" w:sz="4" w:space="0" w:color="000000"/>
              <w:bottom w:val="single" w:sz="4" w:space="0" w:color="000000"/>
              <w:right w:val="single" w:sz="4" w:space="0" w:color="000000"/>
            </w:tcBorders>
          </w:tcPr>
          <w:p>
            <w:pP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证课题研究成果，准备验收汇报材料。</w:t>
            </w:r>
          </w:p>
        </w:tc>
      </w:tr>
      <w:tr>
        <w:trPr>
          <w:trHeight w:val="94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3G</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网络</w:t>
            </w:r>
          </w:p>
        </w:tc>
        <w:tc>
          <w:tcPr>
            <w:tcW w:w="62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1" w:right="0"/>
              <w:jc w:val="left"/>
              <w:rPr>
                <w:rFonts w:ascii="宋体" w:hAnsi="宋体" w:cs="宋体" w:eastAsia="宋体" w:hint="default"/>
                <w:sz w:val="24"/>
                <w:szCs w:val="24"/>
              </w:rPr>
            </w:pPr>
            <w:r>
              <w:rPr>
                <w:rFonts w:ascii="宋体" w:hAnsi="宋体" w:cs="宋体" w:eastAsia="宋体" w:hint="default"/>
                <w:sz w:val="24"/>
                <w:szCs w:val="24"/>
              </w:rPr>
              <w:t>完成</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3G</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网络条件下监督员移动定位和监控功能研究，研究</w:t>
            </w:r>
          </w:p>
          <w:p>
            <w:pPr>
              <w:pStyle w:val="TableParagraph"/>
              <w:spacing w:line="240" w:lineRule="auto" w:before="135"/>
              <w:ind w:left="21" w:right="0"/>
              <w:jc w:val="left"/>
              <w:rPr>
                <w:rFonts w:ascii="宋体" w:hAnsi="宋体" w:cs="宋体" w:eastAsia="宋体" w:hint="default"/>
                <w:sz w:val="24"/>
                <w:szCs w:val="24"/>
              </w:rPr>
            </w:pPr>
            <w:r>
              <w:rPr>
                <w:rFonts w:ascii="宋体" w:hAnsi="宋体" w:cs="宋体" w:eastAsia="宋体" w:hint="default"/>
                <w:sz w:val="24"/>
                <w:szCs w:val="24"/>
              </w:rPr>
              <w:t>成果已经应用于</w:t>
            </w:r>
            <w:r>
              <w:rPr>
                <w:rFonts w:ascii="宋体" w:hAnsi="宋体" w:cs="宋体" w:eastAsia="宋体" w:hint="default"/>
                <w:sz w:val="24"/>
                <w:szCs w:val="24"/>
              </w:rPr>
              <w:t>“</w:t>
            </w:r>
            <w:r>
              <w:rPr>
                <w:rFonts w:ascii="宋体" w:hAnsi="宋体" w:cs="宋体" w:eastAsia="宋体" w:hint="default"/>
                <w:sz w:val="24"/>
                <w:szCs w:val="24"/>
              </w:rPr>
              <w:t>新一代</w:t>
            </w:r>
            <w:r>
              <w:rPr>
                <w:rFonts w:ascii="宋体" w:hAnsi="宋体" w:cs="宋体" w:eastAsia="宋体" w:hint="default"/>
                <w:sz w:val="24"/>
                <w:szCs w:val="24"/>
              </w:rPr>
              <w:t>”</w:t>
            </w:r>
            <w:r>
              <w:rPr>
                <w:rFonts w:ascii="宋体" w:hAnsi="宋体" w:cs="宋体" w:eastAsia="宋体" w:hint="default"/>
                <w:sz w:val="24"/>
                <w:szCs w:val="24"/>
              </w:rPr>
              <w:t>数字城管系统。</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202"/>
        <w:ind w:right="111"/>
        <w:jc w:val="left"/>
        <w:rPr>
          <w:b w:val="0"/>
          <w:bCs w:val="0"/>
        </w:rPr>
      </w:pPr>
      <w:r>
        <w:rPr/>
        <w:t>（六）公司主要控股子公司的经营情况及业绩</w:t>
      </w:r>
      <w:r>
        <w:rPr>
          <w:b w:val="0"/>
          <w:bCs w:val="0"/>
        </w:rPr>
      </w:r>
    </w:p>
    <w:p>
      <w:pPr>
        <w:spacing w:line="240" w:lineRule="auto" w:before="12"/>
        <w:rPr>
          <w:rFonts w:ascii="宋体" w:hAnsi="宋体" w:cs="宋体" w:eastAsia="宋体" w:hint="default"/>
          <w:b/>
          <w:bCs/>
          <w:sz w:val="25"/>
          <w:szCs w:val="25"/>
        </w:rPr>
      </w:pPr>
    </w:p>
    <w:p>
      <w:pPr>
        <w:pStyle w:val="BodyText"/>
        <w:spacing w:line="369" w:lineRule="auto"/>
        <w:ind w:right="233" w:firstLine="480"/>
        <w:jc w:val="both"/>
      </w:pPr>
      <w:r>
        <w:rPr>
          <w:spacing w:val="-3"/>
        </w:rPr>
        <w:t>报告期内，公司拥有一个全资子公司，为上海政通信息科技有限公司。该公</w:t>
      </w:r>
      <w:r>
        <w:rPr/>
        <w:t> 司成立于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spacing w:val="-7"/>
        </w:rPr>
        <w:t>日，注册资本为</w:t>
      </w:r>
      <w:r>
        <w:rPr>
          <w:spacing w:val="-60"/>
        </w:rPr>
        <w:t> </w:t>
      </w:r>
      <w:r>
        <w:rPr>
          <w:rFonts w:ascii="Times New Roman" w:hAnsi="Times New Roman" w:cs="Times New Roman" w:eastAsia="Times New Roman" w:hint="default"/>
        </w:rPr>
        <w:t>200 </w:t>
      </w:r>
      <w:r>
        <w:rPr>
          <w:spacing w:val="-3"/>
        </w:rPr>
        <w:t>万元人民币。上海政通信息科技有</w:t>
      </w:r>
      <w:r>
        <w:rPr/>
        <w:t> </w:t>
      </w:r>
      <w:r>
        <w:rPr>
          <w:spacing w:val="-3"/>
        </w:rPr>
        <w:t>限公司的经营范围为计算机软件领域内的技术开发、技术咨询、技术服务、技术</w:t>
      </w:r>
      <w:r>
        <w:rPr>
          <w:spacing w:val="-102"/>
        </w:rPr>
        <w:t> </w:t>
      </w:r>
      <w:r>
        <w:rPr>
          <w:spacing w:val="-102"/>
        </w:rPr>
      </w:r>
      <w:r>
        <w:rPr>
          <w:spacing w:val="-3"/>
        </w:rPr>
        <w:t>转让，图文设计、制作，商务信息咨询（除经纪），计算机软硬件销售，从事货</w:t>
      </w:r>
      <w:r>
        <w:rPr>
          <w:spacing w:val="-102"/>
        </w:rPr>
        <w:t> </w:t>
      </w:r>
      <w:r>
        <w:rPr>
          <w:spacing w:val="-102"/>
        </w:rPr>
      </w:r>
      <w:r>
        <w:rPr>
          <w:spacing w:val="-3"/>
        </w:rPr>
        <w:t>物进出口及技术的进出口业务（涉及行政许可的，凭许可经营）。报告期内，上</w:t>
      </w:r>
      <w:r>
        <w:rPr>
          <w:spacing w:val="-103"/>
        </w:rPr>
        <w:t> </w:t>
      </w:r>
      <w:r>
        <w:rPr>
          <w:spacing w:val="-103"/>
        </w:rPr>
      </w:r>
      <w:r>
        <w:rPr/>
        <w:t>海政通信息科技有限公司的销售收入为</w:t>
      </w:r>
      <w:r>
        <w:rPr>
          <w:spacing w:val="-60"/>
        </w:rPr>
        <w:t> </w:t>
      </w:r>
      <w:r>
        <w:rPr>
          <w:rFonts w:ascii="Times New Roman" w:hAnsi="Times New Roman" w:cs="Times New Roman" w:eastAsia="Times New Roman" w:hint="default"/>
        </w:rPr>
        <w:t>0.00 </w:t>
      </w:r>
      <w:r>
        <w:rPr/>
        <w:t>元，净利润为</w:t>
      </w:r>
      <w:r>
        <w:rPr>
          <w:spacing w:val="-60"/>
        </w:rPr>
        <w:t> </w:t>
      </w:r>
      <w:r>
        <w:rPr>
          <w:rFonts w:ascii="Times New Roman" w:hAnsi="Times New Roman" w:cs="Times New Roman" w:eastAsia="Times New Roman" w:hint="default"/>
        </w:rPr>
        <w:t>6,372.50 </w:t>
      </w:r>
      <w:r>
        <w:rPr/>
        <w:t>元。</w:t>
      </w:r>
    </w:p>
    <w:p>
      <w:pPr>
        <w:pStyle w:val="BodyText"/>
        <w:spacing w:line="240" w:lineRule="auto" w:before="14"/>
        <w:ind w:left="617" w:right="111"/>
        <w:jc w:val="left"/>
      </w:pPr>
      <w:r>
        <w:rPr/>
        <w:t>除以上子公司外，公司无参股、控股其他公司。</w:t>
      </w:r>
    </w:p>
    <w:p>
      <w:pPr>
        <w:spacing w:line="240" w:lineRule="auto" w:before="12"/>
        <w:rPr>
          <w:rFonts w:ascii="宋体" w:hAnsi="宋体" w:cs="宋体" w:eastAsia="宋体" w:hint="default"/>
          <w:sz w:val="25"/>
          <w:szCs w:val="25"/>
        </w:rPr>
      </w:pPr>
    </w:p>
    <w:p>
      <w:pPr>
        <w:pStyle w:val="Heading3"/>
        <w:spacing w:line="240" w:lineRule="auto" w:before="0"/>
        <w:ind w:right="111"/>
        <w:jc w:val="left"/>
        <w:rPr>
          <w:b w:val="0"/>
          <w:bCs w:val="0"/>
        </w:rPr>
      </w:pPr>
      <w:r>
        <w:rPr/>
        <w:t>（七）公司核心竞争力</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left="617" w:right="111"/>
        <w:jc w:val="left"/>
      </w:pPr>
      <w:r>
        <w:rPr>
          <w:rFonts w:ascii="Times New Roman" w:hAnsi="Times New Roman" w:cs="Times New Roman" w:eastAsia="Times New Roman" w:hint="default"/>
        </w:rPr>
        <w:t>1</w:t>
      </w:r>
      <w:r>
        <w:rPr/>
        <w:t>、创新的应用领域</w:t>
      </w:r>
    </w:p>
    <w:p>
      <w:pPr>
        <w:pStyle w:val="BodyText"/>
        <w:spacing w:line="352" w:lineRule="auto" w:before="157"/>
        <w:ind w:right="111" w:firstLine="480"/>
        <w:jc w:val="left"/>
      </w:pPr>
      <w:r>
        <w:rPr/>
        <w:t>（</w:t>
      </w:r>
      <w:r>
        <w:rPr>
          <w:rFonts w:ascii="Times New Roman" w:hAnsi="Times New Roman" w:cs="Times New Roman" w:eastAsia="Times New Roman" w:hint="default"/>
        </w:rPr>
        <w:t>1</w:t>
      </w:r>
      <w:r>
        <w:rPr/>
        <w:t>）首创研发了数字化城市管理软件：开辟了新的数字化城市管理应用领 域，研发了基于数字化城市管理新模式的数字化城市管理系统软件。</w:t>
      </w:r>
    </w:p>
    <w:p>
      <w:pPr>
        <w:pStyle w:val="BodyText"/>
        <w:spacing w:line="367" w:lineRule="auto" w:before="62"/>
        <w:ind w:right="111" w:firstLine="480"/>
        <w:jc w:val="left"/>
      </w:pPr>
      <w:r>
        <w:rPr>
          <w:spacing w:val="-3"/>
        </w:rPr>
        <w:t>（</w:t>
      </w:r>
      <w:r>
        <w:rPr>
          <w:rFonts w:ascii="Times New Roman" w:hAnsi="Times New Roman" w:cs="Times New Roman" w:eastAsia="Times New Roman" w:hint="default"/>
          <w:spacing w:val="-3"/>
        </w:rPr>
        <w:t>2</w:t>
      </w:r>
      <w:r>
        <w:rPr>
          <w:spacing w:val="-3"/>
        </w:rPr>
        <w:t>）具有良好的市场前景：数字化城市管理系统纵向上已经涵盖了直辖市、</w:t>
      </w:r>
      <w:r>
        <w:rPr/>
        <w:t> </w:t>
      </w:r>
      <w:r>
        <w:rPr>
          <w:spacing w:val="-3"/>
        </w:rPr>
        <w:t>省会城市、地级市、县级市、县和街镇等各级政府及其派出机构，并延伸到社区</w:t>
      </w:r>
      <w:r>
        <w:rPr>
          <w:spacing w:val="-103"/>
        </w:rPr>
        <w:t> </w:t>
      </w:r>
      <w:r>
        <w:rPr>
          <w:spacing w:val="-103"/>
        </w:rPr>
      </w:r>
      <w:r>
        <w:rPr/>
        <w:t>管理和服务领域，横向上也延伸到执法、市政、水务、海塘、公路等众多领域。 在数字社区系统和专业网格化系统的延伸已经形成了公司新的业务增长点。</w:t>
      </w:r>
    </w:p>
    <w:p>
      <w:pPr>
        <w:pStyle w:val="BodyText"/>
        <w:spacing w:line="352" w:lineRule="auto" w:before="48"/>
        <w:ind w:right="249" w:firstLine="480"/>
        <w:jc w:val="left"/>
      </w:pPr>
      <w:r>
        <w:rPr/>
        <w:t>（</w:t>
      </w:r>
      <w:r>
        <w:rPr>
          <w:rFonts w:ascii="Times New Roman" w:hAnsi="Times New Roman" w:cs="Times New Roman" w:eastAsia="Times New Roman" w:hint="default"/>
        </w:rPr>
        <w:t>3</w:t>
      </w:r>
      <w:r>
        <w:rPr/>
        <w:t>）</w:t>
      </w:r>
      <w:r>
        <w:rPr>
          <w:rFonts w:ascii="宋体" w:hAnsi="宋体" w:cs="宋体" w:eastAsia="宋体" w:hint="default"/>
        </w:rPr>
        <w:t>“</w:t>
      </w:r>
      <w:r>
        <w:rPr/>
        <w:t>物联网</w:t>
      </w:r>
      <w:r>
        <w:rPr>
          <w:rFonts w:ascii="宋体" w:hAnsi="宋体" w:cs="宋体" w:eastAsia="宋体" w:hint="default"/>
        </w:rPr>
        <w:t>”</w:t>
      </w:r>
      <w:r>
        <w:rPr/>
        <w:t>相关技术应用为数字化城市管理提供了新的发展空间，使 数字化城市管理系统逐步发展成为城市综合运行管理平台。</w:t>
      </w:r>
    </w:p>
    <w:p>
      <w:pPr>
        <w:pStyle w:val="BodyText"/>
        <w:spacing w:line="352" w:lineRule="auto" w:before="62"/>
        <w:ind w:left="617" w:right="369"/>
        <w:jc w:val="left"/>
      </w:pPr>
      <w:r>
        <w:rPr>
          <w:rFonts w:ascii="Times New Roman" w:hAnsi="Times New Roman" w:cs="Times New Roman" w:eastAsia="Times New Roman" w:hint="default"/>
        </w:rPr>
        <w:t>2</w:t>
      </w:r>
      <w:r>
        <w:rPr/>
        <w:t>、公司的品牌和以往的业绩为该项目的市场开拓奠定了坚实基础 公司作为国内数字化城市管理和国土资源管理领域的专业电子政务解决方</w:t>
      </w:r>
    </w:p>
    <w:p>
      <w:pPr>
        <w:pStyle w:val="BodyText"/>
        <w:spacing w:line="374" w:lineRule="auto" w:before="62"/>
        <w:ind w:right="113"/>
        <w:jc w:val="both"/>
        <w:rPr>
          <w:rFonts w:ascii="宋体" w:hAnsi="宋体" w:cs="宋体" w:eastAsia="宋体" w:hint="default"/>
        </w:rPr>
      </w:pPr>
      <w:r>
        <w:rPr>
          <w:spacing w:val="-3"/>
        </w:rPr>
        <w:t>案的最早推动者之一，已实施了大量</w:t>
      </w:r>
      <w:r>
        <w:rPr>
          <w:rFonts w:ascii="宋体" w:hAnsi="宋体" w:cs="宋体" w:eastAsia="宋体" w:hint="default"/>
          <w:spacing w:val="-3"/>
        </w:rPr>
        <w:t>“</w:t>
      </w:r>
      <w:r>
        <w:rPr>
          <w:spacing w:val="-3"/>
        </w:rPr>
        <w:t>数字城管</w:t>
      </w:r>
      <w:r>
        <w:rPr>
          <w:rFonts w:ascii="宋体" w:hAnsi="宋体" w:cs="宋体" w:eastAsia="宋体" w:hint="default"/>
          <w:spacing w:val="-3"/>
        </w:rPr>
        <w:t>”</w:t>
      </w:r>
      <w:r>
        <w:rPr>
          <w:spacing w:val="-3"/>
        </w:rPr>
        <w:t>项目，积累了丰富的项目实施</w:t>
      </w:r>
      <w:r>
        <w:rPr>
          <w:spacing w:val="-103"/>
        </w:rPr>
        <w:t> </w:t>
      </w:r>
      <w:r>
        <w:rPr>
          <w:spacing w:val="-103"/>
        </w:rPr>
      </w:r>
      <w:r>
        <w:rPr>
          <w:spacing w:val="-3"/>
        </w:rPr>
        <w:t>经验。凭借先进技术和优质服务，公司在国内</w:t>
      </w:r>
      <w:r>
        <w:rPr>
          <w:rFonts w:ascii="宋体" w:hAnsi="宋体" w:cs="宋体" w:eastAsia="宋体" w:hint="default"/>
          <w:spacing w:val="-3"/>
        </w:rPr>
        <w:t>“</w:t>
      </w:r>
      <w:r>
        <w:rPr>
          <w:spacing w:val="-3"/>
        </w:rPr>
        <w:t>数字城管</w:t>
      </w:r>
      <w:r>
        <w:rPr>
          <w:rFonts w:ascii="宋体" w:hAnsi="宋体" w:cs="宋体" w:eastAsia="宋体" w:hint="default"/>
          <w:spacing w:val="-3"/>
        </w:rPr>
        <w:t>”</w:t>
      </w:r>
      <w:r>
        <w:rPr>
          <w:spacing w:val="-3"/>
        </w:rPr>
        <w:t>领域做出了许多有重</w:t>
      </w:r>
      <w:r>
        <w:rPr>
          <w:spacing w:val="-103"/>
        </w:rPr>
        <w:t> </w:t>
      </w:r>
      <w:r>
        <w:rPr>
          <w:spacing w:val="-6"/>
        </w:rPr>
        <w:t>要行业影响力的项目，包括影响力较大的</w:t>
      </w:r>
      <w:r>
        <w:rPr>
          <w:rFonts w:ascii="宋体" w:hAnsi="宋体" w:cs="宋体" w:eastAsia="宋体" w:hint="default"/>
          <w:spacing w:val="-6"/>
        </w:rPr>
        <w:t>“</w:t>
      </w:r>
      <w:r>
        <w:rPr>
          <w:spacing w:val="-6"/>
        </w:rPr>
        <w:t>北京东城区网格化城市管理信息系统</w:t>
      </w:r>
      <w:r>
        <w:rPr>
          <w:rFonts w:ascii="宋体" w:hAnsi="宋体" w:cs="宋体" w:eastAsia="宋体" w:hint="default"/>
          <w:spacing w:val="-6"/>
        </w:rPr>
        <w:t>”</w:t>
      </w:r>
    </w:p>
    <w:p>
      <w:pPr>
        <w:spacing w:after="0" w:line="374" w:lineRule="auto"/>
        <w:jc w:val="both"/>
        <w:rPr>
          <w:rFonts w:ascii="宋体" w:hAnsi="宋体" w:cs="宋体" w:eastAsia="宋体" w:hint="default"/>
        </w:rPr>
        <w:sectPr>
          <w:pgSz w:w="11910" w:h="16840"/>
          <w:pgMar w:header="850" w:footer="979" w:top="1400" w:bottom="1160" w:left="1660" w:right="1560"/>
        </w:sectPr>
      </w:pPr>
    </w:p>
    <w:p>
      <w:pPr>
        <w:pStyle w:val="BodyText"/>
        <w:spacing w:line="374" w:lineRule="auto" w:before="72"/>
        <w:ind w:right="105"/>
        <w:jc w:val="left"/>
      </w:pPr>
      <w:r>
        <w:rPr>
          <w:spacing w:val="-6"/>
        </w:rPr>
        <w:t>以及国家住建部部署的</w:t>
      </w:r>
      <w:r>
        <w:rPr>
          <w:rFonts w:ascii="宋体" w:hAnsi="宋体" w:cs="宋体" w:eastAsia="宋体" w:hint="default"/>
          <w:spacing w:val="-6"/>
        </w:rPr>
        <w:t>“</w:t>
      </w:r>
      <w:r>
        <w:rPr>
          <w:spacing w:val="-6"/>
        </w:rPr>
        <w:t>数字化城市管理新模式</w:t>
      </w:r>
      <w:r>
        <w:rPr>
          <w:rFonts w:ascii="宋体" w:hAnsi="宋体" w:cs="宋体" w:eastAsia="宋体" w:hint="default"/>
          <w:spacing w:val="-6"/>
        </w:rPr>
        <w:t>”</w:t>
      </w:r>
      <w:r>
        <w:rPr>
          <w:spacing w:val="-6"/>
        </w:rPr>
        <w:t>试点城市的多个应用推广项目，</w:t>
      </w:r>
      <w:r>
        <w:rPr>
          <w:spacing w:val="-112"/>
        </w:rPr>
        <w:t> </w:t>
      </w:r>
      <w:r>
        <w:rPr/>
        <w:t>树立了良好的品牌和形象。从而为该项目的市场开拓奠定了坚实基础。</w:t>
      </w:r>
    </w:p>
    <w:p>
      <w:pPr>
        <w:pStyle w:val="BodyText"/>
        <w:spacing w:line="240" w:lineRule="auto" w:before="38"/>
        <w:ind w:left="617" w:right="111"/>
        <w:jc w:val="left"/>
      </w:pPr>
      <w:r>
        <w:rPr>
          <w:rFonts w:ascii="Times New Roman" w:hAnsi="Times New Roman" w:cs="Times New Roman" w:eastAsia="Times New Roman" w:hint="default"/>
        </w:rPr>
        <w:t>3</w:t>
      </w:r>
      <w:r>
        <w:rPr/>
        <w:t>、稳固的行业领先地位</w:t>
      </w:r>
    </w:p>
    <w:p>
      <w:pPr>
        <w:pStyle w:val="BodyText"/>
        <w:spacing w:line="352" w:lineRule="auto" w:before="157"/>
        <w:ind w:right="249" w:firstLine="480"/>
        <w:jc w:val="left"/>
      </w:pPr>
      <w:r>
        <w:rPr/>
        <w:t>（</w:t>
      </w:r>
      <w:r>
        <w:rPr>
          <w:rFonts w:ascii="Times New Roman" w:hAnsi="Times New Roman" w:cs="Times New Roman" w:eastAsia="Times New Roman" w:hint="default"/>
        </w:rPr>
        <w:t>1</w:t>
      </w:r>
      <w:r>
        <w:rPr/>
        <w:t>）行业先发优势明显，首创建设了第一个数字化城市管理系统、第一个 专业网格化系统、第一个社区网格化系统，创造了多项行业第一。</w:t>
      </w:r>
    </w:p>
    <w:p>
      <w:pPr>
        <w:pStyle w:val="BodyText"/>
        <w:spacing w:line="352" w:lineRule="auto" w:before="62"/>
        <w:ind w:right="249" w:firstLine="480"/>
        <w:jc w:val="left"/>
      </w:pPr>
      <w:r>
        <w:rPr/>
        <w:t>（</w:t>
      </w:r>
      <w:r>
        <w:rPr>
          <w:rFonts w:ascii="Times New Roman" w:hAnsi="Times New Roman" w:cs="Times New Roman" w:eastAsia="Times New Roman" w:hint="default"/>
        </w:rPr>
        <w:t>2</w:t>
      </w:r>
      <w:r>
        <w:rPr/>
        <w:t>）绝对优势的市场占有率：公司在数字化城市管理行业排名第一，市场 占有率在</w:t>
      </w:r>
      <w:r>
        <w:rPr>
          <w:spacing w:val="-61"/>
        </w:rPr>
        <w:t> </w:t>
      </w:r>
      <w:r>
        <w:rPr>
          <w:rFonts w:ascii="Times New Roman" w:hAnsi="Times New Roman" w:cs="Times New Roman" w:eastAsia="Times New Roman" w:hint="default"/>
        </w:rPr>
        <w:t>50%</w:t>
      </w:r>
      <w:r>
        <w:rPr/>
        <w:t>以上，</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年来公司积累了大量成功案例和客户资源。</w:t>
      </w:r>
    </w:p>
    <w:p>
      <w:pPr>
        <w:pStyle w:val="BodyText"/>
        <w:spacing w:line="240" w:lineRule="auto" w:before="32"/>
        <w:ind w:left="617" w:right="111"/>
        <w:jc w:val="left"/>
      </w:pPr>
      <w:r>
        <w:rPr>
          <w:rFonts w:ascii="Times New Roman" w:hAnsi="Times New Roman" w:cs="Times New Roman" w:eastAsia="Times New Roman" w:hint="default"/>
        </w:rPr>
        <w:t>4</w:t>
      </w:r>
      <w:r>
        <w:rPr/>
        <w:t>、领先的核心技术</w:t>
      </w:r>
    </w:p>
    <w:p>
      <w:pPr>
        <w:pStyle w:val="BodyText"/>
        <w:spacing w:line="240" w:lineRule="auto" w:before="157"/>
        <w:ind w:left="617" w:right="0"/>
        <w:jc w:val="left"/>
      </w:pPr>
      <w:r>
        <w:rPr/>
        <w:t>（</w:t>
      </w:r>
      <w:r>
        <w:rPr>
          <w:rFonts w:ascii="Times New Roman" w:hAnsi="Times New Roman" w:cs="Times New Roman" w:eastAsia="Times New Roman" w:hint="default"/>
        </w:rPr>
        <w:t>1</w:t>
      </w:r>
      <w:r>
        <w:rPr>
          <w:spacing w:val="-120"/>
        </w:rPr>
        <w:t>）</w:t>
      </w:r>
      <w:r>
        <w:rPr/>
        <w:t>自主研发的</w:t>
      </w:r>
      <w:r>
        <w:rPr>
          <w:spacing w:val="-82"/>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项核心技术和</w:t>
      </w:r>
      <w:r>
        <w:rPr>
          <w:spacing w:val="-82"/>
        </w:rPr>
        <w:t> </w:t>
      </w:r>
      <w:r>
        <w:rPr>
          <w:rFonts w:ascii="Times New Roman" w:hAnsi="Times New Roman" w:cs="Times New Roman" w:eastAsia="Times New Roman" w:hint="default"/>
        </w:rPr>
        <w:t>18</w:t>
      </w:r>
      <w:r>
        <w:rPr>
          <w:rFonts w:ascii="Times New Roman" w:hAnsi="Times New Roman" w:cs="Times New Roman" w:eastAsia="Times New Roman" w:hint="default"/>
          <w:spacing w:val="-22"/>
        </w:rPr>
        <w:t> </w:t>
      </w:r>
      <w:r>
        <w:rPr/>
        <w:t>项软件著作权奠定了行业技术领先优势。</w:t>
      </w:r>
    </w:p>
    <w:p>
      <w:pPr>
        <w:pStyle w:val="BodyText"/>
        <w:spacing w:line="369" w:lineRule="auto" w:before="157"/>
        <w:ind w:right="105" w:firstLine="480"/>
        <w:jc w:val="left"/>
      </w:pPr>
      <w:r>
        <w:rPr/>
        <w:t>（</w:t>
      </w:r>
      <w:r>
        <w:rPr>
          <w:rFonts w:ascii="Times New Roman" w:hAnsi="Times New Roman" w:cs="Times New Roman" w:eastAsia="Times New Roman" w:hint="default"/>
        </w:rPr>
        <w:t>2</w:t>
      </w:r>
      <w:r>
        <w:rPr/>
        <w:t>）核心技术领先优势为用户提供了功能优越、性能可靠的应用系统，可 </w:t>
      </w:r>
      <w:r>
        <w:rPr>
          <w:spacing w:val="-6"/>
        </w:rPr>
        <w:t>以满足各级政府的需要。同时，公司的核心技术也为项目提供了高效的构建工具，</w:t>
      </w:r>
      <w:r>
        <w:rPr>
          <w:spacing w:val="-115"/>
        </w:rPr>
        <w:t> </w:t>
      </w:r>
      <w:r>
        <w:rPr>
          <w:spacing w:val="-115"/>
        </w:rPr>
      </w:r>
      <w:r>
        <w:rPr>
          <w:spacing w:val="-3"/>
        </w:rPr>
        <w:t>大大提高规模化项目实施能力，系统管理员在不依赖开发单位情况下，通过工具</w:t>
      </w:r>
      <w:r>
        <w:rPr>
          <w:spacing w:val="-103"/>
        </w:rPr>
        <w:t> </w:t>
      </w:r>
      <w:r>
        <w:rPr>
          <w:spacing w:val="-103"/>
        </w:rPr>
      </w:r>
      <w:r>
        <w:rPr>
          <w:spacing w:val="-3"/>
        </w:rPr>
        <w:t>化、人机对话式操作快速完成系统日常维护和扩展工作，降低了项目维护难度和</w:t>
      </w:r>
      <w:r>
        <w:rPr>
          <w:spacing w:val="-103"/>
        </w:rPr>
        <w:t> </w:t>
      </w:r>
      <w:r>
        <w:rPr>
          <w:spacing w:val="-103"/>
        </w:rPr>
      </w:r>
      <w:r>
        <w:rPr/>
        <w:t>维护成本。</w:t>
      </w:r>
    </w:p>
    <w:p>
      <w:pPr>
        <w:pStyle w:val="BodyText"/>
        <w:spacing w:line="240" w:lineRule="auto" w:before="43"/>
        <w:ind w:left="617" w:right="111"/>
        <w:jc w:val="left"/>
      </w:pPr>
      <w:r>
        <w:rPr>
          <w:rFonts w:ascii="Times New Roman" w:hAnsi="Times New Roman" w:cs="Times New Roman" w:eastAsia="Times New Roman" w:hint="default"/>
        </w:rPr>
        <w:t>5</w:t>
      </w:r>
      <w:r>
        <w:rPr/>
        <w:t>、持续创新的研发体系</w:t>
      </w:r>
    </w:p>
    <w:p>
      <w:pPr>
        <w:pStyle w:val="BodyText"/>
        <w:spacing w:line="352" w:lineRule="auto" w:before="157"/>
        <w:ind w:right="249" w:firstLine="480"/>
        <w:jc w:val="left"/>
      </w:pPr>
      <w:r>
        <w:rPr/>
        <w:t>（</w:t>
      </w:r>
      <w:r>
        <w:rPr>
          <w:rFonts w:ascii="Times New Roman" w:hAnsi="Times New Roman" w:cs="Times New Roman" w:eastAsia="Times New Roman" w:hint="default"/>
        </w:rPr>
        <w:t>1</w:t>
      </w:r>
      <w:r>
        <w:rPr/>
        <w:t>）公司拥有持续创新的基础：公司自创建伊始已经逐步构建了一支稳定 高效的研发团队，为公司的持续研发奠定了人才基础。</w:t>
      </w:r>
    </w:p>
    <w:p>
      <w:pPr>
        <w:pStyle w:val="BodyText"/>
        <w:spacing w:line="367" w:lineRule="auto" w:before="62"/>
        <w:ind w:right="233" w:firstLine="480"/>
        <w:jc w:val="both"/>
      </w:pPr>
      <w:r>
        <w:rPr/>
        <w:t>（</w:t>
      </w:r>
      <w:r>
        <w:rPr>
          <w:rFonts w:ascii="Times New Roman" w:hAnsi="Times New Roman" w:cs="Times New Roman" w:eastAsia="Times New Roman" w:hint="default"/>
        </w:rPr>
        <w:t>2</w:t>
      </w:r>
      <w:r>
        <w:rPr/>
        <w:t>）公司规范完善的研发体制为公司持续创新提供了保障：公司通过建立 </w:t>
      </w:r>
      <w:r>
        <w:rPr>
          <w:spacing w:val="-3"/>
        </w:rPr>
        <w:t>的一系列与技术创新相关的制度，将产品创新战略纳入公司总体战略中，通过滚</w:t>
      </w:r>
      <w:r>
        <w:rPr>
          <w:spacing w:val="-103"/>
        </w:rPr>
        <w:t> </w:t>
      </w:r>
      <w:r>
        <w:rPr>
          <w:spacing w:val="-103"/>
        </w:rPr>
      </w:r>
      <w:r>
        <w:rPr>
          <w:spacing w:val="-3"/>
        </w:rPr>
        <w:t>动性更新确保创新工作计划能够与公司总体战略发展匹配，并将创新能力及成果</w:t>
      </w:r>
      <w:r>
        <w:rPr>
          <w:spacing w:val="-104"/>
        </w:rPr>
        <w:t> </w:t>
      </w:r>
      <w:r>
        <w:rPr>
          <w:spacing w:val="-104"/>
        </w:rPr>
      </w:r>
      <w:r>
        <w:rPr/>
        <w:t>作为研发人员的绩效考核指标。</w:t>
      </w:r>
    </w:p>
    <w:p>
      <w:pPr>
        <w:pStyle w:val="BodyText"/>
        <w:spacing w:line="362" w:lineRule="auto" w:before="48"/>
        <w:ind w:right="111" w:firstLine="480"/>
        <w:jc w:val="left"/>
      </w:pPr>
      <w:r>
        <w:rPr>
          <w:spacing w:val="-3"/>
        </w:rPr>
        <w:t>（</w:t>
      </w:r>
      <w:r>
        <w:rPr>
          <w:rFonts w:ascii="Times New Roman" w:hAnsi="Times New Roman" w:cs="Times New Roman" w:eastAsia="Times New Roman" w:hint="default"/>
          <w:spacing w:val="-3"/>
        </w:rPr>
        <w:t>3</w:t>
      </w:r>
      <w:r>
        <w:rPr>
          <w:spacing w:val="-3"/>
        </w:rPr>
        <w:t>）公司积极主动跟踪行业需求，为研发团队持续创新提供了新的推动力：</w:t>
      </w:r>
      <w:r>
        <w:rPr/>
        <w:t> </w:t>
      </w:r>
      <w:r>
        <w:rPr>
          <w:spacing w:val="-3"/>
        </w:rPr>
        <w:t>公司作为行业的领军企业，具有丰富的项目积累经验，从北京市东城区开始，公</w:t>
      </w:r>
      <w:r>
        <w:rPr>
          <w:spacing w:val="-102"/>
        </w:rPr>
        <w:t> </w:t>
      </w:r>
      <w:r>
        <w:rPr>
          <w:spacing w:val="-102"/>
        </w:rPr>
      </w:r>
      <w:r>
        <w:rPr/>
        <w:t>司已经为</w:t>
      </w:r>
      <w:r>
        <w:rPr>
          <w:spacing w:val="-60"/>
        </w:rPr>
        <w:t> </w:t>
      </w:r>
      <w:r>
        <w:rPr>
          <w:rFonts w:ascii="Times New Roman" w:hAnsi="Times New Roman" w:cs="Times New Roman" w:eastAsia="Times New Roman" w:hint="default"/>
        </w:rPr>
        <w:t>70 </w:t>
      </w:r>
      <w:r>
        <w:rPr/>
        <w:t>余个项目提供定制软件服务，在项目实施过程中，公司能及时把握 </w:t>
      </w:r>
      <w:r>
        <w:rPr>
          <w:spacing w:val="-3"/>
        </w:rPr>
        <w:t>行业需求的现状和发展方向，并在研发规划中能根据行业需求对公司产品进行优</w:t>
      </w:r>
      <w:r>
        <w:rPr>
          <w:spacing w:val="-104"/>
        </w:rPr>
        <w:t> </w:t>
      </w:r>
      <w:r>
        <w:rPr>
          <w:spacing w:val="-104"/>
        </w:rPr>
      </w:r>
      <w:r>
        <w:rPr/>
        <w:t>化升级，从而保证公司的持续创新能力。</w:t>
      </w:r>
    </w:p>
    <w:p>
      <w:pPr>
        <w:pStyle w:val="BodyText"/>
        <w:spacing w:line="240" w:lineRule="auto" w:before="50"/>
        <w:ind w:left="617" w:right="111"/>
        <w:jc w:val="left"/>
      </w:pPr>
      <w:r>
        <w:rPr>
          <w:rFonts w:ascii="Times New Roman" w:hAnsi="Times New Roman" w:cs="Times New Roman" w:eastAsia="Times New Roman" w:hint="default"/>
        </w:rPr>
        <w:t>6</w:t>
      </w:r>
      <w:r>
        <w:rPr/>
        <w:t>、专业化的销售模式</w:t>
      </w:r>
    </w:p>
    <w:p>
      <w:pPr>
        <w:spacing w:after="0" w:line="240" w:lineRule="auto"/>
        <w:jc w:val="left"/>
        <w:sectPr>
          <w:pgSz w:w="11910" w:h="16840"/>
          <w:pgMar w:header="850" w:footer="979" w:top="1400" w:bottom="1160" w:left="1660" w:right="1560"/>
        </w:sectPr>
      </w:pPr>
    </w:p>
    <w:p>
      <w:pPr>
        <w:pStyle w:val="BodyText"/>
        <w:spacing w:line="352" w:lineRule="auto" w:before="72"/>
        <w:ind w:right="111" w:firstLine="480"/>
        <w:jc w:val="left"/>
      </w:pPr>
      <w:r>
        <w:rPr>
          <w:spacing w:val="-4"/>
        </w:rPr>
        <w:t>（</w:t>
      </w:r>
      <w:r>
        <w:rPr>
          <w:rFonts w:ascii="Times New Roman" w:hAnsi="Times New Roman" w:cs="Times New Roman" w:eastAsia="Times New Roman" w:hint="default"/>
          <w:spacing w:val="-4"/>
        </w:rPr>
        <w:t>1</w:t>
      </w:r>
      <w:r>
        <w:rPr>
          <w:spacing w:val="-4"/>
        </w:rPr>
        <w:t>）采取</w:t>
      </w:r>
      <w:r>
        <w:rPr>
          <w:rFonts w:ascii="宋体" w:hAnsi="宋体" w:cs="宋体" w:eastAsia="宋体" w:hint="default"/>
          <w:spacing w:val="-4"/>
        </w:rPr>
        <w:t>“</w:t>
      </w:r>
      <w:r>
        <w:rPr>
          <w:spacing w:val="-4"/>
        </w:rPr>
        <w:t>分布</w:t>
      </w:r>
      <w:r>
        <w:rPr>
          <w:rFonts w:ascii="Times New Roman" w:hAnsi="Times New Roman" w:cs="Times New Roman" w:eastAsia="Times New Roman" w:hint="default"/>
          <w:spacing w:val="-4"/>
        </w:rPr>
        <w:t>+</w:t>
      </w:r>
      <w:r>
        <w:rPr>
          <w:spacing w:val="-4"/>
        </w:rPr>
        <w:t>集中</w:t>
      </w:r>
      <w:r>
        <w:rPr>
          <w:rFonts w:ascii="宋体" w:hAnsi="宋体" w:cs="宋体" w:eastAsia="宋体" w:hint="default"/>
          <w:spacing w:val="-4"/>
        </w:rPr>
        <w:t>”</w:t>
      </w:r>
      <w:r>
        <w:rPr>
          <w:spacing w:val="-4"/>
        </w:rPr>
        <w:t>式的销售模式，根据不同区域特点，在全国建立三</w:t>
      </w:r>
      <w:r>
        <w:rPr/>
        <w:t> 个大区域的售前、售后一体化服务团队，实现对全国市场的扁平化管理。</w:t>
      </w:r>
    </w:p>
    <w:p>
      <w:pPr>
        <w:pStyle w:val="BodyText"/>
        <w:spacing w:line="352" w:lineRule="auto" w:before="60"/>
        <w:ind w:right="111" w:firstLine="480"/>
        <w:jc w:val="left"/>
      </w:pPr>
      <w:r>
        <w:rPr>
          <w:spacing w:val="-3"/>
        </w:rPr>
        <w:t>（</w:t>
      </w:r>
      <w:r>
        <w:rPr>
          <w:rFonts w:ascii="Times New Roman" w:hAnsi="Times New Roman" w:cs="Times New Roman" w:eastAsia="Times New Roman" w:hint="default"/>
          <w:spacing w:val="-3"/>
        </w:rPr>
        <w:t>2</w:t>
      </w:r>
      <w:r>
        <w:rPr>
          <w:spacing w:val="-3"/>
        </w:rPr>
        <w:t>）点、面结合的区域营销方式。通过公司已有的大量用户应用示范</w:t>
      </w:r>
      <w:r>
        <w:rPr>
          <w:rFonts w:ascii="宋体" w:hAnsi="宋体" w:cs="宋体" w:eastAsia="宋体" w:hint="default"/>
          <w:spacing w:val="-3"/>
        </w:rPr>
        <w:t>“</w:t>
      </w:r>
      <w:r>
        <w:rPr>
          <w:spacing w:val="-3"/>
        </w:rPr>
        <w:t>点</w:t>
      </w:r>
      <w:r>
        <w:rPr>
          <w:rFonts w:ascii="宋体" w:hAnsi="宋体" w:cs="宋体" w:eastAsia="宋体" w:hint="default"/>
          <w:spacing w:val="-3"/>
        </w:rPr>
        <w:t>”</w:t>
      </w:r>
      <w:r>
        <w:rPr>
          <w:rFonts w:ascii="宋体" w:hAnsi="宋体" w:cs="宋体" w:eastAsia="宋体" w:hint="default"/>
        </w:rPr>
        <w:t> </w:t>
      </w:r>
      <w:r>
        <w:rPr/>
        <w:t>建立具有辐射带动作用的用户网络，推动以省为单位的</w:t>
      </w:r>
      <w:r>
        <w:rPr>
          <w:rFonts w:ascii="宋体" w:hAnsi="宋体" w:cs="宋体" w:eastAsia="宋体" w:hint="default"/>
        </w:rPr>
        <w:t>“</w:t>
      </w:r>
      <w:r>
        <w:rPr/>
        <w:t>面</w:t>
      </w:r>
      <w:r>
        <w:rPr>
          <w:rFonts w:ascii="宋体" w:hAnsi="宋体" w:cs="宋体" w:eastAsia="宋体" w:hint="default"/>
        </w:rPr>
        <w:t>”</w:t>
      </w:r>
      <w:r>
        <w:rPr/>
        <w:t>状市场营销；</w:t>
      </w:r>
    </w:p>
    <w:p>
      <w:pPr>
        <w:pStyle w:val="BodyText"/>
        <w:spacing w:line="352" w:lineRule="auto" w:before="62"/>
        <w:ind w:right="111" w:firstLine="480"/>
        <w:jc w:val="left"/>
      </w:pPr>
      <w:r>
        <w:rPr>
          <w:spacing w:val="-1"/>
        </w:rPr>
        <w:t>（</w:t>
      </w:r>
      <w:r>
        <w:rPr>
          <w:rFonts w:ascii="Times New Roman" w:hAnsi="Times New Roman" w:cs="Times New Roman" w:eastAsia="Times New Roman" w:hint="default"/>
          <w:spacing w:val="-1"/>
        </w:rPr>
        <w:t>3</w:t>
      </w:r>
      <w:r>
        <w:rPr>
          <w:spacing w:val="-1"/>
        </w:rPr>
        <w:t>）充分利用中国电信、</w:t>
      </w:r>
      <w:r>
        <w:rPr>
          <w:rFonts w:ascii="Times New Roman" w:hAnsi="Times New Roman" w:cs="Times New Roman" w:eastAsia="Times New Roman" w:hint="default"/>
          <w:spacing w:val="-1"/>
        </w:rPr>
        <w:t>ESRI</w:t>
      </w:r>
      <w:r>
        <w:rPr>
          <w:spacing w:val="-1"/>
        </w:rPr>
        <w:t>、甲骨文、金蝶中间件等合作伙伴及其所属</w:t>
      </w:r>
      <w:r>
        <w:rPr/>
        <w:t> 的地方子公司、分公司营销网络，扩大业务营销范围，共同开发各区域市场。</w:t>
      </w:r>
    </w:p>
    <w:p>
      <w:pPr>
        <w:pStyle w:val="BodyText"/>
        <w:spacing w:line="352" w:lineRule="auto" w:before="60"/>
        <w:ind w:left="617" w:right="228"/>
        <w:jc w:val="left"/>
      </w:pPr>
      <w:r>
        <w:rPr>
          <w:rFonts w:ascii="Times New Roman" w:hAnsi="Times New Roman" w:cs="Times New Roman" w:eastAsia="Times New Roman" w:hint="default"/>
        </w:rPr>
        <w:t>7</w:t>
      </w:r>
      <w:r>
        <w:rPr/>
        <w:t>、优秀的项目管理能力 </w:t>
      </w:r>
      <w:r>
        <w:rPr>
          <w:spacing w:val="-3"/>
        </w:rPr>
        <w:t>报告期内，公司开始为部分客户提供数字化城市管理系统整体解决方案，为</w:t>
      </w:r>
    </w:p>
    <w:p>
      <w:pPr>
        <w:pStyle w:val="BodyText"/>
        <w:spacing w:line="374" w:lineRule="auto" w:before="62"/>
        <w:ind w:right="233"/>
        <w:jc w:val="both"/>
      </w:pPr>
      <w:r>
        <w:rPr>
          <w:spacing w:val="-3"/>
        </w:rPr>
        <w:t>客户提供软硬件等全方位服务。提供整体解决方案对公司项目管理能力提出更高</w:t>
      </w:r>
      <w:r>
        <w:rPr>
          <w:spacing w:val="-104"/>
        </w:rPr>
        <w:t> </w:t>
      </w:r>
      <w:r>
        <w:rPr>
          <w:spacing w:val="-104"/>
        </w:rPr>
      </w:r>
      <w:r>
        <w:rPr>
          <w:spacing w:val="-3"/>
        </w:rPr>
        <w:t>要求。公司通过经验总结和实践操作，逐步提升项目管理能力。目前，公司已为</w:t>
      </w:r>
      <w:r>
        <w:rPr>
          <w:spacing w:val="-103"/>
        </w:rPr>
        <w:t> </w:t>
      </w:r>
      <w:r>
        <w:rPr>
          <w:spacing w:val="-103"/>
        </w:rPr>
      </w:r>
      <w:r>
        <w:rPr>
          <w:spacing w:val="-3"/>
        </w:rPr>
        <w:t>多个客户提供整体解决方案服务，并取得客户认可。公司的项目管理能力已成为</w:t>
      </w:r>
      <w:r>
        <w:rPr>
          <w:spacing w:val="-103"/>
        </w:rPr>
        <w:t> </w:t>
      </w:r>
      <w:r>
        <w:rPr>
          <w:spacing w:val="-103"/>
        </w:rPr>
      </w:r>
      <w:r>
        <w:rPr/>
        <w:t>公司新的核心优势。</w:t>
      </w:r>
    </w:p>
    <w:p>
      <w:pPr>
        <w:pStyle w:val="BodyText"/>
        <w:spacing w:line="352" w:lineRule="auto" w:before="41"/>
        <w:ind w:left="617" w:right="111"/>
        <w:jc w:val="left"/>
      </w:pPr>
      <w:r>
        <w:rPr>
          <w:rFonts w:ascii="Times New Roman" w:hAnsi="Times New Roman" w:cs="Times New Roman" w:eastAsia="Times New Roman" w:hint="default"/>
        </w:rPr>
        <w:t>8</w:t>
      </w:r>
      <w:r>
        <w:rPr/>
        <w:t>、高效的技术服务能力 </w:t>
      </w:r>
      <w:r>
        <w:rPr>
          <w:spacing w:val="-7"/>
        </w:rPr>
        <w:t>报告期内，公司自主研发了数据普查车等移动测量设备。利用移动测量设备，</w:t>
      </w:r>
    </w:p>
    <w:p>
      <w:pPr>
        <w:pStyle w:val="BodyText"/>
        <w:spacing w:line="374" w:lineRule="auto" w:before="60"/>
        <w:ind w:right="233"/>
        <w:jc w:val="both"/>
      </w:pPr>
      <w:r>
        <w:rPr>
          <w:spacing w:val="-3"/>
        </w:rPr>
        <w:t>公司提供的数据普查服务，能大大缩短数字化城市管理系统项目的建设周期，提</w:t>
      </w:r>
      <w:r>
        <w:rPr>
          <w:spacing w:val="-103"/>
        </w:rPr>
        <w:t> </w:t>
      </w:r>
      <w:r>
        <w:rPr>
          <w:spacing w:val="-103"/>
        </w:rPr>
      </w:r>
      <w:r>
        <w:rPr>
          <w:spacing w:val="-3"/>
        </w:rPr>
        <w:t>高系统建设效率，并降低系统后续维护难度。因此，公司技术服务能力大幅度提</w:t>
      </w:r>
      <w:r>
        <w:rPr>
          <w:spacing w:val="-102"/>
        </w:rPr>
        <w:t> </w:t>
      </w:r>
      <w:r>
        <w:rPr>
          <w:spacing w:val="-102"/>
        </w:rPr>
      </w:r>
      <w:r>
        <w:rPr/>
        <w:t>升，技术服务能力成为公司新的核心优势。</w:t>
      </w:r>
    </w:p>
    <w:p>
      <w:pPr>
        <w:pStyle w:val="BodyText"/>
        <w:spacing w:line="352" w:lineRule="auto" w:before="41"/>
        <w:ind w:left="617" w:right="228"/>
        <w:jc w:val="left"/>
      </w:pPr>
      <w:r>
        <w:rPr>
          <w:rFonts w:ascii="Times New Roman" w:hAnsi="Times New Roman" w:cs="Times New Roman" w:eastAsia="Times New Roman" w:hint="default"/>
        </w:rPr>
        <w:t>9</w:t>
      </w:r>
      <w:r>
        <w:rPr/>
        <w:t>、雄厚的资金 </w:t>
      </w:r>
      <w:r>
        <w:rPr>
          <w:spacing w:val="-3"/>
        </w:rPr>
        <w:t>报告期内，公司在深圳证券交易所创业板成功挂牌上市，获得了较多的募集</w:t>
      </w:r>
    </w:p>
    <w:p>
      <w:pPr>
        <w:pStyle w:val="BodyText"/>
        <w:spacing w:line="374" w:lineRule="auto" w:before="62"/>
        <w:ind w:right="233"/>
        <w:jc w:val="both"/>
      </w:pPr>
      <w:r>
        <w:rPr>
          <w:spacing w:val="-3"/>
        </w:rPr>
        <w:t>资金。加上过去数年，公司业绩稳步增长，现金流稳定，公司目前拥有较为雄厚</w:t>
      </w:r>
      <w:r>
        <w:rPr>
          <w:spacing w:val="-103"/>
        </w:rPr>
        <w:t> </w:t>
      </w:r>
      <w:r>
        <w:rPr>
          <w:spacing w:val="-103"/>
        </w:rPr>
      </w:r>
      <w:r>
        <w:rPr/>
        <w:t>的资金实力，为公司进一步发展奠定了坚实的经济基础。</w:t>
      </w:r>
    </w:p>
    <w:p>
      <w:pPr>
        <w:pStyle w:val="Heading3"/>
        <w:spacing w:line="240" w:lineRule="auto" w:before="204"/>
        <w:ind w:left="137" w:right="0"/>
        <w:jc w:val="both"/>
        <w:rPr>
          <w:b w:val="0"/>
          <w:bCs w:val="0"/>
        </w:rPr>
      </w:pPr>
      <w:r>
        <w:rPr/>
        <w:t>二、对公司未来发展的展望</w:t>
      </w:r>
      <w:r>
        <w:rPr>
          <w:b w:val="0"/>
          <w:bCs w:val="0"/>
        </w:rPr>
      </w:r>
    </w:p>
    <w:p>
      <w:pPr>
        <w:spacing w:line="240" w:lineRule="auto" w:before="9"/>
        <w:rPr>
          <w:rFonts w:ascii="宋体" w:hAnsi="宋体" w:cs="宋体" w:eastAsia="宋体" w:hint="default"/>
          <w:b/>
          <w:bCs/>
          <w:sz w:val="25"/>
          <w:szCs w:val="25"/>
        </w:rPr>
      </w:pPr>
    </w:p>
    <w:p>
      <w:pPr>
        <w:spacing w:line="429" w:lineRule="auto" w:before="0"/>
        <w:ind w:left="617" w:right="222" w:firstLine="2"/>
        <w:jc w:val="left"/>
        <w:rPr>
          <w:rFonts w:ascii="宋体" w:hAnsi="宋体" w:cs="宋体" w:eastAsia="宋体" w:hint="default"/>
          <w:sz w:val="24"/>
          <w:szCs w:val="24"/>
        </w:rPr>
      </w:pPr>
      <w:r>
        <w:rPr>
          <w:rFonts w:ascii="宋体" w:hAnsi="宋体" w:cs="宋体" w:eastAsia="宋体" w:hint="default"/>
          <w:b/>
          <w:bCs/>
          <w:sz w:val="24"/>
          <w:szCs w:val="24"/>
        </w:rPr>
        <w:t>（一）公司所处行业的发展趋势</w:t>
      </w:r>
      <w:r>
        <w:rPr>
          <w:rFonts w:ascii="宋体" w:hAnsi="宋体" w:cs="宋体" w:eastAsia="宋体" w:hint="default"/>
          <w:b/>
          <w:bCs/>
          <w:w w:val="99"/>
          <w:sz w:val="24"/>
          <w:szCs w:val="24"/>
        </w:rPr>
        <w:t> </w:t>
      </w:r>
      <w:r>
        <w:rPr>
          <w:rFonts w:ascii="宋体" w:hAnsi="宋体" w:cs="宋体" w:eastAsia="宋体" w:hint="default"/>
          <w:sz w:val="24"/>
          <w:szCs w:val="24"/>
        </w:rPr>
        <w:t>随着我国城市数字化、信息化进程的加快，基于地理信息（</w:t>
      </w:r>
      <w:r>
        <w:rPr>
          <w:rFonts w:ascii="Times New Roman" w:hAnsi="Times New Roman" w:cs="Times New Roman" w:eastAsia="Times New Roman" w:hint="default"/>
          <w:sz w:val="24"/>
          <w:szCs w:val="24"/>
        </w:rPr>
        <w:t>GIS</w:t>
      </w:r>
      <w:r>
        <w:rPr>
          <w:rFonts w:ascii="宋体" w:hAnsi="宋体" w:cs="宋体" w:eastAsia="宋体" w:hint="default"/>
          <w:sz w:val="24"/>
          <w:szCs w:val="24"/>
        </w:rPr>
        <w:t>）的电子政</w:t>
      </w:r>
    </w:p>
    <w:p>
      <w:pPr>
        <w:pStyle w:val="BodyText"/>
        <w:spacing w:line="256" w:lineRule="exact"/>
        <w:ind w:right="0"/>
        <w:jc w:val="both"/>
      </w:pPr>
      <w:r>
        <w:rPr/>
        <w:t>务行业逐渐由被动要求转为主动需求。国内</w:t>
      </w:r>
      <w:r>
        <w:rPr>
          <w:rFonts w:ascii="Times New Roman" w:hAnsi="Times New Roman" w:cs="Times New Roman" w:eastAsia="Times New Roman" w:hint="default"/>
        </w:rPr>
        <w:t>GIS</w:t>
      </w:r>
      <w:r>
        <w:rPr/>
        <w:t>软件市场正处在整体高速扩容的</w:t>
      </w:r>
    </w:p>
    <w:p>
      <w:pPr>
        <w:pStyle w:val="BodyText"/>
        <w:spacing w:line="338" w:lineRule="auto" w:before="135"/>
        <w:ind w:right="240"/>
        <w:jc w:val="both"/>
      </w:pPr>
      <w:r>
        <w:rPr/>
        <w:t>阶段，今后政府</w:t>
      </w:r>
      <w:r>
        <w:rPr>
          <w:rFonts w:ascii="Times New Roman" w:hAnsi="Times New Roman" w:cs="Times New Roman" w:eastAsia="Times New Roman" w:hint="default"/>
        </w:rPr>
        <w:t>GIS</w:t>
      </w:r>
      <w:r>
        <w:rPr/>
        <w:t>应用将围绕电子政务建设展开，数字城市和电子政务建设将 在很大程度上拉动</w:t>
      </w:r>
      <w:r>
        <w:rPr>
          <w:rFonts w:ascii="Times New Roman" w:hAnsi="Times New Roman" w:cs="Times New Roman" w:eastAsia="Times New Roman" w:hint="default"/>
        </w:rPr>
        <w:t>GIS</w:t>
      </w:r>
      <w:r>
        <w:rPr/>
        <w:t>产业的发展。</w:t>
      </w:r>
    </w:p>
    <w:p>
      <w:pPr>
        <w:spacing w:after="0" w:line="338" w:lineRule="auto"/>
        <w:jc w:val="both"/>
        <w:sectPr>
          <w:footerReference w:type="default" r:id="rId17"/>
          <w:pgSz w:w="11910" w:h="16840"/>
          <w:pgMar w:footer="979" w:header="850" w:top="140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43" w:lineRule="auto"/>
        <w:ind w:right="99" w:firstLine="480"/>
        <w:jc w:val="left"/>
      </w:pPr>
      <w:r>
        <w:rPr/>
        <w:t>目前</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spacing w:val="-4"/>
        </w:rPr>
        <w:t>主要总体上呈现网络化、开放性、虚拟现实、集成化、空间多维性</w:t>
      </w:r>
      <w:r>
        <w:rPr/>
        <w:t> </w:t>
      </w:r>
      <w:r>
        <w:rPr>
          <w:spacing w:val="-6"/>
        </w:rPr>
        <w:t>等发展趋势。我国地理信息产业总规模已超过</w:t>
      </w:r>
      <w:r>
        <w:rPr>
          <w:spacing w:val="-55"/>
        </w:rPr>
        <w:t> </w:t>
      </w:r>
      <w:r>
        <w:rPr>
          <w:rFonts w:ascii="Times New Roman" w:hAnsi="Times New Roman" w:cs="Times New Roman" w:eastAsia="Times New Roman" w:hint="default"/>
        </w:rPr>
        <w:t>600</w:t>
      </w:r>
      <w:r>
        <w:rPr>
          <w:rFonts w:ascii="Times New Roman" w:hAnsi="Times New Roman" w:cs="Times New Roman" w:eastAsia="Times New Roman" w:hint="default"/>
          <w:spacing w:val="5"/>
        </w:rPr>
        <w:t> </w:t>
      </w:r>
      <w:r>
        <w:rPr>
          <w:spacing w:val="-11"/>
        </w:rPr>
        <w:t>亿元，年平均增长率超过</w:t>
      </w:r>
      <w:r>
        <w:rPr>
          <w:spacing w:val="-55"/>
        </w:rPr>
        <w:t> </w:t>
      </w:r>
      <w:r>
        <w:rPr>
          <w:rFonts w:ascii="Times New Roman" w:hAnsi="Times New Roman" w:cs="Times New Roman" w:eastAsia="Times New Roman" w:hint="default"/>
          <w:spacing w:val="-1"/>
        </w:rPr>
        <w:t>20%</w:t>
      </w:r>
      <w:r>
        <w:rPr>
          <w:spacing w:val="-1"/>
        </w:rPr>
        <w:t>。</w:t>
      </w:r>
      <w:r>
        <w:rPr/>
        <w:t> 从业人员约</w:t>
      </w:r>
      <w:r>
        <w:rPr>
          <w:spacing w:val="-60"/>
        </w:rPr>
        <w:t> </w:t>
      </w:r>
      <w:r>
        <w:rPr>
          <w:rFonts w:ascii="Times New Roman" w:hAnsi="Times New Roman" w:cs="Times New Roman" w:eastAsia="Times New Roman" w:hint="default"/>
        </w:rPr>
        <w:t>40 </w:t>
      </w:r>
      <w:r>
        <w:rPr/>
        <w:t>万，从业机构超过</w:t>
      </w:r>
      <w:r>
        <w:rPr>
          <w:spacing w:val="-60"/>
        </w:rPr>
        <w:t> </w:t>
      </w:r>
      <w:r>
        <w:rPr>
          <w:rFonts w:ascii="Times New Roman" w:hAnsi="Times New Roman" w:cs="Times New Roman" w:eastAsia="Times New Roman" w:hint="default"/>
        </w:rPr>
        <w:t>1 </w:t>
      </w:r>
      <w:r>
        <w:rPr/>
        <w:t>万家，一些地理信息技术与产品已达到或接 </w:t>
      </w:r>
      <w:r>
        <w:rPr>
          <w:spacing w:val="-3"/>
        </w:rPr>
        <w:t>近当前国际先进水平。未来十年，我国地理信息产业的信息市场、产品市场、技</w:t>
      </w:r>
      <w:r>
        <w:rPr>
          <w:spacing w:val="-103"/>
        </w:rPr>
        <w:t> </w:t>
      </w:r>
      <w:r>
        <w:rPr>
          <w:spacing w:val="-103"/>
        </w:rPr>
      </w:r>
      <w:r>
        <w:rPr>
          <w:spacing w:val="-3"/>
        </w:rPr>
        <w:t>术市场和劳务市场等将初步形成，我国地理信息空间数据将更加丰富、共享机制</w:t>
      </w:r>
      <w:r>
        <w:rPr>
          <w:spacing w:val="-103"/>
        </w:rPr>
        <w:t> </w:t>
      </w:r>
      <w:r>
        <w:rPr>
          <w:spacing w:val="-103"/>
        </w:rPr>
      </w:r>
      <w:r>
        <w:rPr>
          <w:spacing w:val="-3"/>
        </w:rPr>
        <w:t>将初步形成、自主产权软件市场占有率将超过</w:t>
      </w:r>
      <w:r>
        <w:rPr>
          <w:spacing w:val="-55"/>
        </w:rPr>
        <w:t> </w:t>
      </w:r>
      <w:r>
        <w:rPr>
          <w:rFonts w:ascii="Times New Roman" w:hAnsi="Times New Roman" w:cs="Times New Roman" w:eastAsia="Times New Roman" w:hint="default"/>
          <w:spacing w:val="-4"/>
        </w:rPr>
        <w:t>75%</w:t>
      </w:r>
      <w:r>
        <w:rPr>
          <w:spacing w:val="-4"/>
        </w:rPr>
        <w:t>，一批大型骨干专业企业将会</w:t>
      </w:r>
      <w:r>
        <w:rPr>
          <w:spacing w:val="-109"/>
        </w:rPr>
        <w:t> </w:t>
      </w:r>
      <w:r>
        <w:rPr>
          <w:spacing w:val="-109"/>
        </w:rPr>
      </w:r>
      <w:r>
        <w:rPr/>
        <w:t>涌现出来，合理的地理信息产业链即将形成。</w:t>
      </w:r>
    </w:p>
    <w:p>
      <w:pPr>
        <w:pStyle w:val="BodyText"/>
        <w:spacing w:line="362" w:lineRule="auto" w:before="142"/>
        <w:ind w:right="233" w:firstLine="480"/>
        <w:jc w:val="both"/>
      </w:pPr>
      <w:r>
        <w:rPr/>
        <w:t>我国</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4"/>
        </w:rPr>
        <w:t>产业正逐步走向成熟，国产软件在性能、功能上已经具备了同国外</w:t>
      </w:r>
      <w:r>
        <w:rPr/>
        <w:t> </w:t>
      </w:r>
      <w:r>
        <w:rPr>
          <w:spacing w:val="-4"/>
        </w:rPr>
        <w:t>软件竞争的实力，并在国内外许多重大项目中得到了应用。目前国产</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软件在 国内累计已有</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万多用户，装机量超过</w:t>
      </w:r>
      <w:r>
        <w:rPr>
          <w:spacing w:val="-59"/>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万套，占领了中国</w:t>
      </w:r>
      <w:r>
        <w:rPr>
          <w:spacing w:val="-59"/>
        </w:rPr>
        <w:t> </w:t>
      </w:r>
      <w:r>
        <w:rPr>
          <w:rFonts w:ascii="Times New Roman" w:hAnsi="Times New Roman" w:cs="Times New Roman" w:eastAsia="Times New Roman" w:hint="default"/>
        </w:rPr>
        <w:t>70%</w:t>
      </w:r>
      <w:r>
        <w:rPr/>
        <w:t>以上的市场， </w:t>
      </w:r>
      <w:r>
        <w:rPr>
          <w:spacing w:val="-3"/>
        </w:rPr>
        <w:t>成为我国各领域进行数字化建设的首选软件，打破国外软件一统天下的局面。地</w:t>
      </w:r>
      <w:r>
        <w:rPr>
          <w:spacing w:val="-103"/>
        </w:rPr>
        <w:t> </w:t>
      </w:r>
      <w:r>
        <w:rPr>
          <w:spacing w:val="-103"/>
        </w:rPr>
      </w:r>
      <w:r>
        <w:rPr>
          <w:spacing w:val="-3"/>
        </w:rPr>
        <w:t>理信息自主创新成果的应用与推广，将有力推动我国信息产业的全面发展。随着</w:t>
      </w:r>
      <w:r>
        <w:rPr>
          <w:spacing w:val="-103"/>
        </w:rPr>
        <w:t> </w:t>
      </w:r>
      <w:r>
        <w:rPr>
          <w:spacing w:val="-103"/>
        </w:rPr>
      </w:r>
      <w:r>
        <w:rPr>
          <w:spacing w:val="-3"/>
        </w:rPr>
        <w:t>中国信息化建设的日益深入及空间信息技术的飞速发展，各行业信息化建设对空</w:t>
      </w:r>
      <w:r>
        <w:rPr>
          <w:spacing w:val="-104"/>
        </w:rPr>
        <w:t> </w:t>
      </w:r>
      <w:r>
        <w:rPr>
          <w:spacing w:val="-104"/>
        </w:rPr>
      </w:r>
      <w:r>
        <w:rPr>
          <w:spacing w:val="-4"/>
        </w:rPr>
        <w:t>间地理信息数据需求快速增长，</w:t>
      </w:r>
      <w:r>
        <w:rPr>
          <w:rFonts w:ascii="Times New Roman" w:hAnsi="Times New Roman" w:cs="Times New Roman" w:eastAsia="Times New Roman" w:hint="default"/>
          <w:spacing w:val="-4"/>
        </w:rPr>
        <w:t>GIS</w:t>
      </w:r>
      <w:r>
        <w:rPr>
          <w:rFonts w:ascii="Times New Roman" w:hAnsi="Times New Roman" w:cs="Times New Roman" w:eastAsia="Times New Roman" w:hint="default"/>
          <w:spacing w:val="7"/>
        </w:rPr>
        <w:t> </w:t>
      </w:r>
      <w:r>
        <w:rPr/>
        <w:t>软件被广泛应用于传统资源管理和国民经济 </w:t>
      </w:r>
      <w:r>
        <w:rPr>
          <w:spacing w:val="-3"/>
        </w:rPr>
        <w:t>及政府应用领域，并逐步在商业领域和个人位置服务领域发挥着愈来愈重要的作</w:t>
      </w:r>
      <w:r>
        <w:rPr>
          <w:spacing w:val="-104"/>
        </w:rPr>
        <w:t> </w:t>
      </w:r>
      <w:r>
        <w:rPr>
          <w:spacing w:val="-104"/>
        </w:rPr>
      </w:r>
      <w:r>
        <w:rPr>
          <w:spacing w:val="-7"/>
        </w:rPr>
        <w:t>用。</w:t>
      </w:r>
      <w:r>
        <w:rPr>
          <w:rFonts w:ascii="Times New Roman" w:hAnsi="Times New Roman" w:cs="Times New Roman" w:eastAsia="Times New Roman" w:hint="default"/>
          <w:spacing w:val="-7"/>
        </w:rPr>
        <w:t>GIS</w:t>
      </w:r>
      <w:r>
        <w:rPr>
          <w:rFonts w:ascii="Times New Roman" w:hAnsi="Times New Roman" w:cs="Times New Roman" w:eastAsia="Times New Roman" w:hint="default"/>
          <w:spacing w:val="-19"/>
        </w:rPr>
        <w:t> </w:t>
      </w:r>
      <w:r>
        <w:rPr/>
        <w:t>软件正成为软件行业值得期待的细分领域和重要的增长点之一。在国家 </w:t>
      </w:r>
      <w:r>
        <w:rPr>
          <w:spacing w:val="-3"/>
        </w:rPr>
        <w:t>宏观政策支持、重大项目建设、人才储备丰富、用户主动需求逐步释放等利好消</w:t>
      </w:r>
      <w:r>
        <w:rPr>
          <w:spacing w:val="-102"/>
        </w:rPr>
        <w:t> </w:t>
      </w:r>
      <w:r>
        <w:rPr>
          <w:spacing w:val="-102"/>
        </w:rPr>
      </w:r>
      <w:r>
        <w:rPr/>
        <w:t>息的大背景下，中国</w:t>
      </w:r>
      <w:r>
        <w:rPr>
          <w:spacing w:val="-60"/>
        </w:rPr>
        <w:t> </w:t>
      </w:r>
      <w:r>
        <w:rPr>
          <w:rFonts w:ascii="Times New Roman" w:hAnsi="Times New Roman" w:cs="Times New Roman" w:eastAsia="Times New Roman" w:hint="default"/>
        </w:rPr>
        <w:t>GIS </w:t>
      </w:r>
      <w:r>
        <w:rPr/>
        <w:t>软件未来</w:t>
      </w:r>
      <w:r>
        <w:rPr>
          <w:spacing w:val="-60"/>
        </w:rPr>
        <w:t> </w:t>
      </w:r>
      <w:r>
        <w:rPr>
          <w:rFonts w:ascii="Times New Roman" w:hAnsi="Times New Roman" w:cs="Times New Roman" w:eastAsia="Times New Roman" w:hint="default"/>
        </w:rPr>
        <w:t>3 </w:t>
      </w:r>
      <w:r>
        <w:rPr/>
        <w:t>年将保持较快的增长势头。到</w:t>
      </w:r>
      <w:r>
        <w:rPr>
          <w:spacing w:val="-60"/>
        </w:rPr>
        <w:t> </w:t>
      </w:r>
      <w:r>
        <w:rPr>
          <w:rFonts w:ascii="Times New Roman" w:hAnsi="Times New Roman" w:cs="Times New Roman" w:eastAsia="Times New Roman" w:hint="default"/>
        </w:rPr>
        <w:t>2011 </w:t>
      </w:r>
      <w:r>
        <w:rPr/>
        <w:t>年，市 场规模将达到</w:t>
      </w:r>
      <w:r>
        <w:rPr>
          <w:spacing w:val="-60"/>
        </w:rPr>
        <w:t> </w:t>
      </w:r>
      <w:r>
        <w:rPr>
          <w:rFonts w:ascii="Times New Roman" w:hAnsi="Times New Roman" w:cs="Times New Roman" w:eastAsia="Times New Roman" w:hint="default"/>
        </w:rPr>
        <w:t>91.7 </w:t>
      </w:r>
      <w:r>
        <w:rPr/>
        <w:t>亿元，成为我国软件产业领域中不可忽视的一支重要力量。</w:t>
      </w:r>
    </w:p>
    <w:p>
      <w:pPr>
        <w:pStyle w:val="Heading3"/>
        <w:spacing w:line="240" w:lineRule="auto" w:before="185"/>
        <w:ind w:right="111"/>
        <w:jc w:val="left"/>
        <w:rPr>
          <w:b w:val="0"/>
          <w:bCs w:val="0"/>
        </w:rPr>
      </w:pPr>
      <w:r>
        <w:rPr/>
        <w:t>（二）未来发展战略</w:t>
      </w:r>
      <w:r>
        <w:rPr>
          <w:b w:val="0"/>
          <w:bCs w:val="0"/>
        </w:rPr>
      </w:r>
    </w:p>
    <w:p>
      <w:pPr>
        <w:spacing w:line="240" w:lineRule="auto" w:before="9"/>
        <w:rPr>
          <w:rFonts w:ascii="宋体" w:hAnsi="宋体" w:cs="宋体" w:eastAsia="宋体" w:hint="default"/>
          <w:b/>
          <w:bCs/>
          <w:sz w:val="25"/>
          <w:szCs w:val="25"/>
        </w:rPr>
      </w:pPr>
    </w:p>
    <w:p>
      <w:pPr>
        <w:pStyle w:val="BodyText"/>
        <w:spacing w:line="374" w:lineRule="auto"/>
        <w:ind w:right="233" w:firstLine="480"/>
        <w:jc w:val="both"/>
      </w:pPr>
      <w:r>
        <w:rPr>
          <w:spacing w:val="-3"/>
        </w:rPr>
        <w:t>公司秉着“创新数字城市，成就政通人和”的经营口号，计划用五到十年时</w:t>
      </w:r>
      <w:r>
        <w:rPr/>
        <w:t> </w:t>
      </w:r>
      <w:r>
        <w:rPr>
          <w:spacing w:val="-3"/>
        </w:rPr>
        <w:t>间，充分发挥管理、人才、技术、经验、客户等方面的优势，在公司既定的数字</w:t>
      </w:r>
      <w:r>
        <w:rPr>
          <w:spacing w:val="-105"/>
        </w:rPr>
        <w:t> </w:t>
      </w:r>
      <w:r>
        <w:rPr>
          <w:spacing w:val="-105"/>
        </w:rPr>
      </w:r>
      <w:r>
        <w:rPr>
          <w:spacing w:val="-3"/>
        </w:rPr>
        <w:t>化城市管理、规划和国土资源管理领域，吸收新的技术路线与应用需求，不断完</w:t>
      </w:r>
      <w:r>
        <w:rPr>
          <w:spacing w:val="-102"/>
        </w:rPr>
        <w:t> </w:t>
      </w:r>
      <w:r>
        <w:rPr>
          <w:spacing w:val="-102"/>
        </w:rPr>
      </w:r>
      <w:r>
        <w:rPr>
          <w:spacing w:val="-3"/>
        </w:rPr>
        <w:t>善公司的核心产品，强化公司数据与应用服务以及信息服务能力，在深化既定领</w:t>
      </w:r>
      <w:r>
        <w:rPr>
          <w:spacing w:val="-103"/>
        </w:rPr>
        <w:t> </w:t>
      </w:r>
      <w:r>
        <w:rPr>
          <w:spacing w:val="-103"/>
        </w:rPr>
      </w:r>
      <w:r>
        <w:rPr>
          <w:spacing w:val="-3"/>
        </w:rPr>
        <w:t>域的市场同时，从纵向、横向两个方面延伸行业应用领域，扩大盈利方向，增强</w:t>
      </w:r>
      <w:r>
        <w:rPr>
          <w:spacing w:val="-103"/>
        </w:rPr>
        <w:t> </w:t>
      </w:r>
      <w:r>
        <w:rPr>
          <w:spacing w:val="-103"/>
        </w:rPr>
      </w:r>
      <w:r>
        <w:rPr>
          <w:spacing w:val="-3"/>
        </w:rPr>
        <w:t>企业的核心竞争力，继续保持行业优势地位，成为全国领先的数字城市应用与信</w:t>
      </w:r>
      <w:r>
        <w:rPr>
          <w:spacing w:val="-103"/>
        </w:rPr>
        <w:t> </w:t>
      </w:r>
      <w:r>
        <w:rPr>
          <w:spacing w:val="-103"/>
        </w:rPr>
      </w:r>
      <w:r>
        <w:rPr/>
        <w:t>息服务提供商。</w:t>
      </w:r>
    </w:p>
    <w:p>
      <w:pPr>
        <w:pStyle w:val="Heading3"/>
        <w:spacing w:line="240" w:lineRule="auto" w:before="204"/>
        <w:ind w:right="111"/>
        <w:jc w:val="left"/>
        <w:rPr>
          <w:b w:val="0"/>
          <w:bCs w:val="0"/>
        </w:rPr>
      </w:pPr>
      <w:r>
        <w:rPr/>
        <w:t>（三）</w:t>
      </w:r>
      <w:r>
        <w:rPr>
          <w:rFonts w:ascii="宋体" w:hAnsi="宋体" w:cs="宋体" w:eastAsia="宋体" w:hint="default"/>
        </w:rPr>
        <w:t>2011</w:t>
      </w:r>
      <w:r>
        <w:rPr>
          <w:rFonts w:ascii="宋体" w:hAnsi="宋体" w:cs="宋体" w:eastAsia="宋体" w:hint="default"/>
          <w:spacing w:val="-64"/>
        </w:rPr>
        <w:t> </w:t>
      </w:r>
      <w:r>
        <w:rPr/>
        <w:t>年度经营计划</w:t>
      </w:r>
      <w:r>
        <w:rPr>
          <w:b w:val="0"/>
          <w:bCs w:val="0"/>
        </w:rPr>
      </w:r>
    </w:p>
    <w:p>
      <w:pPr>
        <w:spacing w:after="0" w:line="240" w:lineRule="auto"/>
        <w:jc w:val="left"/>
        <w:sectPr>
          <w:footerReference w:type="default" r:id="rId18"/>
          <w:pgSz w:w="11910" w:h="16840"/>
          <w:pgMar w:footer="979" w:header="850" w:top="1380" w:bottom="1160" w:left="1660" w:right="1560"/>
          <w:pgNumType w:start="21"/>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2" w:lineRule="auto" w:before="85"/>
        <w:ind w:left="617" w:right="128"/>
        <w:jc w:val="left"/>
      </w:pPr>
      <w:r>
        <w:rPr>
          <w:rFonts w:ascii="Times New Roman" w:hAnsi="Times New Roman" w:cs="Times New Roman" w:eastAsia="Times New Roman" w:hint="default"/>
        </w:rPr>
        <w:t>1</w:t>
      </w:r>
      <w:r>
        <w:rPr/>
        <w:t>、加大研发投入，继续保持行业内的技术领先优势 </w:t>
      </w:r>
      <w:r>
        <w:rPr>
          <w:spacing w:val="-3"/>
        </w:rPr>
        <w:t>公司处于应用软件行业，技术领先程度是公司赖以生存的基础。在数字化城</w:t>
      </w:r>
    </w:p>
    <w:p>
      <w:pPr>
        <w:pStyle w:val="BodyText"/>
        <w:spacing w:line="374" w:lineRule="auto" w:before="60"/>
        <w:ind w:right="133"/>
        <w:jc w:val="both"/>
      </w:pPr>
      <w:r>
        <w:rPr>
          <w:spacing w:val="-3"/>
        </w:rPr>
        <w:t>市管理及规划和国土资源管理领域内，公司一直拥有行业领先的技术优势。为了</w:t>
      </w:r>
      <w:r>
        <w:rPr>
          <w:spacing w:val="-103"/>
        </w:rPr>
        <w:t> </w:t>
      </w:r>
      <w:r>
        <w:rPr>
          <w:spacing w:val="-103"/>
        </w:rPr>
      </w:r>
      <w:r>
        <w:rPr>
          <w:spacing w:val="-3"/>
        </w:rPr>
        <w:t>继续保持优势，在现有产品范围内，公司将继续投入研发力量，实现现有产品的</w:t>
      </w:r>
      <w:r>
        <w:rPr>
          <w:spacing w:val="-102"/>
        </w:rPr>
        <w:t> </w:t>
      </w:r>
      <w:r>
        <w:rPr>
          <w:spacing w:val="-102"/>
        </w:rPr>
      </w:r>
      <w:r>
        <w:rPr>
          <w:spacing w:val="-3"/>
        </w:rPr>
        <w:t>更新换代，提高现有产品的稳定性和适应性，丰富现有产品功能，为原有客户和</w:t>
      </w:r>
      <w:r>
        <w:rPr>
          <w:spacing w:val="-102"/>
        </w:rPr>
        <w:t> </w:t>
      </w:r>
      <w:r>
        <w:rPr>
          <w:spacing w:val="-102"/>
        </w:rPr>
      </w:r>
      <w:r>
        <w:rPr>
          <w:spacing w:val="-3"/>
        </w:rPr>
        <w:t>新客户提供性能更优越的软件产品；在募投项目所涉及的产品范围内，公司将严</w:t>
      </w:r>
      <w:r>
        <w:rPr>
          <w:spacing w:val="-103"/>
        </w:rPr>
        <w:t> </w:t>
      </w:r>
      <w:r>
        <w:rPr>
          <w:spacing w:val="-103"/>
        </w:rPr>
      </w:r>
      <w:r>
        <w:rPr>
          <w:spacing w:val="-3"/>
        </w:rPr>
        <w:t>格按募投项目计划进行研发投入，保证募投项目可按计划实施完毕，并为公司提</w:t>
      </w:r>
      <w:r>
        <w:rPr>
          <w:spacing w:val="-103"/>
        </w:rPr>
        <w:t> </w:t>
      </w:r>
      <w:r>
        <w:rPr>
          <w:spacing w:val="-103"/>
        </w:rPr>
      </w:r>
      <w:r>
        <w:rPr>
          <w:spacing w:val="-3"/>
        </w:rPr>
        <w:t>供新一代软件产品；在新产品范围内，公司将继续加大对移动测量设备的研发力</w:t>
      </w:r>
      <w:r>
        <w:rPr>
          <w:spacing w:val="-103"/>
        </w:rPr>
        <w:t> </w:t>
      </w:r>
      <w:r>
        <w:rPr>
          <w:spacing w:val="-103"/>
        </w:rPr>
      </w:r>
      <w:r>
        <w:rPr>
          <w:spacing w:val="-3"/>
        </w:rPr>
        <w:t>度，将目前行业内最先进的技术和设备运用到移动测量设备中，开发便携式移动</w:t>
      </w:r>
      <w:r>
        <w:rPr>
          <w:spacing w:val="-103"/>
        </w:rPr>
        <w:t> </w:t>
      </w:r>
      <w:r>
        <w:rPr>
          <w:spacing w:val="-103"/>
        </w:rPr>
      </w:r>
      <w:r>
        <w:rPr/>
        <w:t>测量设备，使公司的技术服务水平进一步提高。</w:t>
      </w:r>
    </w:p>
    <w:p>
      <w:pPr>
        <w:pStyle w:val="BodyText"/>
        <w:spacing w:line="352" w:lineRule="auto" w:before="38"/>
        <w:ind w:left="617" w:right="119"/>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、精确目标市场，提高市场开拓力度 </w:t>
      </w:r>
      <w:r>
        <w:rPr>
          <w:spacing w:val="-5"/>
        </w:rPr>
        <w:t>为了进一步贴近目标市场、及时了解区域市场特点及需求，公司计划在</w:t>
      </w:r>
      <w:r>
        <w:rPr>
          <w:spacing w:val="-55"/>
        </w:rPr>
        <w:t> </w:t>
      </w:r>
      <w:r>
        <w:rPr>
          <w:rFonts w:ascii="Times New Roman" w:hAnsi="Times New Roman" w:cs="Times New Roman" w:eastAsia="Times New Roman" w:hint="default"/>
        </w:rPr>
        <w:t>2011</w:t>
      </w:r>
    </w:p>
    <w:p>
      <w:pPr>
        <w:pStyle w:val="BodyText"/>
        <w:spacing w:line="374" w:lineRule="auto" w:before="32"/>
        <w:ind w:right="133"/>
        <w:jc w:val="both"/>
      </w:pPr>
      <w:r>
        <w:rPr>
          <w:spacing w:val="-3"/>
        </w:rPr>
        <w:t>年将原有的全国三个大区的销售模式进行重组，划分为七个区域市场，并针对公</w:t>
      </w:r>
      <w:r>
        <w:rPr>
          <w:spacing w:val="-103"/>
        </w:rPr>
        <w:t> </w:t>
      </w:r>
      <w:r>
        <w:rPr>
          <w:spacing w:val="-103"/>
        </w:rPr>
      </w:r>
      <w:r>
        <w:rPr>
          <w:spacing w:val="-3"/>
        </w:rPr>
        <w:t>司目前的产品及服务类型，对每个区域市场配备专项人员进行市场开拓，从而保</w:t>
      </w:r>
      <w:r>
        <w:rPr>
          <w:spacing w:val="-103"/>
        </w:rPr>
        <w:t> </w:t>
      </w:r>
      <w:r>
        <w:rPr>
          <w:spacing w:val="-103"/>
        </w:rPr>
      </w:r>
      <w:r>
        <w:rPr>
          <w:spacing w:val="-3"/>
        </w:rPr>
        <w:t>证公司能为特定区域市场的客户提供有针对性的产品和建议。同时，细化区域市</w:t>
      </w:r>
      <w:r>
        <w:rPr>
          <w:spacing w:val="-105"/>
        </w:rPr>
        <w:t> </w:t>
      </w:r>
      <w:r>
        <w:rPr>
          <w:spacing w:val="-105"/>
        </w:rPr>
      </w:r>
      <w:r>
        <w:rPr/>
        <w:t>场，可以降低销售人员的调配难度，充分发挥有限的销售费用所带来的效益。</w:t>
      </w:r>
    </w:p>
    <w:p>
      <w:pPr>
        <w:pStyle w:val="BodyText"/>
        <w:spacing w:line="352" w:lineRule="auto" w:before="41"/>
        <w:ind w:left="617" w:right="128"/>
        <w:jc w:val="left"/>
      </w:pPr>
      <w:r>
        <w:rPr>
          <w:rFonts w:ascii="Times New Roman" w:hAnsi="Times New Roman" w:cs="Times New Roman" w:eastAsia="Times New Roman" w:hint="default"/>
        </w:rPr>
        <w:t>3</w:t>
      </w:r>
      <w:r>
        <w:rPr/>
        <w:t>、提高数据普查和信息采集服务能力 </w:t>
      </w:r>
      <w:r>
        <w:rPr>
          <w:spacing w:val="-3"/>
        </w:rPr>
        <w:t>数据普查和信息采集服务是公司报告期内新增业务。对于新增业务，公司在</w:t>
      </w:r>
    </w:p>
    <w:p>
      <w:pPr>
        <w:pStyle w:val="BodyText"/>
        <w:spacing w:line="367" w:lineRule="auto" w:before="60"/>
        <w:ind w:right="0"/>
        <w:jc w:val="left"/>
      </w:pPr>
      <w:r>
        <w:rPr/>
        <w:t>管理和服务方面尚存在部分问题。</w:t>
      </w:r>
      <w:r>
        <w:rPr>
          <w:rFonts w:ascii="Times New Roman" w:hAnsi="Times New Roman" w:cs="Times New Roman" w:eastAsia="Times New Roman" w:hint="default"/>
        </w:rPr>
        <w:t>2011 </w:t>
      </w:r>
      <w:r>
        <w:rPr/>
        <w:t>年，公司将针对报告期内发现的问题， </w:t>
      </w:r>
      <w:r>
        <w:rPr>
          <w:spacing w:val="-3"/>
        </w:rPr>
        <w:t>对设备、管理流程以及软件产品方面进行调整和改进，加大对移动测量设备数量</w:t>
      </w:r>
      <w:r>
        <w:rPr>
          <w:spacing w:val="-103"/>
        </w:rPr>
        <w:t> </w:t>
      </w:r>
      <w:r>
        <w:rPr>
          <w:spacing w:val="-103"/>
        </w:rPr>
      </w:r>
      <w:r>
        <w:rPr>
          <w:spacing w:val="-3"/>
        </w:rPr>
        <w:t>及种类方面的投入，提高数据普查和信息采集服务能力，在提高现有客户满意度</w:t>
      </w:r>
      <w:r>
        <w:rPr>
          <w:spacing w:val="-103"/>
        </w:rPr>
        <w:t> </w:t>
      </w:r>
      <w:r>
        <w:rPr>
          <w:spacing w:val="-103"/>
        </w:rPr>
      </w:r>
      <w:r>
        <w:rPr/>
        <w:t>的同时进一步拓展市场，将技术服务业务做大做强。</w:t>
      </w:r>
    </w:p>
    <w:p>
      <w:pPr>
        <w:pStyle w:val="BodyText"/>
        <w:spacing w:line="240" w:lineRule="auto" w:before="46"/>
        <w:ind w:left="617" w:right="0"/>
        <w:jc w:val="left"/>
      </w:pPr>
      <w:r>
        <w:rPr>
          <w:rFonts w:ascii="Times New Roman" w:hAnsi="Times New Roman" w:cs="Times New Roman" w:eastAsia="Times New Roman" w:hint="default"/>
        </w:rPr>
        <w:t>4</w:t>
      </w:r>
      <w:r>
        <w:rPr/>
        <w:t>、利用募集资金，通过并购方式促进公司壮大发展</w:t>
      </w:r>
    </w:p>
    <w:p>
      <w:pPr>
        <w:pStyle w:val="BodyText"/>
        <w:spacing w:line="364" w:lineRule="auto" w:before="157"/>
        <w:ind w:right="149" w:firstLine="480"/>
        <w:jc w:val="left"/>
      </w:pPr>
      <w:r>
        <w:rPr>
          <w:rFonts w:ascii="Times New Roman" w:hAnsi="Times New Roman" w:cs="Times New Roman" w:eastAsia="Times New Roman" w:hint="default"/>
        </w:rPr>
        <w:t>2010 </w:t>
      </w:r>
      <w:r>
        <w:rPr/>
        <w:t>年，公司顺利完成首次公开发行并在创业板上市工作。</w:t>
      </w:r>
      <w:r>
        <w:rPr>
          <w:rFonts w:ascii="Times New Roman" w:hAnsi="Times New Roman" w:cs="Times New Roman" w:eastAsia="Times New Roman" w:hint="default"/>
        </w:rPr>
        <w:t>2011 </w:t>
      </w:r>
      <w:r>
        <w:rPr/>
        <w:t>年，公司 将利用资本市场平台，适当考虑以收购兼并的方式来扩大公司的业务规模和范 围，并进行产业链延伸，以实现公司业务规模的扩大以及综合实力的增强。</w:t>
      </w:r>
    </w:p>
    <w:p>
      <w:pPr>
        <w:pStyle w:val="BodyText"/>
        <w:spacing w:line="240" w:lineRule="auto" w:before="48"/>
        <w:ind w:left="617" w:right="0"/>
        <w:jc w:val="left"/>
      </w:pPr>
      <w:r>
        <w:rPr>
          <w:rFonts w:ascii="Times New Roman" w:hAnsi="Times New Roman" w:cs="Times New Roman" w:eastAsia="Times New Roman" w:hint="default"/>
        </w:rPr>
        <w:t>5</w:t>
      </w:r>
      <w:r>
        <w:rPr/>
        <w:t>、加强对募集资金投资项目的管理</w:t>
      </w:r>
    </w:p>
    <w:p>
      <w:pPr>
        <w:spacing w:after="0" w:line="240" w:lineRule="auto"/>
        <w:jc w:val="left"/>
        <w:sectPr>
          <w:pgSz w:w="11910" w:h="16840"/>
          <w:pgMar w:header="850" w:footer="979" w:top="1380" w:bottom="1160" w:left="1660" w:right="1660"/>
        </w:sectPr>
      </w:pPr>
    </w:p>
    <w:p>
      <w:pPr>
        <w:pStyle w:val="BodyText"/>
        <w:spacing w:line="364" w:lineRule="auto" w:before="105"/>
        <w:ind w:right="233" w:firstLine="480"/>
        <w:jc w:val="both"/>
      </w:pPr>
      <w:r>
        <w:rPr>
          <w:spacing w:val="-10"/>
        </w:rPr>
        <w:t>报告期内，公司已经开始实施募集资金投资项目，并取得了阶段性进展。</w:t>
      </w:r>
      <w:r>
        <w:rPr>
          <w:rFonts w:ascii="Times New Roman" w:hAnsi="Times New Roman" w:cs="Times New Roman" w:eastAsia="Times New Roman" w:hint="default"/>
          <w:spacing w:val="-10"/>
        </w:rPr>
        <w:t>2011</w:t>
      </w:r>
      <w:r>
        <w:rPr>
          <w:rFonts w:ascii="Times New Roman" w:hAnsi="Times New Roman" w:cs="Times New Roman" w:eastAsia="Times New Roman" w:hint="default"/>
        </w:rPr>
        <w:t> </w:t>
      </w:r>
      <w:r>
        <w:rPr/>
        <w:t>年末，公司将完成募集资金投资项目的实施工作。在</w:t>
      </w:r>
      <w:r>
        <w:rPr>
          <w:spacing w:val="-60"/>
        </w:rPr>
        <w:t> </w:t>
      </w:r>
      <w:r>
        <w:rPr>
          <w:rFonts w:ascii="Times New Roman" w:hAnsi="Times New Roman" w:cs="Times New Roman" w:eastAsia="Times New Roman" w:hint="default"/>
        </w:rPr>
        <w:t>2011 </w:t>
      </w:r>
      <w:r>
        <w:rPr/>
        <w:t>年的实施过程中，公 </w:t>
      </w:r>
      <w:r>
        <w:rPr>
          <w:spacing w:val="-3"/>
        </w:rPr>
        <w:t>司将严格按照中国证监会、深圳证券交易所有关规定，加强对募集资金投资项目</w:t>
      </w:r>
      <w:r>
        <w:rPr>
          <w:spacing w:val="-103"/>
        </w:rPr>
        <w:t> </w:t>
      </w:r>
      <w:r>
        <w:rPr>
          <w:spacing w:val="-103"/>
        </w:rPr>
      </w:r>
      <w:r>
        <w:rPr>
          <w:spacing w:val="-3"/>
        </w:rPr>
        <w:t>的管理，做到规范实施，以保证募集资金投资项目可以取得预期的效果，为公司</w:t>
      </w:r>
      <w:r>
        <w:rPr>
          <w:spacing w:val="-102"/>
        </w:rPr>
        <w:t> </w:t>
      </w:r>
      <w:r>
        <w:rPr>
          <w:spacing w:val="-102"/>
        </w:rPr>
      </w:r>
      <w:r>
        <w:rPr>
          <w:spacing w:val="-3"/>
        </w:rPr>
        <w:t>未来发展奠定坚实基础。对超募资金的使用，公司将围绕主业、审慎选择、合理</w:t>
      </w:r>
      <w:r>
        <w:rPr>
          <w:spacing w:val="-103"/>
        </w:rPr>
        <w:t> </w:t>
      </w:r>
      <w:r>
        <w:rPr>
          <w:spacing w:val="-103"/>
        </w:rPr>
      </w:r>
      <w:r>
        <w:rPr/>
        <w:t>规划、谨慎实施，以保证超募资金能为公司发展发挥重要作用。</w:t>
      </w:r>
    </w:p>
    <w:p>
      <w:pPr>
        <w:pStyle w:val="BodyText"/>
        <w:spacing w:line="352" w:lineRule="auto" w:before="48"/>
        <w:ind w:left="617" w:right="309"/>
        <w:jc w:val="left"/>
      </w:pPr>
      <w:r>
        <w:rPr>
          <w:rFonts w:ascii="Times New Roman" w:hAnsi="Times New Roman" w:cs="Times New Roman" w:eastAsia="Times New Roman" w:hint="default"/>
        </w:rPr>
        <w:t>6</w:t>
      </w:r>
      <w:r>
        <w:rPr/>
        <w:t>、加强人力资源管理水平 作为软件企业，公司一直将人力资源看作公司最重要的资源。</w:t>
      </w:r>
      <w:r>
        <w:rPr>
          <w:rFonts w:ascii="Times New Roman" w:hAnsi="Times New Roman" w:cs="Times New Roman" w:eastAsia="Times New Roman" w:hint="default"/>
        </w:rPr>
        <w:t>2011 </w:t>
      </w:r>
      <w:r>
        <w:rPr/>
        <w:t>年，公</w:t>
      </w:r>
    </w:p>
    <w:p>
      <w:pPr>
        <w:pStyle w:val="BodyText"/>
        <w:spacing w:line="374" w:lineRule="auto" w:before="32"/>
        <w:ind w:right="129"/>
        <w:jc w:val="left"/>
      </w:pPr>
      <w:r>
        <w:rPr>
          <w:spacing w:val="-3"/>
        </w:rPr>
        <w:t>司将进一步完善员工的内部培养机制，提拔有品德有能力的人才。另一方面，公</w:t>
      </w:r>
      <w:r>
        <w:rPr>
          <w:spacing w:val="-102"/>
        </w:rPr>
        <w:t> </w:t>
      </w:r>
      <w:r>
        <w:rPr>
          <w:spacing w:val="-102"/>
        </w:rPr>
      </w:r>
      <w:r>
        <w:rPr/>
        <w:t>司将利用上市公司的平台，从外部吸引更多高端人才，组建高素质的人才队伍， 以适应公司未来快速发展的需要。</w:t>
      </w:r>
    </w:p>
    <w:p>
      <w:pPr>
        <w:pStyle w:val="BodyText"/>
        <w:spacing w:line="374" w:lineRule="auto" w:before="41"/>
        <w:ind w:right="228" w:firstLine="480"/>
        <w:jc w:val="left"/>
      </w:pPr>
      <w:r>
        <w:rPr>
          <w:spacing w:val="-3"/>
        </w:rPr>
        <w:t>在绩效管理方面，公司将根据目前的绩效管理体系进行调整细化，将每位员</w:t>
      </w:r>
      <w:r>
        <w:rPr/>
        <w:t> 工的年度任务与奖惩机制有效结合，并加强对绩效管理过程中的信息交流与反 馈，保证公司年度任务的顺利实现。</w:t>
      </w:r>
    </w:p>
    <w:p>
      <w:pPr>
        <w:pStyle w:val="BodyText"/>
        <w:spacing w:line="374" w:lineRule="auto" w:before="38"/>
        <w:ind w:right="228" w:firstLine="480"/>
        <w:jc w:val="left"/>
      </w:pPr>
      <w:r>
        <w:rPr>
          <w:spacing w:val="-3"/>
        </w:rPr>
        <w:t>在企业文化建设方面，公司将通过多样化的活动，营造团结、进取、上进的</w:t>
      </w:r>
      <w:r>
        <w:rPr/>
        <w:t> 企业文化氛围，从而提高公司的活力和员工对公司的认同感和归属感。</w:t>
      </w:r>
    </w:p>
    <w:p>
      <w:pPr>
        <w:pStyle w:val="Heading3"/>
        <w:spacing w:line="240" w:lineRule="auto" w:before="204"/>
        <w:ind w:right="111"/>
        <w:jc w:val="left"/>
        <w:rPr>
          <w:b w:val="0"/>
          <w:bCs w:val="0"/>
        </w:rPr>
      </w:pPr>
      <w:r>
        <w:rPr/>
        <w:t>（四）公司未来发展的机遇与挑战</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617" w:right="111"/>
        <w:jc w:val="left"/>
      </w:pPr>
      <w:r>
        <w:rPr>
          <w:rFonts w:ascii="Times New Roman" w:hAnsi="Times New Roman" w:cs="Times New Roman" w:eastAsia="Times New Roman" w:hint="default"/>
        </w:rPr>
        <w:t>1</w:t>
      </w:r>
      <w:r>
        <w:rPr/>
        <w:t>、机遇</w:t>
      </w:r>
    </w:p>
    <w:p>
      <w:pPr>
        <w:pStyle w:val="BodyText"/>
        <w:spacing w:line="240" w:lineRule="auto" w:before="155"/>
        <w:ind w:left="617" w:right="111"/>
        <w:jc w:val="left"/>
      </w:pPr>
      <w:r>
        <w:rPr/>
        <w:t>（</w:t>
      </w:r>
      <w:r>
        <w:rPr>
          <w:rFonts w:ascii="Times New Roman" w:hAnsi="Times New Roman" w:cs="Times New Roman" w:eastAsia="Times New Roman" w:hint="default"/>
        </w:rPr>
        <w:t>1</w:t>
      </w:r>
      <w:r>
        <w:rPr/>
        <w:t>）国家政策</w:t>
      </w:r>
    </w:p>
    <w:p>
      <w:pPr>
        <w:pStyle w:val="BodyText"/>
        <w:spacing w:line="240" w:lineRule="auto" w:before="157"/>
        <w:ind w:left="497" w:right="111"/>
        <w:jc w:val="left"/>
      </w:pPr>
      <w:r>
        <w:rPr/>
        <w:t>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spacing w:val="-3"/>
        </w:rPr>
        <w:t>年开始，国家及部分省份先后推出一系列政策和发展规划，极大地促</w:t>
      </w:r>
    </w:p>
    <w:p>
      <w:pPr>
        <w:pStyle w:val="BodyText"/>
        <w:spacing w:line="362" w:lineRule="auto" w:before="157"/>
        <w:ind w:right="97"/>
        <w:jc w:val="left"/>
      </w:pPr>
      <w:r>
        <w:rPr>
          <w:spacing w:val="-3"/>
        </w:rPr>
        <w:t>进了数字化城市管理行业的发展，例如：</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日，中华人民共和国建</w:t>
      </w:r>
      <w:r>
        <w:rPr>
          <w:spacing w:val="-118"/>
        </w:rPr>
        <w:t> </w:t>
      </w:r>
      <w:r>
        <w:rPr>
          <w:spacing w:val="-118"/>
        </w:rPr>
      </w:r>
      <w:r>
        <w:rPr/>
        <w:t>设部下发《关于加快推进数字化城市管理试点工作的通知》（建办城函</w:t>
      </w:r>
      <w:r>
        <w:rPr>
          <w:rFonts w:ascii="Times New Roman" w:hAnsi="Times New Roman" w:cs="Times New Roman" w:eastAsia="Times New Roman" w:hint="default"/>
        </w:rPr>
        <w:t>[2007]42 </w:t>
      </w:r>
      <w:r>
        <w:rPr>
          <w:spacing w:val="-3"/>
        </w:rPr>
        <w:t>号），就加快推进数字化城市管理试点工作明确各省、自治区、直辖市要进一步</w:t>
      </w:r>
      <w:r>
        <w:rPr>
          <w:spacing w:val="-103"/>
        </w:rPr>
        <w:t> </w:t>
      </w:r>
      <w:r>
        <w:rPr>
          <w:spacing w:val="-103"/>
        </w:rPr>
      </w:r>
      <w:r>
        <w:rPr>
          <w:spacing w:val="-3"/>
        </w:rPr>
        <w:t>加强数字化城市管理试点工作，积累经验，为全面推广数字化城市管理系统奠定</w:t>
      </w:r>
      <w:r>
        <w:rPr>
          <w:spacing w:val="-106"/>
        </w:rPr>
        <w:t> </w:t>
      </w:r>
      <w:r>
        <w:rPr>
          <w:spacing w:val="-106"/>
        </w:rPr>
      </w:r>
      <w:r>
        <w:rPr/>
        <w:t>基础；</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年，浙江省下发《浙江省人民政府办公厅关于积极推进“数字城管” 工作的实施意见》（浙政办发〔</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强调要建成覆盖各县（市、区）， </w:t>
      </w:r>
      <w:r>
        <w:rPr>
          <w:spacing w:val="-3"/>
        </w:rPr>
        <w:t>标准统一、资源共享、适应现代城市管理要求的“数字城管”体系，使之成为城</w:t>
      </w:r>
      <w:r>
        <w:rPr>
          <w:spacing w:val="-106"/>
        </w:rPr>
        <w:t> </w:t>
      </w:r>
      <w:r>
        <w:rPr>
          <w:spacing w:val="-106"/>
        </w:rPr>
      </w:r>
      <w:r>
        <w:rPr/>
        <w:t>市日常管理和应急处置的有效平台，成为面向城市居民的信息化服务平台。</w:t>
      </w:r>
    </w:p>
    <w:p>
      <w:pPr>
        <w:spacing w:after="0" w:line="362" w:lineRule="auto"/>
        <w:jc w:val="left"/>
        <w:sectPr>
          <w:pgSz w:w="11910" w:h="16840"/>
          <w:pgMar w:header="850" w:footer="979" w:top="1380" w:bottom="1160" w:left="1660" w:right="1560"/>
        </w:sectPr>
      </w:pPr>
    </w:p>
    <w:p>
      <w:pPr>
        <w:pStyle w:val="BodyText"/>
        <w:spacing w:line="240" w:lineRule="auto" w:before="105"/>
        <w:ind w:left="617" w:right="179"/>
        <w:jc w:val="left"/>
      </w:pPr>
      <w:r>
        <w:rPr/>
        <w:t>国家政策和规划的支持成为公司未来进一步发展的重要机遇。</w:t>
      </w:r>
    </w:p>
    <w:p>
      <w:pPr>
        <w:pStyle w:val="BodyText"/>
        <w:spacing w:line="352" w:lineRule="auto" w:before="175"/>
        <w:ind w:left="617" w:right="188"/>
        <w:jc w:val="left"/>
      </w:pPr>
      <w:r>
        <w:rPr/>
        <w:t>（</w:t>
      </w:r>
      <w:r>
        <w:rPr>
          <w:rFonts w:ascii="Times New Roman" w:hAnsi="Times New Roman" w:cs="Times New Roman" w:eastAsia="Times New Roman" w:hint="default"/>
        </w:rPr>
        <w:t>2</w:t>
      </w:r>
      <w:r>
        <w:rPr/>
        <w:t>）上市公司的发展机遇 </w:t>
      </w:r>
      <w:r>
        <w:rPr>
          <w:spacing w:val="-3"/>
        </w:rPr>
        <w:t>公司在上市以后，知名度、资金实力得到了大幅度增强，客户的认可度也进</w:t>
      </w:r>
    </w:p>
    <w:p>
      <w:pPr>
        <w:pStyle w:val="BodyText"/>
        <w:spacing w:line="374" w:lineRule="auto" w:before="62"/>
        <w:ind w:right="193"/>
        <w:jc w:val="both"/>
      </w:pPr>
      <w:r>
        <w:rPr>
          <w:spacing w:val="-3"/>
        </w:rPr>
        <w:t>一步提高。凭借上市公司的契机，公司在业务拓展、人才吸引、政府扶持、银行</w:t>
      </w:r>
      <w:r>
        <w:rPr>
          <w:spacing w:val="-103"/>
        </w:rPr>
        <w:t> </w:t>
      </w:r>
      <w:r>
        <w:rPr>
          <w:spacing w:val="-103"/>
        </w:rPr>
      </w:r>
      <w:r>
        <w:rPr>
          <w:spacing w:val="-3"/>
        </w:rPr>
        <w:t>合作等方面得到了较大改善。公司将利用这样的机遇，借助各方面力量，进一步</w:t>
      </w:r>
      <w:r>
        <w:rPr>
          <w:spacing w:val="-102"/>
        </w:rPr>
        <w:t> </w:t>
      </w:r>
      <w:r>
        <w:rPr>
          <w:spacing w:val="-102"/>
        </w:rPr>
      </w:r>
      <w:r>
        <w:rPr/>
        <w:t>发展壮大。</w:t>
      </w:r>
    </w:p>
    <w:p>
      <w:pPr>
        <w:pStyle w:val="BodyText"/>
        <w:spacing w:line="240" w:lineRule="auto" w:before="38"/>
        <w:ind w:left="617" w:right="179"/>
        <w:jc w:val="left"/>
      </w:pPr>
      <w:r>
        <w:rPr>
          <w:rFonts w:ascii="Times New Roman" w:hAnsi="Times New Roman" w:cs="Times New Roman" w:eastAsia="Times New Roman" w:hint="default"/>
        </w:rPr>
        <w:t>2</w:t>
      </w:r>
      <w:r>
        <w:rPr/>
        <w:t>、挑战</w:t>
      </w:r>
    </w:p>
    <w:p>
      <w:pPr>
        <w:pStyle w:val="BodyText"/>
        <w:spacing w:line="352" w:lineRule="auto" w:before="157"/>
        <w:ind w:left="617" w:right="89"/>
        <w:jc w:val="left"/>
      </w:pPr>
      <w:r>
        <w:rPr/>
        <w:t>（</w:t>
      </w:r>
      <w:r>
        <w:rPr>
          <w:rFonts w:ascii="Times New Roman" w:hAnsi="Times New Roman" w:cs="Times New Roman" w:eastAsia="Times New Roman" w:hint="default"/>
        </w:rPr>
        <w:t>1</w:t>
      </w:r>
      <w:r>
        <w:rPr/>
        <w:t>）技术创新能力有待提高 尽管公司目前在行业内具有技术领先优势。但是，软件行业技术日新月异，</w:t>
      </w:r>
    </w:p>
    <w:p>
      <w:pPr>
        <w:pStyle w:val="BodyText"/>
        <w:spacing w:line="367" w:lineRule="auto" w:before="62"/>
        <w:ind w:right="193"/>
        <w:jc w:val="both"/>
      </w:pPr>
      <w:r>
        <w:rPr>
          <w:spacing w:val="-3"/>
        </w:rPr>
        <w:t>公司在吸收、运用新技术方面必须走在行业前列。与国内大型软件公司相比，公</w:t>
      </w:r>
      <w:r>
        <w:rPr>
          <w:spacing w:val="-102"/>
        </w:rPr>
        <w:t> </w:t>
      </w:r>
      <w:r>
        <w:rPr>
          <w:spacing w:val="-102"/>
        </w:rPr>
      </w:r>
      <w:r>
        <w:rPr>
          <w:spacing w:val="-3"/>
        </w:rPr>
        <w:t>司在基础产品研发、新技术的融合方面尚有较大的不足。所以，公司将面对现有</w:t>
      </w:r>
      <w:r>
        <w:rPr>
          <w:spacing w:val="-102"/>
        </w:rPr>
        <w:t> </w:t>
      </w:r>
      <w:r>
        <w:rPr>
          <w:spacing w:val="-102"/>
        </w:rPr>
      </w:r>
      <w:r>
        <w:rPr/>
        <w:t>技术创新能力的挑战，在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年通过融合新技术和新模式，改进公司基础产品 及业务模式，以获得更大的市场空间，并进入新的业务领域。</w:t>
      </w:r>
    </w:p>
    <w:p>
      <w:pPr>
        <w:pStyle w:val="BodyText"/>
        <w:spacing w:line="352" w:lineRule="auto" w:before="48"/>
        <w:ind w:left="617" w:right="89"/>
        <w:jc w:val="left"/>
      </w:pPr>
      <w:r>
        <w:rPr/>
        <w:t>（</w:t>
      </w:r>
      <w:r>
        <w:rPr>
          <w:rFonts w:ascii="Times New Roman" w:hAnsi="Times New Roman" w:cs="Times New Roman" w:eastAsia="Times New Roman" w:hint="default"/>
        </w:rPr>
        <w:t>2</w:t>
      </w:r>
      <w:r>
        <w:rPr/>
        <w:t>）技术服务能力有待提高 技术服务业务是公司报告期内的新业务，并成为公司未来重点发展的业务。</w:t>
      </w:r>
    </w:p>
    <w:p>
      <w:pPr>
        <w:pStyle w:val="BodyText"/>
        <w:spacing w:line="369" w:lineRule="auto" w:before="62"/>
        <w:ind w:right="193"/>
        <w:jc w:val="both"/>
      </w:pPr>
      <w:r>
        <w:rPr>
          <w:spacing w:val="-3"/>
        </w:rPr>
        <w:t>经过一年的探索，公司认识到目前的技术服务业务在服务能力、设备多样性、管</w:t>
      </w:r>
      <w:r>
        <w:rPr>
          <w:spacing w:val="-102"/>
        </w:rPr>
        <w:t> </w:t>
      </w:r>
      <w:r>
        <w:rPr>
          <w:spacing w:val="-102"/>
        </w:rPr>
      </w:r>
      <w:r>
        <w:rPr>
          <w:spacing w:val="-3"/>
        </w:rPr>
        <w:t>理流程方面存在一定不足。如何提高公司的技术服务能力，成为公司技术服务业</w:t>
      </w:r>
      <w:r>
        <w:rPr>
          <w:spacing w:val="-103"/>
        </w:rPr>
        <w:t> </w:t>
      </w:r>
      <w:r>
        <w:rPr>
          <w:spacing w:val="-103"/>
        </w:rPr>
      </w:r>
      <w:r>
        <w:rPr/>
        <w:t>务发展的重要挑战。</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年，公司将从服务人员培养、设备多样性研发、管理</w:t>
      </w:r>
      <w:r>
        <w:rPr>
          <w:spacing w:val="-118"/>
        </w:rPr>
        <w:t> </w:t>
      </w:r>
      <w:r>
        <w:rPr>
          <w:spacing w:val="-118"/>
        </w:rPr>
      </w:r>
      <w:r>
        <w:rPr>
          <w:spacing w:val="-3"/>
        </w:rPr>
        <w:t>流程完善等方面提高公司的综合服务能力，提高技术服务业务在公司业务中的比</w:t>
      </w:r>
      <w:r>
        <w:rPr>
          <w:spacing w:val="-104"/>
        </w:rPr>
        <w:t> </w:t>
      </w:r>
      <w:r>
        <w:rPr>
          <w:spacing w:val="-104"/>
        </w:rPr>
      </w:r>
      <w:r>
        <w:rPr/>
        <w:t>重。</w:t>
      </w:r>
    </w:p>
    <w:p>
      <w:pPr>
        <w:pStyle w:val="BodyText"/>
        <w:spacing w:line="240" w:lineRule="auto" w:before="46"/>
        <w:ind w:left="617" w:right="179"/>
        <w:jc w:val="left"/>
      </w:pPr>
      <w:r>
        <w:rPr/>
        <w:t>（</w:t>
      </w:r>
      <w:r>
        <w:rPr>
          <w:rFonts w:ascii="Times New Roman" w:hAnsi="Times New Roman" w:cs="Times New Roman" w:eastAsia="Times New Roman" w:hint="default"/>
        </w:rPr>
        <w:t>3</w:t>
      </w:r>
      <w:r>
        <w:rPr/>
        <w:t>）资金使用效率有待提高</w:t>
      </w:r>
    </w:p>
    <w:p>
      <w:pPr>
        <w:pStyle w:val="BodyText"/>
        <w:spacing w:line="240" w:lineRule="auto" w:before="157"/>
        <w:ind w:left="617" w:right="89"/>
        <w:jc w:val="left"/>
      </w:pPr>
      <w:r>
        <w:rPr/>
        <w:t>公司首次公开发行共募集资金 </w:t>
      </w:r>
      <w:r>
        <w:rPr>
          <w:rFonts w:ascii="Times New Roman" w:hAnsi="Times New Roman" w:cs="Times New Roman" w:eastAsia="Times New Roman" w:hint="default"/>
        </w:rPr>
        <w:t>7.07</w:t>
      </w:r>
      <w:r>
        <w:rPr>
          <w:rFonts w:ascii="Times New Roman" w:hAnsi="Times New Roman" w:cs="Times New Roman" w:eastAsia="Times New Roman" w:hint="default"/>
          <w:spacing w:val="30"/>
        </w:rPr>
        <w:t> </w:t>
      </w:r>
      <w:r>
        <w:rPr/>
        <w:t>亿元人民币，扣除目前实施中的募集资</w:t>
      </w:r>
    </w:p>
    <w:p>
      <w:pPr>
        <w:pStyle w:val="BodyText"/>
        <w:spacing w:line="369" w:lineRule="auto" w:before="155"/>
        <w:ind w:right="193"/>
        <w:jc w:val="both"/>
      </w:pPr>
      <w:r>
        <w:rPr/>
        <w:t>金投资项目外，仍有 </w:t>
      </w:r>
      <w:r>
        <w:rPr>
          <w:rFonts w:ascii="Times New Roman" w:hAnsi="Times New Roman" w:cs="Times New Roman" w:eastAsia="Times New Roman" w:hint="default"/>
        </w:rPr>
        <w:t>5.57</w:t>
      </w:r>
      <w:r>
        <w:rPr>
          <w:rFonts w:ascii="Times New Roman" w:hAnsi="Times New Roman" w:cs="Times New Roman" w:eastAsia="Times New Roman" w:hint="default"/>
          <w:spacing w:val="30"/>
        </w:rPr>
        <w:t> </w:t>
      </w:r>
      <w:r>
        <w:rPr/>
        <w:t>亿元的超募资金尚未确定投资方向。如何充分发挥超 </w:t>
      </w:r>
      <w:r>
        <w:rPr>
          <w:spacing w:val="-3"/>
        </w:rPr>
        <w:t>募资金的作用，为公司持续发展奠定基础，成为公司管理层的重要挑战。公司将</w:t>
      </w:r>
      <w:r>
        <w:rPr>
          <w:spacing w:val="-102"/>
        </w:rPr>
        <w:t> </w:t>
      </w:r>
      <w:r>
        <w:rPr>
          <w:spacing w:val="-102"/>
        </w:rPr>
      </w:r>
      <w:r>
        <w:rPr>
          <w:spacing w:val="-3"/>
        </w:rPr>
        <w:t>利用资金优势，一方面在扩展业务领域，研发新产品方面持续投入，另一方面通</w:t>
      </w:r>
      <w:r>
        <w:rPr>
          <w:spacing w:val="-102"/>
        </w:rPr>
        <w:t> </w:t>
      </w:r>
      <w:r>
        <w:rPr>
          <w:spacing w:val="-102"/>
        </w:rPr>
      </w:r>
      <w:r>
        <w:rPr>
          <w:spacing w:val="-3"/>
        </w:rPr>
        <w:t>过收购兼并的方式扩大公司规模，进行产业链延伸，从而保证公司的持续发展能</w:t>
      </w:r>
      <w:r>
        <w:rPr>
          <w:spacing w:val="-103"/>
        </w:rPr>
        <w:t> </w:t>
      </w:r>
      <w:r>
        <w:rPr>
          <w:spacing w:val="-103"/>
        </w:rPr>
      </w:r>
      <w:r>
        <w:rPr/>
        <w:t>力。</w:t>
      </w:r>
    </w:p>
    <w:p>
      <w:pPr>
        <w:pStyle w:val="BodyText"/>
        <w:spacing w:line="240" w:lineRule="auto" w:before="46"/>
        <w:ind w:left="617" w:right="179"/>
        <w:jc w:val="left"/>
      </w:pPr>
      <w:r>
        <w:rPr/>
        <w:t>（</w:t>
      </w:r>
      <w:r>
        <w:rPr>
          <w:rFonts w:ascii="Times New Roman" w:hAnsi="Times New Roman" w:cs="Times New Roman" w:eastAsia="Times New Roman" w:hint="default"/>
        </w:rPr>
        <w:t>4</w:t>
      </w:r>
      <w:r>
        <w:rPr/>
        <w:t>）行业的季节性波动特点</w:t>
      </w:r>
    </w:p>
    <w:p>
      <w:pPr>
        <w:spacing w:after="0" w:line="240" w:lineRule="auto"/>
        <w:jc w:val="left"/>
        <w:sectPr>
          <w:pgSz w:w="11910" w:h="16840"/>
          <w:pgMar w:header="850" w:footer="979" w:top="1380" w:bottom="1160" w:left="1660" w:right="1600"/>
        </w:sectPr>
      </w:pPr>
    </w:p>
    <w:p>
      <w:pPr>
        <w:pStyle w:val="BodyText"/>
        <w:spacing w:line="367" w:lineRule="auto" w:before="105"/>
        <w:ind w:right="193" w:firstLine="480"/>
        <w:jc w:val="both"/>
      </w:pPr>
      <w:r>
        <w:rPr/>
        <w:t>公司是基于</w:t>
      </w:r>
      <w:r>
        <w:rPr>
          <w:spacing w:val="-53"/>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7"/>
          <w:w w:val="99"/>
        </w:rPr>
        <w:t> </w:t>
      </w:r>
      <w:r>
        <w:rPr>
          <w:spacing w:val="-5"/>
        </w:rPr>
        <w:t>的数字化城市管理、规划和国土资源管理的行业应用软件提</w:t>
      </w:r>
      <w:r>
        <w:rPr/>
        <w:t> 供商，并从 </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年开始为客户提供数字化城市管理系统整体解决方案以及相关 </w:t>
      </w:r>
      <w:r>
        <w:rPr>
          <w:spacing w:val="-3"/>
        </w:rPr>
        <w:t>的技术服务。公司的业务收入具有明显的季节性特点。这主要是由于客户一般在</w:t>
      </w:r>
      <w:r>
        <w:rPr>
          <w:spacing w:val="-103"/>
        </w:rPr>
        <w:t> </w:t>
      </w:r>
      <w:r>
        <w:rPr>
          <w:spacing w:val="-103"/>
        </w:rPr>
      </w:r>
      <w:r>
        <w:rPr>
          <w:spacing w:val="-3"/>
        </w:rPr>
        <w:t>上半年或前一年下半年进行项目方案准备、设计和实施，下半年进入收入确认和</w:t>
      </w:r>
      <w:r>
        <w:rPr>
          <w:spacing w:val="-103"/>
        </w:rPr>
        <w:t> </w:t>
      </w:r>
      <w:r>
        <w:rPr>
          <w:spacing w:val="-103"/>
        </w:rPr>
      </w:r>
      <w:r>
        <w:rPr>
          <w:spacing w:val="-3"/>
        </w:rPr>
        <w:t>验收环节。所以，公司主要收入和利润水平在下半年体现，收款也是在下半年完</w:t>
      </w:r>
      <w:r>
        <w:rPr>
          <w:spacing w:val="-102"/>
        </w:rPr>
        <w:t> </w:t>
      </w:r>
      <w:r>
        <w:rPr>
          <w:spacing w:val="-102"/>
        </w:rPr>
      </w:r>
      <w:r>
        <w:rPr>
          <w:spacing w:val="-3"/>
        </w:rPr>
        <w:t>成。这导致公司上半年流动资金需求较大。如何合理安排流动资金，保证公司经</w:t>
      </w:r>
      <w:r>
        <w:rPr>
          <w:spacing w:val="-102"/>
        </w:rPr>
        <w:t> </w:t>
      </w:r>
      <w:r>
        <w:rPr>
          <w:spacing w:val="-102"/>
        </w:rPr>
      </w:r>
      <w:r>
        <w:rPr/>
        <w:t>营的稳定是公司面临的重要挑战。</w:t>
      </w:r>
    </w:p>
    <w:p>
      <w:pPr>
        <w:pStyle w:val="Heading3"/>
        <w:spacing w:line="240" w:lineRule="auto" w:before="211"/>
        <w:ind w:right="179"/>
        <w:jc w:val="left"/>
        <w:rPr>
          <w:b w:val="0"/>
          <w:bCs w:val="0"/>
        </w:rPr>
      </w:pPr>
      <w:r>
        <w:rPr/>
        <w:t>（五）风险分析</w:t>
      </w:r>
      <w:r>
        <w:rPr>
          <w:b w:val="0"/>
          <w:bCs w:val="0"/>
        </w:rPr>
      </w:r>
    </w:p>
    <w:p>
      <w:pPr>
        <w:spacing w:line="240" w:lineRule="auto" w:before="12"/>
        <w:rPr>
          <w:rFonts w:ascii="宋体" w:hAnsi="宋体" w:cs="宋体" w:eastAsia="宋体" w:hint="default"/>
          <w:b/>
          <w:bCs/>
          <w:sz w:val="25"/>
          <w:szCs w:val="25"/>
        </w:rPr>
      </w:pPr>
    </w:p>
    <w:p>
      <w:pPr>
        <w:pStyle w:val="BodyText"/>
        <w:spacing w:line="352" w:lineRule="auto"/>
        <w:ind w:left="617" w:right="188"/>
        <w:jc w:val="left"/>
      </w:pPr>
      <w:r>
        <w:rPr>
          <w:rFonts w:ascii="Times New Roman" w:hAnsi="Times New Roman" w:cs="Times New Roman" w:eastAsia="Times New Roman" w:hint="default"/>
        </w:rPr>
        <w:t>1</w:t>
      </w:r>
      <w:r>
        <w:rPr/>
        <w:t>、依赖政府采购风险 </w:t>
      </w:r>
      <w:r>
        <w:rPr>
          <w:spacing w:val="-3"/>
        </w:rPr>
        <w:t>公司产品主要是各级政府（部、省、市、区、县政府）的数字化城市管理平</w:t>
      </w:r>
    </w:p>
    <w:p>
      <w:pPr>
        <w:pStyle w:val="BodyText"/>
        <w:spacing w:line="240" w:lineRule="auto" w:before="60"/>
        <w:ind w:right="179"/>
        <w:jc w:val="left"/>
      </w:pPr>
      <w:r>
        <w:rPr/>
        <w:t>台以及国土、规划等政府主管部门的专用管理信息系统。客户定位于各级政府</w:t>
      </w:r>
    </w:p>
    <w:p>
      <w:pPr>
        <w:pStyle w:val="BodyText"/>
        <w:spacing w:line="374" w:lineRule="auto" w:before="175"/>
        <w:ind w:right="89"/>
        <w:jc w:val="left"/>
      </w:pPr>
      <w:r>
        <w:rPr>
          <w:spacing w:val="-3"/>
        </w:rPr>
        <w:t>（部、省、市、区、县政府）部门，虽然街道、乡镇、城市各个专业部门（如执</w:t>
      </w:r>
      <w:r>
        <w:rPr>
          <w:spacing w:val="-105"/>
        </w:rPr>
        <w:t> </w:t>
      </w:r>
      <w:r>
        <w:rPr>
          <w:spacing w:val="-105"/>
        </w:rPr>
      </w:r>
      <w:r>
        <w:rPr>
          <w:spacing w:val="-3"/>
        </w:rPr>
        <w:t>法、污水、供水、园林、海塘、公路等）、大型企业也是公司的目标用户群，但</w:t>
      </w:r>
      <w:r>
        <w:rPr>
          <w:spacing w:val="-105"/>
        </w:rPr>
        <w:t> </w:t>
      </w:r>
      <w:r>
        <w:rPr>
          <w:spacing w:val="-105"/>
        </w:rPr>
      </w:r>
      <w:r>
        <w:rPr/>
        <w:t>目前公司销售收入主要来源于政府采购，项目均通过各级政府招投标过程获得。 </w:t>
      </w:r>
      <w:r>
        <w:rPr>
          <w:spacing w:val="-3"/>
        </w:rPr>
        <w:t>若受宏观经济形势等因素影响，政府和行业主管部门推迟或减少对电子政务系统</w:t>
      </w:r>
      <w:r>
        <w:rPr>
          <w:spacing w:val="-104"/>
        </w:rPr>
        <w:t> </w:t>
      </w:r>
      <w:r>
        <w:rPr>
          <w:spacing w:val="-104"/>
        </w:rPr>
      </w:r>
      <w:r>
        <w:rPr/>
        <w:t>的投入，将会对公司的经营产生重大影响。</w:t>
      </w:r>
    </w:p>
    <w:p>
      <w:pPr>
        <w:pStyle w:val="BodyText"/>
        <w:spacing w:line="352" w:lineRule="auto" w:before="41"/>
        <w:ind w:left="617" w:right="188"/>
        <w:jc w:val="left"/>
      </w:pPr>
      <w:r>
        <w:rPr>
          <w:rFonts w:ascii="Times New Roman" w:hAnsi="Times New Roman" w:cs="Times New Roman" w:eastAsia="Times New Roman" w:hint="default"/>
        </w:rPr>
        <w:t>2</w:t>
      </w:r>
      <w:r>
        <w:rPr/>
        <w:t>、核心技术及相关人员流失风险 </w:t>
      </w:r>
      <w:r>
        <w:rPr>
          <w:spacing w:val="-3"/>
        </w:rPr>
        <w:t>软件行业属于智力密集型行业，核心技术人员对公司的产品创新、持续发展</w:t>
      </w:r>
    </w:p>
    <w:p>
      <w:pPr>
        <w:pStyle w:val="BodyText"/>
        <w:spacing w:line="374" w:lineRule="auto" w:before="60"/>
        <w:ind w:right="193"/>
        <w:jc w:val="both"/>
      </w:pPr>
      <w:r>
        <w:rPr>
          <w:spacing w:val="-3"/>
        </w:rPr>
        <w:t>起着关键的作用，核心技术人员的稳定对公司的发展具有重要影响。目前，公司</w:t>
      </w:r>
      <w:r>
        <w:rPr>
          <w:spacing w:val="-102"/>
        </w:rPr>
        <w:t> </w:t>
      </w:r>
      <w:r>
        <w:rPr>
          <w:spacing w:val="-102"/>
        </w:rPr>
      </w:r>
      <w:r>
        <w:rPr>
          <w:spacing w:val="-3"/>
        </w:rPr>
        <w:t>已建成高素质技术人员队伍，为公司的长远发展奠定了良好的基础。虽然公司已</w:t>
      </w:r>
      <w:r>
        <w:rPr>
          <w:spacing w:val="-103"/>
        </w:rPr>
        <w:t> </w:t>
      </w:r>
      <w:r>
        <w:rPr>
          <w:spacing w:val="-103"/>
        </w:rPr>
      </w:r>
      <w:r>
        <w:rPr>
          <w:spacing w:val="-3"/>
        </w:rPr>
        <w:t>建立完善的知识管理体系，采取了一系列吸引和稳定核心技术人员的措施，包括</w:t>
      </w:r>
      <w:r>
        <w:rPr>
          <w:spacing w:val="-103"/>
        </w:rPr>
        <w:t> </w:t>
      </w:r>
      <w:r>
        <w:rPr>
          <w:spacing w:val="-103"/>
        </w:rPr>
      </w:r>
      <w:r>
        <w:rPr>
          <w:spacing w:val="-3"/>
        </w:rPr>
        <w:t>核心技术人员持股，提高核心技术人员福利待遇、增加培训机会、创造良好的工</w:t>
      </w:r>
      <w:r>
        <w:rPr>
          <w:spacing w:val="-102"/>
        </w:rPr>
        <w:t> </w:t>
      </w:r>
      <w:r>
        <w:rPr>
          <w:spacing w:val="-102"/>
        </w:rPr>
      </w:r>
      <w:r>
        <w:rPr>
          <w:spacing w:val="-3"/>
        </w:rPr>
        <w:t>作和文化氛围等，但这些措施并不能保证核心技术人员不流失。如果核心技术人</w:t>
      </w:r>
      <w:r>
        <w:rPr>
          <w:spacing w:val="-103"/>
        </w:rPr>
        <w:t> </w:t>
      </w:r>
      <w:r>
        <w:rPr>
          <w:spacing w:val="-103"/>
        </w:rPr>
      </w:r>
      <w:r>
        <w:rPr>
          <w:spacing w:val="-3"/>
        </w:rPr>
        <w:t>员发生较大规模的流失，将增加本公司实现战略目标的难度。若核心技术人员的</w:t>
      </w:r>
      <w:r>
        <w:rPr>
          <w:spacing w:val="-103"/>
        </w:rPr>
        <w:t> </w:t>
      </w:r>
      <w:r>
        <w:rPr>
          <w:spacing w:val="-103"/>
        </w:rPr>
      </w:r>
      <w:r>
        <w:rPr/>
        <w:t>流失伴随着核心技术泄密，则对公司未来发展将产生不利影响。</w:t>
      </w:r>
    </w:p>
    <w:p>
      <w:pPr>
        <w:pStyle w:val="BodyText"/>
        <w:spacing w:line="352" w:lineRule="auto" w:before="41"/>
        <w:ind w:left="617" w:right="188"/>
        <w:jc w:val="left"/>
      </w:pPr>
      <w:r>
        <w:rPr>
          <w:rFonts w:ascii="Times New Roman" w:hAnsi="Times New Roman" w:cs="Times New Roman" w:eastAsia="Times New Roman" w:hint="default"/>
        </w:rPr>
        <w:t>3</w:t>
      </w:r>
      <w:r>
        <w:rPr/>
        <w:t>、税收优惠政策变化风险 </w:t>
      </w:r>
      <w:r>
        <w:rPr>
          <w:spacing w:val="-3"/>
        </w:rPr>
        <w:t>报告期内公司系高新技术企业，根据《国务院关于〈北京市新技术产业开发</w:t>
      </w:r>
    </w:p>
    <w:p>
      <w:pPr>
        <w:pStyle w:val="BodyText"/>
        <w:spacing w:line="240" w:lineRule="auto" w:before="62"/>
        <w:ind w:right="89"/>
        <w:jc w:val="left"/>
      </w:pPr>
      <w:r>
        <w:rPr/>
        <w:t>试验区暂行条例〉》</w:t>
      </w:r>
      <w:r>
        <w:rPr>
          <w:rFonts w:ascii="Times New Roman" w:hAnsi="Times New Roman" w:cs="Times New Roman" w:eastAsia="Times New Roman" w:hint="default"/>
        </w:rPr>
        <w:t>(</w:t>
      </w:r>
      <w:r>
        <w:rPr/>
        <w:t>国务院国函</w:t>
      </w:r>
      <w:r>
        <w:rPr>
          <w:rFonts w:ascii="Times New Roman" w:hAnsi="Times New Roman" w:cs="Times New Roman" w:eastAsia="Times New Roman" w:hint="default"/>
        </w:rPr>
        <w:t>[1988]74</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、《企业所得税法》、《关于印发</w:t>
      </w:r>
    </w:p>
    <w:p>
      <w:pPr>
        <w:spacing w:after="0" w:line="240" w:lineRule="auto"/>
        <w:jc w:val="left"/>
        <w:sectPr>
          <w:pgSz w:w="11910" w:h="16840"/>
          <w:pgMar w:header="850" w:footer="979" w:top="1380" w:bottom="1160" w:left="1660" w:right="1600"/>
        </w:sectPr>
      </w:pPr>
    </w:p>
    <w:p>
      <w:pPr>
        <w:pStyle w:val="BodyText"/>
        <w:spacing w:line="352" w:lineRule="auto" w:before="105"/>
        <w:ind w:right="322"/>
        <w:jc w:val="left"/>
      </w:pPr>
      <w:r>
        <w:rPr>
          <w:rFonts w:ascii="Times New Roman" w:hAnsi="Times New Roman" w:cs="Times New Roman" w:eastAsia="Times New Roman" w:hint="default"/>
        </w:rPr>
        <w:t>&lt;</w:t>
      </w:r>
      <w:r>
        <w:rPr/>
        <w:t>高新技术企业认定管理办法</w:t>
      </w:r>
      <w:r>
        <w:rPr>
          <w:rFonts w:ascii="Times New Roman" w:hAnsi="Times New Roman" w:cs="Times New Roman" w:eastAsia="Times New Roman" w:hint="default"/>
        </w:rPr>
        <w:t>&gt;</w:t>
      </w:r>
      <w:r>
        <w:rPr/>
        <w:t>的通知》</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[2008]172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等规定，公司享 受</w:t>
      </w:r>
      <w:r>
        <w:rPr>
          <w:spacing w:val="-61"/>
        </w:rPr>
        <w:t> </w:t>
      </w:r>
      <w:r>
        <w:rPr>
          <w:rFonts w:ascii="Times New Roman" w:hAnsi="Times New Roman" w:cs="Times New Roman" w:eastAsia="Times New Roman" w:hint="default"/>
        </w:rPr>
        <w:t>15%</w:t>
      </w:r>
      <w:r>
        <w:rPr/>
        <w:t>的所得税税率及相关减免优惠。</w:t>
      </w:r>
    </w:p>
    <w:p>
      <w:pPr>
        <w:pStyle w:val="BodyText"/>
        <w:spacing w:line="374" w:lineRule="auto" w:before="30"/>
        <w:ind w:right="218" w:firstLine="480"/>
        <w:jc w:val="left"/>
      </w:pPr>
      <w:r>
        <w:rPr>
          <w:spacing w:val="-10"/>
        </w:rPr>
        <w:t>根据国务院下发的《关于鼓励软件产业和集成电路产业若干政策的通知》（国</w:t>
      </w:r>
      <w:r>
        <w:rPr/>
        <w:t> 发</w:t>
      </w:r>
      <w:r>
        <w:rPr>
          <w:rFonts w:ascii="Times New Roman" w:hAnsi="Times New Roman" w:cs="Times New Roman" w:eastAsia="Times New Roman" w:hint="default"/>
        </w:rPr>
        <w:t>[2000]18</w:t>
      </w:r>
      <w:r>
        <w:rPr>
          <w:rFonts w:ascii="Times New Roman" w:hAnsi="Times New Roman" w:cs="Times New Roman" w:eastAsia="Times New Roman" w:hint="default"/>
          <w:spacing w:val="-11"/>
        </w:rPr>
        <w:t> </w:t>
      </w:r>
      <w:r>
        <w:rPr>
          <w:spacing w:val="-12"/>
        </w:rPr>
        <w:t>号）第</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条的规定及由财政部、国家税务总局和海关总署联合下发的</w:t>
      </w:r>
    </w:p>
    <w:p>
      <w:pPr>
        <w:pStyle w:val="BodyText"/>
        <w:spacing w:line="360" w:lineRule="auto" w:before="8"/>
        <w:ind w:right="218"/>
        <w:jc w:val="left"/>
      </w:pPr>
      <w:r>
        <w:rPr/>
        <w:t>《关于鼓励软件产业和集成电路产业发展有关税收政策问题的通知》（财税 </w:t>
      </w:r>
      <w:r>
        <w:rPr>
          <w:rFonts w:ascii="Times New Roman" w:hAnsi="Times New Roman" w:cs="Times New Roman" w:eastAsia="Times New Roman" w:hint="default"/>
        </w:rPr>
        <w:t>[2000]25</w:t>
      </w:r>
      <w:r>
        <w:rPr>
          <w:rFonts w:ascii="Times New Roman" w:hAnsi="Times New Roman" w:cs="Times New Roman" w:eastAsia="Times New Roman" w:hint="default"/>
          <w:spacing w:val="-1"/>
        </w:rPr>
        <w:t> </w:t>
      </w:r>
      <w:r>
        <w:rPr/>
        <w:t>号）第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条的规定，自</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年底以前，本公司销 </w:t>
      </w:r>
      <w:r>
        <w:rPr>
          <w:spacing w:val="-4"/>
        </w:rPr>
        <w:t>售其自行开发生产的软件产品，按</w:t>
      </w:r>
      <w:r>
        <w:rPr>
          <w:spacing w:val="-46"/>
        </w:rPr>
        <w:t> </w:t>
      </w:r>
      <w:r>
        <w:rPr>
          <w:rFonts w:ascii="Times New Roman" w:hAnsi="Times New Roman" w:cs="Times New Roman" w:eastAsia="Times New Roman" w:hint="default"/>
          <w:spacing w:val="-3"/>
        </w:rPr>
        <w:t>17%</w:t>
      </w:r>
      <w:r>
        <w:rPr>
          <w:spacing w:val="-3"/>
        </w:rPr>
        <w:t>的法定税率征收增值税后，享受增值税实</w:t>
      </w:r>
      <w:r>
        <w:rPr/>
        <w:t> 际税负超过</w:t>
      </w:r>
      <w:r>
        <w:rPr>
          <w:spacing w:val="-61"/>
        </w:rPr>
        <w:t> </w:t>
      </w:r>
      <w:r>
        <w:rPr>
          <w:rFonts w:ascii="Times New Roman" w:hAnsi="Times New Roman" w:cs="Times New Roman" w:eastAsia="Times New Roman" w:hint="default"/>
        </w:rPr>
        <w:t>3%</w:t>
      </w:r>
      <w:r>
        <w:rPr/>
        <w:t>的部分实行即征即退的优惠政策。</w:t>
      </w:r>
    </w:p>
    <w:p>
      <w:pPr>
        <w:pStyle w:val="BodyText"/>
        <w:spacing w:line="360" w:lineRule="auto" w:before="24"/>
        <w:ind w:right="100" w:firstLine="480"/>
        <w:jc w:val="left"/>
      </w:pPr>
      <w:r>
        <w:rPr>
          <w:spacing w:val="-5"/>
        </w:rPr>
        <w:t>根据《中华人民共和国营业税暂行条例》（国务院第</w:t>
      </w:r>
      <w:r>
        <w:rPr>
          <w:spacing w:val="-54"/>
        </w:rPr>
        <w:t> </w:t>
      </w:r>
      <w:r>
        <w:rPr>
          <w:rFonts w:ascii="Times New Roman" w:hAnsi="Times New Roman" w:cs="Times New Roman" w:eastAsia="Times New Roman" w:hint="default"/>
        </w:rPr>
        <w:t>540</w:t>
      </w:r>
      <w:r>
        <w:rPr>
          <w:rFonts w:ascii="Times New Roman" w:hAnsi="Times New Roman" w:cs="Times New Roman" w:eastAsia="Times New Roman" w:hint="default"/>
          <w:spacing w:val="6"/>
        </w:rPr>
        <w:t> </w:t>
      </w:r>
      <w:r>
        <w:rPr>
          <w:spacing w:val="-12"/>
        </w:rPr>
        <w:t>号令）、《财政部、</w:t>
      </w:r>
      <w:r>
        <w:rPr/>
        <w:t> </w:t>
      </w:r>
      <w:r>
        <w:rPr>
          <w:spacing w:val="-3"/>
        </w:rPr>
        <w:t>国家税务总局关于贯彻落实〈中共中央国务院关于加强技术创新发展高科技实现</w:t>
      </w:r>
      <w:r>
        <w:rPr>
          <w:spacing w:val="-104"/>
        </w:rPr>
        <w:t> </w:t>
      </w:r>
      <w:r>
        <w:rPr>
          <w:spacing w:val="-104"/>
        </w:rPr>
      </w:r>
      <w:r>
        <w:rPr/>
        <w:t>产业化决定〉有关税收问题的通知》（财税字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1"/>
        </w:rPr>
        <w:t> </w:t>
      </w:r>
      <w:r>
        <w:rPr/>
        <w:t>号）、《国家税务总局 </w:t>
      </w:r>
      <w:r>
        <w:rPr>
          <w:spacing w:val="-3"/>
        </w:rPr>
        <w:t>关于取消</w:t>
      </w:r>
      <w:r>
        <w:rPr>
          <w:rFonts w:ascii="宋体" w:hAnsi="宋体" w:cs="宋体" w:eastAsia="宋体" w:hint="default"/>
          <w:spacing w:val="-3"/>
        </w:rPr>
        <w:t>“</w:t>
      </w:r>
      <w:r>
        <w:rPr>
          <w:spacing w:val="-3"/>
        </w:rPr>
        <w:t>单位和个人从事技术转让、技术开发业务免征营业税审批</w:t>
      </w:r>
      <w:r>
        <w:rPr>
          <w:rFonts w:ascii="宋体" w:hAnsi="宋体" w:cs="宋体" w:eastAsia="宋体" w:hint="default"/>
          <w:spacing w:val="-3"/>
        </w:rPr>
        <w:t>”</w:t>
      </w:r>
      <w:r>
        <w:rPr>
          <w:spacing w:val="-3"/>
        </w:rPr>
        <w:t>后有关税</w:t>
      </w:r>
      <w:r>
        <w:rPr>
          <w:spacing w:val="-102"/>
        </w:rPr>
        <w:t> </w:t>
      </w:r>
      <w:r>
        <w:rPr/>
        <w:t>收管理问题的通知》（国税函</w:t>
      </w:r>
      <w:r>
        <w:rPr>
          <w:rFonts w:ascii="Times New Roman" w:hAnsi="Times New Roman" w:cs="Times New Roman" w:eastAsia="Times New Roman" w:hint="default"/>
        </w:rPr>
        <w:t>[2004]825</w:t>
      </w:r>
      <w:r>
        <w:rPr>
          <w:rFonts w:ascii="Times New Roman" w:hAnsi="Times New Roman" w:cs="Times New Roman" w:eastAsia="Times New Roman" w:hint="default"/>
          <w:spacing w:val="-1"/>
        </w:rPr>
        <w:t> </w:t>
      </w:r>
      <w:r>
        <w:rPr/>
        <w:t>号）、《科学技术部、财政部、国家税 务总局关于印发</w:t>
      </w:r>
      <w:r>
        <w:rPr>
          <w:rFonts w:ascii="Times New Roman" w:hAnsi="Times New Roman" w:cs="Times New Roman" w:eastAsia="Times New Roman" w:hint="default"/>
        </w:rPr>
        <w:t>&lt;</w:t>
      </w:r>
      <w:r>
        <w:rPr/>
        <w:t>技术合同认定登记管理办法</w:t>
      </w:r>
      <w:r>
        <w:rPr>
          <w:rFonts w:ascii="Times New Roman" w:hAnsi="Times New Roman" w:cs="Times New Roman" w:eastAsia="Times New Roman" w:hint="default"/>
        </w:rPr>
        <w:t>&gt;</w:t>
      </w:r>
      <w:r>
        <w:rPr/>
        <w:t>的通知》（国科发政字</w:t>
      </w:r>
      <w:r>
        <w:rPr>
          <w:rFonts w:ascii="Times New Roman" w:hAnsi="Times New Roman" w:cs="Times New Roman" w:eastAsia="Times New Roman" w:hint="default"/>
        </w:rPr>
        <w:t>[2000]063 </w:t>
      </w:r>
      <w:r>
        <w:rPr/>
        <w:t>号）、《北京市地方税务局关于印发</w:t>
      </w:r>
      <w:r>
        <w:rPr>
          <w:rFonts w:ascii="Times New Roman" w:hAnsi="Times New Roman" w:cs="Times New Roman" w:eastAsia="Times New Roman" w:hint="default"/>
        </w:rPr>
        <w:t>&lt;</w:t>
      </w:r>
      <w:r>
        <w:rPr/>
        <w:t>北京市地方税务局税收减免管理实施办法</w:t>
      </w:r>
    </w:p>
    <w:p>
      <w:pPr>
        <w:pStyle w:val="BodyText"/>
        <w:spacing w:line="352" w:lineRule="auto" w:before="24"/>
        <w:ind w:right="224"/>
        <w:jc w:val="left"/>
      </w:pPr>
      <w:r>
        <w:rPr>
          <w:spacing w:val="-3"/>
        </w:rPr>
        <w:t>（试行）</w:t>
      </w:r>
      <w:r>
        <w:rPr>
          <w:rFonts w:ascii="Times New Roman" w:hAnsi="Times New Roman" w:cs="Times New Roman" w:eastAsia="Times New Roman" w:hint="default"/>
          <w:spacing w:val="-3"/>
        </w:rPr>
        <w:t>&gt;</w:t>
      </w:r>
      <w:r>
        <w:rPr>
          <w:spacing w:val="-3"/>
        </w:rPr>
        <w:t>的通知》（京地税征</w:t>
      </w:r>
      <w:r>
        <w:rPr>
          <w:rFonts w:ascii="Times New Roman" w:hAnsi="Times New Roman" w:cs="Times New Roman" w:eastAsia="Times New Roman" w:hint="default"/>
          <w:spacing w:val="-3"/>
        </w:rPr>
        <w:t>[2006]287</w:t>
      </w:r>
      <w:r>
        <w:rPr>
          <w:rFonts w:ascii="Times New Roman" w:hAnsi="Times New Roman" w:cs="Times New Roman" w:eastAsia="Times New Roman" w:hint="default"/>
          <w:spacing w:val="30"/>
        </w:rPr>
        <w:t> </w:t>
      </w:r>
      <w:r>
        <w:rPr>
          <w:spacing w:val="-3"/>
        </w:rPr>
        <w:t>号）等文件精神，本公司报告期内取得</w:t>
      </w:r>
      <w:r>
        <w:rPr>
          <w:spacing w:val="-116"/>
        </w:rPr>
        <w:t> </w:t>
      </w:r>
      <w:r>
        <w:rPr>
          <w:spacing w:val="-116"/>
        </w:rPr>
      </w:r>
      <w:r>
        <w:rPr/>
        <w:t>的技术转让、技术开发业务收入免征营业税。</w:t>
      </w:r>
    </w:p>
    <w:p>
      <w:pPr>
        <w:pStyle w:val="BodyText"/>
        <w:spacing w:line="372" w:lineRule="auto" w:before="62"/>
        <w:ind w:right="228" w:firstLine="480"/>
        <w:jc w:val="left"/>
      </w:pPr>
      <w:r>
        <w:rPr>
          <w:spacing w:val="-3"/>
        </w:rPr>
        <w:t>若公司目前享受的税收优惠政策发展不利于公司的变化，将对公司公司的经</w:t>
      </w:r>
      <w:r>
        <w:rPr/>
        <w:t> 营业绩产生较大影响。</w:t>
      </w:r>
    </w:p>
    <w:p>
      <w:pPr>
        <w:pStyle w:val="Heading3"/>
        <w:spacing w:line="240" w:lineRule="auto" w:before="206"/>
        <w:ind w:right="111"/>
        <w:jc w:val="left"/>
        <w:rPr>
          <w:b w:val="0"/>
          <w:bCs w:val="0"/>
        </w:rPr>
      </w:pPr>
      <w:r>
        <w:rPr/>
        <w:t>（六）资金需求及使用计划</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617" w:right="111"/>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日，公司首次公开发行人民币普通股（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1,400 </w:t>
      </w:r>
      <w:r>
        <w:rPr/>
        <w:t>万股，</w:t>
      </w:r>
    </w:p>
    <w:p>
      <w:pPr>
        <w:pStyle w:val="BodyText"/>
        <w:spacing w:line="352" w:lineRule="auto" w:before="157"/>
        <w:ind w:left="617" w:right="369" w:hanging="480"/>
        <w:jc w:val="left"/>
      </w:pPr>
      <w:r>
        <w:rPr/>
        <w:t>发行价格每股</w:t>
      </w:r>
      <w:r>
        <w:rPr>
          <w:spacing w:val="-60"/>
        </w:rPr>
        <w:t> </w:t>
      </w:r>
      <w:r>
        <w:rPr>
          <w:rFonts w:ascii="Times New Roman" w:hAnsi="Times New Roman" w:cs="Times New Roman" w:eastAsia="Times New Roman" w:hint="default"/>
        </w:rPr>
        <w:t>54.00 </w:t>
      </w:r>
      <w:r>
        <w:rPr/>
        <w:t>元，募集资金共</w:t>
      </w:r>
      <w:r>
        <w:rPr>
          <w:spacing w:val="-60"/>
        </w:rPr>
        <w:t> </w:t>
      </w:r>
      <w:r>
        <w:rPr>
          <w:rFonts w:ascii="Times New Roman" w:hAnsi="Times New Roman" w:cs="Times New Roman" w:eastAsia="Times New Roman" w:hint="default"/>
        </w:rPr>
        <w:t>7.07 </w:t>
      </w:r>
      <w:r>
        <w:rPr/>
        <w:t>亿元，超募资金金额为</w:t>
      </w:r>
      <w:r>
        <w:rPr>
          <w:spacing w:val="-60"/>
        </w:rPr>
        <w:t> </w:t>
      </w:r>
      <w:r>
        <w:rPr>
          <w:rFonts w:ascii="Times New Roman" w:hAnsi="Times New Roman" w:cs="Times New Roman" w:eastAsia="Times New Roman" w:hint="default"/>
        </w:rPr>
        <w:t>5.57 </w:t>
      </w:r>
      <w:r>
        <w:rPr/>
        <w:t>亿元。 公司除了募集资金投资项目以外，剩余超募资金存放在募集资金专项账户</w:t>
      </w:r>
    </w:p>
    <w:p>
      <w:pPr>
        <w:pStyle w:val="BodyText"/>
        <w:spacing w:line="374" w:lineRule="auto" w:before="62"/>
        <w:ind w:right="111"/>
        <w:jc w:val="left"/>
      </w:pPr>
      <w:r>
        <w:rPr>
          <w:spacing w:val="-3"/>
        </w:rPr>
        <w:t>中，公司将结合发展规划和实际生产经营需要投资于公司的主营业务，妥善安排</w:t>
      </w:r>
      <w:r>
        <w:rPr>
          <w:spacing w:val="-103"/>
        </w:rPr>
        <w:t> </w:t>
      </w:r>
      <w:r>
        <w:rPr>
          <w:spacing w:val="-103"/>
        </w:rPr>
      </w:r>
      <w:r>
        <w:rPr/>
        <w:t>超募资金的使用计划，提交董事会审议通过后及时披露。</w:t>
      </w:r>
    </w:p>
    <w:p>
      <w:pPr>
        <w:pStyle w:val="Heading3"/>
        <w:spacing w:line="240" w:lineRule="auto" w:before="204"/>
        <w:ind w:left="137" w:right="111"/>
        <w:jc w:val="left"/>
        <w:rPr>
          <w:b w:val="0"/>
          <w:bCs w:val="0"/>
        </w:rPr>
      </w:pPr>
      <w:r>
        <w:rPr/>
        <w:t>三、报告期内公司投资情况</w:t>
      </w:r>
      <w:r>
        <w:rPr>
          <w:b w:val="0"/>
          <w:bCs w:val="0"/>
        </w:rPr>
      </w:r>
    </w:p>
    <w:p>
      <w:pPr>
        <w:spacing w:line="240" w:lineRule="auto" w:before="9"/>
        <w:rPr>
          <w:rFonts w:ascii="宋体" w:hAnsi="宋体" w:cs="宋体" w:eastAsia="宋体" w:hint="default"/>
          <w:b/>
          <w:bCs/>
          <w:sz w:val="25"/>
          <w:szCs w:val="25"/>
        </w:rPr>
      </w:pPr>
    </w:p>
    <w:p>
      <w:pPr>
        <w:spacing w:before="0"/>
        <w:ind w:left="620" w:right="111" w:firstLine="0"/>
        <w:jc w:val="left"/>
        <w:rPr>
          <w:rFonts w:ascii="宋体" w:hAnsi="宋体" w:cs="宋体" w:eastAsia="宋体" w:hint="default"/>
          <w:sz w:val="24"/>
          <w:szCs w:val="24"/>
        </w:rPr>
      </w:pPr>
      <w:r>
        <w:rPr>
          <w:rFonts w:ascii="宋体" w:hAnsi="宋体" w:cs="宋体" w:eastAsia="宋体" w:hint="default"/>
          <w:b/>
          <w:bCs/>
          <w:sz w:val="24"/>
          <w:szCs w:val="24"/>
        </w:rPr>
        <w:t>（一）募集资金使用情况如下</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9" w:top="1380" w:bottom="1160" w:left="1660" w:right="1560"/>
        </w:sectPr>
      </w:pPr>
    </w:p>
    <w:p>
      <w:pPr>
        <w:pStyle w:val="BodyText"/>
        <w:spacing w:line="391" w:lineRule="auto" w:before="105"/>
        <w:ind w:left="1337" w:right="769"/>
        <w:jc w:val="left"/>
      </w:pPr>
      <w:r>
        <w:rPr>
          <w:rFonts w:ascii="Times New Roman" w:hAnsi="Times New Roman" w:cs="Times New Roman" w:eastAsia="Times New Roman" w:hint="default"/>
        </w:rPr>
        <w:t>1</w:t>
      </w:r>
      <w:r>
        <w:rPr/>
        <w:t>、募集资金到位情况 </w:t>
      </w:r>
      <w:r>
        <w:rPr>
          <w:spacing w:val="2"/>
        </w:rPr>
        <w:t>经中国证券监督管理委员会</w:t>
      </w:r>
      <w:r>
        <w:rPr>
          <w:rFonts w:ascii="宋体" w:hAnsi="宋体" w:cs="宋体" w:eastAsia="宋体" w:hint="default"/>
          <w:spacing w:val="2"/>
        </w:rPr>
        <w:t>“</w:t>
      </w:r>
      <w:r>
        <w:rPr>
          <w:spacing w:val="2"/>
        </w:rPr>
        <w:t>证监许可</w:t>
      </w:r>
      <w:r>
        <w:rPr>
          <w:rFonts w:ascii="Times New Roman" w:hAnsi="Times New Roman" w:cs="Times New Roman" w:eastAsia="Times New Roman" w:hint="default"/>
          <w:spacing w:val="2"/>
        </w:rPr>
        <w:t>[2010]369</w:t>
      </w:r>
      <w:r>
        <w:rPr>
          <w:spacing w:val="2"/>
        </w:rPr>
        <w:t>号</w:t>
      </w:r>
      <w:r>
        <w:rPr>
          <w:rFonts w:ascii="宋体" w:hAnsi="宋体" w:cs="宋体" w:eastAsia="宋体" w:hint="default"/>
          <w:spacing w:val="2"/>
        </w:rPr>
        <w:t>”</w:t>
      </w:r>
      <w:r>
        <w:rPr>
          <w:spacing w:val="2"/>
        </w:rPr>
        <w:t>文核准，公司委托主</w:t>
      </w:r>
      <w:r>
        <w:rPr/>
      </w:r>
    </w:p>
    <w:p>
      <w:pPr>
        <w:pStyle w:val="BodyText"/>
        <w:spacing w:line="357" w:lineRule="auto"/>
        <w:ind w:left="857" w:right="873"/>
        <w:jc w:val="both"/>
      </w:pPr>
      <w:r>
        <w:rPr>
          <w:spacing w:val="-3"/>
        </w:rPr>
        <w:t>承销商招商证券股份有限公司（以下简称</w:t>
      </w:r>
      <w:r>
        <w:rPr>
          <w:rFonts w:ascii="宋体" w:hAnsi="宋体" w:cs="宋体" w:eastAsia="宋体" w:hint="default"/>
          <w:spacing w:val="-3"/>
        </w:rPr>
        <w:t>“</w:t>
      </w:r>
      <w:r>
        <w:rPr>
          <w:spacing w:val="-3"/>
        </w:rPr>
        <w:t>招商证券”）首次公开发行人民币普</w:t>
      </w:r>
      <w:r>
        <w:rPr>
          <w:spacing w:val="-103"/>
        </w:rPr>
        <w:t> </w:t>
      </w:r>
      <w:r>
        <w:rPr>
          <w:spacing w:val="-103"/>
        </w:rPr>
      </w:r>
      <w:r>
        <w:rPr>
          <w:spacing w:val="-1"/>
        </w:rPr>
        <w:t>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1,400</w:t>
      </w:r>
      <w:r>
        <w:rPr>
          <w:spacing w:val="-1"/>
        </w:rPr>
        <w:t>万股（每股面值</w:t>
      </w:r>
      <w:r>
        <w:rPr>
          <w:rFonts w:ascii="Times New Roman" w:hAnsi="Times New Roman" w:cs="Times New Roman" w:eastAsia="Times New Roman" w:hint="default"/>
          <w:spacing w:val="-1"/>
        </w:rPr>
        <w:t>1</w:t>
      </w:r>
      <w:r>
        <w:rPr>
          <w:spacing w:val="-1"/>
        </w:rPr>
        <w:t>元），发行价格为每股</w:t>
      </w:r>
      <w:r>
        <w:rPr>
          <w:rFonts w:ascii="Times New Roman" w:hAnsi="Times New Roman" w:cs="Times New Roman" w:eastAsia="Times New Roman" w:hint="default"/>
          <w:spacing w:val="-1"/>
        </w:rPr>
        <w:t>54.00</w:t>
      </w:r>
      <w:r>
        <w:rPr>
          <w:spacing w:val="-1"/>
        </w:rPr>
        <w:t>元，共募集资金</w:t>
      </w:r>
      <w:r>
        <w:rPr>
          <w:spacing w:val="-103"/>
        </w:rPr>
        <w:t> </w:t>
      </w:r>
      <w:r>
        <w:rPr>
          <w:spacing w:val="-103"/>
        </w:rPr>
      </w:r>
      <w:r>
        <w:rPr>
          <w:spacing w:val="-2"/>
        </w:rPr>
        <w:t>人民币</w:t>
      </w:r>
      <w:r>
        <w:rPr>
          <w:rFonts w:ascii="Times New Roman" w:hAnsi="Times New Roman" w:cs="Times New Roman" w:eastAsia="Times New Roman" w:hint="default"/>
          <w:spacing w:val="-2"/>
        </w:rPr>
        <w:t>75,600.00</w:t>
      </w:r>
      <w:r>
        <w:rPr>
          <w:spacing w:val="-2"/>
        </w:rPr>
        <w:t>万元，扣除各项发行费用后，募集资金净额为</w:t>
      </w:r>
      <w:r>
        <w:rPr>
          <w:rFonts w:ascii="Times New Roman" w:hAnsi="Times New Roman" w:cs="Times New Roman" w:eastAsia="Times New Roman" w:hint="default"/>
          <w:spacing w:val="-2"/>
        </w:rPr>
        <w:t>70,697.30</w:t>
      </w:r>
      <w:r>
        <w:rPr>
          <w:spacing w:val="-2"/>
        </w:rPr>
        <w:t>万元。以</w:t>
      </w:r>
      <w:r>
        <w:rPr>
          <w:spacing w:val="-117"/>
        </w:rPr>
        <w:t> </w:t>
      </w:r>
      <w:r>
        <w:rPr>
          <w:spacing w:val="-117"/>
        </w:rPr>
      </w:r>
      <w:r>
        <w:rPr/>
        <w:t>上募集资金已由中瑞岳华会计师事务有限公司于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日出具的</w:t>
      </w:r>
      <w:r>
        <w:rPr>
          <w:rFonts w:ascii="宋体" w:hAnsi="宋体" w:cs="宋体" w:eastAsia="宋体" w:hint="default"/>
        </w:rPr>
        <w:t>“</w:t>
      </w:r>
      <w:r>
        <w:rPr/>
        <w:t>中瑞岳</w:t>
      </w:r>
      <w:r>
        <w:rPr>
          <w:spacing w:val="-95"/>
        </w:rPr>
        <w:t> </w:t>
      </w:r>
      <w:r>
        <w:rPr>
          <w:spacing w:val="-95"/>
        </w:rPr>
      </w:r>
      <w:r>
        <w:rPr/>
        <w:t>华验字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093</w:t>
      </w:r>
      <w:r>
        <w:rPr/>
        <w:t>号</w:t>
      </w:r>
      <w:r>
        <w:rPr>
          <w:rFonts w:ascii="宋体" w:hAnsi="宋体" w:cs="宋体" w:eastAsia="宋体" w:hint="default"/>
        </w:rPr>
        <w:t>”</w:t>
      </w:r>
      <w:r>
        <w:rPr/>
        <w:t>《验资报告》验证确认。</w:t>
      </w:r>
    </w:p>
    <w:p>
      <w:pPr>
        <w:pStyle w:val="BodyText"/>
        <w:spacing w:line="357" w:lineRule="auto" w:before="77"/>
        <w:ind w:left="857" w:right="769" w:firstLine="480"/>
        <w:jc w:val="left"/>
      </w:pPr>
      <w:r>
        <w:rPr>
          <w:spacing w:val="-3"/>
        </w:rPr>
        <w:t>根据财政部《关于执行企业会计准则的上市公司和非上市企业做好</w:t>
      </w:r>
      <w:r>
        <w:rPr>
          <w:rFonts w:ascii="Times New Roman" w:hAnsi="Times New Roman" w:cs="Times New Roman" w:eastAsia="Times New Roman" w:hint="default"/>
          <w:spacing w:val="-3"/>
        </w:rPr>
        <w:t>2010</w:t>
      </w:r>
      <w:r>
        <w:rPr>
          <w:spacing w:val="-3"/>
        </w:rPr>
        <w:t>年年</w:t>
      </w:r>
      <w:r>
        <w:rPr/>
        <w:t> </w:t>
      </w:r>
      <w:r>
        <w:rPr>
          <w:spacing w:val="2"/>
        </w:rPr>
        <w:t>报工作的通知》（财会</w:t>
      </w:r>
      <w:r>
        <w:rPr>
          <w:rFonts w:ascii="Times New Roman" w:hAnsi="Times New Roman" w:cs="Times New Roman" w:eastAsia="Times New Roman" w:hint="default"/>
          <w:spacing w:val="2"/>
        </w:rPr>
        <w:t>[2010]25</w:t>
      </w:r>
      <w:r>
        <w:rPr>
          <w:spacing w:val="2"/>
        </w:rPr>
        <w:t>号）、证监会</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日《中国证监会会计</w:t>
      </w:r>
      <w:r>
        <w:rPr>
          <w:spacing w:val="-106"/>
        </w:rPr>
        <w:t> </w:t>
      </w:r>
      <w:r>
        <w:rPr>
          <w:spacing w:val="-106"/>
        </w:rPr>
      </w:r>
      <w:r>
        <w:rPr/>
        <w:t>部发布上市公司执行企业会计准则监管问题解答（</w:t>
      </w:r>
      <w:r>
        <w:rPr>
          <w:rFonts w:ascii="Times New Roman" w:hAnsi="Times New Roman" w:cs="Times New Roman" w:eastAsia="Times New Roman" w:hint="default"/>
        </w:rPr>
        <w:t>2010</w:t>
      </w:r>
      <w:r>
        <w:rPr/>
        <w:t>年第一期，总第四期）》 </w:t>
      </w:r>
      <w:r>
        <w:rPr>
          <w:spacing w:val="-3"/>
        </w:rPr>
        <w:t>等相关要求，公司对发行费用进行了重新审核。扣除上市公司路演及非法定披露</w:t>
      </w:r>
      <w:r>
        <w:rPr>
          <w:spacing w:val="-103"/>
        </w:rPr>
        <w:t> </w:t>
      </w:r>
      <w:r>
        <w:rPr>
          <w:spacing w:val="-103"/>
        </w:rPr>
      </w:r>
      <w:r>
        <w:rPr/>
        <w:t>信息费用共计</w:t>
      </w:r>
      <w:r>
        <w:rPr>
          <w:rFonts w:ascii="Times New Roman" w:hAnsi="Times New Roman" w:cs="Times New Roman" w:eastAsia="Times New Roman" w:hint="default"/>
        </w:rPr>
        <w:t>442.00</w:t>
      </w:r>
      <w:r>
        <w:rPr/>
        <w:t>万元后，公司实际募集资金净额为</w:t>
      </w:r>
      <w:r>
        <w:rPr>
          <w:rFonts w:ascii="Times New Roman" w:hAnsi="Times New Roman" w:cs="Times New Roman" w:eastAsia="Times New Roman" w:hint="default"/>
        </w:rPr>
        <w:t>70,697.30</w:t>
      </w:r>
      <w:r>
        <w:rPr/>
        <w:t>万元人民币。</w:t>
      </w:r>
    </w:p>
    <w:p>
      <w:pPr>
        <w:pStyle w:val="BodyText"/>
        <w:spacing w:line="352" w:lineRule="auto" w:before="27"/>
        <w:ind w:left="1337" w:right="868"/>
        <w:jc w:val="left"/>
      </w:pPr>
      <w:r>
        <w:rPr>
          <w:rFonts w:ascii="Times New Roman" w:hAnsi="Times New Roman" w:cs="Times New Roman" w:eastAsia="Times New Roman" w:hint="default"/>
        </w:rPr>
        <w:t>2</w:t>
      </w:r>
      <w:r>
        <w:rPr/>
        <w:t>、报告期内募集资金使用情况 </w:t>
      </w:r>
      <w:r>
        <w:rPr>
          <w:spacing w:val="-3"/>
        </w:rPr>
        <w:t>本次募集资金共有四个投资项目，分别是</w:t>
      </w:r>
      <w:r>
        <w:rPr>
          <w:rFonts w:ascii="宋体" w:hAnsi="宋体" w:cs="宋体" w:eastAsia="宋体" w:hint="default"/>
          <w:spacing w:val="-3"/>
        </w:rPr>
        <w:t>“</w:t>
      </w:r>
      <w:r>
        <w:rPr>
          <w:spacing w:val="-3"/>
        </w:rPr>
        <w:t>新一代</w:t>
      </w:r>
      <w:r>
        <w:rPr>
          <w:rFonts w:ascii="宋体" w:hAnsi="宋体" w:cs="宋体" w:eastAsia="宋体" w:hint="default"/>
          <w:spacing w:val="-3"/>
        </w:rPr>
        <w:t>”</w:t>
      </w:r>
      <w:r>
        <w:rPr>
          <w:spacing w:val="-3"/>
        </w:rPr>
        <w:t>数字城管系统项目、数</w:t>
      </w:r>
    </w:p>
    <w:p>
      <w:pPr>
        <w:pStyle w:val="BodyText"/>
        <w:spacing w:line="364" w:lineRule="auto" w:before="62"/>
        <w:ind w:left="857" w:right="873"/>
        <w:jc w:val="both"/>
      </w:pPr>
      <w:r>
        <w:rPr>
          <w:spacing w:val="-3"/>
        </w:rPr>
        <w:t>字社区管理与服务系统项目、专业网格化系统项目和金土工程</w:t>
      </w:r>
      <w:r>
        <w:rPr>
          <w:rFonts w:ascii="宋体" w:hAnsi="宋体" w:cs="宋体" w:eastAsia="宋体" w:hint="default"/>
          <w:spacing w:val="-3"/>
        </w:rPr>
        <w:t>“</w:t>
      </w:r>
      <w:r>
        <w:rPr>
          <w:spacing w:val="-3"/>
        </w:rPr>
        <w:t>一张图</w:t>
      </w:r>
      <w:r>
        <w:rPr>
          <w:rFonts w:ascii="宋体" w:hAnsi="宋体" w:cs="宋体" w:eastAsia="宋体" w:hint="default"/>
          <w:spacing w:val="-3"/>
        </w:rPr>
        <w:t>”</w:t>
      </w:r>
      <w:r>
        <w:rPr>
          <w:spacing w:val="-3"/>
        </w:rPr>
        <w:t>监管系</w:t>
      </w:r>
      <w:r>
        <w:rPr>
          <w:spacing w:val="-102"/>
        </w:rPr>
        <w:t> </w:t>
      </w:r>
      <w:r>
        <w:rPr/>
        <w:t>统研发项目。报告期内，公司共计投入募集资金</w:t>
      </w:r>
      <w:r>
        <w:rPr>
          <w:rFonts w:ascii="Times New Roman" w:hAnsi="Times New Roman" w:cs="Times New Roman" w:eastAsia="Times New Roman" w:hint="default"/>
        </w:rPr>
        <w:t>4,740.30</w:t>
      </w:r>
      <w:r>
        <w:rPr/>
        <w:t>万元于以上承诺投资项 目，具体对照如下：</w:t>
      </w:r>
    </w:p>
    <w:tbl>
      <w:tblPr>
        <w:tblW w:w="0" w:type="auto"/>
        <w:jc w:val="left"/>
        <w:tblInd w:w="106" w:type="dxa"/>
        <w:tblLayout w:type="fixed"/>
        <w:tblCellMar>
          <w:top w:w="0" w:type="dxa"/>
          <w:left w:w="0" w:type="dxa"/>
          <w:bottom w:w="0" w:type="dxa"/>
          <w:right w:w="0" w:type="dxa"/>
        </w:tblCellMar>
        <w:tblLook w:val="01E0"/>
      </w:tblPr>
      <w:tblGrid>
        <w:gridCol w:w="1810"/>
        <w:gridCol w:w="557"/>
        <w:gridCol w:w="632"/>
        <w:gridCol w:w="870"/>
        <w:gridCol w:w="1066"/>
        <w:gridCol w:w="124"/>
        <w:gridCol w:w="494"/>
        <w:gridCol w:w="851"/>
        <w:gridCol w:w="1124"/>
        <w:gridCol w:w="209"/>
        <w:gridCol w:w="577"/>
        <w:gridCol w:w="650"/>
        <w:gridCol w:w="851"/>
      </w:tblGrid>
      <w:tr>
        <w:trPr>
          <w:trHeight w:val="175" w:hRule="exact"/>
        </w:trPr>
        <w:tc>
          <w:tcPr>
            <w:tcW w:w="2999"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5"/>
              <w:ind w:left="95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60" w:type="dxa"/>
            <w:gridSpan w:val="3"/>
            <w:vMerge w:val="restart"/>
            <w:tcBorders>
              <w:top w:val="single" w:sz="4" w:space="0" w:color="000000"/>
              <w:left w:val="single" w:sz="13" w:space="0" w:color="DDDDDD"/>
              <w:right w:val="single" w:sz="9" w:space="0" w:color="DDDDDD"/>
            </w:tcBorders>
          </w:tcPr>
          <w:p>
            <w:pPr>
              <w:pStyle w:val="TableParagraph"/>
              <w:spacing w:line="240" w:lineRule="auto" w:before="57"/>
              <w:ind w:left="1292" w:right="0"/>
              <w:jc w:val="left"/>
              <w:rPr>
                <w:rFonts w:ascii="Times New Roman" w:hAnsi="Times New Roman" w:cs="Times New Roman" w:eastAsia="Times New Roman" w:hint="default"/>
                <w:sz w:val="18"/>
                <w:szCs w:val="18"/>
              </w:rPr>
            </w:pPr>
            <w:r>
              <w:rPr>
                <w:rFonts w:ascii="Times New Roman"/>
                <w:sz w:val="18"/>
              </w:rPr>
              <w:t>75,600.00</w:t>
            </w:r>
          </w:p>
        </w:tc>
        <w:tc>
          <w:tcPr>
            <w:tcW w:w="2678"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2078" w:type="dxa"/>
            <w:gridSpan w:val="3"/>
            <w:vMerge w:val="restart"/>
            <w:tcBorders>
              <w:top w:val="single" w:sz="4" w:space="0" w:color="000000"/>
              <w:left w:val="single" w:sz="9" w:space="0" w:color="DDDDDD"/>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4,740.30</w:t>
            </w:r>
          </w:p>
        </w:tc>
      </w:tr>
      <w:tr>
        <w:trPr>
          <w:trHeight w:val="162" w:hRule="exact"/>
        </w:trPr>
        <w:tc>
          <w:tcPr>
            <w:tcW w:w="2999" w:type="dxa"/>
            <w:gridSpan w:val="3"/>
            <w:vMerge/>
            <w:tcBorders>
              <w:left w:val="single" w:sz="4" w:space="0" w:color="000000"/>
              <w:bottom w:val="single" w:sz="4" w:space="0" w:color="000000"/>
              <w:right w:val="single" w:sz="4" w:space="0" w:color="000000"/>
            </w:tcBorders>
            <w:shd w:val="clear" w:color="auto" w:fill="DDDDDD"/>
          </w:tcPr>
          <w:p>
            <w:pPr/>
          </w:p>
        </w:tc>
        <w:tc>
          <w:tcPr>
            <w:tcW w:w="2060" w:type="dxa"/>
            <w:gridSpan w:val="3"/>
            <w:vMerge/>
            <w:tcBorders>
              <w:left w:val="single" w:sz="13" w:space="0" w:color="DDDDDD"/>
              <w:bottom w:val="single" w:sz="4" w:space="0" w:color="000000"/>
              <w:right w:val="single" w:sz="9" w:space="0" w:color="DDDDDD"/>
            </w:tcBorders>
          </w:tcPr>
          <w:p>
            <w:pPr/>
          </w:p>
        </w:tc>
        <w:tc>
          <w:tcPr>
            <w:tcW w:w="2678" w:type="dxa"/>
            <w:gridSpan w:val="4"/>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78" w:type="dxa"/>
            <w:gridSpan w:val="3"/>
            <w:vMerge/>
            <w:tcBorders>
              <w:left w:val="single" w:sz="9" w:space="0" w:color="DDDDDD"/>
              <w:right w:val="single" w:sz="4" w:space="0" w:color="000000"/>
            </w:tcBorders>
          </w:tcPr>
          <w:p>
            <w:pPr/>
          </w:p>
        </w:tc>
      </w:tr>
      <w:tr>
        <w:trPr>
          <w:trHeight w:val="162" w:hRule="exact"/>
        </w:trPr>
        <w:tc>
          <w:tcPr>
            <w:tcW w:w="2999"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4"/>
              <w:ind w:left="14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0" w:type="dxa"/>
            <w:gridSpan w:val="3"/>
            <w:vMerge w:val="restart"/>
            <w:tcBorders>
              <w:top w:val="single" w:sz="4" w:space="0" w:color="000000"/>
              <w:left w:val="single" w:sz="13" w:space="0" w:color="DDDDDD"/>
              <w:right w:val="single" w:sz="9" w:space="0" w:color="DDDDDD"/>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78" w:type="dxa"/>
            <w:gridSpan w:val="4"/>
            <w:vMerge/>
            <w:tcBorders>
              <w:left w:val="single" w:sz="4" w:space="0" w:color="000000"/>
              <w:bottom w:val="nil" w:sz="6" w:space="0" w:color="auto"/>
              <w:right w:val="single" w:sz="4" w:space="0" w:color="000000"/>
            </w:tcBorders>
            <w:shd w:val="clear" w:color="auto" w:fill="DDDDDD"/>
          </w:tcPr>
          <w:p>
            <w:pPr/>
          </w:p>
        </w:tc>
        <w:tc>
          <w:tcPr>
            <w:tcW w:w="2078" w:type="dxa"/>
            <w:gridSpan w:val="3"/>
            <w:vMerge/>
            <w:tcBorders>
              <w:left w:val="single" w:sz="9" w:space="0" w:color="DDDDDD"/>
              <w:right w:val="single" w:sz="4" w:space="0" w:color="000000"/>
            </w:tcBorders>
          </w:tcPr>
          <w:p>
            <w:pPr/>
          </w:p>
        </w:tc>
      </w:tr>
      <w:tr>
        <w:trPr>
          <w:trHeight w:val="174" w:hRule="exact"/>
        </w:trPr>
        <w:tc>
          <w:tcPr>
            <w:tcW w:w="2999" w:type="dxa"/>
            <w:gridSpan w:val="3"/>
            <w:vMerge/>
            <w:tcBorders>
              <w:left w:val="single" w:sz="4" w:space="0" w:color="000000"/>
              <w:bottom w:val="single" w:sz="4" w:space="0" w:color="000000"/>
              <w:right w:val="single" w:sz="4" w:space="0" w:color="000000"/>
            </w:tcBorders>
            <w:shd w:val="clear" w:color="auto" w:fill="DDDDDD"/>
          </w:tcPr>
          <w:p>
            <w:pPr/>
          </w:p>
        </w:tc>
        <w:tc>
          <w:tcPr>
            <w:tcW w:w="2060" w:type="dxa"/>
            <w:gridSpan w:val="3"/>
            <w:vMerge/>
            <w:tcBorders>
              <w:left w:val="single" w:sz="13" w:space="0" w:color="DDDDDD"/>
              <w:bottom w:val="single" w:sz="4" w:space="0" w:color="000000"/>
              <w:right w:val="single" w:sz="9" w:space="0" w:color="DDDDDD"/>
            </w:tcBorders>
          </w:tcPr>
          <w:p>
            <w:pPr/>
          </w:p>
        </w:tc>
        <w:tc>
          <w:tcPr>
            <w:tcW w:w="2678"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2078" w:type="dxa"/>
            <w:gridSpan w:val="3"/>
            <w:vMerge/>
            <w:tcBorders>
              <w:left w:val="single" w:sz="9" w:space="0" w:color="DDDDDD"/>
              <w:bottom w:val="single" w:sz="4" w:space="0" w:color="000000"/>
              <w:right w:val="single" w:sz="4" w:space="0" w:color="000000"/>
            </w:tcBorders>
          </w:tcPr>
          <w:p>
            <w:pPr/>
          </w:p>
        </w:tc>
      </w:tr>
      <w:tr>
        <w:trPr>
          <w:trHeight w:val="174" w:hRule="exact"/>
        </w:trPr>
        <w:tc>
          <w:tcPr>
            <w:tcW w:w="2999"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4"/>
              <w:ind w:left="32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0" w:type="dxa"/>
            <w:gridSpan w:val="3"/>
            <w:vMerge w:val="restart"/>
            <w:tcBorders>
              <w:top w:val="single" w:sz="4" w:space="0" w:color="000000"/>
              <w:left w:val="single" w:sz="13" w:space="0" w:color="DDDDDD"/>
              <w:right w:val="single" w:sz="9" w:space="0" w:color="DDDDDD"/>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678"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2078" w:type="dxa"/>
            <w:gridSpan w:val="3"/>
            <w:vMerge w:val="restart"/>
            <w:tcBorders>
              <w:top w:val="single" w:sz="4" w:space="0" w:color="000000"/>
              <w:left w:val="single" w:sz="9" w:space="0" w:color="DDDDDD"/>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4,740.30</w:t>
            </w:r>
          </w:p>
        </w:tc>
      </w:tr>
      <w:tr>
        <w:trPr>
          <w:trHeight w:val="162" w:hRule="exact"/>
        </w:trPr>
        <w:tc>
          <w:tcPr>
            <w:tcW w:w="2999" w:type="dxa"/>
            <w:gridSpan w:val="3"/>
            <w:vMerge/>
            <w:tcBorders>
              <w:left w:val="single" w:sz="4" w:space="0" w:color="000000"/>
              <w:bottom w:val="single" w:sz="4" w:space="0" w:color="000000"/>
              <w:right w:val="single" w:sz="4" w:space="0" w:color="000000"/>
            </w:tcBorders>
            <w:shd w:val="clear" w:color="auto" w:fill="DDDDDD"/>
          </w:tcPr>
          <w:p>
            <w:pPr/>
          </w:p>
        </w:tc>
        <w:tc>
          <w:tcPr>
            <w:tcW w:w="2060" w:type="dxa"/>
            <w:gridSpan w:val="3"/>
            <w:vMerge/>
            <w:tcBorders>
              <w:left w:val="single" w:sz="13" w:space="0" w:color="DDDDDD"/>
              <w:bottom w:val="single" w:sz="4" w:space="0" w:color="000000"/>
              <w:right w:val="single" w:sz="9" w:space="0" w:color="DDDDDD"/>
            </w:tcBorders>
          </w:tcPr>
          <w:p>
            <w:pPr/>
          </w:p>
        </w:tc>
        <w:tc>
          <w:tcPr>
            <w:tcW w:w="2678" w:type="dxa"/>
            <w:gridSpan w:val="4"/>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78" w:type="dxa"/>
            <w:gridSpan w:val="3"/>
            <w:vMerge/>
            <w:tcBorders>
              <w:left w:val="single" w:sz="9" w:space="0" w:color="DDDDDD"/>
              <w:right w:val="single" w:sz="4" w:space="0" w:color="000000"/>
            </w:tcBorders>
          </w:tcPr>
          <w:p>
            <w:pPr/>
          </w:p>
        </w:tc>
      </w:tr>
      <w:tr>
        <w:trPr>
          <w:trHeight w:val="162" w:hRule="exact"/>
        </w:trPr>
        <w:tc>
          <w:tcPr>
            <w:tcW w:w="2999"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4"/>
              <w:ind w:left="14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0" w:type="dxa"/>
            <w:gridSpan w:val="3"/>
            <w:vMerge w:val="restart"/>
            <w:tcBorders>
              <w:top w:val="single" w:sz="4" w:space="0" w:color="000000"/>
              <w:left w:val="single" w:sz="13" w:space="0" w:color="DDDDDD"/>
              <w:right w:val="single" w:sz="9" w:space="0" w:color="DDDDDD"/>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z w:val="18"/>
              </w:rPr>
              <w:t>0.00%</w:t>
            </w:r>
          </w:p>
        </w:tc>
        <w:tc>
          <w:tcPr>
            <w:tcW w:w="2678" w:type="dxa"/>
            <w:gridSpan w:val="4"/>
            <w:vMerge/>
            <w:tcBorders>
              <w:left w:val="single" w:sz="4" w:space="0" w:color="000000"/>
              <w:bottom w:val="nil" w:sz="6" w:space="0" w:color="auto"/>
              <w:right w:val="single" w:sz="4" w:space="0" w:color="000000"/>
            </w:tcBorders>
            <w:shd w:val="clear" w:color="auto" w:fill="DDDDDD"/>
          </w:tcPr>
          <w:p>
            <w:pPr/>
          </w:p>
        </w:tc>
        <w:tc>
          <w:tcPr>
            <w:tcW w:w="2078" w:type="dxa"/>
            <w:gridSpan w:val="3"/>
            <w:vMerge/>
            <w:tcBorders>
              <w:left w:val="single" w:sz="9" w:space="0" w:color="DDDDDD"/>
              <w:right w:val="single" w:sz="4" w:space="0" w:color="000000"/>
            </w:tcBorders>
          </w:tcPr>
          <w:p>
            <w:pPr/>
          </w:p>
        </w:tc>
      </w:tr>
      <w:tr>
        <w:trPr>
          <w:trHeight w:val="174" w:hRule="exact"/>
        </w:trPr>
        <w:tc>
          <w:tcPr>
            <w:tcW w:w="2999" w:type="dxa"/>
            <w:gridSpan w:val="3"/>
            <w:vMerge/>
            <w:tcBorders>
              <w:left w:val="single" w:sz="4" w:space="0" w:color="000000"/>
              <w:bottom w:val="single" w:sz="4" w:space="0" w:color="000000"/>
              <w:right w:val="single" w:sz="4" w:space="0" w:color="000000"/>
            </w:tcBorders>
            <w:shd w:val="clear" w:color="auto" w:fill="DDDDDD"/>
          </w:tcPr>
          <w:p>
            <w:pPr/>
          </w:p>
        </w:tc>
        <w:tc>
          <w:tcPr>
            <w:tcW w:w="2060" w:type="dxa"/>
            <w:gridSpan w:val="3"/>
            <w:vMerge/>
            <w:tcBorders>
              <w:left w:val="single" w:sz="13" w:space="0" w:color="DDDDDD"/>
              <w:bottom w:val="single" w:sz="4" w:space="0" w:color="000000"/>
              <w:right w:val="single" w:sz="9" w:space="0" w:color="DDDDDD"/>
            </w:tcBorders>
          </w:tcPr>
          <w:p>
            <w:pPr/>
          </w:p>
        </w:tc>
        <w:tc>
          <w:tcPr>
            <w:tcW w:w="2678"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2078" w:type="dxa"/>
            <w:gridSpan w:val="3"/>
            <w:vMerge/>
            <w:tcBorders>
              <w:left w:val="single" w:sz="9" w:space="0" w:color="DDDDDD"/>
              <w:bottom w:val="single" w:sz="4" w:space="0" w:color="000000"/>
              <w:right w:val="single" w:sz="4" w:space="0" w:color="000000"/>
            </w:tcBorders>
          </w:tcPr>
          <w:p>
            <w:pPr/>
          </w:p>
        </w:tc>
      </w:tr>
      <w:tr>
        <w:trPr>
          <w:trHeight w:val="330" w:hRule="exact"/>
        </w:trPr>
        <w:tc>
          <w:tcPr>
            <w:tcW w:w="1810" w:type="dxa"/>
            <w:vMerge w:val="restart"/>
            <w:tcBorders>
              <w:top w:val="single" w:sz="4" w:space="0" w:color="000000"/>
              <w:left w:val="single" w:sz="4" w:space="0" w:color="000000"/>
              <w:right w:val="single" w:sz="4" w:space="0" w:color="000000"/>
            </w:tcBorders>
            <w:shd w:val="clear" w:color="auto" w:fill="DDDDDD"/>
          </w:tcPr>
          <w:p>
            <w:pPr/>
          </w:p>
        </w:tc>
        <w:tc>
          <w:tcPr>
            <w:tcW w:w="557" w:type="dxa"/>
            <w:vMerge w:val="restart"/>
            <w:tcBorders>
              <w:top w:val="single" w:sz="4" w:space="0" w:color="000000"/>
              <w:left w:val="single" w:sz="4" w:space="0" w:color="000000"/>
              <w:right w:val="single" w:sz="4" w:space="0" w:color="000000"/>
            </w:tcBorders>
            <w:shd w:val="clear" w:color="auto" w:fill="DDDDDD"/>
          </w:tcPr>
          <w:p>
            <w:pPr>
              <w:pStyle w:val="TableParagraph"/>
              <w:spacing w:line="328" w:lineRule="auto" w:before="14"/>
              <w:ind w:left="62"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2" w:type="dxa"/>
            <w:tcBorders>
              <w:top w:val="single" w:sz="4" w:space="0" w:color="000000"/>
              <w:left w:val="single" w:sz="4" w:space="0" w:color="000000"/>
              <w:bottom w:val="nil" w:sz="6" w:space="0" w:color="auto"/>
              <w:right w:val="single" w:sz="4" w:space="0" w:color="000000"/>
            </w:tcBorders>
            <w:shd w:val="clear" w:color="auto" w:fill="DDDDDD"/>
          </w:tcPr>
          <w:p>
            <w:pPr/>
          </w:p>
        </w:tc>
        <w:tc>
          <w:tcPr>
            <w:tcW w:w="870" w:type="dxa"/>
            <w:vMerge w:val="restart"/>
            <w:tcBorders>
              <w:top w:val="single" w:sz="4" w:space="0" w:color="000000"/>
              <w:left w:val="single" w:sz="4" w:space="0" w:color="000000"/>
              <w:right w:val="single" w:sz="4" w:space="0" w:color="000000"/>
            </w:tcBorders>
            <w:shd w:val="clear" w:color="auto" w:fill="DDDDDD"/>
          </w:tcPr>
          <w:p>
            <w:pPr/>
          </w:p>
        </w:tc>
        <w:tc>
          <w:tcPr>
            <w:tcW w:w="1066" w:type="dxa"/>
            <w:vMerge w:val="restart"/>
            <w:tcBorders>
              <w:top w:val="single" w:sz="4" w:space="0" w:color="000000"/>
              <w:left w:val="single" w:sz="4" w:space="0" w:color="000000"/>
              <w:right w:val="single" w:sz="4" w:space="0" w:color="000000"/>
            </w:tcBorders>
            <w:shd w:val="clear" w:color="auto" w:fill="DDDDDD"/>
          </w:tcPr>
          <w:p>
            <w:pPr/>
          </w:p>
        </w:tc>
        <w:tc>
          <w:tcPr>
            <w:tcW w:w="618" w:type="dxa"/>
            <w:gridSpan w:val="2"/>
            <w:tcBorders>
              <w:top w:val="single" w:sz="4" w:space="0" w:color="000000"/>
              <w:left w:val="single" w:sz="4" w:space="0" w:color="000000"/>
              <w:bottom w:val="nil" w:sz="6" w:space="0" w:color="auto"/>
              <w:right w:val="single" w:sz="4" w:space="0" w:color="000000"/>
            </w:tcBorders>
            <w:shd w:val="clear" w:color="auto" w:fill="DDDDDD"/>
          </w:tcPr>
          <w:p>
            <w:pPr/>
          </w:p>
        </w:tc>
        <w:tc>
          <w:tcPr>
            <w:tcW w:w="851" w:type="dxa"/>
            <w:tcBorders>
              <w:top w:val="single" w:sz="4" w:space="0" w:color="000000"/>
              <w:left w:val="single" w:sz="4" w:space="0" w:color="000000"/>
              <w:bottom w:val="nil" w:sz="6" w:space="0" w:color="auto"/>
              <w:right w:val="single" w:sz="4" w:space="0" w:color="000000"/>
            </w:tcBorders>
            <w:shd w:val="clear" w:color="auto" w:fill="DDDDDD"/>
          </w:tcPr>
          <w:p>
            <w:pPr/>
          </w:p>
        </w:tc>
        <w:tc>
          <w:tcPr>
            <w:tcW w:w="1124" w:type="dxa"/>
            <w:vMerge w:val="restart"/>
            <w:tcBorders>
              <w:top w:val="single" w:sz="4" w:space="0" w:color="000000"/>
              <w:left w:val="single" w:sz="4" w:space="0" w:color="000000"/>
              <w:right w:val="single" w:sz="4" w:space="0" w:color="000000"/>
            </w:tcBorders>
            <w:shd w:val="clear" w:color="auto" w:fill="DDDDDD"/>
          </w:tcPr>
          <w:p>
            <w:pPr/>
          </w:p>
        </w:tc>
        <w:tc>
          <w:tcPr>
            <w:tcW w:w="785" w:type="dxa"/>
            <w:gridSpan w:val="2"/>
            <w:vMerge w:val="restart"/>
            <w:tcBorders>
              <w:top w:val="single" w:sz="4" w:space="0" w:color="000000"/>
              <w:left w:val="single" w:sz="4" w:space="0" w:color="000000"/>
              <w:right w:val="single" w:sz="4" w:space="0" w:color="000000"/>
            </w:tcBorders>
            <w:shd w:val="clear" w:color="auto" w:fill="DDDDDD"/>
          </w:tcPr>
          <w:p>
            <w:pPr/>
          </w:p>
        </w:tc>
        <w:tc>
          <w:tcPr>
            <w:tcW w:w="650" w:type="dxa"/>
            <w:vMerge w:val="restart"/>
            <w:tcBorders>
              <w:top w:val="single" w:sz="4" w:space="0" w:color="000000"/>
              <w:left w:val="single" w:sz="4" w:space="0" w:color="000000"/>
              <w:right w:val="single" w:sz="4" w:space="0" w:color="000000"/>
            </w:tcBorders>
            <w:shd w:val="clear" w:color="auto" w:fill="DDDDDD"/>
          </w:tcPr>
          <w:p>
            <w:pPr/>
          </w:p>
        </w:tc>
        <w:tc>
          <w:tcPr>
            <w:tcW w:w="851"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63" w:hRule="exact"/>
        </w:trPr>
        <w:tc>
          <w:tcPr>
            <w:tcW w:w="1810" w:type="dxa"/>
            <w:vMerge/>
            <w:tcBorders>
              <w:left w:val="single" w:sz="4" w:space="0" w:color="000000"/>
              <w:right w:val="single" w:sz="4" w:space="0" w:color="000000"/>
            </w:tcBorders>
            <w:shd w:val="clear" w:color="auto" w:fill="DDDDDD"/>
          </w:tcPr>
          <w:p>
            <w:pPr/>
          </w:p>
        </w:tc>
        <w:tc>
          <w:tcPr>
            <w:tcW w:w="557" w:type="dxa"/>
            <w:vMerge/>
            <w:tcBorders>
              <w:left w:val="single" w:sz="4" w:space="0" w:color="000000"/>
              <w:right w:val="single" w:sz="4" w:space="0" w:color="000000"/>
            </w:tcBorders>
            <w:shd w:val="clear" w:color="auto" w:fill="DDDDDD"/>
          </w:tcPr>
          <w:p>
            <w:pPr/>
          </w:p>
        </w:tc>
        <w:tc>
          <w:tcPr>
            <w:tcW w:w="632"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42" w:right="3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70" w:type="dxa"/>
            <w:vMerge/>
            <w:tcBorders>
              <w:left w:val="single" w:sz="4" w:space="0" w:color="000000"/>
              <w:right w:val="single" w:sz="4" w:space="0" w:color="000000"/>
            </w:tcBorders>
            <w:shd w:val="clear" w:color="auto" w:fill="DDDDDD"/>
          </w:tcPr>
          <w:p>
            <w:pPr/>
          </w:p>
        </w:tc>
        <w:tc>
          <w:tcPr>
            <w:tcW w:w="1066" w:type="dxa"/>
            <w:vMerge/>
            <w:tcBorders>
              <w:left w:val="single" w:sz="4" w:space="0" w:color="000000"/>
              <w:right w:val="single" w:sz="4" w:space="0" w:color="000000"/>
            </w:tcBorders>
            <w:shd w:val="clear" w:color="auto" w:fill="DDDDDD"/>
          </w:tcPr>
          <w:p>
            <w:pPr/>
          </w:p>
        </w:tc>
        <w:tc>
          <w:tcPr>
            <w:tcW w:w="618" w:type="dxa"/>
            <w:gridSpan w:val="2"/>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30"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1"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62" w:right="56"/>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7" w:right="0"/>
              <w:jc w:val="left"/>
              <w:rPr>
                <w:rFonts w:ascii="Times New Roman" w:hAnsi="Times New Roman" w:cs="Times New Roman" w:eastAsia="Times New Roman" w:hint="default"/>
                <w:sz w:val="18"/>
                <w:szCs w:val="18"/>
              </w:rPr>
            </w:pPr>
            <w:r>
              <w:rPr>
                <w:rFonts w:ascii="Times New Roman"/>
                <w:sz w:val="18"/>
              </w:rPr>
              <w:t>(2)/(1)</w:t>
            </w:r>
          </w:p>
        </w:tc>
        <w:tc>
          <w:tcPr>
            <w:tcW w:w="1124" w:type="dxa"/>
            <w:vMerge/>
            <w:tcBorders>
              <w:left w:val="single" w:sz="4" w:space="0" w:color="000000"/>
              <w:bottom w:val="nil" w:sz="6" w:space="0" w:color="auto"/>
              <w:right w:val="single" w:sz="4" w:space="0" w:color="000000"/>
            </w:tcBorders>
            <w:shd w:val="clear" w:color="auto" w:fill="DDDDDD"/>
          </w:tcPr>
          <w:p>
            <w:pPr/>
          </w:p>
        </w:tc>
        <w:tc>
          <w:tcPr>
            <w:tcW w:w="785" w:type="dxa"/>
            <w:gridSpan w:val="2"/>
            <w:vMerge/>
            <w:tcBorders>
              <w:left w:val="single" w:sz="4" w:space="0" w:color="000000"/>
              <w:right w:val="single" w:sz="4" w:space="0" w:color="000000"/>
            </w:tcBorders>
            <w:shd w:val="clear" w:color="auto" w:fill="DDDDDD"/>
          </w:tcPr>
          <w:p>
            <w:pPr/>
          </w:p>
        </w:tc>
        <w:tc>
          <w:tcPr>
            <w:tcW w:w="650" w:type="dxa"/>
            <w:vMerge/>
            <w:tcBorders>
              <w:left w:val="single" w:sz="4" w:space="0" w:color="000000"/>
              <w:bottom w:val="nil" w:sz="6" w:space="0" w:color="auto"/>
              <w:right w:val="single" w:sz="4" w:space="0" w:color="000000"/>
            </w:tcBorders>
            <w:shd w:val="clear" w:color="auto" w:fill="DDDDDD"/>
          </w:tcPr>
          <w:p>
            <w:pPr/>
          </w:p>
        </w:tc>
        <w:tc>
          <w:tcPr>
            <w:tcW w:w="851"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57"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63" w:hRule="exact"/>
        </w:trPr>
        <w:tc>
          <w:tcPr>
            <w:tcW w:w="1810" w:type="dxa"/>
            <w:vMerge/>
            <w:tcBorders>
              <w:left w:val="single" w:sz="4" w:space="0" w:color="000000"/>
              <w:bottom w:val="nil" w:sz="6" w:space="0" w:color="auto"/>
              <w:right w:val="single" w:sz="4" w:space="0" w:color="000000"/>
            </w:tcBorders>
            <w:shd w:val="clear" w:color="auto" w:fill="DDDDDD"/>
          </w:tcPr>
          <w:p>
            <w:pPr/>
          </w:p>
        </w:tc>
        <w:tc>
          <w:tcPr>
            <w:tcW w:w="557" w:type="dxa"/>
            <w:vMerge/>
            <w:tcBorders>
              <w:left w:val="single" w:sz="4" w:space="0" w:color="000000"/>
              <w:right w:val="single" w:sz="4" w:space="0" w:color="000000"/>
            </w:tcBorders>
            <w:shd w:val="clear" w:color="auto" w:fill="DDDDDD"/>
          </w:tcPr>
          <w:p>
            <w:pPr/>
          </w:p>
        </w:tc>
        <w:tc>
          <w:tcPr>
            <w:tcW w:w="632" w:type="dxa"/>
            <w:vMerge/>
            <w:tcBorders>
              <w:left w:val="single" w:sz="4" w:space="0" w:color="000000"/>
              <w:right w:val="single" w:sz="4" w:space="0" w:color="000000"/>
            </w:tcBorders>
            <w:shd w:val="clear" w:color="auto" w:fill="DDDDDD"/>
          </w:tcPr>
          <w:p>
            <w:pPr/>
          </w:p>
        </w:tc>
        <w:tc>
          <w:tcPr>
            <w:tcW w:w="870" w:type="dxa"/>
            <w:vMerge/>
            <w:tcBorders>
              <w:left w:val="single" w:sz="4" w:space="0" w:color="000000"/>
              <w:bottom w:val="nil" w:sz="6" w:space="0" w:color="auto"/>
              <w:right w:val="single" w:sz="4" w:space="0" w:color="000000"/>
            </w:tcBorders>
            <w:shd w:val="clear" w:color="auto" w:fill="DDDDDD"/>
          </w:tcPr>
          <w:p>
            <w:pPr/>
          </w:p>
        </w:tc>
        <w:tc>
          <w:tcPr>
            <w:tcW w:w="1066" w:type="dxa"/>
            <w:vMerge/>
            <w:tcBorders>
              <w:left w:val="single" w:sz="4" w:space="0" w:color="000000"/>
              <w:bottom w:val="nil" w:sz="6" w:space="0" w:color="auto"/>
              <w:right w:val="single" w:sz="4" w:space="0" w:color="000000"/>
            </w:tcBorders>
            <w:shd w:val="clear" w:color="auto" w:fill="DDDDDD"/>
          </w:tcPr>
          <w:p>
            <w:pPr/>
          </w:p>
        </w:tc>
        <w:tc>
          <w:tcPr>
            <w:tcW w:w="618" w:type="dxa"/>
            <w:gridSpan w:val="2"/>
            <w:vMerge/>
            <w:tcBorders>
              <w:left w:val="single" w:sz="4" w:space="0" w:color="000000"/>
              <w:right w:val="single" w:sz="4" w:space="0" w:color="000000"/>
            </w:tcBorders>
            <w:shd w:val="clear" w:color="auto" w:fill="DDDDDD"/>
          </w:tcPr>
          <w:p>
            <w:pPr/>
          </w:p>
        </w:tc>
        <w:tc>
          <w:tcPr>
            <w:tcW w:w="851" w:type="dxa"/>
            <w:vMerge/>
            <w:tcBorders>
              <w:left w:val="single" w:sz="4" w:space="0" w:color="000000"/>
              <w:right w:val="single" w:sz="4" w:space="0" w:color="000000"/>
            </w:tcBorders>
            <w:shd w:val="clear" w:color="auto" w:fill="DDDDDD"/>
          </w:tcPr>
          <w:p>
            <w:pPr/>
          </w:p>
        </w:tc>
        <w:tc>
          <w:tcPr>
            <w:tcW w:w="11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109" w:right="10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5" w:type="dxa"/>
            <w:gridSpan w:val="2"/>
            <w:vMerge/>
            <w:tcBorders>
              <w:left w:val="single" w:sz="4" w:space="0" w:color="000000"/>
              <w:bottom w:val="nil" w:sz="6" w:space="0" w:color="auto"/>
              <w:right w:val="single" w:sz="4" w:space="0" w:color="000000"/>
            </w:tcBorders>
            <w:shd w:val="clear" w:color="auto" w:fill="DDDDDD"/>
          </w:tcPr>
          <w:p>
            <w:pPr/>
          </w:p>
        </w:tc>
        <w:tc>
          <w:tcPr>
            <w:tcW w:w="650"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3"/>
              <w:ind w:left="42" w:right="5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1" w:type="dxa"/>
            <w:vMerge/>
            <w:tcBorders>
              <w:left w:val="single" w:sz="4" w:space="0" w:color="000000"/>
              <w:right w:val="single" w:sz="4" w:space="0" w:color="000000"/>
            </w:tcBorders>
            <w:shd w:val="clear" w:color="auto" w:fill="DDDDDD"/>
          </w:tcPr>
          <w:p>
            <w:pPr/>
          </w:p>
        </w:tc>
      </w:tr>
      <w:tr>
        <w:trPr>
          <w:trHeight w:val="653" w:hRule="exact"/>
        </w:trPr>
        <w:tc>
          <w:tcPr>
            <w:tcW w:w="181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333" w:lineRule="auto" w:before="13"/>
              <w:ind w:left="532" w:right="95"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7" w:type="dxa"/>
            <w:vMerge/>
            <w:tcBorders>
              <w:left w:val="single" w:sz="4" w:space="0" w:color="000000"/>
              <w:right w:val="single" w:sz="4" w:space="0" w:color="000000"/>
            </w:tcBorders>
            <w:shd w:val="clear" w:color="auto" w:fill="DDDDDD"/>
          </w:tcPr>
          <w:p>
            <w:pPr/>
          </w:p>
        </w:tc>
        <w:tc>
          <w:tcPr>
            <w:tcW w:w="632" w:type="dxa"/>
            <w:vMerge/>
            <w:tcBorders>
              <w:left w:val="single" w:sz="4" w:space="0" w:color="000000"/>
              <w:right w:val="single" w:sz="4" w:space="0" w:color="000000"/>
            </w:tcBorders>
            <w:shd w:val="clear" w:color="auto" w:fill="DDDDDD"/>
          </w:tcPr>
          <w:p>
            <w:pPr/>
          </w:p>
        </w:tc>
        <w:tc>
          <w:tcPr>
            <w:tcW w:w="87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333" w:lineRule="auto" w:before="13"/>
              <w:ind w:left="56" w:right="50"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1066"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333" w:lineRule="auto" w:before="13"/>
              <w:ind w:left="343" w:right="82"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18" w:type="dxa"/>
            <w:gridSpan w:val="2"/>
            <w:vMerge/>
            <w:tcBorders>
              <w:left w:val="single" w:sz="4" w:space="0" w:color="000000"/>
              <w:right w:val="single" w:sz="4" w:space="0" w:color="000000"/>
            </w:tcBorders>
            <w:shd w:val="clear" w:color="auto" w:fill="DDDDDD"/>
          </w:tcPr>
          <w:p>
            <w:pPr/>
          </w:p>
        </w:tc>
        <w:tc>
          <w:tcPr>
            <w:tcW w:w="851" w:type="dxa"/>
            <w:vMerge/>
            <w:tcBorders>
              <w:left w:val="single" w:sz="4" w:space="0" w:color="000000"/>
              <w:right w:val="single" w:sz="4" w:space="0" w:color="000000"/>
            </w:tcBorders>
            <w:shd w:val="clear" w:color="auto" w:fill="DDDDDD"/>
          </w:tcPr>
          <w:p>
            <w:pPr/>
          </w:p>
        </w:tc>
        <w:tc>
          <w:tcPr>
            <w:tcW w:w="1124" w:type="dxa"/>
            <w:vMerge/>
            <w:tcBorders>
              <w:left w:val="single" w:sz="4" w:space="0" w:color="000000"/>
              <w:right w:val="single" w:sz="4" w:space="0" w:color="000000"/>
            </w:tcBorders>
            <w:shd w:val="clear" w:color="auto" w:fill="DDDDDD"/>
          </w:tcPr>
          <w:p>
            <w:pPr/>
          </w:p>
        </w:tc>
        <w:tc>
          <w:tcPr>
            <w:tcW w:w="785" w:type="dxa"/>
            <w:gridSpan w:val="2"/>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333" w:lineRule="auto" w:before="13"/>
              <w:ind w:left="23" w:right="29"/>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DDDDD"/>
          </w:tcPr>
          <w:p>
            <w:pPr/>
          </w:p>
        </w:tc>
        <w:tc>
          <w:tcPr>
            <w:tcW w:w="851" w:type="dxa"/>
            <w:vMerge/>
            <w:tcBorders>
              <w:left w:val="single" w:sz="4" w:space="0" w:color="000000"/>
              <w:right w:val="single" w:sz="4" w:space="0" w:color="000000"/>
            </w:tcBorders>
            <w:shd w:val="clear" w:color="auto" w:fill="DDDDDD"/>
          </w:tcPr>
          <w:p>
            <w:pPr/>
          </w:p>
        </w:tc>
      </w:tr>
      <w:tr>
        <w:trPr>
          <w:trHeight w:val="163" w:hRule="exact"/>
        </w:trPr>
        <w:tc>
          <w:tcPr>
            <w:tcW w:w="1810" w:type="dxa"/>
            <w:vMerge w:val="restart"/>
            <w:tcBorders>
              <w:top w:val="nil" w:sz="6" w:space="0" w:color="auto"/>
              <w:left w:val="single" w:sz="4" w:space="0" w:color="000000"/>
              <w:right w:val="single" w:sz="4" w:space="0" w:color="000000"/>
            </w:tcBorders>
            <w:shd w:val="clear" w:color="auto" w:fill="DDDDDD"/>
          </w:tcPr>
          <w:p>
            <w:pPr/>
          </w:p>
        </w:tc>
        <w:tc>
          <w:tcPr>
            <w:tcW w:w="557" w:type="dxa"/>
            <w:vMerge/>
            <w:tcBorders>
              <w:left w:val="single" w:sz="4" w:space="0" w:color="000000"/>
              <w:right w:val="single" w:sz="4" w:space="0" w:color="000000"/>
            </w:tcBorders>
            <w:shd w:val="clear" w:color="auto" w:fill="DDDDDD"/>
          </w:tcPr>
          <w:p>
            <w:pPr/>
          </w:p>
        </w:tc>
        <w:tc>
          <w:tcPr>
            <w:tcW w:w="632" w:type="dxa"/>
            <w:vMerge/>
            <w:tcBorders>
              <w:left w:val="single" w:sz="4" w:space="0" w:color="000000"/>
              <w:right w:val="single" w:sz="4" w:space="0" w:color="000000"/>
            </w:tcBorders>
            <w:shd w:val="clear" w:color="auto" w:fill="DDDDDD"/>
          </w:tcPr>
          <w:p>
            <w:pPr/>
          </w:p>
        </w:tc>
        <w:tc>
          <w:tcPr>
            <w:tcW w:w="870" w:type="dxa"/>
            <w:vMerge w:val="restart"/>
            <w:tcBorders>
              <w:top w:val="nil" w:sz="6" w:space="0" w:color="auto"/>
              <w:left w:val="single" w:sz="4" w:space="0" w:color="000000"/>
              <w:right w:val="single" w:sz="4" w:space="0" w:color="000000"/>
            </w:tcBorders>
            <w:shd w:val="clear" w:color="auto" w:fill="DDDDDD"/>
          </w:tcPr>
          <w:p>
            <w:pPr/>
          </w:p>
        </w:tc>
        <w:tc>
          <w:tcPr>
            <w:tcW w:w="1066" w:type="dxa"/>
            <w:vMerge w:val="restart"/>
            <w:tcBorders>
              <w:top w:val="nil" w:sz="6" w:space="0" w:color="auto"/>
              <w:left w:val="single" w:sz="4" w:space="0" w:color="000000"/>
              <w:right w:val="single" w:sz="4" w:space="0" w:color="000000"/>
            </w:tcBorders>
            <w:shd w:val="clear" w:color="auto" w:fill="DDDDDD"/>
          </w:tcPr>
          <w:p>
            <w:pPr/>
          </w:p>
        </w:tc>
        <w:tc>
          <w:tcPr>
            <w:tcW w:w="618" w:type="dxa"/>
            <w:gridSpan w:val="2"/>
            <w:vMerge/>
            <w:tcBorders>
              <w:left w:val="single" w:sz="4" w:space="0" w:color="000000"/>
              <w:right w:val="single" w:sz="4" w:space="0" w:color="000000"/>
            </w:tcBorders>
            <w:shd w:val="clear" w:color="auto" w:fill="DDDDDD"/>
          </w:tcPr>
          <w:p>
            <w:pPr/>
          </w:p>
        </w:tc>
        <w:tc>
          <w:tcPr>
            <w:tcW w:w="851" w:type="dxa"/>
            <w:vMerge/>
            <w:tcBorders>
              <w:left w:val="single" w:sz="4" w:space="0" w:color="000000"/>
              <w:right w:val="single" w:sz="4" w:space="0" w:color="000000"/>
            </w:tcBorders>
            <w:shd w:val="clear" w:color="auto" w:fill="DDDDDD"/>
          </w:tcPr>
          <w:p>
            <w:pPr/>
          </w:p>
        </w:tc>
        <w:tc>
          <w:tcPr>
            <w:tcW w:w="1124" w:type="dxa"/>
            <w:vMerge/>
            <w:tcBorders>
              <w:left w:val="single" w:sz="4" w:space="0" w:color="000000"/>
              <w:bottom w:val="nil" w:sz="6" w:space="0" w:color="auto"/>
              <w:right w:val="single" w:sz="4" w:space="0" w:color="000000"/>
            </w:tcBorders>
            <w:shd w:val="clear" w:color="auto" w:fill="DDDDDD"/>
          </w:tcPr>
          <w:p>
            <w:pPr/>
          </w:p>
        </w:tc>
        <w:tc>
          <w:tcPr>
            <w:tcW w:w="785" w:type="dxa"/>
            <w:gridSpan w:val="2"/>
            <w:vMerge w:val="restart"/>
            <w:tcBorders>
              <w:top w:val="nil" w:sz="6" w:space="0" w:color="auto"/>
              <w:left w:val="single" w:sz="4" w:space="0" w:color="000000"/>
              <w:right w:val="single" w:sz="4" w:space="0" w:color="000000"/>
            </w:tcBorders>
            <w:shd w:val="clear" w:color="auto" w:fill="DDDDDD"/>
          </w:tcPr>
          <w:p>
            <w:pPr/>
          </w:p>
        </w:tc>
        <w:tc>
          <w:tcPr>
            <w:tcW w:w="650" w:type="dxa"/>
            <w:vMerge/>
            <w:tcBorders>
              <w:left w:val="single" w:sz="4" w:space="0" w:color="000000"/>
              <w:bottom w:val="nil" w:sz="6" w:space="0" w:color="auto"/>
              <w:right w:val="single" w:sz="4" w:space="0" w:color="000000"/>
            </w:tcBorders>
            <w:shd w:val="clear" w:color="auto" w:fill="DDDDDD"/>
          </w:tcPr>
          <w:p>
            <w:pPr/>
          </w:p>
        </w:tc>
        <w:tc>
          <w:tcPr>
            <w:tcW w:w="851" w:type="dxa"/>
            <w:vMerge/>
            <w:tcBorders>
              <w:left w:val="single" w:sz="4" w:space="0" w:color="000000"/>
              <w:right w:val="single" w:sz="4" w:space="0" w:color="000000"/>
            </w:tcBorders>
            <w:shd w:val="clear" w:color="auto" w:fill="DDDDDD"/>
          </w:tcPr>
          <w:p>
            <w:pPr/>
          </w:p>
        </w:tc>
      </w:tr>
      <w:tr>
        <w:trPr>
          <w:trHeight w:val="163" w:hRule="exact"/>
        </w:trPr>
        <w:tc>
          <w:tcPr>
            <w:tcW w:w="1810" w:type="dxa"/>
            <w:vMerge/>
            <w:tcBorders>
              <w:left w:val="single" w:sz="4" w:space="0" w:color="000000"/>
              <w:right w:val="single" w:sz="4" w:space="0" w:color="000000"/>
            </w:tcBorders>
            <w:shd w:val="clear" w:color="auto" w:fill="DDDDDD"/>
          </w:tcPr>
          <w:p>
            <w:pPr/>
          </w:p>
        </w:tc>
        <w:tc>
          <w:tcPr>
            <w:tcW w:w="557" w:type="dxa"/>
            <w:vMerge/>
            <w:tcBorders>
              <w:left w:val="single" w:sz="4" w:space="0" w:color="000000"/>
              <w:right w:val="single" w:sz="4" w:space="0" w:color="000000"/>
            </w:tcBorders>
            <w:shd w:val="clear" w:color="auto" w:fill="DDDDDD"/>
          </w:tcPr>
          <w:p>
            <w:pPr/>
          </w:p>
        </w:tc>
        <w:tc>
          <w:tcPr>
            <w:tcW w:w="632" w:type="dxa"/>
            <w:vMerge/>
            <w:tcBorders>
              <w:left w:val="single" w:sz="4" w:space="0" w:color="000000"/>
              <w:bottom w:val="nil" w:sz="6" w:space="0" w:color="auto"/>
              <w:right w:val="single" w:sz="4" w:space="0" w:color="000000"/>
            </w:tcBorders>
            <w:shd w:val="clear" w:color="auto" w:fill="DDDDDD"/>
          </w:tcPr>
          <w:p>
            <w:pPr/>
          </w:p>
        </w:tc>
        <w:tc>
          <w:tcPr>
            <w:tcW w:w="870" w:type="dxa"/>
            <w:vMerge/>
            <w:tcBorders>
              <w:left w:val="single" w:sz="4" w:space="0" w:color="000000"/>
              <w:right w:val="single" w:sz="4" w:space="0" w:color="000000"/>
            </w:tcBorders>
            <w:shd w:val="clear" w:color="auto" w:fill="DDDDDD"/>
          </w:tcPr>
          <w:p>
            <w:pPr/>
          </w:p>
        </w:tc>
        <w:tc>
          <w:tcPr>
            <w:tcW w:w="1066" w:type="dxa"/>
            <w:vMerge/>
            <w:tcBorders>
              <w:left w:val="single" w:sz="4" w:space="0" w:color="000000"/>
              <w:right w:val="single" w:sz="4" w:space="0" w:color="000000"/>
            </w:tcBorders>
            <w:shd w:val="clear" w:color="auto" w:fill="DDDDDD"/>
          </w:tcPr>
          <w:p>
            <w:pPr/>
          </w:p>
        </w:tc>
        <w:tc>
          <w:tcPr>
            <w:tcW w:w="618" w:type="dxa"/>
            <w:gridSpan w:val="2"/>
            <w:vMerge/>
            <w:tcBorders>
              <w:left w:val="single" w:sz="4" w:space="0" w:color="000000"/>
              <w:bottom w:val="nil" w:sz="6" w:space="0" w:color="auto"/>
              <w:right w:val="single" w:sz="4" w:space="0" w:color="000000"/>
            </w:tcBorders>
            <w:shd w:val="clear" w:color="auto" w:fill="DDDDDD"/>
          </w:tcPr>
          <w:p>
            <w:pPr/>
          </w:p>
        </w:tc>
        <w:tc>
          <w:tcPr>
            <w:tcW w:w="851" w:type="dxa"/>
            <w:vMerge/>
            <w:tcBorders>
              <w:left w:val="single" w:sz="4" w:space="0" w:color="000000"/>
              <w:bottom w:val="nil" w:sz="6" w:space="0" w:color="auto"/>
              <w:right w:val="single" w:sz="4" w:space="0" w:color="000000"/>
            </w:tcBorders>
            <w:shd w:val="clear" w:color="auto" w:fill="DDDDDD"/>
          </w:tcPr>
          <w:p>
            <w:pPr/>
          </w:p>
        </w:tc>
        <w:tc>
          <w:tcPr>
            <w:tcW w:w="1124" w:type="dxa"/>
            <w:vMerge w:val="restart"/>
            <w:tcBorders>
              <w:top w:val="nil" w:sz="6" w:space="0" w:color="auto"/>
              <w:left w:val="single" w:sz="4" w:space="0" w:color="000000"/>
              <w:right w:val="single" w:sz="4" w:space="0" w:color="000000"/>
            </w:tcBorders>
            <w:shd w:val="clear" w:color="auto" w:fill="DDDDDD"/>
          </w:tcPr>
          <w:p>
            <w:pPr/>
          </w:p>
        </w:tc>
        <w:tc>
          <w:tcPr>
            <w:tcW w:w="785" w:type="dxa"/>
            <w:gridSpan w:val="2"/>
            <w:vMerge/>
            <w:tcBorders>
              <w:left w:val="single" w:sz="4" w:space="0" w:color="000000"/>
              <w:right w:val="single" w:sz="4" w:space="0" w:color="000000"/>
            </w:tcBorders>
            <w:shd w:val="clear" w:color="auto" w:fill="DDDDDD"/>
          </w:tcPr>
          <w:p>
            <w:pPr/>
          </w:p>
        </w:tc>
        <w:tc>
          <w:tcPr>
            <w:tcW w:w="650" w:type="dxa"/>
            <w:vMerge w:val="restart"/>
            <w:tcBorders>
              <w:top w:val="nil" w:sz="6" w:space="0" w:color="auto"/>
              <w:left w:val="single" w:sz="4" w:space="0" w:color="000000"/>
              <w:right w:val="single" w:sz="4" w:space="0" w:color="000000"/>
            </w:tcBorders>
            <w:shd w:val="clear" w:color="auto" w:fill="DDDDDD"/>
          </w:tcPr>
          <w:p>
            <w:pPr/>
          </w:p>
        </w:tc>
        <w:tc>
          <w:tcPr>
            <w:tcW w:w="851" w:type="dxa"/>
            <w:vMerge/>
            <w:tcBorders>
              <w:left w:val="single" w:sz="4" w:space="0" w:color="000000"/>
              <w:bottom w:val="nil" w:sz="6" w:space="0" w:color="auto"/>
              <w:right w:val="single" w:sz="4" w:space="0" w:color="000000"/>
            </w:tcBorders>
            <w:shd w:val="clear" w:color="auto" w:fill="DDDDDD"/>
          </w:tcPr>
          <w:p>
            <w:pPr/>
          </w:p>
        </w:tc>
      </w:tr>
      <w:tr>
        <w:trPr>
          <w:trHeight w:val="331" w:hRule="exact"/>
        </w:trPr>
        <w:tc>
          <w:tcPr>
            <w:tcW w:w="1810" w:type="dxa"/>
            <w:vMerge/>
            <w:tcBorders>
              <w:left w:val="single" w:sz="4" w:space="0" w:color="000000"/>
              <w:bottom w:val="single" w:sz="4" w:space="0" w:color="000000"/>
              <w:right w:val="single" w:sz="4" w:space="0" w:color="000000"/>
            </w:tcBorders>
            <w:shd w:val="clear" w:color="auto" w:fill="DDDDDD"/>
          </w:tcPr>
          <w:p>
            <w:pPr/>
          </w:p>
        </w:tc>
        <w:tc>
          <w:tcPr>
            <w:tcW w:w="557" w:type="dxa"/>
            <w:vMerge/>
            <w:tcBorders>
              <w:left w:val="single" w:sz="4" w:space="0" w:color="000000"/>
              <w:bottom w:val="single" w:sz="4" w:space="0" w:color="000000"/>
              <w:right w:val="single" w:sz="4" w:space="0" w:color="000000"/>
            </w:tcBorders>
            <w:shd w:val="clear" w:color="auto" w:fill="DDDDDD"/>
          </w:tcPr>
          <w:p>
            <w:pPr/>
          </w:p>
        </w:tc>
        <w:tc>
          <w:tcPr>
            <w:tcW w:w="632" w:type="dxa"/>
            <w:tcBorders>
              <w:top w:val="nil" w:sz="6" w:space="0" w:color="auto"/>
              <w:left w:val="single" w:sz="4" w:space="0" w:color="000000"/>
              <w:bottom w:val="single" w:sz="4" w:space="0" w:color="000000"/>
              <w:right w:val="single" w:sz="4" w:space="0" w:color="000000"/>
            </w:tcBorders>
            <w:shd w:val="clear" w:color="auto" w:fill="DDDDDD"/>
          </w:tcPr>
          <w:p>
            <w:pPr/>
          </w:p>
        </w:tc>
        <w:tc>
          <w:tcPr>
            <w:tcW w:w="870" w:type="dxa"/>
            <w:vMerge/>
            <w:tcBorders>
              <w:left w:val="single" w:sz="4" w:space="0" w:color="000000"/>
              <w:bottom w:val="single" w:sz="4" w:space="0" w:color="000000"/>
              <w:right w:val="single" w:sz="4" w:space="0" w:color="000000"/>
            </w:tcBorders>
            <w:shd w:val="clear" w:color="auto" w:fill="DDDDDD"/>
          </w:tcPr>
          <w:p>
            <w:pPr/>
          </w:p>
        </w:tc>
        <w:tc>
          <w:tcPr>
            <w:tcW w:w="1066" w:type="dxa"/>
            <w:vMerge/>
            <w:tcBorders>
              <w:left w:val="single" w:sz="4" w:space="0" w:color="000000"/>
              <w:bottom w:val="single" w:sz="4" w:space="0" w:color="000000"/>
              <w:right w:val="single" w:sz="4" w:space="0" w:color="000000"/>
            </w:tcBorders>
            <w:shd w:val="clear" w:color="auto" w:fill="DDDDDD"/>
          </w:tcPr>
          <w:p>
            <w:pPr/>
          </w:p>
        </w:tc>
        <w:tc>
          <w:tcPr>
            <w:tcW w:w="618" w:type="dxa"/>
            <w:gridSpan w:val="2"/>
            <w:tcBorders>
              <w:top w:val="nil" w:sz="6" w:space="0" w:color="auto"/>
              <w:left w:val="single" w:sz="4" w:space="0" w:color="000000"/>
              <w:bottom w:val="single" w:sz="4" w:space="0" w:color="000000"/>
              <w:right w:val="single" w:sz="4" w:space="0" w:color="000000"/>
            </w:tcBorders>
            <w:shd w:val="clear" w:color="auto" w:fill="DDDDDD"/>
          </w:tcPr>
          <w:p>
            <w:pPr/>
          </w:p>
        </w:tc>
        <w:tc>
          <w:tcPr>
            <w:tcW w:w="851" w:type="dxa"/>
            <w:tcBorders>
              <w:top w:val="nil" w:sz="6" w:space="0" w:color="auto"/>
              <w:left w:val="single" w:sz="4" w:space="0" w:color="000000"/>
              <w:bottom w:val="single" w:sz="4" w:space="0" w:color="000000"/>
              <w:right w:val="single" w:sz="4" w:space="0" w:color="000000"/>
            </w:tcBorders>
            <w:shd w:val="clear" w:color="auto" w:fill="DDDDDD"/>
          </w:tcPr>
          <w:p>
            <w:pPr/>
          </w:p>
        </w:tc>
        <w:tc>
          <w:tcPr>
            <w:tcW w:w="1124" w:type="dxa"/>
            <w:vMerge/>
            <w:tcBorders>
              <w:left w:val="single" w:sz="4" w:space="0" w:color="000000"/>
              <w:bottom w:val="single" w:sz="4" w:space="0" w:color="000000"/>
              <w:right w:val="single" w:sz="4" w:space="0" w:color="000000"/>
            </w:tcBorders>
            <w:shd w:val="clear" w:color="auto" w:fill="DDDDDD"/>
          </w:tcPr>
          <w:p>
            <w:pPr/>
          </w:p>
        </w:tc>
        <w:tc>
          <w:tcPr>
            <w:tcW w:w="785" w:type="dxa"/>
            <w:gridSpan w:val="2"/>
            <w:vMerge/>
            <w:tcBorders>
              <w:left w:val="single" w:sz="4" w:space="0" w:color="000000"/>
              <w:bottom w:val="single" w:sz="4" w:space="0" w:color="000000"/>
              <w:right w:val="single" w:sz="4" w:space="0" w:color="000000"/>
            </w:tcBorders>
            <w:shd w:val="clear" w:color="auto" w:fill="DDDDDD"/>
          </w:tcPr>
          <w:p>
            <w:pPr/>
          </w:p>
        </w:tc>
        <w:tc>
          <w:tcPr>
            <w:tcW w:w="650" w:type="dxa"/>
            <w:vMerge/>
            <w:tcBorders>
              <w:left w:val="single" w:sz="4" w:space="0" w:color="000000"/>
              <w:bottom w:val="single" w:sz="4" w:space="0" w:color="000000"/>
              <w:right w:val="single" w:sz="4" w:space="0" w:color="000000"/>
            </w:tcBorders>
            <w:shd w:val="clear" w:color="auto" w:fill="DDDDDD"/>
          </w:tcPr>
          <w:p>
            <w:pPr/>
          </w:p>
        </w:tc>
        <w:tc>
          <w:tcPr>
            <w:tcW w:w="851"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36" w:hRule="exact"/>
        </w:trPr>
        <w:tc>
          <w:tcPr>
            <w:tcW w:w="181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3"/>
              <w:ind w:left="35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6" w:type="dxa"/>
            <w:gridSpan w:val="12"/>
            <w:tcBorders>
              <w:top w:val="single" w:sz="4" w:space="0" w:color="000000"/>
              <w:left w:val="single" w:sz="13" w:space="0" w:color="DDDDDD"/>
              <w:bottom w:val="single" w:sz="4" w:space="0" w:color="000000"/>
              <w:right w:val="single" w:sz="4" w:space="0" w:color="000000"/>
            </w:tcBorders>
          </w:tcPr>
          <w:p>
            <w:pPr/>
          </w:p>
        </w:tc>
      </w:tr>
      <w:tr>
        <w:trPr>
          <w:trHeight w:val="66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3"/>
              <w:ind w:left="12" w:right="2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新一代</w:t>
            </w:r>
            <w:r>
              <w:rPr>
                <w:rFonts w:ascii="宋体" w:hAnsi="宋体" w:cs="宋体" w:eastAsia="宋体" w:hint="default"/>
                <w:spacing w:val="-4"/>
                <w:sz w:val="18"/>
                <w:szCs w:val="18"/>
              </w:rPr>
              <w:t>”</w:t>
            </w:r>
            <w:r>
              <w:rPr>
                <w:rFonts w:ascii="宋体" w:hAnsi="宋体" w:cs="宋体" w:eastAsia="宋体" w:hint="default"/>
                <w:spacing w:val="-4"/>
                <w:sz w:val="18"/>
                <w:szCs w:val="18"/>
              </w:rPr>
              <w:t>数字城管系</w:t>
            </w:r>
            <w:r>
              <w:rPr>
                <w:rFonts w:ascii="宋体" w:hAnsi="宋体" w:cs="宋体" w:eastAsia="宋体" w:hint="default"/>
                <w:spacing w:val="-86"/>
                <w:sz w:val="18"/>
                <w:szCs w:val="18"/>
              </w:rPr>
              <w:t> </w:t>
            </w:r>
            <w:r>
              <w:rPr>
                <w:rFonts w:ascii="宋体" w:hAnsi="宋体" w:cs="宋体" w:eastAsia="宋体" w:hint="default"/>
                <w:sz w:val="18"/>
                <w:szCs w:val="18"/>
              </w:rPr>
              <w:t>统项目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4"/>
              <w:jc w:val="right"/>
              <w:rPr>
                <w:rFonts w:ascii="Times New Roman" w:hAnsi="Times New Roman" w:cs="Times New Roman" w:eastAsia="Times New Roman" w:hint="default"/>
                <w:sz w:val="18"/>
                <w:szCs w:val="18"/>
              </w:rPr>
            </w:pPr>
            <w:r>
              <w:rPr>
                <w:rFonts w:ascii="Times New Roman"/>
                <w:spacing w:val="-1"/>
                <w:sz w:val="18"/>
              </w:rPr>
              <w:t>5,000.0</w:t>
            </w: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2,012.42</w:t>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2,012.4</w:t>
            </w:r>
          </w:p>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40.25%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7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5"/>
              <w:ind w:left="12" w:right="167"/>
              <w:jc w:val="left"/>
              <w:rPr>
                <w:rFonts w:ascii="宋体" w:hAnsi="宋体" w:cs="宋体" w:eastAsia="宋体" w:hint="default"/>
                <w:sz w:val="18"/>
                <w:szCs w:val="18"/>
              </w:rPr>
            </w:pPr>
            <w:r>
              <w:rPr>
                <w:rFonts w:ascii="宋体" w:hAnsi="宋体" w:cs="宋体" w:eastAsia="宋体" w:hint="default"/>
                <w:sz w:val="18"/>
                <w:szCs w:val="18"/>
              </w:rPr>
              <w:t>数字社区管理与服务 系统项目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pacing w:val="-1"/>
                <w:sz w:val="18"/>
              </w:rPr>
              <w:t>3,500.0</w:t>
            </w:r>
            <w:r>
              <w:rPr>
                <w:rFonts w:ascii="Times New Roman"/>
                <w:sz w:val="18"/>
              </w:rPr>
            </w:r>
          </w:p>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813.58</w:t>
            </w:r>
            <w:r>
              <w:rPr>
                <w:rFonts w:ascii="Times New Roman"/>
                <w:sz w:val="18"/>
              </w:rPr>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813.58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23.25%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75"/>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专业网格化系统项目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4" w:right="0"/>
              <w:jc w:val="lef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3,000.00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9"/>
              <w:jc w:val="right"/>
              <w:rPr>
                <w:rFonts w:ascii="Times New Roman" w:hAnsi="Times New Roman" w:cs="Times New Roman" w:eastAsia="Times New Roman" w:hint="default"/>
                <w:sz w:val="18"/>
                <w:szCs w:val="18"/>
              </w:rPr>
            </w:pPr>
            <w:r>
              <w:rPr>
                <w:rFonts w:ascii="Times New Roman"/>
                <w:spacing w:val="-1"/>
                <w:sz w:val="18"/>
              </w:rPr>
              <w:t>718.80</w:t>
            </w:r>
            <w:r>
              <w:rPr>
                <w:rFonts w:ascii="Times New Roman"/>
                <w:sz w:val="18"/>
              </w:rPr>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0" w:right="0"/>
              <w:jc w:val="left"/>
              <w:rPr>
                <w:rFonts w:ascii="Times New Roman" w:hAnsi="Times New Roman" w:cs="Times New Roman" w:eastAsia="Times New Roman" w:hint="default"/>
                <w:sz w:val="18"/>
                <w:szCs w:val="18"/>
              </w:rPr>
            </w:pPr>
            <w:r>
              <w:rPr>
                <w:rFonts w:ascii="Times New Roman"/>
                <w:sz w:val="18"/>
              </w:rPr>
              <w:t>718.80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z w:val="18"/>
              </w:rPr>
              <w:t>23.96%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1"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979" w:top="1380" w:bottom="1160" w:left="940" w:right="920"/>
        </w:sectPr>
      </w:pPr>
    </w:p>
    <w:tbl>
      <w:tblPr>
        <w:tblW w:w="0" w:type="auto"/>
        <w:jc w:val="left"/>
        <w:tblInd w:w="114" w:type="dxa"/>
        <w:tblLayout w:type="fixed"/>
        <w:tblCellMar>
          <w:top w:w="0" w:type="dxa"/>
          <w:left w:w="0" w:type="dxa"/>
          <w:bottom w:w="0" w:type="dxa"/>
          <w:right w:w="0" w:type="dxa"/>
        </w:tblCellMar>
        <w:tblLook w:val="01E0"/>
      </w:tblPr>
      <w:tblGrid>
        <w:gridCol w:w="1820"/>
        <w:gridCol w:w="558"/>
        <w:gridCol w:w="638"/>
        <w:gridCol w:w="864"/>
        <w:gridCol w:w="1061"/>
        <w:gridCol w:w="624"/>
        <w:gridCol w:w="857"/>
        <w:gridCol w:w="1118"/>
        <w:gridCol w:w="780"/>
        <w:gridCol w:w="650"/>
        <w:gridCol w:w="857"/>
      </w:tblGrid>
      <w:tr>
        <w:trPr>
          <w:trHeight w:val="336" w:hRule="exact"/>
        </w:trPr>
        <w:tc>
          <w:tcPr>
            <w:tcW w:w="182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3" w:right="20"/>
              <w:jc w:val="left"/>
              <w:rPr>
                <w:rFonts w:ascii="宋体" w:hAnsi="宋体" w:cs="宋体" w:eastAsia="宋体" w:hint="default"/>
                <w:sz w:val="18"/>
                <w:szCs w:val="18"/>
              </w:rPr>
            </w:pPr>
            <w:r>
              <w:rPr>
                <w:rFonts w:ascii="宋体" w:hAnsi="宋体" w:cs="宋体" w:eastAsia="宋体" w:hint="default"/>
                <w:spacing w:val="-4"/>
                <w:sz w:val="18"/>
                <w:szCs w:val="18"/>
              </w:rPr>
              <w:t>金土工程</w:t>
            </w:r>
            <w:r>
              <w:rPr>
                <w:rFonts w:ascii="宋体" w:hAnsi="宋体" w:cs="宋体" w:eastAsia="宋体" w:hint="default"/>
                <w:spacing w:val="-4"/>
                <w:sz w:val="18"/>
                <w:szCs w:val="18"/>
              </w:rPr>
              <w:t>“</w:t>
            </w:r>
            <w:r>
              <w:rPr>
                <w:rFonts w:ascii="宋体" w:hAnsi="宋体" w:cs="宋体" w:eastAsia="宋体" w:hint="default"/>
                <w:spacing w:val="-4"/>
                <w:sz w:val="18"/>
                <w:szCs w:val="18"/>
              </w:rPr>
              <w:t>一张图</w:t>
            </w:r>
            <w:r>
              <w:rPr>
                <w:rFonts w:ascii="宋体" w:hAnsi="宋体" w:cs="宋体" w:eastAsia="宋体" w:hint="default"/>
                <w:spacing w:val="-4"/>
                <w:sz w:val="18"/>
                <w:szCs w:val="18"/>
              </w:rPr>
              <w:t>”</w:t>
            </w:r>
            <w:r>
              <w:rPr>
                <w:rFonts w:ascii="宋体" w:hAnsi="宋体" w:cs="宋体" w:eastAsia="宋体" w:hint="default"/>
                <w:spacing w:val="-4"/>
                <w:sz w:val="18"/>
                <w:szCs w:val="18"/>
              </w:rPr>
              <w:t>监</w:t>
            </w:r>
            <w:r>
              <w:rPr>
                <w:rFonts w:ascii="宋体" w:hAnsi="宋体" w:cs="宋体" w:eastAsia="宋体" w:hint="default"/>
                <w:spacing w:val="-87"/>
                <w:sz w:val="18"/>
                <w:szCs w:val="18"/>
              </w:rPr>
              <w:t> </w:t>
            </w:r>
            <w:r>
              <w:rPr>
                <w:rFonts w:ascii="宋体" w:hAnsi="宋体" w:cs="宋体" w:eastAsia="宋体" w:hint="default"/>
                <w:sz w:val="18"/>
                <w:szCs w:val="18"/>
              </w:rPr>
              <w:t>管系统研发项目</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3,500.0</w:t>
            </w: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1,195.51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1,195.5</w:t>
            </w: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34.16%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7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z w:val="18"/>
              </w:rPr>
              <w:t>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4,740.30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4,740.3</w:t>
            </w: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4" w:right="-14"/>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4" w:right="-14"/>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13"/>
                <w:szCs w:val="13"/>
              </w:rPr>
            </w:pPr>
          </w:p>
          <w:p>
            <w:pPr>
              <w:pStyle w:val="TableParagraph"/>
              <w:spacing w:line="333" w:lineRule="auto"/>
              <w:ind w:left="96" w:right="92"/>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31" w:lineRule="auto" w:before="15"/>
              <w:ind w:left="22" w:right="53"/>
              <w:jc w:val="left"/>
              <w:rPr>
                <w:rFonts w:ascii="宋体" w:hAnsi="宋体" w:cs="宋体" w:eastAsia="宋体" w:hint="default"/>
                <w:sz w:val="18"/>
                <w:szCs w:val="18"/>
              </w:rPr>
            </w:pPr>
            <w:r>
              <w:rPr>
                <w:rFonts w:ascii="宋体" w:hAnsi="宋体" w:cs="宋体" w:eastAsia="宋体" w:hint="default"/>
                <w:sz w:val="18"/>
                <w:szCs w:val="18"/>
              </w:rPr>
              <w:t>数字社区管理与服务系统项目未达到计划进度，主要是由于公司抽调部分研发人员参与客户数字社区 建设项目的前期工作。目前该工作已基本完成，公司将重新安排人员投入，尽快达到计划进度。 专业网格化系统项目未达到计划进度，主要是由于业务需要，将人员投入日常业务中。随着公司人员 的增加和调配，公司将促使项目尽快达到计划进度。</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276" w:right="92"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26"/>
                <w:szCs w:val="26"/>
              </w:rPr>
            </w:pPr>
          </w:p>
          <w:p>
            <w:pPr>
              <w:pStyle w:val="TableParagraph"/>
              <w:spacing w:line="333" w:lineRule="auto"/>
              <w:ind w:left="276" w:right="20" w:hanging="25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26" w:lineRule="auto" w:before="15"/>
              <w:ind w:left="22" w:right="53"/>
              <w:jc w:val="both"/>
              <w:rPr>
                <w:rFonts w:ascii="宋体" w:hAnsi="宋体" w:cs="宋体" w:eastAsia="宋体" w:hint="default"/>
                <w:sz w:val="18"/>
                <w:szCs w:val="18"/>
              </w:rPr>
            </w:pPr>
            <w:r>
              <w:rPr>
                <w:rFonts w:ascii="宋体" w:hAnsi="宋体" w:cs="宋体" w:eastAsia="宋体" w:hint="default"/>
                <w:sz w:val="18"/>
                <w:szCs w:val="18"/>
              </w:rPr>
              <w:t>公司首次公开发行所募得超募资金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元人民币，目前公司已有项目正处于调研阶段，但 尚未确定超募资金用途。对以上超募资金，公司将围绕主业、合理规划、谨慎实施，进一步提高公司 的自主创新能力、市场抗风险能力和综合竞争能力，巩固和强化公司在行业的领先地位，形成良好的 业绩回报。</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1" w:lineRule="auto" w:before="17"/>
              <w:ind w:left="276" w:right="92"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276" w:right="92"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184" w:right="92"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15"/>
              <w:ind w:left="22" w:right="53"/>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日公司第一届董事会第十次会议审议通过，以募集资金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4,166.43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万元置换公司募集 资金到位前先期投入的自筹资金。</w:t>
            </w:r>
          </w:p>
        </w:tc>
      </w:tr>
      <w:tr>
        <w:trPr>
          <w:trHeight w:val="989"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13"/>
                <w:szCs w:val="13"/>
              </w:rPr>
            </w:pPr>
          </w:p>
          <w:p>
            <w:pPr>
              <w:pStyle w:val="TableParagraph"/>
              <w:spacing w:line="333" w:lineRule="auto"/>
              <w:ind w:left="184" w:right="92"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日公司第一届董事会第八次会议审议通过，用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w:t>
            </w:r>
          </w:p>
          <w:p>
            <w:pPr>
              <w:pStyle w:val="TableParagraph"/>
              <w:spacing w:line="314" w:lineRule="auto" w:before="77"/>
              <w:ind w:left="22" w:right="53"/>
              <w:jc w:val="left"/>
              <w:rPr>
                <w:rFonts w:ascii="宋体" w:hAnsi="宋体" w:cs="宋体" w:eastAsia="宋体" w:hint="default"/>
                <w:sz w:val="18"/>
                <w:szCs w:val="18"/>
              </w:rPr>
            </w:pPr>
            <w:r>
              <w:rPr>
                <w:rFonts w:ascii="宋体" w:hAnsi="宋体" w:cs="宋体" w:eastAsia="宋体" w:hint="default"/>
                <w:sz w:val="18"/>
                <w:szCs w:val="18"/>
              </w:rPr>
              <w:t>动资金。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万元暂时补充流动资金的募集资金归还至募集资金专户 中。</w:t>
            </w:r>
          </w:p>
        </w:tc>
      </w:tr>
      <w:tr>
        <w:trPr>
          <w:trHeight w:val="660"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96" w:right="9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项目均尚未完成</w:t>
            </w:r>
          </w:p>
        </w:tc>
      </w:tr>
      <w:tr>
        <w:trPr>
          <w:trHeight w:val="662"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1" w:lineRule="auto" w:before="17"/>
              <w:ind w:left="456" w:right="92"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专户存储，存放在募集资金专户中</w:t>
            </w:r>
          </w:p>
        </w:tc>
      </w:tr>
      <w:tr>
        <w:trPr>
          <w:trHeight w:val="989" w:hRule="exact"/>
        </w:trPr>
        <w:tc>
          <w:tcPr>
            <w:tcW w:w="18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96" w:right="92"/>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388" w:lineRule="auto" w:before="26"/>
        <w:ind w:left="1357" w:right="868"/>
        <w:jc w:val="left"/>
      </w:pPr>
      <w:r>
        <w:rPr>
          <w:rFonts w:ascii="Times New Roman" w:hAnsi="Times New Roman" w:cs="Times New Roman" w:eastAsia="Times New Roman" w:hint="default"/>
        </w:rPr>
        <w:t>3</w:t>
      </w:r>
      <w:r>
        <w:rPr/>
        <w:t>、募集资金的管理情况 </w:t>
      </w:r>
      <w:r>
        <w:rPr>
          <w:spacing w:val="-3"/>
        </w:rPr>
        <w:t>为规范募集资金的管理和使用，公司依照《公司法》、《证券法》、《深圳</w:t>
      </w:r>
    </w:p>
    <w:p>
      <w:pPr>
        <w:pStyle w:val="BodyText"/>
        <w:spacing w:line="240" w:lineRule="auto" w:before="26"/>
        <w:ind w:left="877" w:right="745"/>
        <w:jc w:val="left"/>
      </w:pPr>
      <w:r>
        <w:rPr>
          <w:spacing w:val="-3"/>
        </w:rPr>
        <w:t>证券交易所创业板股票上市规则》、《深圳证券交易所创业板上市公司规范运作</w:t>
      </w:r>
    </w:p>
    <w:p>
      <w:pPr>
        <w:spacing w:after="0" w:line="240" w:lineRule="auto"/>
        <w:jc w:val="left"/>
        <w:sectPr>
          <w:pgSz w:w="11910" w:h="16840"/>
          <w:pgMar w:header="850" w:footer="979" w:top="1440" w:bottom="1160" w:left="920" w:right="920"/>
        </w:sectPr>
      </w:pPr>
    </w:p>
    <w:p>
      <w:pPr>
        <w:pStyle w:val="BodyText"/>
        <w:spacing w:line="369" w:lineRule="auto" w:before="105"/>
        <w:ind w:left="217" w:right="213"/>
        <w:jc w:val="both"/>
      </w:pPr>
      <w:r>
        <w:rPr>
          <w:spacing w:val="-3"/>
        </w:rPr>
        <w:t>指引》的有关规定，结合公司实际情况，制定了《北京数字政通科技股份有限公</w:t>
      </w:r>
      <w:r>
        <w:rPr>
          <w:spacing w:val="-103"/>
        </w:rPr>
        <w:t> </w:t>
      </w:r>
      <w:r>
        <w:rPr>
          <w:spacing w:val="-103"/>
        </w:rPr>
      </w:r>
      <w:r>
        <w:rPr>
          <w:spacing w:val="-3"/>
        </w:rPr>
        <w:t>司募集资金管理制度》，并经公司</w:t>
      </w:r>
      <w:r>
        <w:rPr>
          <w:rFonts w:ascii="Times New Roman" w:hAnsi="Times New Roman" w:cs="Times New Roman" w:eastAsia="Times New Roman" w:hint="default"/>
          <w:spacing w:val="-3"/>
        </w:rPr>
        <w:t>2009</w:t>
      </w:r>
      <w:r>
        <w:rPr>
          <w:spacing w:val="-3"/>
        </w:rPr>
        <w:t>年年度股东大会审议通过。公司对募集资</w:t>
      </w:r>
      <w:r>
        <w:rPr>
          <w:spacing w:val="-96"/>
        </w:rPr>
        <w:t> </w:t>
      </w:r>
      <w:r>
        <w:rPr>
          <w:spacing w:val="-96"/>
        </w:rPr>
      </w:r>
      <w:r>
        <w:rPr>
          <w:spacing w:val="-3"/>
        </w:rPr>
        <w:t>金建立专户存储，并严格履行审批手续，对募集资金的管理和使用进行监督，保</w:t>
      </w:r>
      <w:r>
        <w:rPr>
          <w:spacing w:val="-102"/>
        </w:rPr>
        <w:t> </w:t>
      </w:r>
      <w:r>
        <w:rPr>
          <w:spacing w:val="-102"/>
        </w:rPr>
      </w:r>
      <w:r>
        <w:rPr>
          <w:spacing w:val="-3"/>
        </w:rPr>
        <w:t>证专款专用。公司和保荐机构招商证券股份有限公司分别与北京银行股份有限公</w:t>
      </w:r>
      <w:r>
        <w:rPr>
          <w:spacing w:val="-104"/>
        </w:rPr>
        <w:t> </w:t>
      </w:r>
      <w:r>
        <w:rPr>
          <w:spacing w:val="-104"/>
        </w:rPr>
      </w:r>
      <w:r>
        <w:rPr>
          <w:spacing w:val="-3"/>
        </w:rPr>
        <w:t>司四道口支行、招商银行股份有限公司大运村支行签定了《募集资金专户三方监</w:t>
      </w:r>
      <w:r>
        <w:rPr>
          <w:spacing w:val="-103"/>
        </w:rPr>
        <w:t> </w:t>
      </w:r>
      <w:r>
        <w:rPr>
          <w:spacing w:val="-103"/>
        </w:rPr>
      </w:r>
      <w:r>
        <w:rPr>
          <w:spacing w:val="-3"/>
        </w:rPr>
        <w:t>管协议》，明确了各方的权利和义务，三方监管协议与深圳证券交易所三方监管</w:t>
      </w:r>
      <w:r>
        <w:rPr>
          <w:spacing w:val="-102"/>
        </w:rPr>
        <w:t> </w:t>
      </w:r>
      <w:r>
        <w:rPr>
          <w:spacing w:val="-102"/>
        </w:rPr>
      </w:r>
      <w:r>
        <w:rPr/>
        <w:t>协议范本不存在重大差异，履行亦不存在问题。</w:t>
      </w:r>
    </w:p>
    <w:p>
      <w:pPr>
        <w:pStyle w:val="BodyText"/>
        <w:spacing w:line="240" w:lineRule="auto" w:before="96"/>
        <w:ind w:left="697" w:right="208"/>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日止，公司募集资金专户存储情况如下：</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753"/>
        <w:gridCol w:w="2976"/>
        <w:gridCol w:w="2798"/>
      </w:tblGrid>
      <w:tr>
        <w:trPr>
          <w:trHeight w:val="55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90" w:right="0"/>
              <w:jc w:val="left"/>
              <w:rPr>
                <w:rFonts w:ascii="宋体" w:hAnsi="宋体" w:cs="宋体" w:eastAsia="宋体" w:hint="default"/>
                <w:sz w:val="24"/>
                <w:szCs w:val="24"/>
              </w:rPr>
            </w:pPr>
            <w:r>
              <w:rPr>
                <w:rFonts w:ascii="宋体" w:hAnsi="宋体" w:cs="宋体" w:eastAsia="宋体" w:hint="default"/>
                <w:sz w:val="24"/>
                <w:szCs w:val="24"/>
              </w:rPr>
              <w:t>开户银行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4"/>
                <w:szCs w:val="24"/>
              </w:rPr>
            </w:pPr>
            <w:r>
              <w:rPr>
                <w:rFonts w:ascii="宋体" w:hAnsi="宋体" w:cs="宋体" w:eastAsia="宋体" w:hint="default"/>
                <w:sz w:val="24"/>
                <w:szCs w:val="24"/>
              </w:rPr>
              <w:t>银行账号</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1" w:right="0"/>
              <w:jc w:val="left"/>
              <w:rPr>
                <w:rFonts w:ascii="宋体" w:hAnsi="宋体" w:cs="宋体" w:eastAsia="宋体" w:hint="default"/>
                <w:sz w:val="24"/>
                <w:szCs w:val="24"/>
              </w:rPr>
            </w:pPr>
            <w:r>
              <w:rPr>
                <w:rFonts w:ascii="宋体" w:hAnsi="宋体" w:cs="宋体" w:eastAsia="宋体" w:hint="default"/>
                <w:sz w:val="24"/>
                <w:szCs w:val="24"/>
              </w:rPr>
              <w:t>年末金额</w:t>
            </w:r>
          </w:p>
        </w:tc>
      </w:tr>
      <w:tr>
        <w:trPr>
          <w:trHeight w:val="547"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4"/>
                <w:szCs w:val="24"/>
              </w:rPr>
            </w:pPr>
            <w:r>
              <w:rPr>
                <w:rFonts w:ascii="宋体" w:hAnsi="宋体" w:cs="宋体" w:eastAsia="宋体" w:hint="default"/>
                <w:sz w:val="24"/>
                <w:szCs w:val="24"/>
              </w:rPr>
              <w:t>北京银行四道口支行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0" w:right="0"/>
              <w:jc w:val="left"/>
              <w:rPr>
                <w:rFonts w:ascii="Times New Roman" w:hAnsi="Times New Roman" w:cs="Times New Roman" w:eastAsia="Times New Roman" w:hint="default"/>
                <w:sz w:val="24"/>
                <w:szCs w:val="24"/>
              </w:rPr>
            </w:pPr>
            <w:r>
              <w:rPr>
                <w:rFonts w:ascii="Times New Roman"/>
                <w:sz w:val="24"/>
              </w:rPr>
              <w:t>01090349800120109319331</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4"/>
                <w:szCs w:val="24"/>
              </w:rPr>
            </w:pPr>
            <w:r>
              <w:rPr>
                <w:rFonts w:ascii="Times New Roman"/>
                <w:sz w:val="24"/>
              </w:rPr>
              <w:t>305,661,762.87</w:t>
            </w:r>
          </w:p>
        </w:tc>
      </w:tr>
      <w:tr>
        <w:trPr>
          <w:trHeight w:val="55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4"/>
                <w:szCs w:val="24"/>
              </w:rPr>
            </w:pPr>
            <w:r>
              <w:rPr>
                <w:rFonts w:ascii="宋体" w:hAnsi="宋体" w:cs="宋体" w:eastAsia="宋体" w:hint="default"/>
                <w:sz w:val="24"/>
                <w:szCs w:val="24"/>
              </w:rPr>
              <w:t>招商银行大运村支行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0" w:right="0"/>
              <w:jc w:val="left"/>
              <w:rPr>
                <w:rFonts w:ascii="Times New Roman" w:hAnsi="Times New Roman" w:cs="Times New Roman" w:eastAsia="Times New Roman" w:hint="default"/>
                <w:sz w:val="24"/>
                <w:szCs w:val="24"/>
              </w:rPr>
            </w:pPr>
            <w:r>
              <w:rPr>
                <w:rFonts w:ascii="Times New Roman"/>
                <w:sz w:val="24"/>
              </w:rPr>
              <w:t>110906968610603</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4"/>
                <w:szCs w:val="24"/>
              </w:rPr>
            </w:pPr>
            <w:r>
              <w:rPr>
                <w:rFonts w:ascii="Times New Roman"/>
                <w:sz w:val="24"/>
              </w:rPr>
              <w:t>103,460,269.07</w:t>
            </w:r>
          </w:p>
        </w:tc>
      </w:tr>
      <w:tr>
        <w:trPr>
          <w:trHeight w:val="550"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4"/>
                <w:szCs w:val="24"/>
              </w:rPr>
            </w:pPr>
            <w:r>
              <w:rPr>
                <w:rFonts w:ascii="宋体" w:hAnsi="宋体" w:cs="宋体" w:eastAsia="宋体" w:hint="default"/>
                <w:sz w:val="24"/>
                <w:szCs w:val="24"/>
              </w:rPr>
              <w:t>招商银行大运村支行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0" w:right="0"/>
              <w:jc w:val="left"/>
              <w:rPr>
                <w:rFonts w:ascii="Times New Roman" w:hAnsi="Times New Roman" w:cs="Times New Roman" w:eastAsia="Times New Roman" w:hint="default"/>
                <w:sz w:val="24"/>
                <w:szCs w:val="24"/>
              </w:rPr>
            </w:pPr>
            <w:r>
              <w:rPr>
                <w:rFonts w:ascii="Times New Roman"/>
                <w:sz w:val="24"/>
              </w:rPr>
              <w:t>110906968610802</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Times New Roman" w:hAnsi="Times New Roman" w:cs="Times New Roman" w:eastAsia="Times New Roman" w:hint="default"/>
                <w:sz w:val="24"/>
                <w:szCs w:val="24"/>
              </w:rPr>
            </w:pPr>
            <w:r>
              <w:rPr>
                <w:rFonts w:ascii="Times New Roman"/>
                <w:sz w:val="24"/>
              </w:rPr>
              <w:t>252,640,279.27</w:t>
            </w:r>
          </w:p>
        </w:tc>
      </w:tr>
    </w:tbl>
    <w:p>
      <w:pPr>
        <w:spacing w:line="240" w:lineRule="auto" w:before="10"/>
        <w:rPr>
          <w:rFonts w:ascii="宋体" w:hAnsi="宋体" w:cs="宋体" w:eastAsia="宋体" w:hint="default"/>
          <w:sz w:val="5"/>
          <w:szCs w:val="5"/>
        </w:rPr>
      </w:pPr>
    </w:p>
    <w:p>
      <w:pPr>
        <w:pStyle w:val="BodyText"/>
        <w:spacing w:line="374" w:lineRule="auto" w:before="26"/>
        <w:ind w:left="217" w:right="208" w:firstLine="480"/>
        <w:jc w:val="left"/>
      </w:pPr>
      <w:r>
        <w:rPr>
          <w:spacing w:val="-3"/>
        </w:rPr>
        <w:t>说明：根据《募集资金专户三方监管协议》的约定，公司募投资金以定期存</w:t>
      </w:r>
      <w:r>
        <w:rPr/>
        <w:t> 单形式存放于上述各银行，每份存单均有独立的账号，此处不再分别列示。</w:t>
      </w:r>
    </w:p>
    <w:p>
      <w:pPr>
        <w:pStyle w:val="Heading3"/>
        <w:spacing w:line="240" w:lineRule="auto" w:before="202"/>
        <w:ind w:left="700" w:right="208"/>
        <w:jc w:val="left"/>
        <w:rPr>
          <w:b w:val="0"/>
          <w:bCs w:val="0"/>
        </w:rPr>
      </w:pPr>
      <w:r>
        <w:rPr/>
        <w:t>（二）</w:t>
      </w:r>
      <w:r>
        <w:rPr>
          <w:spacing w:val="-5"/>
        </w:rPr>
        <w:t> </w:t>
      </w:r>
      <w:r>
        <w:rPr/>
        <w:t>报告期内，公司无其他重大非募集资金投资项目。</w:t>
      </w:r>
      <w:r>
        <w:rPr>
          <w:b w:val="0"/>
          <w:bCs w:val="0"/>
        </w:rPr>
      </w:r>
    </w:p>
    <w:p>
      <w:pPr>
        <w:spacing w:line="240" w:lineRule="auto" w:before="12"/>
        <w:rPr>
          <w:rFonts w:ascii="宋体" w:hAnsi="宋体" w:cs="宋体" w:eastAsia="宋体" w:hint="default"/>
          <w:b/>
          <w:bCs/>
          <w:sz w:val="25"/>
          <w:szCs w:val="25"/>
        </w:rPr>
      </w:pPr>
    </w:p>
    <w:p>
      <w:pPr>
        <w:spacing w:line="374" w:lineRule="auto" w:before="0"/>
        <w:ind w:left="217" w:right="317" w:firstLine="482"/>
        <w:jc w:val="left"/>
        <w:rPr>
          <w:rFonts w:ascii="宋体" w:hAnsi="宋体" w:cs="宋体" w:eastAsia="宋体" w:hint="default"/>
          <w:sz w:val="24"/>
          <w:szCs w:val="24"/>
        </w:rPr>
      </w:pPr>
      <w:r>
        <w:rPr>
          <w:rFonts w:ascii="宋体" w:hAnsi="宋体" w:cs="宋体" w:eastAsia="宋体" w:hint="default"/>
          <w:b/>
          <w:bCs/>
          <w:sz w:val="24"/>
          <w:szCs w:val="24"/>
        </w:rPr>
        <w:t>（三）报告期内，公司没有持有其他上市公司股权、参股商业银行、证券</w:t>
      </w:r>
      <w:r>
        <w:rPr>
          <w:rFonts w:ascii="宋体" w:hAnsi="宋体" w:cs="宋体" w:eastAsia="宋体" w:hint="default"/>
          <w:b/>
          <w:bCs/>
          <w:w w:val="99"/>
          <w:sz w:val="24"/>
          <w:szCs w:val="24"/>
        </w:rPr>
        <w:t> </w:t>
      </w:r>
      <w:r>
        <w:rPr>
          <w:rFonts w:ascii="宋体" w:hAnsi="宋体" w:cs="宋体" w:eastAsia="宋体" w:hint="default"/>
          <w:b/>
          <w:bCs/>
          <w:sz w:val="24"/>
          <w:szCs w:val="24"/>
        </w:rPr>
        <w:t>公司、保险公司、信托产品和期货公司等金融企业股权。</w:t>
      </w:r>
      <w:r>
        <w:rPr>
          <w:rFonts w:ascii="宋体" w:hAnsi="宋体" w:cs="宋体" w:eastAsia="宋体" w:hint="default"/>
          <w:sz w:val="24"/>
          <w:szCs w:val="24"/>
        </w:rPr>
      </w:r>
    </w:p>
    <w:p>
      <w:pPr>
        <w:spacing w:line="374" w:lineRule="auto" w:before="202"/>
        <w:ind w:left="217" w:right="317" w:firstLine="482"/>
        <w:jc w:val="left"/>
        <w:rPr>
          <w:rFonts w:ascii="宋体" w:hAnsi="宋体" w:cs="宋体" w:eastAsia="宋体" w:hint="default"/>
          <w:sz w:val="24"/>
          <w:szCs w:val="24"/>
        </w:rPr>
      </w:pPr>
      <w:r>
        <w:rPr>
          <w:rFonts w:ascii="宋体" w:hAnsi="宋体" w:cs="宋体" w:eastAsia="宋体" w:hint="default"/>
          <w:b/>
          <w:bCs/>
          <w:sz w:val="24"/>
          <w:szCs w:val="24"/>
        </w:rPr>
        <w:t>（四）报告期内，公司没有持有一公允价值计量的境内外基金、债券、信</w:t>
      </w:r>
      <w:r>
        <w:rPr>
          <w:rFonts w:ascii="宋体" w:hAnsi="宋体" w:cs="宋体" w:eastAsia="宋体" w:hint="default"/>
          <w:b/>
          <w:bCs/>
          <w:w w:val="99"/>
          <w:sz w:val="24"/>
          <w:szCs w:val="24"/>
        </w:rPr>
        <w:t> </w:t>
      </w:r>
      <w:r>
        <w:rPr>
          <w:rFonts w:ascii="宋体" w:hAnsi="宋体" w:cs="宋体" w:eastAsia="宋体" w:hint="default"/>
          <w:b/>
          <w:bCs/>
          <w:sz w:val="24"/>
          <w:szCs w:val="24"/>
        </w:rPr>
        <w:t>托产品、期货、金融衍生工具等金融资产。</w:t>
      </w:r>
      <w:r>
        <w:rPr>
          <w:rFonts w:ascii="宋体" w:hAnsi="宋体" w:cs="宋体" w:eastAsia="宋体" w:hint="default"/>
          <w:sz w:val="24"/>
          <w:szCs w:val="24"/>
        </w:rPr>
      </w:r>
    </w:p>
    <w:p>
      <w:pPr>
        <w:spacing w:line="372" w:lineRule="auto" w:before="204"/>
        <w:ind w:left="217" w:right="317" w:firstLine="482"/>
        <w:jc w:val="left"/>
        <w:rPr>
          <w:rFonts w:ascii="宋体" w:hAnsi="宋体" w:cs="宋体" w:eastAsia="宋体" w:hint="default"/>
          <w:sz w:val="24"/>
          <w:szCs w:val="24"/>
        </w:rPr>
      </w:pPr>
      <w:r>
        <w:rPr>
          <w:rFonts w:ascii="宋体" w:hAnsi="宋体" w:cs="宋体" w:eastAsia="宋体" w:hint="default"/>
          <w:b/>
          <w:bCs/>
          <w:sz w:val="24"/>
          <w:szCs w:val="24"/>
        </w:rPr>
        <w:t>（五）报告期内，公司没有发行在外的可转换为股份的各种金融工具、以</w:t>
      </w:r>
      <w:r>
        <w:rPr>
          <w:rFonts w:ascii="宋体" w:hAnsi="宋体" w:cs="宋体" w:eastAsia="宋体" w:hint="default"/>
          <w:b/>
          <w:bCs/>
          <w:w w:val="99"/>
          <w:sz w:val="24"/>
          <w:szCs w:val="24"/>
        </w:rPr>
        <w:t> </w:t>
      </w:r>
      <w:r>
        <w:rPr>
          <w:rFonts w:ascii="宋体" w:hAnsi="宋体" w:cs="宋体" w:eastAsia="宋体" w:hint="default"/>
          <w:b/>
          <w:bCs/>
          <w:sz w:val="24"/>
          <w:szCs w:val="24"/>
        </w:rPr>
        <w:t>公允价值计量的负债。</w:t>
      </w:r>
      <w:r>
        <w:rPr>
          <w:rFonts w:ascii="宋体" w:hAnsi="宋体" w:cs="宋体" w:eastAsia="宋体" w:hint="default"/>
          <w:sz w:val="24"/>
          <w:szCs w:val="24"/>
        </w:rPr>
      </w:r>
    </w:p>
    <w:p>
      <w:pPr>
        <w:spacing w:line="429" w:lineRule="auto" w:before="206"/>
        <w:ind w:left="697" w:right="214"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z w:val="24"/>
          <w:szCs w:val="24"/>
        </w:rPr>
        <w:t>2010</w:t>
      </w:r>
      <w:r>
        <w:rPr>
          <w:rFonts w:ascii="宋体" w:hAnsi="宋体" w:cs="宋体" w:eastAsia="宋体" w:hint="default"/>
          <w:b/>
          <w:bCs/>
          <w:sz w:val="24"/>
          <w:szCs w:val="24"/>
        </w:rPr>
        <w:t>年度利润分配及资本公积金转增股本预案</w:t>
      </w:r>
      <w:r>
        <w:rPr>
          <w:rFonts w:ascii="宋体" w:hAnsi="宋体" w:cs="宋体" w:eastAsia="宋体" w:hint="default"/>
          <w:b/>
          <w:bCs/>
          <w:w w:val="99"/>
          <w:sz w:val="24"/>
          <w:szCs w:val="24"/>
        </w:rPr>
        <w:t> </w:t>
      </w:r>
      <w:r>
        <w:rPr>
          <w:rFonts w:ascii="宋体" w:hAnsi="宋体" w:cs="宋体" w:eastAsia="宋体" w:hint="default"/>
          <w:spacing w:val="-3"/>
          <w:sz w:val="24"/>
          <w:szCs w:val="24"/>
        </w:rPr>
        <w:t>经中瑞岳华会计师事务所有限公司审计，公司</w:t>
      </w:r>
      <w:r>
        <w:rPr>
          <w:rFonts w:ascii="Times New Roman" w:hAnsi="Times New Roman" w:cs="Times New Roman" w:eastAsia="Times New Roman" w:hint="default"/>
          <w:spacing w:val="-3"/>
          <w:sz w:val="24"/>
          <w:szCs w:val="24"/>
        </w:rPr>
        <w:t>2010</w:t>
      </w:r>
      <w:r>
        <w:rPr>
          <w:rFonts w:ascii="宋体" w:hAnsi="宋体" w:cs="宋体" w:eastAsia="宋体" w:hint="default"/>
          <w:spacing w:val="-3"/>
          <w:sz w:val="24"/>
          <w:szCs w:val="24"/>
        </w:rPr>
        <w:t>年度实现归属母公司股东</w:t>
      </w:r>
    </w:p>
    <w:p>
      <w:pPr>
        <w:pStyle w:val="BodyText"/>
        <w:spacing w:line="256" w:lineRule="exact"/>
        <w:ind w:left="217" w:right="208"/>
        <w:jc w:val="left"/>
      </w:pPr>
      <w:r>
        <w:rPr/>
        <w:t>净利润</w:t>
      </w:r>
      <w:r>
        <w:rPr>
          <w:rFonts w:ascii="Times New Roman" w:hAnsi="Times New Roman" w:cs="Times New Roman" w:eastAsia="Times New Roman" w:hint="default"/>
        </w:rPr>
        <w:t>51,443,250.38</w:t>
      </w:r>
      <w:r>
        <w:rPr/>
        <w:t>元，加上年初未分配利润</w:t>
      </w:r>
      <w:r>
        <w:rPr>
          <w:rFonts w:ascii="Times New Roman" w:hAnsi="Times New Roman" w:cs="Times New Roman" w:eastAsia="Times New Roman" w:hint="default"/>
        </w:rPr>
        <w:t>38,334,090.97</w:t>
      </w:r>
      <w:r>
        <w:rPr/>
        <w:t>元，提取</w:t>
      </w:r>
      <w:r>
        <w:rPr>
          <w:rFonts w:ascii="Times New Roman" w:hAnsi="Times New Roman" w:cs="Times New Roman" w:eastAsia="Times New Roman" w:hint="default"/>
        </w:rPr>
        <w:t>10</w:t>
      </w:r>
      <w:r>
        <w:rPr/>
        <w:t>％法定盈</w:t>
      </w:r>
    </w:p>
    <w:p>
      <w:pPr>
        <w:pStyle w:val="BodyText"/>
        <w:spacing w:line="336" w:lineRule="auto" w:before="135"/>
        <w:ind w:left="217" w:right="208"/>
        <w:jc w:val="left"/>
      </w:pPr>
      <w:r>
        <w:rPr>
          <w:spacing w:val="-2"/>
        </w:rPr>
        <w:t>余公积金</w:t>
      </w:r>
      <w:r>
        <w:rPr>
          <w:rFonts w:ascii="Times New Roman" w:hAnsi="Times New Roman" w:cs="Times New Roman" w:eastAsia="Times New Roman" w:hint="default"/>
          <w:spacing w:val="-2"/>
        </w:rPr>
        <w:t>5,144,325.04</w:t>
      </w:r>
      <w:r>
        <w:rPr>
          <w:spacing w:val="-2"/>
        </w:rPr>
        <w:t>万元，并扣除</w:t>
      </w:r>
      <w:r>
        <w:rPr>
          <w:rFonts w:ascii="Times New Roman" w:hAnsi="Times New Roman" w:cs="Times New Roman" w:eastAsia="Times New Roman" w:hint="default"/>
          <w:spacing w:val="-2"/>
        </w:rPr>
        <w:t>2009</w:t>
      </w:r>
      <w:r>
        <w:rPr>
          <w:spacing w:val="-2"/>
        </w:rPr>
        <w:t>年度股东股利</w:t>
      </w:r>
      <w:r>
        <w:rPr>
          <w:rFonts w:ascii="Times New Roman" w:hAnsi="Times New Roman" w:cs="Times New Roman" w:eastAsia="Times New Roman" w:hint="default"/>
          <w:spacing w:val="-2"/>
        </w:rPr>
        <w:t>13,020,000.00</w:t>
      </w:r>
      <w:r>
        <w:rPr>
          <w:spacing w:val="-2"/>
        </w:rPr>
        <w:t>元，截至</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42"/>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日，可供股东分配的利润为</w:t>
      </w:r>
      <w:r>
        <w:rPr>
          <w:rFonts w:ascii="Times New Roman" w:hAnsi="Times New Roman" w:cs="Times New Roman" w:eastAsia="Times New Roman" w:hint="default"/>
          <w:spacing w:val="-1"/>
        </w:rPr>
        <w:t>71,613,016.31</w:t>
      </w:r>
      <w:r>
        <w:rPr>
          <w:spacing w:val="-1"/>
        </w:rPr>
        <w:t>元。公司年末资本公积金余额</w:t>
      </w:r>
    </w:p>
    <w:p>
      <w:pPr>
        <w:spacing w:after="0" w:line="336" w:lineRule="auto"/>
        <w:jc w:val="left"/>
        <w:sectPr>
          <w:footerReference w:type="default" r:id="rId19"/>
          <w:pgSz w:w="11910" w:h="16840"/>
          <w:pgMar w:footer="979" w:header="850" w:top="1380" w:bottom="1160" w:left="1580" w:right="1580"/>
          <w:pgNumType w:start="2"/>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ind w:right="130"/>
        <w:jc w:val="both"/>
      </w:pPr>
      <w:r>
        <w:rPr>
          <w:rFonts w:ascii="Times New Roman" w:hAnsi="Times New Roman" w:cs="Times New Roman" w:eastAsia="Times New Roman" w:hint="default"/>
        </w:rPr>
        <w:t>722,082,943.46</w:t>
      </w:r>
      <w:r>
        <w:rPr/>
        <w:t>元。公司</w:t>
      </w:r>
      <w:r>
        <w:rPr>
          <w:rFonts w:ascii="Times New Roman" w:hAnsi="Times New Roman" w:cs="Times New Roman" w:eastAsia="Times New Roman" w:hint="default"/>
        </w:rPr>
        <w:t>2010</w:t>
      </w:r>
      <w:r>
        <w:rPr/>
        <w:t>年度利润分配预案为：拟以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5,600</w:t>
      </w:r>
      <w:r>
        <w:rPr/>
        <w:t>万</w:t>
      </w:r>
      <w:r>
        <w:rPr>
          <w:spacing w:val="-92"/>
        </w:rPr>
        <w:t> </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2.00</w:t>
      </w:r>
      <w:r>
        <w:rPr>
          <w:spacing w:val="-1"/>
        </w:rPr>
        <w:t>元现金（含税）的股利分红，合</w:t>
      </w:r>
      <w:r>
        <w:rPr>
          <w:spacing w:val="-114"/>
        </w:rPr>
        <w:t> </w:t>
      </w:r>
      <w:r>
        <w:rPr>
          <w:spacing w:val="-114"/>
        </w:rPr>
      </w:r>
      <w:r>
        <w:rPr>
          <w:spacing w:val="-2"/>
        </w:rPr>
        <w:t>计派发现金红利人民币</w:t>
      </w:r>
      <w:r>
        <w:rPr>
          <w:rFonts w:ascii="Times New Roman" w:hAnsi="Times New Roman" w:cs="Times New Roman" w:eastAsia="Times New Roman" w:hint="default"/>
          <w:spacing w:val="-2"/>
        </w:rPr>
        <w:t>11,200,000.00</w:t>
      </w:r>
      <w:r>
        <w:rPr>
          <w:spacing w:val="-2"/>
        </w:rPr>
        <w:t>元。同时，拟以</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5,600</w:t>
      </w:r>
      <w:r>
        <w:rPr>
          <w:spacing w:val="-2"/>
        </w:rPr>
        <w:t>万股为</w:t>
      </w:r>
      <w:r>
        <w:rPr>
          <w:spacing w:val="-114"/>
        </w:rPr>
        <w:t> </w:t>
      </w:r>
      <w:r>
        <w:rPr>
          <w:spacing w:val="-3"/>
        </w:rPr>
        <w:t>基数，以资本公积金每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股，共计</w:t>
      </w:r>
      <w:r>
        <w:rPr>
          <w:rFonts w:ascii="Times New Roman" w:hAnsi="Times New Roman" w:cs="Times New Roman" w:eastAsia="Times New Roman" w:hint="default"/>
          <w:spacing w:val="-3"/>
        </w:rPr>
        <w:t>28,000,000</w:t>
      </w:r>
      <w:r>
        <w:rPr>
          <w:spacing w:val="-3"/>
        </w:rPr>
        <w:t>股。预案实施后，公司总股</w:t>
      </w:r>
      <w:r>
        <w:rPr>
          <w:spacing w:val="-82"/>
        </w:rPr>
        <w:t> </w:t>
      </w:r>
      <w:r>
        <w:rPr>
          <w:spacing w:val="-82"/>
        </w:rPr>
      </w:r>
      <w:r>
        <w:rPr/>
        <w:t>本由</w:t>
      </w:r>
      <w:r>
        <w:rPr>
          <w:rFonts w:ascii="Times New Roman" w:hAnsi="Times New Roman" w:cs="Times New Roman" w:eastAsia="Times New Roman" w:hint="default"/>
        </w:rPr>
        <w:t>5,600</w:t>
      </w:r>
      <w:r>
        <w:rPr/>
        <w:t>万股增至</w:t>
      </w:r>
      <w:r>
        <w:rPr>
          <w:rFonts w:ascii="Times New Roman" w:hAnsi="Times New Roman" w:cs="Times New Roman" w:eastAsia="Times New Roman" w:hint="default"/>
        </w:rPr>
        <w:t>8,400</w:t>
      </w:r>
      <w:r>
        <w:rPr/>
        <w:t>万股，剩余未分配利润</w:t>
      </w:r>
      <w:r>
        <w:rPr>
          <w:rFonts w:ascii="Times New Roman" w:hAnsi="Times New Roman" w:cs="Times New Roman" w:eastAsia="Times New Roman" w:hint="default"/>
        </w:rPr>
        <w:t>60,413,016.31</w:t>
      </w:r>
      <w:r>
        <w:rPr/>
        <w:t>元结转以后年度分</w:t>
      </w:r>
      <w:r>
        <w:rPr>
          <w:spacing w:val="-45"/>
        </w:rPr>
        <w:t> </w:t>
      </w:r>
      <w:r>
        <w:rPr>
          <w:spacing w:val="-45"/>
        </w:rPr>
      </w:r>
      <w:r>
        <w:rPr/>
        <w:t>配。</w:t>
      </w:r>
    </w:p>
    <w:p>
      <w:pPr>
        <w:pStyle w:val="BodyText"/>
        <w:spacing w:line="352" w:lineRule="auto" w:before="144"/>
        <w:ind w:right="269" w:firstLine="480"/>
        <w:jc w:val="left"/>
      </w:pPr>
      <w:r>
        <w:rPr/>
        <w:t>本次利润分配及资本公积金转增股本预案须经</w:t>
      </w:r>
      <w:r>
        <w:rPr>
          <w:rFonts w:ascii="Times New Roman" w:hAnsi="Times New Roman" w:cs="Times New Roman" w:eastAsia="Times New Roman" w:hint="default"/>
        </w:rPr>
        <w:t>2010</w:t>
      </w:r>
      <w:r>
        <w:rPr/>
        <w:t>年度股东大会审议批准 后实施。</w:t>
      </w:r>
    </w:p>
    <w:p>
      <w:pPr>
        <w:spacing w:after="0" w:line="352" w:lineRule="auto"/>
        <w:jc w:val="left"/>
        <w:sectPr>
          <w:pgSz w:w="11910" w:h="16840"/>
          <w:pgMar w:header="850" w:footer="979" w:top="1380" w:bottom="1160" w:left="1660" w:right="1660"/>
        </w:sect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p>
      <w:pPr>
        <w:pStyle w:val="Heading2"/>
        <w:spacing w:line="240" w:lineRule="auto"/>
        <w:ind w:left="3300" w:right="3300"/>
        <w:jc w:val="center"/>
        <w:rPr>
          <w:b w:val="0"/>
          <w:bCs w:val="0"/>
        </w:rPr>
      </w:pPr>
      <w:bookmarkStart w:name="第四节 重大事项" w:id="7"/>
      <w:bookmarkEnd w:id="7"/>
      <w:r>
        <w:rPr>
          <w:b w:val="0"/>
          <w:bCs w:val="0"/>
        </w:rPr>
      </w:r>
      <w:bookmarkStart w:name="_bookmark3" w:id="8"/>
      <w:bookmarkEnd w:id="8"/>
      <w:r>
        <w:rPr>
          <w:b w:val="0"/>
          <w:bCs w:val="0"/>
        </w:rPr>
      </w:r>
      <w:r>
        <w:rPr/>
        <w:t>第四节</w:t>
      </w:r>
      <w:r>
        <w:rPr>
          <w:spacing w:val="-3"/>
        </w:rPr>
        <w:t> </w:t>
      </w:r>
      <w:r>
        <w:rPr/>
        <w:t>重大事项</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217" w:right="208"/>
        <w:jc w:val="left"/>
        <w:rPr>
          <w:b w:val="0"/>
          <w:bCs w:val="0"/>
        </w:rPr>
      </w:pPr>
      <w:r>
        <w:rPr/>
        <w:t>一、重大诉讼、仲裁事项</w:t>
      </w:r>
      <w:r>
        <w:rPr>
          <w:b w:val="0"/>
          <w:bCs w:val="0"/>
        </w:rPr>
      </w:r>
    </w:p>
    <w:p>
      <w:pPr>
        <w:spacing w:line="240" w:lineRule="auto" w:before="3"/>
        <w:rPr>
          <w:rFonts w:ascii="宋体" w:hAnsi="宋体" w:cs="宋体" w:eastAsia="宋体" w:hint="default"/>
          <w:b/>
          <w:bCs/>
          <w:sz w:val="24"/>
          <w:szCs w:val="24"/>
        </w:rPr>
      </w:pPr>
    </w:p>
    <w:p>
      <w:pPr>
        <w:pStyle w:val="BodyText"/>
        <w:spacing w:line="355" w:lineRule="auto"/>
        <w:ind w:left="217" w:right="208" w:firstLine="480"/>
        <w:jc w:val="left"/>
      </w:pPr>
      <w:r>
        <w:rPr>
          <w:spacing w:val="-3"/>
        </w:rPr>
        <w:t>报告期内，公司无重大诉讼、仲裁事项，也无以前期间发生但持续到报告期</w:t>
      </w:r>
      <w:r>
        <w:rPr/>
        <w:t> 的重大诉讼、仲裁事项。</w:t>
      </w:r>
    </w:p>
    <w:p>
      <w:pPr>
        <w:spacing w:line="480" w:lineRule="auto" w:before="202"/>
        <w:ind w:left="697" w:right="3229" w:hanging="480"/>
        <w:jc w:val="left"/>
        <w:rPr>
          <w:rFonts w:ascii="宋体" w:hAnsi="宋体" w:cs="宋体" w:eastAsia="宋体" w:hint="default"/>
          <w:sz w:val="24"/>
          <w:szCs w:val="24"/>
        </w:rPr>
      </w:pPr>
      <w:r>
        <w:rPr>
          <w:rFonts w:ascii="宋体" w:hAnsi="宋体" w:cs="宋体" w:eastAsia="宋体" w:hint="default"/>
          <w:b/>
          <w:bCs/>
          <w:sz w:val="24"/>
          <w:szCs w:val="24"/>
        </w:rPr>
        <w:t>二、破产相关事项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w:t>
      </w:r>
    </w:p>
    <w:p>
      <w:pPr>
        <w:pStyle w:val="Heading3"/>
        <w:spacing w:line="240" w:lineRule="auto" w:before="77"/>
        <w:ind w:left="217" w:right="208"/>
        <w:jc w:val="left"/>
        <w:rPr>
          <w:b w:val="0"/>
          <w:bCs w:val="0"/>
        </w:rPr>
      </w:pPr>
      <w:r>
        <w:rPr/>
        <w:t>三、收购及出售资产、企业合并事项</w:t>
      </w:r>
      <w:r>
        <w:rPr>
          <w:b w:val="0"/>
          <w:bCs w:val="0"/>
        </w:rPr>
      </w:r>
    </w:p>
    <w:p>
      <w:pPr>
        <w:spacing w:line="650" w:lineRule="atLeast" w:before="70"/>
        <w:ind w:left="683" w:right="208" w:firstLine="0"/>
        <w:jc w:val="left"/>
        <w:rPr>
          <w:rFonts w:ascii="宋体" w:hAnsi="宋体" w:cs="宋体" w:eastAsia="宋体" w:hint="default"/>
          <w:sz w:val="24"/>
          <w:szCs w:val="24"/>
        </w:rPr>
      </w:pPr>
      <w:r>
        <w:rPr>
          <w:rFonts w:ascii="宋体" w:hAnsi="宋体" w:cs="宋体" w:eastAsia="宋体" w:hint="default"/>
          <w:b/>
          <w:bCs/>
          <w:sz w:val="24"/>
          <w:szCs w:val="24"/>
        </w:rPr>
        <w:t>（一）报告期内发生的重大资产收购事项</w:t>
      </w:r>
      <w:r>
        <w:rPr>
          <w:rFonts w:ascii="宋体" w:hAnsi="宋体" w:cs="宋体" w:eastAsia="宋体" w:hint="default"/>
          <w:b/>
          <w:bCs/>
          <w:w w:val="99"/>
          <w:sz w:val="24"/>
          <w:szCs w:val="24"/>
        </w:rPr>
        <w:t> </w:t>
      </w:r>
      <w:r>
        <w:rPr>
          <w:rFonts w:ascii="宋体" w:hAnsi="宋体" w:cs="宋体" w:eastAsia="宋体" w:hint="default"/>
          <w:spacing w:val="-3"/>
          <w:sz w:val="24"/>
          <w:szCs w:val="24"/>
        </w:rPr>
        <w:t>经公司第一届董事会第六次会议审议通过，公司决定购买北京银都房地产发</w:t>
      </w:r>
    </w:p>
    <w:p>
      <w:pPr>
        <w:pStyle w:val="BodyText"/>
        <w:spacing w:line="240" w:lineRule="auto" w:before="175"/>
        <w:ind w:left="217" w:right="208"/>
        <w:jc w:val="left"/>
      </w:pPr>
      <w:r>
        <w:rPr/>
        <w:t>展有限公司位于枫蓝国际中心</w:t>
      </w:r>
      <w:r>
        <w:rPr>
          <w:spacing w:val="-60"/>
        </w:rPr>
        <w:t> </w:t>
      </w:r>
      <w:r>
        <w:rPr>
          <w:rFonts w:ascii="宋体" w:hAnsi="宋体" w:cs="宋体" w:eastAsia="宋体" w:hint="default"/>
        </w:rPr>
        <w:t>1</w:t>
      </w:r>
      <w:r>
        <w:rPr>
          <w:rFonts w:ascii="宋体" w:hAnsi="宋体" w:cs="宋体" w:eastAsia="宋体" w:hint="default"/>
          <w:spacing w:val="-60"/>
        </w:rPr>
        <w:t> </w:t>
      </w:r>
      <w:r>
        <w:rPr/>
        <w:t>号楼</w:t>
      </w:r>
      <w:r>
        <w:rPr>
          <w:spacing w:val="-60"/>
        </w:rPr>
        <w:t> </w:t>
      </w:r>
      <w:r>
        <w:rPr>
          <w:rFonts w:ascii="宋体" w:hAnsi="宋体" w:cs="宋体" w:eastAsia="宋体" w:hint="default"/>
        </w:rPr>
        <w:t>18</w:t>
      </w:r>
      <w:r>
        <w:rPr>
          <w:rFonts w:ascii="宋体" w:hAnsi="宋体" w:cs="宋体" w:eastAsia="宋体" w:hint="default"/>
          <w:spacing w:val="-60"/>
        </w:rPr>
        <w:t> </w:t>
      </w:r>
      <w:r>
        <w:rPr/>
        <w:t>层的部分写字楼及位于枫蓝国际中心地</w:t>
      </w:r>
    </w:p>
    <w:p>
      <w:pPr>
        <w:pStyle w:val="BodyText"/>
        <w:spacing w:line="240" w:lineRule="auto" w:before="173"/>
        <w:ind w:left="217" w:right="208"/>
        <w:jc w:val="left"/>
      </w:pPr>
      <w:r>
        <w:rPr/>
        <w:t>下二层车位四个。上述写字楼的房号为</w:t>
      </w:r>
      <w:r>
        <w:rPr>
          <w:spacing w:val="-60"/>
        </w:rPr>
        <w:t> </w:t>
      </w:r>
      <w:r>
        <w:rPr>
          <w:rFonts w:ascii="宋体" w:hAnsi="宋体" w:cs="宋体" w:eastAsia="宋体" w:hint="default"/>
        </w:rPr>
        <w:t>1805</w:t>
      </w:r>
      <w:r>
        <w:rPr>
          <w:rFonts w:ascii="宋体" w:hAnsi="宋体" w:cs="宋体" w:eastAsia="宋体" w:hint="default"/>
          <w:spacing w:val="-60"/>
        </w:rPr>
        <w:t> </w:t>
      </w:r>
      <w:r>
        <w:rPr/>
        <w:t>和</w:t>
      </w:r>
      <w:r>
        <w:rPr>
          <w:spacing w:val="-60"/>
        </w:rPr>
        <w:t> </w:t>
      </w:r>
      <w:r>
        <w:rPr>
          <w:rFonts w:ascii="宋体" w:hAnsi="宋体" w:cs="宋体" w:eastAsia="宋体" w:hint="default"/>
        </w:rPr>
        <w:t>1811</w:t>
      </w:r>
      <w:r>
        <w:rPr/>
        <w:t>，面积为</w:t>
      </w:r>
      <w:r>
        <w:rPr>
          <w:spacing w:val="-60"/>
        </w:rPr>
        <w:t> </w:t>
      </w:r>
      <w:r>
        <w:rPr>
          <w:rFonts w:ascii="宋体" w:hAnsi="宋体" w:cs="宋体" w:eastAsia="宋体" w:hint="default"/>
        </w:rPr>
        <w:t>536.00</w:t>
      </w:r>
      <w:r>
        <w:rPr>
          <w:rFonts w:ascii="宋体" w:hAnsi="宋体" w:cs="宋体" w:eastAsia="宋体" w:hint="default"/>
          <w:spacing w:val="-60"/>
        </w:rPr>
        <w:t> </w:t>
      </w:r>
      <w:r>
        <w:rPr/>
        <w:t>平方米。</w:t>
      </w:r>
    </w:p>
    <w:p>
      <w:pPr>
        <w:pStyle w:val="BodyText"/>
        <w:spacing w:line="240" w:lineRule="auto" w:before="175"/>
        <w:ind w:left="217" w:right="109"/>
        <w:jc w:val="left"/>
      </w:pPr>
      <w:r>
        <w:rPr>
          <w:spacing w:val="-4"/>
        </w:rPr>
        <w:t>上述资产收购的总价款（含税）为</w:t>
      </w:r>
      <w:r>
        <w:rPr>
          <w:spacing w:val="-54"/>
        </w:rPr>
        <w:t> </w:t>
      </w:r>
      <w:r>
        <w:rPr>
          <w:rFonts w:ascii="宋体" w:hAnsi="宋体" w:cs="宋体" w:eastAsia="宋体" w:hint="default"/>
        </w:rPr>
        <w:t>10,048,060.00</w:t>
      </w:r>
      <w:r>
        <w:rPr>
          <w:rFonts w:ascii="宋体" w:hAnsi="宋体" w:cs="宋体" w:eastAsia="宋体" w:hint="default"/>
          <w:spacing w:val="-54"/>
        </w:rPr>
        <w:t> </w:t>
      </w:r>
      <w:r>
        <w:rPr>
          <w:spacing w:val="-3"/>
        </w:rPr>
        <w:t>元人民币，占最近一期经审计</w:t>
      </w:r>
    </w:p>
    <w:p>
      <w:pPr>
        <w:pStyle w:val="BodyText"/>
        <w:spacing w:line="240" w:lineRule="auto" w:before="175"/>
        <w:ind w:left="217" w:right="208"/>
        <w:jc w:val="left"/>
        <w:rPr>
          <w:rFonts w:ascii="宋体" w:hAnsi="宋体" w:cs="宋体" w:eastAsia="宋体" w:hint="default"/>
        </w:rPr>
      </w:pPr>
      <w:r>
        <w:rPr/>
        <w:t>资产总额的比例为</w:t>
      </w:r>
      <w:r>
        <w:rPr>
          <w:spacing w:val="-60"/>
        </w:rPr>
        <w:t> </w:t>
      </w:r>
      <w:r>
        <w:rPr>
          <w:rFonts w:ascii="宋体" w:hAnsi="宋体" w:cs="宋体" w:eastAsia="宋体" w:hint="default"/>
        </w:rPr>
        <w:t>1.15%</w:t>
      </w:r>
    </w:p>
    <w:p>
      <w:pPr>
        <w:pStyle w:val="BodyText"/>
        <w:spacing w:line="374" w:lineRule="auto" w:before="175"/>
        <w:ind w:left="217" w:right="109" w:firstLine="465"/>
        <w:jc w:val="left"/>
      </w:pPr>
      <w:r>
        <w:rPr>
          <w:spacing w:val="-3"/>
        </w:rPr>
        <w:t>以上资产收购为募集资金投资项目中的一部分。公司为了保障募集资金投资</w:t>
      </w:r>
      <w:r>
        <w:rPr/>
        <w:t> 项目的顺利进行，以自有资金预先投入募集资金投资项目。通过购买以上资产， 公司将原有办公面积扩大了</w:t>
      </w:r>
      <w:r>
        <w:rPr>
          <w:spacing w:val="-60"/>
        </w:rPr>
        <w:t> </w:t>
      </w:r>
      <w:r>
        <w:rPr>
          <w:rFonts w:ascii="宋体" w:hAnsi="宋体" w:cs="宋体" w:eastAsia="宋体" w:hint="default"/>
        </w:rPr>
        <w:t>44.15%</w:t>
      </w:r>
      <w:r>
        <w:rPr/>
        <w:t>，提高人均办公面积，改善员工办公环境。 </w:t>
      </w:r>
      <w:r>
        <w:rPr>
          <w:spacing w:val="-3"/>
        </w:rPr>
        <w:t>完成本次资产收购后，公司固定资产增加</w:t>
      </w:r>
      <w:r>
        <w:rPr>
          <w:spacing w:val="-52"/>
        </w:rPr>
        <w:t> </w:t>
      </w:r>
      <w:r>
        <w:rPr>
          <w:rFonts w:ascii="宋体" w:hAnsi="宋体" w:cs="宋体" w:eastAsia="宋体" w:hint="default"/>
        </w:rPr>
        <w:t>10,048,060.00</w:t>
      </w:r>
      <w:r>
        <w:rPr>
          <w:rFonts w:ascii="宋体" w:hAnsi="宋体" w:cs="宋体" w:eastAsia="宋体" w:hint="default"/>
          <w:spacing w:val="-52"/>
        </w:rPr>
        <w:t> </w:t>
      </w:r>
      <w:r>
        <w:rPr>
          <w:spacing w:val="-5"/>
        </w:rPr>
        <w:t>元人民币，且每月需计</w:t>
      </w:r>
    </w:p>
    <w:p>
      <w:pPr>
        <w:pStyle w:val="BodyText"/>
        <w:spacing w:line="240" w:lineRule="auto" w:before="41"/>
        <w:ind w:left="217" w:right="208"/>
        <w:jc w:val="left"/>
      </w:pPr>
      <w:r>
        <w:rPr/>
        <w:t>提折旧</w:t>
      </w:r>
      <w:r>
        <w:rPr>
          <w:spacing w:val="-60"/>
        </w:rPr>
        <w:t> </w:t>
      </w:r>
      <w:r>
        <w:rPr>
          <w:rFonts w:ascii="宋体" w:hAnsi="宋体" w:cs="宋体" w:eastAsia="宋体" w:hint="default"/>
        </w:rPr>
        <w:t>23,206.23</w:t>
      </w:r>
      <w:r>
        <w:rPr>
          <w:rFonts w:ascii="宋体" w:hAnsi="宋体" w:cs="宋体" w:eastAsia="宋体" w:hint="default"/>
          <w:spacing w:val="-60"/>
        </w:rPr>
        <w:t> </w:t>
      </w:r>
      <w:r>
        <w:rPr/>
        <w:t>元人民币。</w:t>
      </w:r>
    </w:p>
    <w:p>
      <w:pPr>
        <w:spacing w:line="652" w:lineRule="exact" w:before="95"/>
        <w:ind w:left="683" w:right="208" w:firstLine="0"/>
        <w:jc w:val="left"/>
        <w:rPr>
          <w:rFonts w:ascii="宋体" w:hAnsi="宋体" w:cs="宋体" w:eastAsia="宋体" w:hint="default"/>
          <w:sz w:val="24"/>
          <w:szCs w:val="24"/>
        </w:rPr>
      </w:pPr>
      <w:r>
        <w:rPr>
          <w:rFonts w:ascii="宋体" w:hAnsi="宋体" w:cs="宋体" w:eastAsia="宋体" w:hint="default"/>
          <w:b/>
          <w:bCs/>
          <w:sz w:val="24"/>
          <w:szCs w:val="24"/>
        </w:rPr>
        <w:t>（二）以前期间发生但持续到报告期的重大资产收购事项</w:t>
      </w:r>
      <w:r>
        <w:rPr>
          <w:rFonts w:ascii="宋体" w:hAnsi="宋体" w:cs="宋体" w:eastAsia="宋体" w:hint="default"/>
          <w:b/>
          <w:bCs/>
          <w:w w:val="99"/>
          <w:sz w:val="24"/>
          <w:szCs w:val="24"/>
        </w:rPr>
        <w:t> </w:t>
      </w:r>
      <w:r>
        <w:rPr>
          <w:rFonts w:ascii="宋体" w:hAnsi="宋体" w:cs="宋体" w:eastAsia="宋体" w:hint="default"/>
          <w:spacing w:val="-3"/>
          <w:sz w:val="24"/>
          <w:szCs w:val="24"/>
        </w:rPr>
        <w:t>经公司第一届董事会第五次会议审议通过，公司决定购买北京银都房地产发</w:t>
      </w:r>
    </w:p>
    <w:p>
      <w:pPr>
        <w:pStyle w:val="BodyText"/>
        <w:spacing w:line="372" w:lineRule="auto" w:before="79"/>
        <w:ind w:left="217" w:right="229"/>
        <w:jc w:val="left"/>
      </w:pPr>
      <w:r>
        <w:rPr/>
        <w:t>展有限公司位于枫蓝国际中心</w:t>
      </w:r>
      <w:r>
        <w:rPr>
          <w:spacing w:val="-60"/>
        </w:rPr>
        <w:t> </w:t>
      </w:r>
      <w:r>
        <w:rPr>
          <w:rFonts w:ascii="宋体" w:hAnsi="宋体" w:cs="宋体" w:eastAsia="宋体" w:hint="default"/>
        </w:rPr>
        <w:t>1</w:t>
      </w:r>
      <w:r>
        <w:rPr>
          <w:rFonts w:ascii="宋体" w:hAnsi="宋体" w:cs="宋体" w:eastAsia="宋体" w:hint="default"/>
          <w:spacing w:val="-60"/>
        </w:rPr>
        <w:t> </w:t>
      </w:r>
      <w:r>
        <w:rPr/>
        <w:t>号楼</w:t>
      </w:r>
      <w:r>
        <w:rPr>
          <w:spacing w:val="-60"/>
        </w:rPr>
        <w:t> </w:t>
      </w:r>
      <w:r>
        <w:rPr>
          <w:rFonts w:ascii="宋体" w:hAnsi="宋体" w:cs="宋体" w:eastAsia="宋体" w:hint="default"/>
        </w:rPr>
        <w:t>18</w:t>
      </w:r>
      <w:r>
        <w:rPr>
          <w:rFonts w:ascii="宋体" w:hAnsi="宋体" w:cs="宋体" w:eastAsia="宋体" w:hint="default"/>
          <w:spacing w:val="-60"/>
        </w:rPr>
        <w:t> </w:t>
      </w:r>
      <w:r>
        <w:rPr/>
        <w:t>层的部分写字楼作为公司的办公场所。 具体情况如下：</w:t>
      </w:r>
    </w:p>
    <w:p>
      <w:pPr>
        <w:pStyle w:val="BodyText"/>
        <w:spacing w:line="240" w:lineRule="auto" w:before="43"/>
        <w:ind w:left="0" w:right="215"/>
        <w:jc w:val="right"/>
      </w:pPr>
      <w:r>
        <w:rPr/>
        <w:t>单位：元</w:t>
      </w:r>
    </w:p>
    <w:p>
      <w:pPr>
        <w:spacing w:line="240" w:lineRule="auto" w:before="7"/>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960"/>
        <w:gridCol w:w="2693"/>
        <w:gridCol w:w="1985"/>
        <w:gridCol w:w="2885"/>
      </w:tblGrid>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房号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
              <w:jc w:val="right"/>
              <w:rPr>
                <w:rFonts w:ascii="宋体" w:hAnsi="宋体" w:cs="宋体" w:eastAsia="宋体" w:hint="default"/>
                <w:sz w:val="24"/>
                <w:szCs w:val="24"/>
              </w:rPr>
            </w:pPr>
            <w:r>
              <w:rPr>
                <w:rFonts w:ascii="宋体" w:hAnsi="宋体" w:cs="宋体" w:eastAsia="宋体" w:hint="default"/>
                <w:sz w:val="24"/>
                <w:szCs w:val="24"/>
              </w:rPr>
              <w:t>面积（单位：平方米）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24"/>
                <w:szCs w:val="24"/>
              </w:rPr>
            </w:pPr>
            <w:r>
              <w:rPr>
                <w:rFonts w:ascii="宋体" w:hAnsi="宋体" w:cs="宋体" w:eastAsia="宋体" w:hint="default"/>
                <w:sz w:val="24"/>
                <w:szCs w:val="24"/>
              </w:rPr>
              <w:t>单价</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5" w:right="0"/>
              <w:jc w:val="left"/>
              <w:rPr>
                <w:rFonts w:ascii="宋体" w:hAnsi="宋体" w:cs="宋体" w:eastAsia="宋体" w:hint="default"/>
                <w:sz w:val="24"/>
                <w:szCs w:val="24"/>
              </w:rPr>
            </w:pPr>
            <w:r>
              <w:rPr>
                <w:rFonts w:ascii="宋体" w:hAnsi="宋体" w:cs="宋体" w:eastAsia="宋体" w:hint="default"/>
                <w:sz w:val="24"/>
                <w:szCs w:val="24"/>
              </w:rPr>
              <w:t>总价款（含税）</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236.51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9" w:right="0"/>
              <w:jc w:val="lef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9" w:right="0"/>
              <w:jc w:val="left"/>
              <w:rPr>
                <w:rFonts w:ascii="宋体" w:hAnsi="宋体" w:cs="宋体" w:eastAsia="宋体" w:hint="default"/>
                <w:sz w:val="24"/>
                <w:szCs w:val="24"/>
              </w:rPr>
            </w:pPr>
            <w:r>
              <w:rPr>
                <w:rFonts w:ascii="宋体"/>
                <w:sz w:val="24"/>
              </w:rPr>
              <w:t>3,897,684.80</w:t>
            </w:r>
          </w:p>
        </w:tc>
      </w:tr>
    </w:tbl>
    <w:p>
      <w:pPr>
        <w:spacing w:after="0" w:line="240" w:lineRule="auto"/>
        <w:jc w:val="left"/>
        <w:rPr>
          <w:rFonts w:ascii="宋体" w:hAnsi="宋体" w:cs="宋体" w:eastAsia="宋体" w:hint="default"/>
          <w:sz w:val="24"/>
          <w:szCs w:val="24"/>
        </w:rPr>
        <w:sectPr>
          <w:footerReference w:type="default" r:id="rId20"/>
          <w:pgSz w:w="11910" w:h="16840"/>
          <w:pgMar w:footer="979" w:header="850" w:top="1380" w:bottom="1160" w:left="1580" w:right="1580"/>
          <w:pgNumType w:start="31"/>
        </w:sectPr>
      </w:pP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960"/>
        <w:gridCol w:w="2693"/>
        <w:gridCol w:w="1985"/>
        <w:gridCol w:w="2885"/>
      </w:tblGrid>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1807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259.23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4,272,110.40</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1808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102.23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1,684,750.40</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1809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308.28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5,080,454.40</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38.09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913,486.40</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sz w:val="24"/>
              </w:rPr>
              <w:t>1812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480.04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16,000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7,911,059.20</w:t>
            </w:r>
          </w:p>
        </w:tc>
      </w:tr>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1,424.38</w:t>
            </w:r>
          </w:p>
        </w:tc>
        <w:tc>
          <w:tcPr>
            <w:tcW w:w="1985" w:type="dxa"/>
            <w:tcBorders>
              <w:top w:val="single" w:sz="4" w:space="0" w:color="000000"/>
              <w:left w:val="single" w:sz="4" w:space="0" w:color="000000"/>
              <w:bottom w:val="single" w:sz="4" w:space="0" w:color="000000"/>
              <w:right w:val="single" w:sz="4" w:space="0" w:color="000000"/>
            </w:tcBorders>
          </w:tcPr>
          <w:p>
            <w:pP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4"/>
                <w:szCs w:val="24"/>
              </w:rPr>
            </w:pPr>
            <w:r>
              <w:rPr>
                <w:rFonts w:ascii="宋体"/>
                <w:sz w:val="24"/>
              </w:rPr>
              <w:t>23,759,545.60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26"/>
        <w:ind w:left="683" w:right="105"/>
        <w:jc w:val="left"/>
      </w:pPr>
      <w:r>
        <w:rPr/>
        <w:t>公司于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日与北京银都房地产发展有限公司签订购房意向书，</w:t>
      </w:r>
    </w:p>
    <w:p>
      <w:pPr>
        <w:pStyle w:val="BodyText"/>
        <w:spacing w:line="240" w:lineRule="auto" w:before="175"/>
        <w:ind w:left="217" w:right="105"/>
        <w:jc w:val="left"/>
      </w:pPr>
      <w:r>
        <w:rPr/>
        <w:t>并支付定金</w:t>
      </w:r>
      <w:r>
        <w:rPr>
          <w:spacing w:val="-65"/>
        </w:rPr>
        <w:t> </w:t>
      </w:r>
      <w:r>
        <w:rPr>
          <w:rFonts w:ascii="宋体" w:hAnsi="宋体" w:cs="宋体" w:eastAsia="宋体" w:hint="default"/>
        </w:rPr>
        <w:t>100,000.00</w:t>
      </w:r>
      <w:r>
        <w:rPr>
          <w:rFonts w:ascii="宋体" w:hAnsi="宋体" w:cs="宋体" w:eastAsia="宋体" w:hint="default"/>
          <w:spacing w:val="-65"/>
        </w:rPr>
        <w:t> </w:t>
      </w:r>
      <w:r>
        <w:rPr/>
        <w:t>元人民币。</w:t>
      </w: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22</w:t>
      </w:r>
      <w:r>
        <w:rPr>
          <w:rFonts w:ascii="宋体" w:hAnsi="宋体" w:cs="宋体" w:eastAsia="宋体" w:hint="default"/>
          <w:spacing w:val="-65"/>
        </w:rPr>
        <w:t> </w:t>
      </w:r>
      <w:r>
        <w:rPr/>
        <w:t>日，公司与北京银都房地产</w:t>
      </w:r>
    </w:p>
    <w:p>
      <w:pPr>
        <w:pStyle w:val="BodyText"/>
        <w:spacing w:line="240" w:lineRule="auto" w:before="175"/>
        <w:ind w:left="217" w:right="105"/>
        <w:jc w:val="left"/>
      </w:pPr>
      <w:r>
        <w:rPr/>
        <w:t>发展有限公司签订商品房现房买卖合同，购房款分期支付。</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p>
    <w:p>
      <w:pPr>
        <w:pStyle w:val="BodyText"/>
        <w:spacing w:line="240" w:lineRule="auto" w:before="175"/>
        <w:ind w:left="217" w:right="105"/>
        <w:jc w:val="left"/>
        <w:rPr>
          <w:rFonts w:ascii="宋体" w:hAnsi="宋体" w:cs="宋体" w:eastAsia="宋体" w:hint="default"/>
        </w:rPr>
      </w:pPr>
      <w:r>
        <w:rPr/>
        <w:t>公司根据</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月签署的购房意向书支付定金</w:t>
      </w:r>
      <w:r>
        <w:rPr>
          <w:spacing w:val="-60"/>
        </w:rPr>
        <w:t> </w:t>
      </w:r>
      <w:r>
        <w:rPr>
          <w:rFonts w:ascii="宋体" w:hAnsi="宋体" w:cs="宋体" w:eastAsia="宋体" w:hint="default"/>
        </w:rPr>
        <w:t>2,600,000.00</w:t>
      </w:r>
      <w:r>
        <w:rPr>
          <w:rFonts w:ascii="宋体" w:hAnsi="宋体" w:cs="宋体" w:eastAsia="宋体" w:hint="default"/>
          <w:spacing w:val="-60"/>
        </w:rPr>
        <w:t> </w:t>
      </w:r>
      <w:r>
        <w:rPr>
          <w:spacing w:val="-10"/>
        </w:rPr>
        <w:t>元人民币；</w:t>
      </w:r>
      <w:r>
        <w:rPr>
          <w:rFonts w:ascii="宋体" w:hAnsi="宋体" w:cs="宋体" w:eastAsia="宋体" w:hint="default"/>
          <w:spacing w:val="-10"/>
        </w:rPr>
        <w:t>2009</w:t>
      </w:r>
    </w:p>
    <w:p>
      <w:pPr>
        <w:pStyle w:val="BodyText"/>
        <w:spacing w:line="240" w:lineRule="auto" w:before="173"/>
        <w:ind w:left="217" w:right="105"/>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日，公司支付购房款</w:t>
      </w:r>
      <w:r>
        <w:rPr>
          <w:spacing w:val="-60"/>
        </w:rPr>
        <w:t> </w:t>
      </w:r>
      <w:r>
        <w:rPr>
          <w:rFonts w:ascii="宋体" w:hAnsi="宋体" w:cs="宋体" w:eastAsia="宋体" w:hint="default"/>
        </w:rPr>
        <w:t>11,369,040.00</w:t>
      </w:r>
      <w:r>
        <w:rPr>
          <w:rFonts w:ascii="宋体" w:hAnsi="宋体" w:cs="宋体" w:eastAsia="宋体" w:hint="default"/>
          <w:spacing w:val="-60"/>
        </w:rPr>
        <w:t> </w:t>
      </w:r>
      <w:r>
        <w:rPr/>
        <w:t>元人民币；</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p>
      <w:pPr>
        <w:pStyle w:val="BodyText"/>
        <w:spacing w:line="374" w:lineRule="auto" w:before="175"/>
        <w:ind w:left="217" w:right="249"/>
        <w:jc w:val="left"/>
      </w:pPr>
      <w:r>
        <w:rPr/>
        <w:t>公司将余款</w:t>
      </w:r>
      <w:r>
        <w:rPr>
          <w:spacing w:val="-60"/>
        </w:rPr>
        <w:t> </w:t>
      </w:r>
      <w:r>
        <w:rPr>
          <w:rFonts w:ascii="宋体" w:hAnsi="宋体" w:cs="宋体" w:eastAsia="宋体" w:hint="default"/>
        </w:rPr>
        <w:t>9,790,505.60</w:t>
      </w:r>
      <w:r>
        <w:rPr>
          <w:rFonts w:ascii="宋体" w:hAnsi="宋体" w:cs="宋体" w:eastAsia="宋体" w:hint="default"/>
          <w:spacing w:val="-60"/>
        </w:rPr>
        <w:t> </w:t>
      </w:r>
      <w:r>
        <w:rPr/>
        <w:t>支付给北京银都房地产发展有限公司。目前，公司已 获得上述房产的相关产权证明。</w:t>
      </w:r>
    </w:p>
    <w:p>
      <w:pPr>
        <w:pStyle w:val="BodyText"/>
        <w:spacing w:line="372" w:lineRule="auto" w:before="41"/>
        <w:ind w:left="217" w:right="217" w:firstLine="465"/>
        <w:jc w:val="left"/>
      </w:pPr>
      <w:r>
        <w:rPr/>
        <w:t>上述固定资产总价为</w:t>
      </w:r>
      <w:r>
        <w:rPr>
          <w:spacing w:val="-54"/>
        </w:rPr>
        <w:t> </w:t>
      </w:r>
      <w:r>
        <w:rPr>
          <w:rFonts w:ascii="宋体" w:hAnsi="宋体" w:cs="宋体" w:eastAsia="宋体" w:hint="default"/>
        </w:rPr>
        <w:t>23,759,545.60</w:t>
      </w:r>
      <w:r>
        <w:rPr>
          <w:rFonts w:ascii="宋体" w:hAnsi="宋体" w:cs="宋体" w:eastAsia="宋体" w:hint="default"/>
          <w:spacing w:val="-54"/>
        </w:rPr>
        <w:t> </w:t>
      </w:r>
      <w:r>
        <w:rPr>
          <w:spacing w:val="-5"/>
        </w:rPr>
        <w:t>元人民币，占最近一期经审计公司资产</w:t>
      </w:r>
      <w:r>
        <w:rPr/>
        <w:t> 总额的比例为</w:t>
      </w:r>
      <w:r>
        <w:rPr>
          <w:spacing w:val="-60"/>
        </w:rPr>
        <w:t> </w:t>
      </w:r>
      <w:r>
        <w:rPr>
          <w:rFonts w:ascii="宋体" w:hAnsi="宋体" w:cs="宋体" w:eastAsia="宋体" w:hint="default"/>
        </w:rPr>
        <w:t>2.71%</w:t>
      </w:r>
      <w:r>
        <w:rPr/>
        <w:t>。</w:t>
      </w:r>
    </w:p>
    <w:p>
      <w:pPr>
        <w:pStyle w:val="BodyText"/>
        <w:spacing w:line="374" w:lineRule="auto" w:before="43"/>
        <w:ind w:left="217" w:right="105" w:firstLine="465"/>
        <w:jc w:val="left"/>
      </w:pPr>
      <w:r>
        <w:rPr>
          <w:spacing w:val="-3"/>
        </w:rPr>
        <w:t>本次资产收购为募集资金投资项目中的一部分。公司为了保障募集资金投资</w:t>
      </w:r>
      <w:r>
        <w:rPr/>
        <w:t> </w:t>
      </w:r>
      <w:r>
        <w:rPr>
          <w:spacing w:val="-6"/>
        </w:rPr>
        <w:t>项目的顺利进行，以自有资金预先投入募集资金投资项目。完成本次资产收购后，</w:t>
      </w:r>
      <w:r>
        <w:rPr>
          <w:spacing w:val="-112"/>
        </w:rPr>
        <w:t> </w:t>
      </w:r>
      <w:r>
        <w:rPr>
          <w:spacing w:val="-112"/>
        </w:rPr>
      </w:r>
      <w:r>
        <w:rPr>
          <w:spacing w:val="-3"/>
        </w:rPr>
        <w:t>公司拥有自有办公场所，一方面保证公司运营的稳定，另一方面提高人均办公面</w:t>
      </w:r>
      <w:r>
        <w:rPr>
          <w:spacing w:val="-103"/>
        </w:rPr>
        <w:t> </w:t>
      </w:r>
      <w:r>
        <w:rPr>
          <w:spacing w:val="-103"/>
        </w:rPr>
      </w:r>
      <w:r>
        <w:rPr/>
        <w:t>积，改善员工办公环境，并可按募集资金投资项目要求建立系统研发测试环境。 </w:t>
      </w:r>
      <w:r>
        <w:rPr>
          <w:spacing w:val="-3"/>
        </w:rPr>
        <w:t>经测算，购买自有房产后，公司每个月计提折旧</w:t>
      </w:r>
      <w:r>
        <w:rPr>
          <w:spacing w:val="-58"/>
        </w:rPr>
        <w:t> </w:t>
      </w:r>
      <w:r>
        <w:rPr>
          <w:rFonts w:ascii="宋体" w:hAnsi="宋体" w:cs="宋体" w:eastAsia="宋体" w:hint="default"/>
        </w:rPr>
        <w:t>54,873.03</w:t>
      </w:r>
      <w:r>
        <w:rPr>
          <w:rFonts w:ascii="宋体" w:hAnsi="宋体" w:cs="宋体" w:eastAsia="宋体" w:hint="default"/>
          <w:spacing w:val="-58"/>
        </w:rPr>
        <w:t> </w:t>
      </w:r>
      <w:r>
        <w:rPr>
          <w:spacing w:val="-4"/>
        </w:rPr>
        <w:t>元人民币，该折旧费</w:t>
      </w:r>
      <w:r>
        <w:rPr>
          <w:spacing w:val="-114"/>
        </w:rPr>
        <w:t> </w:t>
      </w:r>
      <w:r>
        <w:rPr>
          <w:spacing w:val="-114"/>
        </w:rPr>
      </w:r>
      <w:r>
        <w:rPr/>
        <w:t>远低于公司之前的房屋租赁费。</w:t>
      </w:r>
    </w:p>
    <w:p>
      <w:pPr>
        <w:spacing w:line="496" w:lineRule="auto" w:before="204"/>
        <w:ind w:left="697" w:right="3969" w:hanging="480"/>
        <w:jc w:val="left"/>
        <w:rPr>
          <w:rFonts w:ascii="宋体" w:hAnsi="宋体" w:cs="宋体" w:eastAsia="宋体" w:hint="default"/>
          <w:sz w:val="24"/>
          <w:szCs w:val="24"/>
        </w:rPr>
      </w:pPr>
      <w:r>
        <w:rPr>
          <w:rFonts w:ascii="宋体" w:hAnsi="宋体" w:cs="宋体" w:eastAsia="宋体" w:hint="default"/>
          <w:b/>
          <w:bCs/>
          <w:sz w:val="24"/>
          <w:szCs w:val="24"/>
        </w:rPr>
        <w:t>四、股权激励计划</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报告期内，公司未发生股权激励事项。</w:t>
      </w:r>
    </w:p>
    <w:p>
      <w:pPr>
        <w:spacing w:line="499" w:lineRule="auto" w:before="82"/>
        <w:ind w:left="697" w:right="3969" w:hanging="480"/>
        <w:jc w:val="left"/>
        <w:rPr>
          <w:rFonts w:ascii="宋体" w:hAnsi="宋体" w:cs="宋体" w:eastAsia="宋体" w:hint="default"/>
          <w:sz w:val="24"/>
          <w:szCs w:val="24"/>
        </w:rPr>
      </w:pPr>
      <w:r>
        <w:rPr>
          <w:rFonts w:ascii="宋体" w:hAnsi="宋体" w:cs="宋体" w:eastAsia="宋体" w:hint="default"/>
          <w:b/>
          <w:bCs/>
          <w:sz w:val="24"/>
          <w:szCs w:val="24"/>
        </w:rPr>
        <w:t>五、关联交易事项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报告期内，公司无重大关联交易事项。</w:t>
      </w:r>
    </w:p>
    <w:p>
      <w:pPr>
        <w:spacing w:after="0" w:line="499" w:lineRule="auto"/>
        <w:jc w:val="left"/>
        <w:rPr>
          <w:rFonts w:ascii="宋体" w:hAnsi="宋体" w:cs="宋体" w:eastAsia="宋体" w:hint="default"/>
          <w:sz w:val="24"/>
          <w:szCs w:val="24"/>
        </w:rPr>
        <w:sectPr>
          <w:pgSz w:w="11910" w:h="16840"/>
          <w:pgMar w:header="850" w:footer="979" w:top="1380" w:bottom="1160" w:left="1580" w:right="1560"/>
        </w:sectPr>
      </w:pPr>
    </w:p>
    <w:p>
      <w:pPr>
        <w:pStyle w:val="Heading3"/>
        <w:spacing w:line="240" w:lineRule="auto" w:before="105"/>
        <w:ind w:left="217" w:right="105"/>
        <w:jc w:val="left"/>
        <w:rPr>
          <w:b w:val="0"/>
          <w:bCs w:val="0"/>
        </w:rPr>
      </w:pPr>
      <w:r>
        <w:rPr/>
        <w:t>六、重大合同及其履行情况</w:t>
      </w:r>
      <w:r>
        <w:rPr>
          <w:b w:val="0"/>
          <w:bCs w:val="0"/>
        </w:rPr>
      </w:r>
    </w:p>
    <w:p>
      <w:pPr>
        <w:spacing w:line="240" w:lineRule="auto" w:before="12"/>
        <w:rPr>
          <w:rFonts w:ascii="宋体" w:hAnsi="宋体" w:cs="宋体" w:eastAsia="宋体" w:hint="default"/>
          <w:b/>
          <w:bCs/>
          <w:sz w:val="25"/>
          <w:szCs w:val="25"/>
        </w:rPr>
      </w:pPr>
    </w:p>
    <w:p>
      <w:pPr>
        <w:spacing w:line="372" w:lineRule="auto" w:before="0"/>
        <w:ind w:left="217" w:right="96" w:firstLine="482"/>
        <w:jc w:val="left"/>
        <w:rPr>
          <w:rFonts w:ascii="宋体" w:hAnsi="宋体" w:cs="宋体" w:eastAsia="宋体" w:hint="default"/>
          <w:sz w:val="24"/>
          <w:szCs w:val="24"/>
        </w:rPr>
      </w:pPr>
      <w:r>
        <w:rPr>
          <w:rFonts w:ascii="宋体" w:hAnsi="宋体" w:cs="宋体" w:eastAsia="宋体" w:hint="default"/>
          <w:b/>
          <w:bCs/>
          <w:sz w:val="24"/>
          <w:szCs w:val="24"/>
        </w:rPr>
        <w:t>（一）报告期内，公司发生或以前期间发生但延续到报告期的托管、承包、</w:t>
      </w:r>
      <w:r>
        <w:rPr>
          <w:rFonts w:ascii="宋体" w:hAnsi="宋体" w:cs="宋体" w:eastAsia="宋体" w:hint="default"/>
          <w:b/>
          <w:bCs/>
          <w:w w:val="99"/>
          <w:sz w:val="24"/>
          <w:szCs w:val="24"/>
        </w:rPr>
        <w:t> </w:t>
      </w:r>
      <w:r>
        <w:rPr>
          <w:rFonts w:ascii="宋体" w:hAnsi="宋体" w:cs="宋体" w:eastAsia="宋体" w:hint="default"/>
          <w:b/>
          <w:bCs/>
          <w:sz w:val="24"/>
          <w:szCs w:val="24"/>
        </w:rPr>
        <w:t>租赁其他公司资产或其他公司托管、承包、租赁公司资产的重大事项。</w:t>
      </w:r>
      <w:r>
        <w:rPr>
          <w:rFonts w:ascii="宋体" w:hAnsi="宋体" w:cs="宋体" w:eastAsia="宋体" w:hint="default"/>
          <w:sz w:val="24"/>
          <w:szCs w:val="24"/>
        </w:rPr>
      </w:r>
    </w:p>
    <w:p>
      <w:pPr>
        <w:pStyle w:val="BodyText"/>
        <w:spacing w:line="374" w:lineRule="auto" w:before="206"/>
        <w:ind w:left="217" w:right="219" w:firstLine="465"/>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月，公司与中国节能投资公司签订《节能大厦租赁合同》，公 司从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日租赁节能大厦</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spacing w:val="-10"/>
        </w:rPr>
        <w:t>701-705</w:t>
      </w:r>
      <w:r>
        <w:rPr>
          <w:spacing w:val="-10"/>
        </w:rPr>
        <w:t>、</w:t>
      </w:r>
      <w:r>
        <w:rPr>
          <w:rFonts w:ascii="宋体" w:hAnsi="宋体" w:cs="宋体" w:eastAsia="宋体" w:hint="default"/>
          <w:spacing w:val="-10"/>
        </w:rPr>
        <w:t>707</w:t>
      </w:r>
      <w:r>
        <w:rPr>
          <w:spacing w:val="-10"/>
        </w:rPr>
        <w:t>、</w:t>
      </w:r>
      <w:r>
        <w:rPr>
          <w:rFonts w:ascii="宋体" w:hAnsi="宋体" w:cs="宋体" w:eastAsia="宋体" w:hint="default"/>
          <w:spacing w:val="-10"/>
        </w:rPr>
        <w:t>711</w:t>
      </w:r>
    </w:p>
    <w:p>
      <w:pPr>
        <w:pStyle w:val="BodyText"/>
        <w:spacing w:line="240" w:lineRule="auto" w:before="41"/>
        <w:ind w:left="217" w:right="105"/>
        <w:jc w:val="left"/>
      </w:pPr>
      <w:r>
        <w:rPr/>
        <w:t>房间，建筑面积为</w:t>
      </w:r>
      <w:r>
        <w:rPr>
          <w:spacing w:val="-60"/>
        </w:rPr>
        <w:t> </w:t>
      </w:r>
      <w:r>
        <w:rPr>
          <w:rFonts w:ascii="宋体" w:hAnsi="宋体" w:cs="宋体" w:eastAsia="宋体" w:hint="default"/>
        </w:rPr>
        <w:t>728.49</w:t>
      </w:r>
      <w:r>
        <w:rPr>
          <w:rFonts w:ascii="宋体" w:hAnsi="宋体" w:cs="宋体" w:eastAsia="宋体" w:hint="default"/>
          <w:spacing w:val="-60"/>
        </w:rPr>
        <w:t> </w:t>
      </w:r>
      <w:r>
        <w:rPr/>
        <w:t>平方米，租金为</w:t>
      </w:r>
      <w:r>
        <w:rPr>
          <w:spacing w:val="-60"/>
        </w:rPr>
        <w:t> </w:t>
      </w:r>
      <w:r>
        <w:rPr>
          <w:rFonts w:ascii="宋体" w:hAnsi="宋体" w:cs="宋体" w:eastAsia="宋体" w:hint="default"/>
        </w:rPr>
        <w:t>3.80</w:t>
      </w:r>
      <w:r>
        <w:rPr>
          <w:rFonts w:ascii="宋体" w:hAnsi="宋体" w:cs="宋体" w:eastAsia="宋体" w:hint="default"/>
          <w:spacing w:val="-60"/>
        </w:rPr>
        <w:t> </w:t>
      </w:r>
      <w:r>
        <w:rPr/>
        <w:t>元</w:t>
      </w:r>
      <w:r>
        <w:rPr>
          <w:rFonts w:ascii="宋体" w:hAnsi="宋体" w:cs="宋体" w:eastAsia="宋体" w:hint="default"/>
        </w:rPr>
        <w:t>/</w:t>
      </w:r>
      <w:r>
        <w:rPr/>
        <w:t>天</w:t>
      </w:r>
      <w:r>
        <w:rPr>
          <w:rFonts w:ascii="宋体" w:hAnsi="宋体" w:cs="宋体" w:eastAsia="宋体" w:hint="default"/>
        </w:rPr>
        <w:t>/</w:t>
      </w:r>
      <w:r>
        <w:rPr/>
        <w:t>平方米；公司从</w:t>
      </w:r>
      <w:r>
        <w:rPr>
          <w:spacing w:val="-60"/>
        </w:rPr>
        <w:t> </w:t>
      </w:r>
      <w:r>
        <w:rPr>
          <w:rFonts w:ascii="宋体" w:hAnsi="宋体" w:cs="宋体" w:eastAsia="宋体" w:hint="default"/>
        </w:rPr>
        <w:t>2008</w:t>
      </w:r>
      <w:r>
        <w:rPr>
          <w:rFonts w:ascii="宋体" w:hAnsi="宋体" w:cs="宋体" w:eastAsia="宋体" w:hint="default"/>
          <w:spacing w:val="-60"/>
        </w:rPr>
        <w:t> </w:t>
      </w:r>
      <w:r>
        <w:rPr/>
        <w:t>年</w:t>
      </w:r>
    </w:p>
    <w:p>
      <w:pPr>
        <w:pStyle w:val="BodyText"/>
        <w:spacing w:line="240" w:lineRule="auto" w:before="173"/>
        <w:ind w:left="217" w:right="105"/>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68"/>
        </w:rPr>
        <w:t> </w:t>
      </w:r>
      <w:r>
        <w:rPr/>
        <w:t>月</w:t>
      </w:r>
      <w:r>
        <w:rPr>
          <w:spacing w:val="-68"/>
        </w:rPr>
        <w:t> </w:t>
      </w:r>
      <w:r>
        <w:rPr>
          <w:rFonts w:ascii="宋体" w:hAnsi="宋体" w:cs="宋体" w:eastAsia="宋体" w:hint="default"/>
        </w:rPr>
        <w:t>9</w:t>
      </w:r>
      <w:r>
        <w:rPr>
          <w:rFonts w:ascii="宋体" w:hAnsi="宋体" w:cs="宋体" w:eastAsia="宋体" w:hint="default"/>
          <w:spacing w:val="-68"/>
        </w:rPr>
        <w:t> </w:t>
      </w:r>
      <w:r>
        <w:rPr>
          <w:spacing w:val="2"/>
        </w:rPr>
        <w:t>日</w:t>
      </w:r>
      <w:r>
        <w:rPr/>
        <w:t>至</w:t>
      </w:r>
      <w:r>
        <w:rPr>
          <w:spacing w:val="-68"/>
        </w:rPr>
        <w:t> </w:t>
      </w:r>
      <w:r>
        <w:rPr>
          <w:rFonts w:ascii="宋体" w:hAnsi="宋体" w:cs="宋体" w:eastAsia="宋体" w:hint="default"/>
        </w:rPr>
        <w:t>2011</w:t>
      </w:r>
      <w:r>
        <w:rPr>
          <w:rFonts w:ascii="宋体" w:hAnsi="宋体" w:cs="宋体" w:eastAsia="宋体" w:hint="default"/>
          <w:spacing w:val="-68"/>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8"/>
        </w:rPr>
        <w:t> </w:t>
      </w:r>
      <w:r>
        <w:rPr>
          <w:rFonts w:ascii="宋体" w:hAnsi="宋体" w:cs="宋体" w:eastAsia="宋体" w:hint="default"/>
        </w:rPr>
        <w:t>8</w:t>
      </w:r>
      <w:r>
        <w:rPr>
          <w:rFonts w:ascii="宋体" w:hAnsi="宋体" w:cs="宋体" w:eastAsia="宋体" w:hint="default"/>
          <w:spacing w:val="-68"/>
        </w:rPr>
        <w:t> </w:t>
      </w:r>
      <w:r>
        <w:rPr/>
        <w:t>日租赁节能大厦</w:t>
      </w:r>
      <w:r>
        <w:rPr>
          <w:spacing w:val="-65"/>
        </w:rPr>
        <w:t> </w:t>
      </w:r>
      <w:r>
        <w:rPr>
          <w:rFonts w:ascii="宋体" w:hAnsi="宋体" w:cs="宋体" w:eastAsia="宋体" w:hint="default"/>
        </w:rPr>
        <w:t>A</w:t>
      </w:r>
      <w:r>
        <w:rPr>
          <w:rFonts w:ascii="宋体" w:hAnsi="宋体" w:cs="宋体" w:eastAsia="宋体" w:hint="default"/>
          <w:spacing w:val="-65"/>
        </w:rPr>
        <w:t> </w:t>
      </w:r>
      <w:r>
        <w:rPr/>
        <w:t>座</w:t>
      </w:r>
      <w:r>
        <w:rPr>
          <w:spacing w:val="-68"/>
        </w:rPr>
        <w:t> </w:t>
      </w:r>
      <w:r>
        <w:rPr>
          <w:rFonts w:ascii="宋体" w:hAnsi="宋体" w:cs="宋体" w:eastAsia="宋体" w:hint="default"/>
        </w:rPr>
        <w:t>708-710</w:t>
      </w:r>
      <w:r>
        <w:rPr>
          <w:rFonts w:ascii="宋体" w:hAnsi="宋体" w:cs="宋体" w:eastAsia="宋体" w:hint="default"/>
          <w:spacing w:val="-68"/>
        </w:rPr>
        <w:t> </w:t>
      </w:r>
      <w:r>
        <w:rPr/>
        <w:t>房间</w:t>
      </w:r>
      <w:r>
        <w:rPr>
          <w:spacing w:val="-120"/>
        </w:rPr>
        <w:t>，</w:t>
      </w:r>
      <w:r>
        <w:rPr/>
        <w:t>建</w:t>
      </w:r>
      <w:r>
        <w:rPr>
          <w:spacing w:val="2"/>
        </w:rPr>
        <w:t>筑</w:t>
      </w:r>
      <w:r>
        <w:rPr/>
        <w:t>面积为</w:t>
      </w:r>
      <w:r>
        <w:rPr>
          <w:spacing w:val="-68"/>
        </w:rPr>
        <w:t> </w:t>
      </w:r>
      <w:r>
        <w:rPr>
          <w:rFonts w:ascii="宋体" w:hAnsi="宋体" w:cs="宋体" w:eastAsia="宋体" w:hint="default"/>
        </w:rPr>
        <w:t>241.95</w:t>
      </w:r>
    </w:p>
    <w:p>
      <w:pPr>
        <w:pStyle w:val="BodyText"/>
        <w:spacing w:line="240" w:lineRule="auto" w:before="175"/>
        <w:ind w:left="217" w:right="105"/>
        <w:jc w:val="left"/>
      </w:pPr>
      <w:r>
        <w:rPr/>
        <w:t>平方米，租金为</w:t>
      </w:r>
      <w:r>
        <w:rPr>
          <w:spacing w:val="-60"/>
        </w:rPr>
        <w:t> </w:t>
      </w:r>
      <w:r>
        <w:rPr>
          <w:rFonts w:ascii="宋体" w:hAnsi="宋体" w:cs="宋体" w:eastAsia="宋体" w:hint="default"/>
        </w:rPr>
        <w:t>3.40</w:t>
      </w:r>
      <w:r>
        <w:rPr>
          <w:rFonts w:ascii="宋体" w:hAnsi="宋体" w:cs="宋体" w:eastAsia="宋体" w:hint="default"/>
          <w:spacing w:val="-60"/>
        </w:rPr>
        <w:t> </w:t>
      </w:r>
      <w:r>
        <w:rPr/>
        <w:t>元</w:t>
      </w:r>
      <w:r>
        <w:rPr>
          <w:rFonts w:ascii="宋体" w:hAnsi="宋体" w:cs="宋体" w:eastAsia="宋体" w:hint="default"/>
        </w:rPr>
        <w:t>/</w:t>
      </w:r>
      <w:r>
        <w:rPr/>
        <w:t>天</w:t>
      </w:r>
      <w:r>
        <w:rPr>
          <w:rFonts w:ascii="宋体" w:hAnsi="宋体" w:cs="宋体" w:eastAsia="宋体" w:hint="default"/>
        </w:rPr>
        <w:t>/</w:t>
      </w:r>
      <w:r>
        <w:rPr/>
        <w:t>平方米。</w:t>
      </w:r>
    </w:p>
    <w:p>
      <w:pPr>
        <w:pStyle w:val="BodyText"/>
        <w:spacing w:line="240" w:lineRule="auto" w:before="175"/>
        <w:ind w:left="683" w:right="105"/>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月，公司与中国节能投资公司签订《解约协议书》，双方于</w:t>
      </w:r>
      <w:r>
        <w:rPr>
          <w:spacing w:val="-60"/>
        </w:rPr>
        <w:t> </w:t>
      </w:r>
      <w:r>
        <w:rPr>
          <w:rFonts w:ascii="宋体" w:hAnsi="宋体" w:cs="宋体" w:eastAsia="宋体" w:hint="default"/>
        </w:rPr>
        <w:t>2010</w:t>
      </w:r>
    </w:p>
    <w:p>
      <w:pPr>
        <w:pStyle w:val="BodyText"/>
        <w:spacing w:line="240" w:lineRule="auto" w:before="175"/>
        <w:ind w:left="217" w:right="105"/>
        <w:jc w:val="left"/>
      </w:pP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日解除租赁关系。</w:t>
      </w:r>
    </w:p>
    <w:p>
      <w:pPr>
        <w:pStyle w:val="BodyText"/>
        <w:spacing w:line="374" w:lineRule="auto" w:before="173"/>
        <w:ind w:left="217" w:right="235" w:firstLine="480"/>
        <w:jc w:val="both"/>
      </w:pPr>
      <w:r>
        <w:rPr>
          <w:rFonts w:ascii="宋体" w:hAnsi="宋体" w:cs="宋体" w:eastAsia="宋体" w:hint="default"/>
          <w:spacing w:val="-9"/>
        </w:rPr>
        <w:t>2</w:t>
      </w:r>
      <w:r>
        <w:rPr>
          <w:spacing w:val="-9"/>
        </w:rPr>
        <w:t>、</w:t>
      </w:r>
      <w:r>
        <w:rPr>
          <w:rFonts w:ascii="宋体" w:hAnsi="宋体" w:cs="宋体" w:eastAsia="宋体" w:hint="default"/>
          <w:spacing w:val="-9"/>
        </w:rPr>
        <w:t>2009</w:t>
      </w:r>
      <w:r>
        <w:rPr>
          <w:spacing w:val="-9"/>
        </w:rPr>
        <w:t>年</w:t>
      </w:r>
      <w:r>
        <w:rPr>
          <w:rFonts w:ascii="宋体" w:hAnsi="宋体" w:cs="宋体" w:eastAsia="宋体" w:hint="default"/>
          <w:spacing w:val="-9"/>
        </w:rPr>
        <w:t>7</w:t>
      </w:r>
      <w:r>
        <w:rPr>
          <w:spacing w:val="-9"/>
        </w:rPr>
        <w:t>月，公司与上海强生集团有限公司签订《租赁合同》，公司从</w:t>
      </w:r>
      <w:r>
        <w:rPr>
          <w:rFonts w:ascii="宋体" w:hAnsi="宋体" w:cs="宋体" w:eastAsia="宋体" w:hint="default"/>
          <w:spacing w:val="-9"/>
        </w:rPr>
        <w:t>2009</w:t>
      </w:r>
      <w:r>
        <w:rPr>
          <w:rFonts w:ascii="宋体" w:hAnsi="宋体" w:cs="宋体" w:eastAsia="宋体" w:hint="default"/>
        </w:rPr>
        <w:t> </w:t>
      </w:r>
      <w:r>
        <w:rPr/>
        <w:t>年</w:t>
      </w:r>
      <w:r>
        <w:rPr>
          <w:rFonts w:ascii="宋体" w:hAnsi="宋体" w:cs="宋体" w:eastAsia="宋体" w:hint="default"/>
        </w:rPr>
        <w:t>7</w:t>
      </w:r>
      <w:r>
        <w:rPr/>
        <w:t>月</w:t>
      </w:r>
      <w:r>
        <w:rPr>
          <w:rFonts w:ascii="宋体" w:hAnsi="宋体" w:cs="宋体" w:eastAsia="宋体" w:hint="default"/>
        </w:rPr>
        <w:t>10</w:t>
      </w:r>
      <w:r>
        <w:rPr/>
        <w:t>日至</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9</w:t>
      </w:r>
      <w:r>
        <w:rPr/>
        <w:t>日租赁强生大厦办公用房</w:t>
      </w:r>
      <w:r>
        <w:rPr>
          <w:rFonts w:ascii="宋体" w:hAnsi="宋体" w:cs="宋体" w:eastAsia="宋体" w:hint="default"/>
        </w:rPr>
        <w:t>12</w:t>
      </w:r>
      <w:r>
        <w:rPr/>
        <w:t>楼</w:t>
      </w:r>
      <w:r>
        <w:rPr>
          <w:rFonts w:ascii="宋体" w:hAnsi="宋体" w:cs="宋体" w:eastAsia="宋体" w:hint="default"/>
        </w:rPr>
        <w:t>03</w:t>
      </w:r>
      <w:r>
        <w:rPr/>
        <w:t>室，建筑面积为</w:t>
      </w:r>
      <w:r>
        <w:rPr>
          <w:rFonts w:ascii="宋体" w:hAnsi="宋体" w:cs="宋体" w:eastAsia="宋体" w:hint="default"/>
        </w:rPr>
        <w:t>220.35</w:t>
      </w:r>
      <w:r>
        <w:rPr>
          <w:rFonts w:ascii="宋体" w:hAnsi="宋体" w:cs="宋体" w:eastAsia="宋体" w:hint="default"/>
          <w:spacing w:val="-97"/>
        </w:rPr>
        <w:t> </w:t>
      </w:r>
      <w:r>
        <w:rPr/>
        <w:t>平方米，租金为</w:t>
      </w:r>
      <w:r>
        <w:rPr>
          <w:rFonts w:ascii="宋体" w:hAnsi="宋体" w:cs="宋体" w:eastAsia="宋体" w:hint="default"/>
        </w:rPr>
        <w:t>2.60</w:t>
      </w:r>
      <w:r>
        <w:rPr/>
        <w:t>元</w:t>
      </w:r>
      <w:r>
        <w:rPr>
          <w:rFonts w:ascii="宋体" w:hAnsi="宋体" w:cs="宋体" w:eastAsia="宋体" w:hint="default"/>
        </w:rPr>
        <w:t>/</w:t>
      </w:r>
      <w:r>
        <w:rPr/>
        <w:t>天</w:t>
      </w:r>
      <w:r>
        <w:rPr>
          <w:rFonts w:ascii="宋体" w:hAnsi="宋体" w:cs="宋体" w:eastAsia="宋体" w:hint="default"/>
        </w:rPr>
        <w:t>/</w:t>
      </w:r>
      <w:r>
        <w:rPr/>
        <w:t>平方米。</w:t>
      </w:r>
    </w:p>
    <w:p>
      <w:pPr>
        <w:pStyle w:val="Heading3"/>
        <w:spacing w:line="240" w:lineRule="auto" w:before="204"/>
        <w:ind w:left="700" w:right="105"/>
        <w:jc w:val="left"/>
        <w:rPr>
          <w:b w:val="0"/>
          <w:bCs w:val="0"/>
        </w:rPr>
      </w:pPr>
      <w:r>
        <w:rPr/>
        <w:t>（二）报告期内，公司无对外担保合同。</w:t>
      </w:r>
      <w:r>
        <w:rPr>
          <w:b w:val="0"/>
          <w:bCs w:val="0"/>
        </w:rPr>
      </w:r>
    </w:p>
    <w:p>
      <w:pPr>
        <w:spacing w:line="240" w:lineRule="auto" w:before="9"/>
        <w:rPr>
          <w:rFonts w:ascii="宋体" w:hAnsi="宋体" w:cs="宋体" w:eastAsia="宋体" w:hint="default"/>
          <w:b/>
          <w:bCs/>
          <w:sz w:val="25"/>
          <w:szCs w:val="25"/>
        </w:rPr>
      </w:pPr>
    </w:p>
    <w:p>
      <w:pPr>
        <w:spacing w:before="0"/>
        <w:ind w:left="700" w:right="105" w:firstLine="0"/>
        <w:jc w:val="left"/>
        <w:rPr>
          <w:rFonts w:ascii="宋体" w:hAnsi="宋体" w:cs="宋体" w:eastAsia="宋体" w:hint="default"/>
          <w:sz w:val="24"/>
          <w:szCs w:val="24"/>
        </w:rPr>
      </w:pPr>
      <w:r>
        <w:rPr>
          <w:rFonts w:ascii="宋体" w:hAnsi="宋体" w:cs="宋体" w:eastAsia="宋体" w:hint="default"/>
          <w:b/>
          <w:bCs/>
          <w:sz w:val="24"/>
          <w:szCs w:val="24"/>
        </w:rPr>
        <w:t>（三）报告期内，公司未发生委托他人进行现金资产管理事项。</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p>
      <w:pPr>
        <w:spacing w:before="0"/>
        <w:ind w:left="700" w:right="105" w:firstLine="0"/>
        <w:jc w:val="left"/>
        <w:rPr>
          <w:rFonts w:ascii="宋体" w:hAnsi="宋体" w:cs="宋体" w:eastAsia="宋体" w:hint="default"/>
          <w:sz w:val="24"/>
          <w:szCs w:val="24"/>
        </w:rPr>
      </w:pPr>
      <w:r>
        <w:rPr>
          <w:rFonts w:ascii="宋体" w:hAnsi="宋体" w:cs="宋体" w:eastAsia="宋体" w:hint="default"/>
          <w:b/>
          <w:bCs/>
          <w:sz w:val="24"/>
          <w:szCs w:val="24"/>
        </w:rPr>
        <w:t>（四）报告期内其他重大合同</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BodyText"/>
        <w:spacing w:line="240" w:lineRule="auto"/>
        <w:ind w:left="683" w:right="105"/>
        <w:jc w:val="left"/>
      </w:pP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4"/>
        </w:rPr>
        <w:t> </w:t>
      </w:r>
      <w:r>
        <w:rPr/>
        <w:t>日，公司与张家口市城市管理行政执法局签订《张家口市数</w:t>
      </w:r>
    </w:p>
    <w:p>
      <w:pPr>
        <w:pStyle w:val="BodyText"/>
        <w:spacing w:line="374" w:lineRule="auto" w:before="175"/>
        <w:ind w:left="217" w:right="105"/>
        <w:jc w:val="left"/>
      </w:pPr>
      <w:r>
        <w:rPr>
          <w:spacing w:val="-5"/>
        </w:rPr>
        <w:t>字化城市管理系统工程项目建设合同书》，公司以</w:t>
      </w:r>
      <w:r>
        <w:rPr>
          <w:spacing w:val="-56"/>
        </w:rPr>
        <w:t> </w:t>
      </w:r>
      <w:r>
        <w:rPr>
          <w:rFonts w:ascii="宋体" w:hAnsi="宋体" w:cs="宋体" w:eastAsia="宋体" w:hint="default"/>
        </w:rPr>
        <w:t>2,280</w:t>
      </w:r>
      <w:r>
        <w:rPr>
          <w:rFonts w:ascii="宋体" w:hAnsi="宋体" w:cs="宋体" w:eastAsia="宋体" w:hint="default"/>
          <w:spacing w:val="-56"/>
        </w:rPr>
        <w:t> </w:t>
      </w:r>
      <w:r>
        <w:rPr/>
        <w:t>万元人民币的价格获得</w:t>
      </w:r>
      <w:r>
        <w:rPr>
          <w:spacing w:val="-111"/>
        </w:rPr>
        <w:t> </w:t>
      </w:r>
      <w:r>
        <w:rPr>
          <w:spacing w:val="-6"/>
        </w:rPr>
        <w:t>张家口市数字化城市管理系统工程项目，公司负责该项目的系统设计、系统建设、</w:t>
      </w:r>
      <w:r>
        <w:rPr>
          <w:spacing w:val="-112"/>
        </w:rPr>
        <w:t> </w:t>
      </w:r>
      <w:r>
        <w:rPr>
          <w:spacing w:val="-112"/>
        </w:rPr>
      </w:r>
      <w:r>
        <w:rPr/>
        <w:t>系统集成以及数据普查等一系列的工作。</w:t>
      </w:r>
    </w:p>
    <w:p>
      <w:pPr>
        <w:pStyle w:val="Heading3"/>
        <w:spacing w:line="240" w:lineRule="auto" w:before="202"/>
        <w:ind w:left="217" w:right="105"/>
        <w:jc w:val="left"/>
        <w:rPr>
          <w:b w:val="0"/>
          <w:bCs w:val="0"/>
        </w:rPr>
      </w:pPr>
      <w:r>
        <w:rPr/>
        <w:t>七、承诺事项</w:t>
      </w:r>
      <w:r>
        <w:rPr>
          <w:b w:val="0"/>
          <w:bCs w:val="0"/>
        </w:rPr>
      </w:r>
    </w:p>
    <w:p>
      <w:pPr>
        <w:spacing w:line="240" w:lineRule="auto" w:before="12"/>
        <w:rPr>
          <w:rFonts w:ascii="宋体" w:hAnsi="宋体" w:cs="宋体" w:eastAsia="宋体" w:hint="default"/>
          <w:b/>
          <w:bCs/>
          <w:sz w:val="25"/>
          <w:szCs w:val="25"/>
        </w:rPr>
      </w:pPr>
    </w:p>
    <w:p>
      <w:pPr>
        <w:spacing w:line="374" w:lineRule="auto" w:before="0"/>
        <w:ind w:left="217" w:right="105" w:firstLine="482"/>
        <w:jc w:val="left"/>
        <w:rPr>
          <w:rFonts w:ascii="宋体" w:hAnsi="宋体" w:cs="宋体" w:eastAsia="宋体" w:hint="default"/>
          <w:sz w:val="24"/>
          <w:szCs w:val="24"/>
        </w:rPr>
      </w:pPr>
      <w:r>
        <w:rPr>
          <w:rFonts w:ascii="宋体" w:hAnsi="宋体" w:cs="宋体" w:eastAsia="宋体" w:hint="default"/>
          <w:b/>
          <w:bCs/>
          <w:spacing w:val="3"/>
          <w:sz w:val="24"/>
          <w:szCs w:val="24"/>
        </w:rPr>
        <w:t>（一）公司或持股</w:t>
      </w:r>
      <w:r>
        <w:rPr>
          <w:rFonts w:ascii="宋体" w:hAnsi="宋体" w:cs="宋体" w:eastAsia="宋体" w:hint="default"/>
          <w:b/>
          <w:bCs/>
          <w:spacing w:val="3"/>
          <w:sz w:val="24"/>
          <w:szCs w:val="24"/>
        </w:rPr>
        <w:t>5%</w:t>
      </w:r>
      <w:r>
        <w:rPr>
          <w:rFonts w:ascii="宋体" w:hAnsi="宋体" w:cs="宋体" w:eastAsia="宋体" w:hint="default"/>
          <w:b/>
          <w:bCs/>
          <w:spacing w:val="3"/>
          <w:sz w:val="24"/>
          <w:szCs w:val="24"/>
        </w:rPr>
        <w:t>以上股东在公司股票公开发行前所持股份的流通限制</w:t>
      </w:r>
      <w:r>
        <w:rPr>
          <w:rFonts w:ascii="宋体" w:hAnsi="宋体" w:cs="宋体" w:eastAsia="宋体" w:hint="default"/>
          <w:b/>
          <w:bCs/>
          <w:spacing w:val="4"/>
          <w:w w:val="99"/>
          <w:sz w:val="24"/>
          <w:szCs w:val="24"/>
        </w:rPr>
        <w:t> </w:t>
      </w:r>
      <w:r>
        <w:rPr>
          <w:rFonts w:ascii="宋体" w:hAnsi="宋体" w:cs="宋体" w:eastAsia="宋体" w:hint="default"/>
          <w:b/>
          <w:bCs/>
          <w:sz w:val="24"/>
          <w:szCs w:val="24"/>
        </w:rPr>
        <w:t>和自愿锁定股份的承诺</w:t>
      </w:r>
      <w:r>
        <w:rPr>
          <w:rFonts w:ascii="宋体" w:hAnsi="宋体" w:cs="宋体" w:eastAsia="宋体" w:hint="default"/>
          <w:sz w:val="24"/>
          <w:szCs w:val="24"/>
        </w:rPr>
      </w:r>
    </w:p>
    <w:p>
      <w:pPr>
        <w:spacing w:line="240" w:lineRule="auto" w:before="7"/>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1102"/>
        <w:gridCol w:w="1416"/>
        <w:gridCol w:w="4394"/>
        <w:gridCol w:w="1610"/>
      </w:tblGrid>
      <w:tr>
        <w:trPr>
          <w:trHeight w:val="7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04"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460" w:right="0"/>
              <w:jc w:val="left"/>
              <w:rPr>
                <w:rFonts w:ascii="宋体" w:hAnsi="宋体" w:cs="宋体" w:eastAsia="宋体" w:hint="default"/>
                <w:sz w:val="24"/>
                <w:szCs w:val="24"/>
              </w:rPr>
            </w:pPr>
            <w:r>
              <w:rPr>
                <w:rFonts w:ascii="宋体" w:hAnsi="宋体" w:cs="宋体" w:eastAsia="宋体" w:hint="default"/>
                <w:sz w:val="24"/>
                <w:szCs w:val="24"/>
              </w:rPr>
              <w:t>职位</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0"/>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319" w:right="0"/>
              <w:jc w:val="left"/>
              <w:rPr>
                <w:rFonts w:ascii="宋体" w:hAnsi="宋体" w:cs="宋体" w:eastAsia="宋体" w:hint="default"/>
                <w:sz w:val="24"/>
                <w:szCs w:val="24"/>
              </w:rPr>
            </w:pPr>
            <w:r>
              <w:rPr>
                <w:rFonts w:ascii="宋体" w:hAnsi="宋体" w:cs="宋体" w:eastAsia="宋体" w:hint="default"/>
                <w:sz w:val="24"/>
                <w:szCs w:val="24"/>
              </w:rPr>
              <w:t>履行情况</w:t>
            </w:r>
          </w:p>
        </w:tc>
      </w:tr>
    </w:tbl>
    <w:p>
      <w:pPr>
        <w:spacing w:after="0" w:line="240" w:lineRule="auto"/>
        <w:jc w:val="left"/>
        <w:rPr>
          <w:rFonts w:ascii="宋体" w:hAnsi="宋体" w:cs="宋体" w:eastAsia="宋体" w:hint="default"/>
          <w:sz w:val="24"/>
          <w:szCs w:val="24"/>
        </w:rPr>
        <w:sectPr>
          <w:pgSz w:w="11910" w:h="16840"/>
          <w:pgMar w:header="850" w:footer="979" w:top="1380" w:bottom="1160" w:left="1580" w:right="1560"/>
        </w:sectPr>
      </w:pPr>
    </w:p>
    <w:tbl>
      <w:tblPr>
        <w:tblW w:w="0" w:type="auto"/>
        <w:jc w:val="left"/>
        <w:tblInd w:w="104" w:type="dxa"/>
        <w:tblLayout w:type="fixed"/>
        <w:tblCellMar>
          <w:top w:w="0" w:type="dxa"/>
          <w:left w:w="0" w:type="dxa"/>
          <w:bottom w:w="0" w:type="dxa"/>
          <w:right w:w="0" w:type="dxa"/>
        </w:tblCellMar>
        <w:tblLook w:val="01E0"/>
      </w:tblPr>
      <w:tblGrid>
        <w:gridCol w:w="1102"/>
        <w:gridCol w:w="1416"/>
        <w:gridCol w:w="4394"/>
        <w:gridCol w:w="1610"/>
      </w:tblGrid>
      <w:tr>
        <w:trPr>
          <w:trHeight w:val="90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吴强华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9"/>
              <w:ind w:right="0"/>
              <w:jc w:val="left"/>
              <w:rPr>
                <w:rFonts w:ascii="宋体" w:hAnsi="宋体" w:cs="宋体" w:eastAsia="宋体" w:hint="default"/>
                <w:b/>
                <w:bCs/>
                <w:sz w:val="35"/>
                <w:szCs w:val="35"/>
              </w:rPr>
            </w:pPr>
          </w:p>
          <w:p>
            <w:pPr>
              <w:pStyle w:val="TableParagraph"/>
              <w:spacing w:line="312" w:lineRule="auto"/>
              <w:ind w:left="100" w:right="103"/>
              <w:jc w:val="both"/>
              <w:rPr>
                <w:rFonts w:ascii="宋体" w:hAnsi="宋体" w:cs="宋体" w:eastAsia="宋体" w:hint="default"/>
                <w:sz w:val="24"/>
                <w:szCs w:val="24"/>
              </w:rPr>
            </w:pPr>
            <w:r>
              <w:rPr>
                <w:rFonts w:ascii="宋体" w:hAnsi="宋体" w:cs="宋体" w:eastAsia="宋体" w:hint="default"/>
                <w:sz w:val="24"/>
                <w:szCs w:val="24"/>
              </w:rPr>
              <w:t>董事长、总 </w:t>
            </w:r>
            <w:r>
              <w:rPr>
                <w:rFonts w:ascii="宋体" w:hAnsi="宋体" w:cs="宋体" w:eastAsia="宋体" w:hint="default"/>
                <w:spacing w:val="-15"/>
                <w:sz w:val="24"/>
                <w:szCs w:val="24"/>
              </w:rPr>
              <w:t>裁、持股</w:t>
            </w:r>
            <w:r>
              <w:rPr>
                <w:rFonts w:ascii="宋体" w:hAnsi="宋体" w:cs="宋体" w:eastAsia="宋体" w:hint="default"/>
                <w:spacing w:val="-60"/>
                <w:sz w:val="24"/>
                <w:szCs w:val="24"/>
              </w:rPr>
              <w:t> </w:t>
            </w:r>
            <w:r>
              <w:rPr>
                <w:rFonts w:ascii="宋体" w:hAnsi="宋体" w:cs="宋体" w:eastAsia="宋体" w:hint="default"/>
                <w:sz w:val="24"/>
                <w:szCs w:val="24"/>
              </w:rPr>
              <w:t>5% </w:t>
            </w:r>
            <w:r>
              <w:rPr>
                <w:rFonts w:ascii="宋体" w:hAnsi="宋体" w:cs="宋体" w:eastAsia="宋体" w:hint="default"/>
                <w:sz w:val="24"/>
                <w:szCs w:val="24"/>
              </w:rPr>
              <w:t>以上股东</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3"/>
              <w:ind w:left="103" w:right="91"/>
              <w:jc w:val="both"/>
              <w:rPr>
                <w:rFonts w:ascii="宋体" w:hAnsi="宋体" w:cs="宋体" w:eastAsia="宋体" w:hint="default"/>
                <w:sz w:val="24"/>
                <w:szCs w:val="24"/>
              </w:rPr>
            </w:pPr>
            <w:r>
              <w:rPr>
                <w:rFonts w:ascii="宋体" w:hAnsi="宋体" w:cs="宋体" w:eastAsia="宋体" w:hint="default"/>
                <w:spacing w:val="5"/>
                <w:sz w:val="24"/>
                <w:szCs w:val="24"/>
              </w:rPr>
              <w:t>自公司股票上市之日起三十六个月内，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不转让、抵押、质押或在该股份上设定</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任何其他形式的限制或他项权利，不委</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托他人管理本人本次发行前已持有的公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司股份，也不由公司回购该部分股份；</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本人在任职期间每年转让的股份不得超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过本人所持有公司股份总数的百分之二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十五；本人离职后半年内，不转让本人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所持有的公司股份。</w:t>
            </w:r>
          </w:p>
          <w:p>
            <w:pPr>
              <w:pStyle w:val="TableParagraph"/>
              <w:spacing w:line="240" w:lineRule="auto" w:before="185"/>
              <w:ind w:left="103" w:right="0"/>
              <w:jc w:val="both"/>
              <w:rPr>
                <w:rFonts w:ascii="宋体" w:hAnsi="宋体" w:cs="宋体" w:eastAsia="宋体" w:hint="default"/>
                <w:sz w:val="24"/>
                <w:szCs w:val="24"/>
              </w:rPr>
            </w:pPr>
            <w:r>
              <w:rPr>
                <w:rFonts w:ascii="宋体" w:hAnsi="宋体" w:cs="宋体" w:eastAsia="宋体" w:hint="default"/>
                <w:spacing w:val="5"/>
                <w:sz w:val="24"/>
                <w:szCs w:val="24"/>
              </w:rPr>
              <w:t>严格遵守《公司法》、《公司章程》、</w:t>
            </w:r>
            <w:r>
              <w:rPr>
                <w:rFonts w:ascii="宋体" w:hAnsi="宋体" w:cs="宋体" w:eastAsia="宋体" w:hint="default"/>
                <w:sz w:val="24"/>
                <w:szCs w:val="24"/>
              </w:rPr>
            </w:r>
          </w:p>
          <w:p>
            <w:pPr>
              <w:pStyle w:val="TableParagraph"/>
              <w:spacing w:line="312" w:lineRule="auto" w:before="94"/>
              <w:ind w:left="103" w:right="91"/>
              <w:jc w:val="both"/>
              <w:rPr>
                <w:rFonts w:ascii="宋体" w:hAnsi="宋体" w:cs="宋体" w:eastAsia="宋体" w:hint="default"/>
                <w:sz w:val="24"/>
                <w:szCs w:val="24"/>
              </w:rPr>
            </w:pPr>
            <w:r>
              <w:rPr>
                <w:rFonts w:ascii="宋体" w:hAnsi="宋体" w:cs="宋体" w:eastAsia="宋体" w:hint="default"/>
                <w:spacing w:val="5"/>
                <w:sz w:val="24"/>
                <w:szCs w:val="24"/>
              </w:rPr>
              <w:t>《关联交易制度》、《股东大会议事规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则》、《董事会议事规则》等规定，避</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免和减少关联交易，自觉维护发行人及</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全体股东的利益，将不利用本人在发行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人中的股东地位在关联交易中谋取不正</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当利益。如发行人必须与本人控制的企</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业进行关联交易，均严格履行相关法律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程序，遵照市场公平交易的原则进行，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将促使交易的价格、相关协议条款和交</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易条件公平合理，不会要求发行人给予</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与第三人的条件相比更优惠的条件。</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12" w:lineRule="auto"/>
              <w:ind w:left="103" w:right="55"/>
              <w:jc w:val="both"/>
              <w:rPr>
                <w:rFonts w:ascii="宋体" w:hAnsi="宋体" w:cs="宋体" w:eastAsia="宋体" w:hint="default"/>
                <w:sz w:val="24"/>
                <w:szCs w:val="24"/>
              </w:rPr>
            </w:pPr>
            <w:r>
              <w:rPr>
                <w:rFonts w:ascii="宋体" w:hAnsi="宋体" w:cs="宋体" w:eastAsia="宋体" w:hint="default"/>
                <w:spacing w:val="-8"/>
                <w:sz w:val="24"/>
                <w:szCs w:val="24"/>
              </w:rPr>
              <w:t>正常履行，未</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8"/>
                <w:sz w:val="24"/>
                <w:szCs w:val="24"/>
              </w:rPr>
              <w:t>出现任何违</w:t>
            </w:r>
            <w:r>
              <w:rPr>
                <w:rFonts w:ascii="宋体" w:hAnsi="宋体" w:cs="宋体" w:eastAsia="宋体" w:hint="default"/>
                <w:spacing w:val="-72"/>
                <w:sz w:val="24"/>
                <w:szCs w:val="24"/>
              </w:rPr>
              <w:t> </w:t>
            </w:r>
            <w:r>
              <w:rPr>
                <w:rFonts w:ascii="宋体" w:hAnsi="宋体" w:cs="宋体" w:eastAsia="宋体" w:hint="default"/>
                <w:spacing w:val="38"/>
                <w:sz w:val="24"/>
                <w:szCs w:val="24"/>
              </w:rPr>
              <w:t>反该承诺的</w:t>
            </w:r>
            <w:r>
              <w:rPr>
                <w:rFonts w:ascii="宋体" w:hAnsi="宋体" w:cs="宋体" w:eastAsia="宋体" w:hint="default"/>
                <w:spacing w:val="-72"/>
                <w:sz w:val="24"/>
                <w:szCs w:val="24"/>
              </w:rPr>
              <w:t> </w:t>
            </w:r>
            <w:r>
              <w:rPr>
                <w:rFonts w:ascii="宋体" w:hAnsi="宋体" w:cs="宋体" w:eastAsia="宋体" w:hint="default"/>
                <w:sz w:val="24"/>
                <w:szCs w:val="24"/>
              </w:rPr>
              <w:t>情况</w:t>
            </w:r>
          </w:p>
        </w:tc>
      </w:tr>
      <w:tr>
        <w:trPr>
          <w:trHeight w:val="400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许欣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312" w:lineRule="auto"/>
              <w:ind w:left="100" w:right="26"/>
              <w:jc w:val="both"/>
              <w:rPr>
                <w:rFonts w:ascii="宋体" w:hAnsi="宋体" w:cs="宋体" w:eastAsia="宋体" w:hint="default"/>
                <w:sz w:val="24"/>
                <w:szCs w:val="24"/>
              </w:rPr>
            </w:pPr>
            <w:r>
              <w:rPr>
                <w:rFonts w:ascii="宋体" w:hAnsi="宋体" w:cs="宋体" w:eastAsia="宋体" w:hint="default"/>
                <w:sz w:val="24"/>
                <w:szCs w:val="24"/>
              </w:rPr>
              <w:t>副董事长、 </w:t>
            </w:r>
            <w:r>
              <w:rPr>
                <w:rFonts w:ascii="宋体" w:hAnsi="宋体" w:cs="宋体" w:eastAsia="宋体" w:hint="default"/>
                <w:spacing w:val="59"/>
                <w:sz w:val="24"/>
                <w:szCs w:val="24"/>
              </w:rPr>
              <w:t>常务副总</w:t>
            </w:r>
            <w:r>
              <w:rPr>
                <w:rFonts w:ascii="宋体" w:hAnsi="宋体" w:cs="宋体" w:eastAsia="宋体" w:hint="default"/>
                <w:spacing w:val="-41"/>
                <w:sz w:val="24"/>
                <w:szCs w:val="24"/>
              </w:rPr>
              <w:t> </w:t>
            </w:r>
            <w:r>
              <w:rPr>
                <w:rFonts w:ascii="宋体" w:hAnsi="宋体" w:cs="宋体" w:eastAsia="宋体" w:hint="default"/>
                <w:spacing w:val="-15"/>
                <w:sz w:val="24"/>
                <w:szCs w:val="24"/>
              </w:rPr>
              <w:t>裁、持股</w:t>
            </w:r>
            <w:r>
              <w:rPr>
                <w:rFonts w:ascii="宋体" w:hAnsi="宋体" w:cs="宋体" w:eastAsia="宋体" w:hint="default"/>
                <w:spacing w:val="-60"/>
                <w:sz w:val="24"/>
                <w:szCs w:val="24"/>
              </w:rPr>
              <w:t> </w:t>
            </w:r>
            <w:r>
              <w:rPr>
                <w:rFonts w:ascii="宋体" w:hAnsi="宋体" w:cs="宋体" w:eastAsia="宋体" w:hint="default"/>
                <w:sz w:val="24"/>
                <w:szCs w:val="24"/>
              </w:rPr>
              <w:t>5% </w:t>
            </w:r>
            <w:r>
              <w:rPr>
                <w:rFonts w:ascii="宋体" w:hAnsi="宋体" w:cs="宋体" w:eastAsia="宋体" w:hint="default"/>
                <w:sz w:val="24"/>
                <w:szCs w:val="24"/>
              </w:rPr>
              <w:t>以上股东</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75"/>
              <w:ind w:left="103" w:right="91"/>
              <w:jc w:val="both"/>
              <w:rPr>
                <w:rFonts w:ascii="宋体" w:hAnsi="宋体" w:cs="宋体" w:eastAsia="宋体" w:hint="default"/>
                <w:sz w:val="24"/>
                <w:szCs w:val="24"/>
              </w:rPr>
            </w:pPr>
            <w:r>
              <w:rPr>
                <w:rFonts w:ascii="宋体" w:hAnsi="宋体" w:cs="宋体" w:eastAsia="宋体" w:hint="default"/>
                <w:spacing w:val="5"/>
                <w:sz w:val="24"/>
                <w:szCs w:val="24"/>
              </w:rPr>
              <w:t>自公司股票上市之日起三十六个月内，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不转让、抵押、质押或在该股份上设定</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任何其他形式的限制或他项权利，不委</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托他人管理本人本次发行前已持有的公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司股份，也不由公司回购该部分股份；</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本人在任职期间每年转让的股份不得超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过本人所持有公司股份总数的百分之二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十五；本人离职后半年内，不转让本人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所持有的公司股份。</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312" w:lineRule="auto"/>
              <w:ind w:left="103" w:right="55"/>
              <w:jc w:val="both"/>
              <w:rPr>
                <w:rFonts w:ascii="宋体" w:hAnsi="宋体" w:cs="宋体" w:eastAsia="宋体" w:hint="default"/>
                <w:sz w:val="24"/>
                <w:szCs w:val="24"/>
              </w:rPr>
            </w:pPr>
            <w:r>
              <w:rPr>
                <w:rFonts w:ascii="宋体" w:hAnsi="宋体" w:cs="宋体" w:eastAsia="宋体" w:hint="default"/>
                <w:spacing w:val="-8"/>
                <w:sz w:val="24"/>
                <w:szCs w:val="24"/>
              </w:rPr>
              <w:t>正常履行，未</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8"/>
                <w:sz w:val="24"/>
                <w:szCs w:val="24"/>
              </w:rPr>
              <w:t>出现任何违</w:t>
            </w:r>
            <w:r>
              <w:rPr>
                <w:rFonts w:ascii="宋体" w:hAnsi="宋体" w:cs="宋体" w:eastAsia="宋体" w:hint="default"/>
                <w:spacing w:val="-72"/>
                <w:sz w:val="24"/>
                <w:szCs w:val="24"/>
              </w:rPr>
              <w:t> </w:t>
            </w:r>
            <w:r>
              <w:rPr>
                <w:rFonts w:ascii="宋体" w:hAnsi="宋体" w:cs="宋体" w:eastAsia="宋体" w:hint="default"/>
                <w:spacing w:val="38"/>
                <w:sz w:val="24"/>
                <w:szCs w:val="24"/>
              </w:rPr>
              <w:t>反该承诺的</w:t>
            </w:r>
            <w:r>
              <w:rPr>
                <w:rFonts w:ascii="宋体" w:hAnsi="宋体" w:cs="宋体" w:eastAsia="宋体" w:hint="default"/>
                <w:spacing w:val="-72"/>
                <w:sz w:val="24"/>
                <w:szCs w:val="24"/>
              </w:rPr>
              <w:t> </w:t>
            </w:r>
            <w:r>
              <w:rPr>
                <w:rFonts w:ascii="宋体" w:hAnsi="宋体" w:cs="宋体" w:eastAsia="宋体" w:hint="default"/>
                <w:sz w:val="24"/>
                <w:szCs w:val="24"/>
              </w:rPr>
              <w:t>情况</w:t>
            </w:r>
          </w:p>
        </w:tc>
      </w:tr>
      <w:tr>
        <w:trPr>
          <w:trHeight w:val="7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4"/>
                <w:szCs w:val="24"/>
              </w:rPr>
            </w:pPr>
            <w:r>
              <w:rPr>
                <w:rFonts w:ascii="宋体" w:hAnsi="宋体" w:cs="宋体" w:eastAsia="宋体" w:hint="default"/>
                <w:sz w:val="24"/>
                <w:szCs w:val="24"/>
              </w:rPr>
              <w:t>肖家铨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pacing w:val="20"/>
                <w:sz w:val="24"/>
                <w:szCs w:val="24"/>
              </w:rPr>
              <w:t>持股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以</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pacing w:val="5"/>
                <w:sz w:val="24"/>
                <w:szCs w:val="24"/>
              </w:rPr>
              <w:t>在公司股票上市之日起十二个月内，不</w:t>
            </w:r>
            <w:r>
              <w:rPr>
                <w:rFonts w:ascii="宋体" w:hAnsi="宋体" w:cs="宋体" w:eastAsia="宋体" w:hint="default"/>
                <w:sz w:val="24"/>
                <w:szCs w:val="24"/>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pacing w:val="-8"/>
                <w:sz w:val="24"/>
                <w:szCs w:val="24"/>
              </w:rPr>
              <w:t>正常履行，未</w:t>
            </w:r>
          </w:p>
        </w:tc>
      </w:tr>
    </w:tbl>
    <w:p>
      <w:pPr>
        <w:spacing w:after="0" w:line="240" w:lineRule="auto"/>
        <w:jc w:val="left"/>
        <w:rPr>
          <w:rFonts w:ascii="宋体" w:hAnsi="宋体" w:cs="宋体" w:eastAsia="宋体" w:hint="default"/>
          <w:sz w:val="24"/>
          <w:szCs w:val="24"/>
        </w:rPr>
        <w:sectPr>
          <w:pgSz w:w="11910" w:h="16840"/>
          <w:pgMar w:header="850" w:footer="979" w:top="1440" w:bottom="1160" w:left="1580" w:right="1580"/>
        </w:sectPr>
      </w:pPr>
    </w:p>
    <w:p>
      <w:pPr>
        <w:spacing w:line="240" w:lineRule="auto" w:before="2"/>
        <w:rPr>
          <w:rFonts w:ascii="宋体" w:hAnsi="宋体" w:cs="宋体" w:eastAsia="宋体" w:hint="default"/>
          <w:b/>
          <w:bCs/>
          <w:sz w:val="4"/>
          <w:szCs w:val="4"/>
        </w:rPr>
      </w:pPr>
    </w:p>
    <w:tbl>
      <w:tblPr>
        <w:tblW w:w="0" w:type="auto"/>
        <w:jc w:val="left"/>
        <w:tblInd w:w="104" w:type="dxa"/>
        <w:tblLayout w:type="fixed"/>
        <w:tblCellMar>
          <w:top w:w="0" w:type="dxa"/>
          <w:left w:w="0" w:type="dxa"/>
          <w:bottom w:w="0" w:type="dxa"/>
          <w:right w:w="0" w:type="dxa"/>
        </w:tblCellMar>
        <w:tblLook w:val="01E0"/>
      </w:tblPr>
      <w:tblGrid>
        <w:gridCol w:w="1102"/>
        <w:gridCol w:w="1416"/>
        <w:gridCol w:w="4394"/>
        <w:gridCol w:w="1613"/>
      </w:tblGrid>
      <w:tr>
        <w:trPr>
          <w:trHeight w:val="180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hAnsi="宋体" w:cs="宋体" w:eastAsia="宋体" w:hint="default"/>
                <w:sz w:val="24"/>
                <w:szCs w:val="24"/>
              </w:rPr>
              <w:t>上股东</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91"/>
              <w:jc w:val="both"/>
              <w:rPr>
                <w:rFonts w:ascii="宋体" w:hAnsi="宋体" w:cs="宋体" w:eastAsia="宋体" w:hint="default"/>
                <w:sz w:val="24"/>
                <w:szCs w:val="24"/>
              </w:rPr>
            </w:pPr>
            <w:r>
              <w:rPr>
                <w:rFonts w:ascii="宋体" w:hAnsi="宋体" w:cs="宋体" w:eastAsia="宋体" w:hint="default"/>
                <w:spacing w:val="5"/>
                <w:sz w:val="24"/>
                <w:szCs w:val="24"/>
              </w:rPr>
              <w:t>转让、抵押、质押或在该股份上设定任</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何其他形式的限制或他项权利，不委托</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他人管理本人本次发行前已持有的公司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股份，也不由公司回购该部分股份。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59"/>
              <w:jc w:val="both"/>
              <w:rPr>
                <w:rFonts w:ascii="宋体" w:hAnsi="宋体" w:cs="宋体" w:eastAsia="宋体" w:hint="default"/>
                <w:sz w:val="24"/>
                <w:szCs w:val="24"/>
              </w:rPr>
            </w:pPr>
            <w:r>
              <w:rPr>
                <w:rFonts w:ascii="宋体" w:hAnsi="宋体" w:cs="宋体" w:eastAsia="宋体" w:hint="default"/>
                <w:spacing w:val="38"/>
                <w:sz w:val="24"/>
                <w:szCs w:val="24"/>
              </w:rPr>
              <w:t>出现任何违</w:t>
            </w:r>
            <w:r>
              <w:rPr>
                <w:rFonts w:ascii="宋体" w:hAnsi="宋体" w:cs="宋体" w:eastAsia="宋体" w:hint="default"/>
                <w:spacing w:val="-72"/>
                <w:sz w:val="24"/>
                <w:szCs w:val="24"/>
              </w:rPr>
              <w:t> </w:t>
            </w:r>
            <w:r>
              <w:rPr>
                <w:rFonts w:ascii="宋体" w:hAnsi="宋体" w:cs="宋体" w:eastAsia="宋体" w:hint="default"/>
                <w:spacing w:val="38"/>
                <w:sz w:val="24"/>
                <w:szCs w:val="24"/>
              </w:rPr>
              <w:t>反该承诺的</w:t>
            </w:r>
            <w:r>
              <w:rPr>
                <w:rFonts w:ascii="宋体" w:hAnsi="宋体" w:cs="宋体" w:eastAsia="宋体" w:hint="default"/>
                <w:spacing w:val="-72"/>
                <w:sz w:val="24"/>
                <w:szCs w:val="24"/>
              </w:rPr>
              <w:t> </w:t>
            </w:r>
            <w:r>
              <w:rPr>
                <w:rFonts w:ascii="宋体" w:hAnsi="宋体" w:cs="宋体" w:eastAsia="宋体" w:hint="default"/>
                <w:sz w:val="24"/>
                <w:szCs w:val="24"/>
              </w:rPr>
              <w:t>情况</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line="374" w:lineRule="auto" w:before="26"/>
        <w:ind w:left="217" w:right="210" w:firstLine="482"/>
        <w:jc w:val="both"/>
        <w:rPr>
          <w:rFonts w:ascii="宋体" w:hAnsi="宋体" w:cs="宋体" w:eastAsia="宋体" w:hint="default"/>
          <w:sz w:val="24"/>
          <w:szCs w:val="24"/>
        </w:rPr>
      </w:pPr>
      <w:r>
        <w:rPr>
          <w:rFonts w:ascii="宋体" w:hAnsi="宋体" w:cs="宋体" w:eastAsia="宋体" w:hint="default"/>
          <w:b/>
          <w:bCs/>
          <w:spacing w:val="4"/>
          <w:w w:val="95"/>
          <w:sz w:val="24"/>
          <w:szCs w:val="24"/>
        </w:rPr>
        <w:t>（二）为避免与公司之间出现同业竞争，减少关联交易，维护公司的利益</w:t>
      </w:r>
      <w:r>
        <w:rPr>
          <w:rFonts w:ascii="宋体" w:hAnsi="宋体" w:cs="宋体" w:eastAsia="宋体" w:hint="default"/>
          <w:b/>
          <w:bCs/>
          <w:spacing w:val="4"/>
          <w:w w:val="99"/>
          <w:sz w:val="24"/>
          <w:szCs w:val="24"/>
        </w:rPr>
        <w:t> </w:t>
      </w:r>
      <w:r>
        <w:rPr>
          <w:rFonts w:ascii="宋体" w:hAnsi="宋体" w:cs="宋体" w:eastAsia="宋体" w:hint="default"/>
          <w:b/>
          <w:bCs/>
          <w:sz w:val="24"/>
          <w:szCs w:val="24"/>
        </w:rPr>
        <w:t>和保证公司的长期稳定发展，吴强华作为公司的控股股东承诺如下：</w:t>
      </w:r>
      <w:r>
        <w:rPr>
          <w:rFonts w:ascii="宋体" w:hAnsi="宋体" w:cs="宋体" w:eastAsia="宋体" w:hint="default"/>
          <w:sz w:val="24"/>
          <w:szCs w:val="24"/>
        </w:rPr>
      </w:r>
    </w:p>
    <w:p>
      <w:pPr>
        <w:pStyle w:val="BodyText"/>
        <w:spacing w:line="374" w:lineRule="auto" w:before="202"/>
        <w:ind w:left="217" w:right="213" w:firstLine="480"/>
        <w:jc w:val="both"/>
      </w:pPr>
      <w:r>
        <w:rPr>
          <w:rFonts w:ascii="宋体" w:hAnsi="宋体" w:cs="宋体" w:eastAsia="宋体" w:hint="default"/>
        </w:rPr>
        <w:t>“1.</w:t>
      </w:r>
      <w:r>
        <w:rPr>
          <w:rFonts w:ascii="宋体" w:hAnsi="宋体" w:cs="宋体" w:eastAsia="宋体" w:hint="default"/>
          <w:spacing w:val="21"/>
        </w:rPr>
        <w:t> </w:t>
      </w:r>
      <w:r>
        <w:rPr/>
        <w:t>本人目前没有在中国境内或境外单独或与其他自然人、法人、合伙企 </w:t>
      </w:r>
      <w:r>
        <w:rPr>
          <w:spacing w:val="-3"/>
        </w:rPr>
        <w:t>业或组织，以任何形式直接或间接从事或参与任何对发行人构成竞争的业务及活</w:t>
      </w:r>
      <w:r>
        <w:rPr>
          <w:spacing w:val="-104"/>
        </w:rPr>
        <w:t> </w:t>
      </w:r>
      <w:r>
        <w:rPr>
          <w:spacing w:val="-104"/>
        </w:rPr>
      </w:r>
      <w:r>
        <w:rPr>
          <w:spacing w:val="-3"/>
        </w:rPr>
        <w:t>动或拥有与发行人存在竞争关系的任何经济实体、机构、经济组织的权益，或在</w:t>
      </w:r>
      <w:r>
        <w:rPr>
          <w:spacing w:val="-102"/>
        </w:rPr>
        <w:t> </w:t>
      </w:r>
      <w:r>
        <w:rPr>
          <w:spacing w:val="-102"/>
        </w:rPr>
      </w:r>
      <w:r>
        <w:rPr/>
        <w:t>该经济实体、机构、经济组织中担任高级管理人员或核心技术人员。</w:t>
      </w:r>
    </w:p>
    <w:p>
      <w:pPr>
        <w:pStyle w:val="BodyText"/>
        <w:spacing w:line="374" w:lineRule="auto" w:before="38"/>
        <w:ind w:left="217" w:right="213" w:firstLine="480"/>
        <w:jc w:val="both"/>
      </w:pPr>
      <w:r>
        <w:rPr>
          <w:rFonts w:ascii="宋体" w:hAnsi="宋体" w:cs="宋体" w:eastAsia="宋体" w:hint="default"/>
        </w:rPr>
        <w:t>2.</w:t>
      </w:r>
      <w:r>
        <w:rPr>
          <w:rFonts w:ascii="宋体" w:hAnsi="宋体" w:cs="宋体" w:eastAsia="宋体" w:hint="default"/>
          <w:spacing w:val="21"/>
        </w:rPr>
        <w:t> </w:t>
      </w:r>
      <w:r>
        <w:rPr/>
        <w:t>本人保证将采取合法及有效的措施，促使本人、本人拥有控制权的其他 </w:t>
      </w:r>
      <w:r>
        <w:rPr>
          <w:spacing w:val="-3"/>
        </w:rPr>
        <w:t>公司、企业与其他经济组织及本人的关联企业，不以任何形式直接或间接从事与</w:t>
      </w:r>
      <w:r>
        <w:rPr>
          <w:spacing w:val="-103"/>
        </w:rPr>
        <w:t> </w:t>
      </w:r>
      <w:r>
        <w:rPr>
          <w:spacing w:val="-103"/>
        </w:rPr>
      </w:r>
      <w:r>
        <w:rPr>
          <w:spacing w:val="-3"/>
        </w:rPr>
        <w:t>发行人相同或相似的、对发行人业务构成或可能构成竞争的任何业务，并且保证</w:t>
      </w:r>
      <w:r>
        <w:rPr>
          <w:spacing w:val="-103"/>
        </w:rPr>
        <w:t> </w:t>
      </w:r>
      <w:r>
        <w:rPr>
          <w:spacing w:val="-103"/>
        </w:rPr>
      </w:r>
      <w:r>
        <w:rPr/>
        <w:t>不进行其他任何损害发行人及其他股东合法权益的活动。</w:t>
      </w:r>
    </w:p>
    <w:p>
      <w:pPr>
        <w:pStyle w:val="BodyText"/>
        <w:spacing w:line="374" w:lineRule="auto" w:before="38"/>
        <w:ind w:left="217" w:right="109" w:firstLine="480"/>
        <w:jc w:val="left"/>
      </w:pPr>
      <w:r>
        <w:rPr>
          <w:rFonts w:ascii="宋体" w:hAnsi="宋体" w:cs="宋体" w:eastAsia="宋体" w:hint="default"/>
        </w:rPr>
        <w:t>3.</w:t>
      </w:r>
      <w:r>
        <w:rPr>
          <w:rFonts w:ascii="宋体" w:hAnsi="宋体" w:cs="宋体" w:eastAsia="宋体" w:hint="default"/>
          <w:spacing w:val="12"/>
        </w:rPr>
        <w:t> </w:t>
      </w:r>
      <w:r>
        <w:rPr/>
        <w:t>本人将严格遵守《公司法》、《公司章程》、《关联交易制度》、《股 </w:t>
      </w:r>
      <w:r>
        <w:rPr>
          <w:spacing w:val="-3"/>
        </w:rPr>
        <w:t>东大会议事规则》、《董事会议事规则》等规定，避免和减少关联交易，自觉维</w:t>
      </w:r>
      <w:r>
        <w:rPr>
          <w:spacing w:val="-104"/>
        </w:rPr>
        <w:t> </w:t>
      </w:r>
      <w:r>
        <w:rPr>
          <w:spacing w:val="-104"/>
        </w:rPr>
      </w:r>
      <w:r>
        <w:rPr>
          <w:spacing w:val="-3"/>
        </w:rPr>
        <w:t>护发行人及全体股东的利益，将不利用本人在发行人中的股东地位在关联交易中</w:t>
      </w:r>
      <w:r>
        <w:rPr>
          <w:spacing w:val="-104"/>
        </w:rPr>
        <w:t> </w:t>
      </w:r>
      <w:r>
        <w:rPr>
          <w:spacing w:val="-104"/>
        </w:rPr>
      </w:r>
      <w:r>
        <w:rPr/>
        <w:t>谋取不正当利益。如发行人必须与本人控制的企业进行关联交易，则本人承诺， 均严格履行相关法律程序，遵照市场公平交易的原则进行，将促使交易的价格、 </w:t>
      </w:r>
      <w:r>
        <w:rPr>
          <w:spacing w:val="-3"/>
        </w:rPr>
        <w:t>相关协议条款和交易条件公平合理，不会要求发行人给予与第三人的条件相比更</w:t>
      </w:r>
      <w:r>
        <w:rPr>
          <w:spacing w:val="-104"/>
        </w:rPr>
        <w:t> </w:t>
      </w:r>
      <w:r>
        <w:rPr>
          <w:spacing w:val="-104"/>
        </w:rPr>
      </w:r>
      <w:r>
        <w:rPr/>
        <w:t>优惠的条件。</w:t>
      </w:r>
    </w:p>
    <w:p>
      <w:pPr>
        <w:pStyle w:val="BodyText"/>
        <w:spacing w:line="372" w:lineRule="auto" w:before="41"/>
        <w:ind w:left="217" w:right="215" w:firstLine="480"/>
        <w:jc w:val="both"/>
        <w:rPr>
          <w:rFonts w:ascii="宋体" w:hAnsi="宋体" w:cs="宋体" w:eastAsia="宋体" w:hint="default"/>
        </w:rPr>
      </w:pPr>
      <w:r>
        <w:rPr>
          <w:spacing w:val="-3"/>
        </w:rPr>
        <w:t>本人愿意承担因违反上述承诺而给发行人造成的全部经济损失。本承诺持续</w:t>
      </w:r>
      <w:r>
        <w:rPr/>
        <w:t> 有效且不可变更或撤消。特此承诺。</w:t>
      </w:r>
      <w:r>
        <w:rPr>
          <w:rFonts w:ascii="宋体" w:hAnsi="宋体" w:cs="宋体" w:eastAsia="宋体" w:hint="default"/>
        </w:rPr>
        <w:t>”</w:t>
      </w:r>
    </w:p>
    <w:p>
      <w:pPr>
        <w:pStyle w:val="BodyText"/>
        <w:spacing w:line="374" w:lineRule="auto" w:before="43"/>
        <w:ind w:left="217" w:right="219" w:firstLine="439"/>
        <w:jc w:val="both"/>
      </w:pPr>
      <w:r>
        <w:rPr>
          <w:spacing w:val="-2"/>
        </w:rPr>
        <w:t>报告期内，公司控股股东、实际控制人信守承诺，未发生与公司同业竞争的</w:t>
      </w:r>
      <w:r>
        <w:rPr/>
        <w:t> 行为。</w:t>
      </w:r>
    </w:p>
    <w:p>
      <w:pPr>
        <w:pStyle w:val="Heading3"/>
        <w:spacing w:line="240" w:lineRule="auto" w:before="91"/>
        <w:ind w:left="217" w:right="208"/>
        <w:jc w:val="left"/>
        <w:rPr>
          <w:b w:val="0"/>
          <w:bCs w:val="0"/>
        </w:rPr>
      </w:pPr>
      <w:r>
        <w:rPr/>
        <w:t>八、聘任会计师事务所情况</w:t>
      </w:r>
      <w:r>
        <w:rPr>
          <w:b w:val="0"/>
          <w:bCs w:val="0"/>
        </w:rPr>
      </w:r>
    </w:p>
    <w:p>
      <w:pPr>
        <w:spacing w:after="0" w:line="240" w:lineRule="auto"/>
        <w:jc w:val="left"/>
        <w:sectPr>
          <w:pgSz w:w="11910" w:h="16840"/>
          <w:pgMar w:header="850" w:footer="979" w:top="1380" w:bottom="1160" w:left="1580" w:right="1580"/>
        </w:sectPr>
      </w:pPr>
    </w:p>
    <w:p>
      <w:pPr>
        <w:pStyle w:val="BodyText"/>
        <w:spacing w:line="374" w:lineRule="auto" w:before="105"/>
        <w:ind w:left="217" w:right="453" w:firstLine="480"/>
        <w:jc w:val="both"/>
      </w:pPr>
      <w:r>
        <w:rPr/>
        <w:t>经公司</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24</w:t>
      </w:r>
      <w:r>
        <w:rPr/>
        <w:t>日召开的</w:t>
      </w:r>
      <w:r>
        <w:rPr>
          <w:rFonts w:ascii="宋体" w:hAnsi="宋体" w:cs="宋体" w:eastAsia="宋体" w:hint="default"/>
        </w:rPr>
        <w:t>2009</w:t>
      </w:r>
      <w:r>
        <w:rPr/>
        <w:t>年度股东大会审议通过，公司聘任中瑞岳 </w:t>
      </w:r>
      <w:r>
        <w:rPr>
          <w:spacing w:val="-3"/>
        </w:rPr>
        <w:t>华会计师事务所有限公司为公司</w:t>
      </w:r>
      <w:r>
        <w:rPr>
          <w:rFonts w:ascii="宋体" w:hAnsi="宋体" w:cs="宋体" w:eastAsia="宋体" w:hint="default"/>
          <w:spacing w:val="-3"/>
        </w:rPr>
        <w:t>2010</w:t>
      </w:r>
      <w:r>
        <w:rPr>
          <w:spacing w:val="-3"/>
        </w:rPr>
        <w:t>年度审计机构，聘期一年。</w:t>
      </w:r>
      <w:r>
        <w:rPr>
          <w:rFonts w:ascii="宋体" w:hAnsi="宋体" w:cs="宋体" w:eastAsia="宋体" w:hint="default"/>
          <w:spacing w:val="-3"/>
        </w:rPr>
        <w:t>2010</w:t>
      </w:r>
      <w:r>
        <w:rPr>
          <w:spacing w:val="-3"/>
        </w:rPr>
        <w:t>年度审计费</w:t>
      </w:r>
      <w:r>
        <w:rPr>
          <w:spacing w:val="-94"/>
        </w:rPr>
        <w:t> </w:t>
      </w:r>
      <w:r>
        <w:rPr>
          <w:spacing w:val="-3"/>
        </w:rPr>
        <w:t>用为</w:t>
      </w:r>
      <w:r>
        <w:rPr>
          <w:rFonts w:ascii="宋体" w:hAnsi="宋体" w:cs="宋体" w:eastAsia="宋体" w:hint="default"/>
          <w:spacing w:val="-3"/>
        </w:rPr>
        <w:t>30</w:t>
      </w:r>
      <w:r>
        <w:rPr>
          <w:spacing w:val="-3"/>
        </w:rPr>
        <w:t>万元人民币。截至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日，中瑞岳华会计师事务所有限公司已为</w:t>
      </w:r>
      <w:r>
        <w:rPr>
          <w:spacing w:val="-88"/>
        </w:rPr>
        <w:t> </w:t>
      </w:r>
      <w:r>
        <w:rPr>
          <w:spacing w:val="-88"/>
        </w:rPr>
      </w:r>
      <w:r>
        <w:rPr/>
        <w:t>公司连续提供审计服务</w:t>
      </w:r>
      <w:r>
        <w:rPr>
          <w:rFonts w:ascii="宋体" w:hAnsi="宋体" w:cs="宋体" w:eastAsia="宋体" w:hint="default"/>
        </w:rPr>
        <w:t>3</w:t>
      </w:r>
      <w:r>
        <w:rPr/>
        <w:t>年。</w:t>
      </w:r>
    </w:p>
    <w:p>
      <w:pPr>
        <w:pStyle w:val="Heading3"/>
        <w:spacing w:line="240" w:lineRule="auto" w:before="204"/>
        <w:ind w:left="217" w:right="0"/>
        <w:jc w:val="left"/>
        <w:rPr>
          <w:b w:val="0"/>
          <w:bCs w:val="0"/>
        </w:rPr>
      </w:pPr>
      <w:r>
        <w:rPr/>
        <w:t>九、受监管部门处罚、通报批评、公开谴责等情况</w:t>
      </w:r>
      <w:r>
        <w:rPr>
          <w:b w:val="0"/>
          <w:bCs w:val="0"/>
        </w:rPr>
      </w:r>
    </w:p>
    <w:p>
      <w:pPr>
        <w:spacing w:line="240" w:lineRule="auto" w:before="12"/>
        <w:rPr>
          <w:rFonts w:ascii="宋体" w:hAnsi="宋体" w:cs="宋体" w:eastAsia="宋体" w:hint="default"/>
          <w:b/>
          <w:bCs/>
          <w:sz w:val="25"/>
          <w:szCs w:val="25"/>
        </w:rPr>
      </w:pPr>
    </w:p>
    <w:p>
      <w:pPr>
        <w:pStyle w:val="BodyText"/>
        <w:spacing w:line="374" w:lineRule="auto"/>
        <w:ind w:left="217" w:right="453" w:firstLine="480"/>
        <w:jc w:val="both"/>
      </w:pPr>
      <w:r>
        <w:rPr>
          <w:spacing w:val="-3"/>
        </w:rPr>
        <w:t>报告期内，公司及公司董事、监事、高级管理人员、公司股东未受到中国证</w:t>
      </w:r>
      <w:r>
        <w:rPr/>
        <w:t> </w:t>
      </w:r>
      <w:r>
        <w:rPr>
          <w:spacing w:val="-3"/>
        </w:rPr>
        <w:t>监会的稽查、行政处罚、通报批评，也没有被其他行政管理部门处罚及证券交易</w:t>
      </w:r>
      <w:r>
        <w:rPr>
          <w:spacing w:val="-102"/>
        </w:rPr>
        <w:t> </w:t>
      </w:r>
      <w:r>
        <w:rPr>
          <w:spacing w:val="-102"/>
        </w:rPr>
      </w:r>
      <w:r>
        <w:rPr>
          <w:spacing w:val="-3"/>
        </w:rPr>
        <w:t>所公开谴责的情况，公司董事、监事、高级管理人员、公司股东没有被采取司法</w:t>
      </w:r>
      <w:r>
        <w:rPr>
          <w:spacing w:val="-103"/>
        </w:rPr>
        <w:t> </w:t>
      </w:r>
      <w:r>
        <w:rPr>
          <w:spacing w:val="-103"/>
        </w:rPr>
      </w:r>
      <w:r>
        <w:rPr/>
        <w:t>强制措施的情况。</w:t>
      </w:r>
    </w:p>
    <w:p>
      <w:pPr>
        <w:pStyle w:val="Heading3"/>
        <w:spacing w:line="240" w:lineRule="auto" w:before="204"/>
        <w:ind w:left="217" w:right="0"/>
        <w:jc w:val="left"/>
        <w:rPr>
          <w:b w:val="0"/>
          <w:bCs w:val="0"/>
        </w:rPr>
      </w:pPr>
      <w:r>
        <w:rPr/>
        <w:t>十、报告期内公司信息披露情况索引</w:t>
      </w:r>
      <w:r>
        <w:rPr>
          <w:b w:val="0"/>
          <w:bCs w:val="0"/>
        </w:rPr>
      </w:r>
    </w:p>
    <w:p>
      <w:pPr>
        <w:spacing w:line="240" w:lineRule="auto" w:before="11"/>
        <w:rPr>
          <w:rFonts w:ascii="宋体" w:hAnsi="宋体" w:cs="宋体" w:eastAsia="宋体" w:hint="default"/>
          <w:b/>
          <w:bCs/>
          <w:sz w:val="21"/>
          <w:szCs w:val="21"/>
        </w:rPr>
      </w:pPr>
    </w:p>
    <w:tbl>
      <w:tblPr>
        <w:tblW w:w="0" w:type="auto"/>
        <w:jc w:val="left"/>
        <w:tblInd w:w="104" w:type="dxa"/>
        <w:tblLayout w:type="fixed"/>
        <w:tblCellMar>
          <w:top w:w="0" w:type="dxa"/>
          <w:left w:w="0" w:type="dxa"/>
          <w:bottom w:w="0" w:type="dxa"/>
          <w:right w:w="0" w:type="dxa"/>
        </w:tblCellMar>
        <w:tblLook w:val="01E0"/>
      </w:tblPr>
      <w:tblGrid>
        <w:gridCol w:w="468"/>
        <w:gridCol w:w="1080"/>
        <w:gridCol w:w="4320"/>
        <w:gridCol w:w="1447"/>
        <w:gridCol w:w="1433"/>
      </w:tblGrid>
      <w:tr>
        <w:trPr>
          <w:trHeight w:val="1039" w:hRule="exact"/>
        </w:trPr>
        <w:tc>
          <w:tcPr>
            <w:tcW w:w="46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126"/>
              <w:ind w:left="122"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08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432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447"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pacing w:val="-1"/>
                <w:sz w:val="21"/>
                <w:szCs w:val="21"/>
              </w:rPr>
              <w:t>公告时间</w:t>
            </w:r>
          </w:p>
        </w:tc>
        <w:tc>
          <w:tcPr>
            <w:tcW w:w="1433"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290"/>
              <w:jc w:val="right"/>
              <w:rPr>
                <w:rFonts w:ascii="宋体" w:hAnsi="宋体" w:cs="宋体" w:eastAsia="宋体" w:hint="default"/>
                <w:sz w:val="21"/>
                <w:szCs w:val="21"/>
              </w:rPr>
            </w:pPr>
            <w:r>
              <w:rPr>
                <w:rFonts w:ascii="宋体" w:hAnsi="宋体" w:cs="宋体" w:eastAsia="宋体" w:hint="default"/>
                <w:spacing w:val="-1"/>
                <w:sz w:val="21"/>
                <w:szCs w:val="21"/>
              </w:rPr>
              <w:t>刊登媒体</w:t>
            </w:r>
          </w:p>
        </w:tc>
      </w:tr>
      <w:tr>
        <w:trPr>
          <w:trHeight w:val="54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2010-001</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关于办公地址变更的公告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2010-05-04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w w:val="100"/>
                <w:sz w:val="21"/>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55"/>
              <w:jc w:val="center"/>
              <w:rPr>
                <w:rFonts w:ascii="Times New Roman" w:hAnsi="Times New Roman" w:cs="Times New Roman" w:eastAsia="Times New Roman" w:hint="default"/>
                <w:sz w:val="21"/>
                <w:szCs w:val="21"/>
              </w:rPr>
            </w:pPr>
            <w:r>
              <w:rPr>
                <w:rFonts w:ascii="Times New Roman"/>
                <w:sz w:val="21"/>
              </w:rPr>
              <w:t>2010-002</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关于第一届董事会第七次会议决议的公告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353"/>
              <w:jc w:val="right"/>
              <w:rPr>
                <w:rFonts w:ascii="Times New Roman" w:hAnsi="Times New Roman" w:cs="Times New Roman" w:eastAsia="Times New Roman" w:hint="default"/>
                <w:sz w:val="21"/>
                <w:szCs w:val="21"/>
              </w:rPr>
            </w:pPr>
            <w:r>
              <w:rPr>
                <w:rFonts w:ascii="Times New Roman"/>
                <w:spacing w:val="-1"/>
                <w:sz w:val="21"/>
              </w:rPr>
              <w:t>2010-05-21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2010-003</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关于签署三方监管协议的公告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2010-05-21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2010-004</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关于第一届董事会第八次会议决议的公告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2010-05-28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4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2010-005</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关于第一届监事会第四次会议决议的公告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2010-05-28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6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55"/>
              <w:jc w:val="center"/>
              <w:rPr>
                <w:rFonts w:ascii="Times New Roman" w:hAnsi="Times New Roman" w:cs="Times New Roman" w:eastAsia="Times New Roman" w:hint="default"/>
                <w:sz w:val="21"/>
                <w:szCs w:val="21"/>
              </w:rPr>
            </w:pPr>
            <w:r>
              <w:rPr>
                <w:rFonts w:ascii="Times New Roman"/>
                <w:sz w:val="21"/>
              </w:rPr>
              <w:t>2010-006</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210"/>
              <w:jc w:val="left"/>
              <w:rPr>
                <w:rFonts w:ascii="宋体" w:hAnsi="宋体" w:cs="宋体" w:eastAsia="宋体" w:hint="default"/>
                <w:sz w:val="21"/>
                <w:szCs w:val="21"/>
              </w:rPr>
            </w:pPr>
            <w:r>
              <w:rPr>
                <w:rFonts w:ascii="宋体" w:hAnsi="宋体" w:cs="宋体" w:eastAsia="宋体" w:hint="default"/>
                <w:spacing w:val="-2"/>
                <w:sz w:val="21"/>
                <w:szCs w:val="21"/>
              </w:rPr>
              <w:t>关于公司用部分闲置资金临时补充流动资金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353"/>
              <w:jc w:val="right"/>
              <w:rPr>
                <w:rFonts w:ascii="Times New Roman" w:hAnsi="Times New Roman" w:cs="Times New Roman" w:eastAsia="Times New Roman" w:hint="default"/>
                <w:sz w:val="21"/>
                <w:szCs w:val="21"/>
              </w:rPr>
            </w:pPr>
            <w:r>
              <w:rPr>
                <w:rFonts w:ascii="Times New Roman"/>
                <w:spacing w:val="-1"/>
                <w:sz w:val="21"/>
              </w:rPr>
              <w:t>2010-05-28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2010-007</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关于第一届董事会第九次会议决议的公告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2010-06-02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2010-008</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关于第一届监事会第五次会议决议的公告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2010-06-02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4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w w:val="100"/>
                <w:sz w:val="21"/>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2010-009</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年年度股东大会的通知</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2010-06-02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sz w:val="21"/>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55"/>
              <w:jc w:val="center"/>
              <w:rPr>
                <w:rFonts w:ascii="Times New Roman" w:hAnsi="Times New Roman" w:cs="Times New Roman" w:eastAsia="Times New Roman" w:hint="default"/>
                <w:sz w:val="21"/>
                <w:szCs w:val="21"/>
              </w:rPr>
            </w:pPr>
            <w:r>
              <w:rPr>
                <w:rFonts w:ascii="Times New Roman"/>
                <w:sz w:val="21"/>
              </w:rPr>
              <w:t>2010-010</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353"/>
              <w:jc w:val="right"/>
              <w:rPr>
                <w:rFonts w:ascii="Times New Roman" w:hAnsi="Times New Roman" w:cs="Times New Roman" w:eastAsia="Times New Roman" w:hint="default"/>
                <w:sz w:val="21"/>
                <w:szCs w:val="21"/>
              </w:rPr>
            </w:pPr>
            <w:r>
              <w:rPr>
                <w:rFonts w:ascii="Times New Roman"/>
                <w:spacing w:val="-1"/>
                <w:sz w:val="21"/>
              </w:rPr>
              <w:t>2010-06-02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2010-011</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2010-07-10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2010-012</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2010-07-22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5"/>
              <w:jc w:val="center"/>
              <w:rPr>
                <w:rFonts w:ascii="Times New Roman" w:hAnsi="Times New Roman" w:cs="Times New Roman" w:eastAsia="Times New Roman" w:hint="default"/>
                <w:sz w:val="21"/>
                <w:szCs w:val="21"/>
              </w:rPr>
            </w:pPr>
            <w:r>
              <w:rPr>
                <w:rFonts w:ascii="Times New Roman"/>
                <w:sz w:val="21"/>
              </w:rPr>
              <w:t>2010-013</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年半年度报告摘要</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353"/>
              <w:jc w:val="right"/>
              <w:rPr>
                <w:rFonts w:ascii="Times New Roman" w:hAnsi="Times New Roman" w:cs="Times New Roman" w:eastAsia="Times New Roman" w:hint="default"/>
                <w:sz w:val="21"/>
                <w:szCs w:val="21"/>
              </w:rPr>
            </w:pPr>
            <w:r>
              <w:rPr>
                <w:rFonts w:ascii="Times New Roman"/>
                <w:spacing w:val="-1"/>
                <w:sz w:val="21"/>
              </w:rPr>
              <w:t>2010-07-31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6"/>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spacing w:after="0" w:line="240" w:lineRule="auto"/>
        <w:jc w:val="right"/>
        <w:rPr>
          <w:rFonts w:ascii="宋体" w:hAnsi="宋体" w:cs="宋体" w:eastAsia="宋体" w:hint="default"/>
          <w:sz w:val="21"/>
          <w:szCs w:val="21"/>
        </w:rPr>
        <w:sectPr>
          <w:pgSz w:w="11910" w:h="16840"/>
          <w:pgMar w:header="850" w:footer="979" w:top="1380" w:bottom="1160" w:left="1580" w:right="1340"/>
        </w:sectPr>
      </w:pPr>
    </w:p>
    <w:p>
      <w:pPr>
        <w:spacing w:line="240" w:lineRule="auto" w:before="9"/>
        <w:rPr>
          <w:rFonts w:ascii="Times New Roman" w:hAnsi="Times New Roman" w:cs="Times New Roman" w:eastAsia="Times New Roman"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68"/>
        <w:gridCol w:w="1080"/>
        <w:gridCol w:w="4320"/>
        <w:gridCol w:w="1447"/>
        <w:gridCol w:w="1433"/>
      </w:tblGrid>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2010-014</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第一届董事会第十次会议的公告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2010-07-31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2010-015</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关于第一届监事会第六次会议决议的公告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2010-07-31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6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03" w:right="0"/>
              <w:jc w:val="left"/>
              <w:rPr>
                <w:rFonts w:ascii="Times New Roman" w:hAnsi="Times New Roman" w:cs="Times New Roman" w:eastAsia="Times New Roman" w:hint="default"/>
                <w:sz w:val="21"/>
                <w:szCs w:val="21"/>
              </w:rPr>
            </w:pPr>
            <w:r>
              <w:rPr>
                <w:rFonts w:ascii="Times New Roman"/>
                <w:sz w:val="21"/>
              </w:rPr>
              <w:t>2010-016</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210"/>
              <w:jc w:val="left"/>
              <w:rPr>
                <w:rFonts w:ascii="宋体" w:hAnsi="宋体" w:cs="宋体" w:eastAsia="宋体" w:hint="default"/>
                <w:sz w:val="21"/>
                <w:szCs w:val="21"/>
              </w:rPr>
            </w:pPr>
            <w:r>
              <w:rPr>
                <w:rFonts w:ascii="宋体" w:hAnsi="宋体" w:cs="宋体" w:eastAsia="宋体" w:hint="default"/>
                <w:spacing w:val="-2"/>
                <w:sz w:val="21"/>
                <w:szCs w:val="21"/>
              </w:rPr>
              <w:t>关于以募集资金置换预先已投入募集资金投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资项目的自筹资金的公告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03" w:right="0"/>
              <w:jc w:val="left"/>
              <w:rPr>
                <w:rFonts w:ascii="Times New Roman" w:hAnsi="Times New Roman" w:cs="Times New Roman" w:eastAsia="Times New Roman" w:hint="default"/>
                <w:sz w:val="21"/>
                <w:szCs w:val="21"/>
              </w:rPr>
            </w:pPr>
            <w:r>
              <w:rPr>
                <w:rFonts w:ascii="Times New Roman"/>
                <w:sz w:val="21"/>
              </w:rPr>
              <w:t>2010-07-31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2010-017</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第一届董事会第十一次会议的公告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2010-09-21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62"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2010-018</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10"/>
              <w:jc w:val="left"/>
              <w:rPr>
                <w:rFonts w:ascii="宋体" w:hAnsi="宋体" w:cs="宋体" w:eastAsia="宋体" w:hint="default"/>
                <w:sz w:val="21"/>
                <w:szCs w:val="21"/>
              </w:rPr>
            </w:pPr>
            <w:r>
              <w:rPr>
                <w:rFonts w:ascii="宋体" w:hAnsi="宋体" w:cs="宋体" w:eastAsia="宋体" w:hint="default"/>
                <w:spacing w:val="-2"/>
                <w:sz w:val="21"/>
                <w:szCs w:val="21"/>
              </w:rPr>
              <w:t>关于首次公开发行股票募集资金中其他与主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营业务相关的营运资金使用相关事项的公告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2010-10-20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2010-020</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年第三季度季度报告正文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2010-10-26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4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2010-021</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第一届董事会第十二次会议的公告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2010-10-26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Times New Roman" w:hAnsi="Times New Roman" w:cs="Times New Roman" w:eastAsia="Times New Roman" w:hint="default"/>
                <w:sz w:val="21"/>
                <w:szCs w:val="21"/>
              </w:rPr>
            </w:pPr>
            <w:r>
              <w:rPr>
                <w:rFonts w:ascii="Times New Roman"/>
                <w:sz w:val="21"/>
              </w:rPr>
              <w:t>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03" w:right="0"/>
              <w:jc w:val="left"/>
              <w:rPr>
                <w:rFonts w:ascii="Times New Roman" w:hAnsi="Times New Roman" w:cs="Times New Roman" w:eastAsia="Times New Roman" w:hint="default"/>
                <w:sz w:val="21"/>
                <w:szCs w:val="21"/>
              </w:rPr>
            </w:pPr>
            <w:r>
              <w:rPr>
                <w:rFonts w:ascii="Times New Roman"/>
                <w:sz w:val="21"/>
              </w:rPr>
              <w:t>2010-022</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关于第一届监事会第七次会议决议的公告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03" w:right="0"/>
              <w:jc w:val="left"/>
              <w:rPr>
                <w:rFonts w:ascii="Times New Roman" w:hAnsi="Times New Roman" w:cs="Times New Roman" w:eastAsia="Times New Roman" w:hint="default"/>
                <w:sz w:val="21"/>
                <w:szCs w:val="21"/>
              </w:rPr>
            </w:pPr>
            <w:r>
              <w:rPr>
                <w:rFonts w:ascii="Times New Roman"/>
                <w:sz w:val="21"/>
              </w:rPr>
              <w:t>2010-10-26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0"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1"/>
                <w:szCs w:val="21"/>
              </w:rPr>
            </w:pPr>
            <w:r>
              <w:rPr>
                <w:rFonts w:ascii="Times New Roman"/>
                <w:sz w:val="21"/>
              </w:rPr>
              <w:t>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2010-023</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1"/>
                <w:szCs w:val="21"/>
              </w:rPr>
            </w:pPr>
            <w:r>
              <w:rPr>
                <w:rFonts w:ascii="Times New Roman"/>
                <w:sz w:val="21"/>
              </w:rPr>
              <w:t>2010-11-25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left"/>
        <w:rPr>
          <w:rFonts w:ascii="宋体" w:hAnsi="宋体" w:cs="宋体" w:eastAsia="宋体" w:hint="default"/>
          <w:sz w:val="21"/>
          <w:szCs w:val="21"/>
        </w:rPr>
        <w:sectPr>
          <w:pgSz w:w="11910" w:h="16840"/>
          <w:pgMar w:header="850" w:footer="979" w:top="1380" w:bottom="1160" w:left="1580" w:right="1340"/>
        </w:sectPr>
      </w:pPr>
    </w:p>
    <w:p>
      <w:pPr>
        <w:spacing w:line="240" w:lineRule="auto" w:before="3"/>
        <w:rPr>
          <w:rFonts w:ascii="Times New Roman" w:hAnsi="Times New Roman" w:cs="Times New Roman" w:eastAsia="Times New Roman" w:hint="default"/>
          <w:sz w:val="12"/>
          <w:szCs w:val="12"/>
        </w:rPr>
      </w:pPr>
    </w:p>
    <w:p>
      <w:pPr>
        <w:pStyle w:val="Heading2"/>
        <w:spacing w:line="240" w:lineRule="auto"/>
        <w:ind w:left="3255" w:right="769"/>
        <w:jc w:val="left"/>
        <w:rPr>
          <w:b w:val="0"/>
          <w:bCs w:val="0"/>
        </w:rPr>
      </w:pPr>
      <w:bookmarkStart w:name="第五节 股本变动及股东情况" w:id="9"/>
      <w:bookmarkEnd w:id="9"/>
      <w:r>
        <w:rPr>
          <w:b w:val="0"/>
          <w:bCs w:val="0"/>
        </w:rPr>
      </w:r>
      <w:bookmarkStart w:name="_bookmark4" w:id="10"/>
      <w:bookmarkEnd w:id="10"/>
      <w:r>
        <w:rPr>
          <w:b w:val="0"/>
          <w:bCs w:val="0"/>
        </w:rPr>
      </w:r>
      <w:r>
        <w:rPr/>
        <w:t>第五节 股本变动及股东情况</w:t>
      </w:r>
      <w:r>
        <w:rPr>
          <w:b w:val="0"/>
          <w:bCs w:val="0"/>
        </w:rPr>
      </w:r>
    </w:p>
    <w:p>
      <w:pPr>
        <w:spacing w:line="240" w:lineRule="auto" w:before="8"/>
        <w:rPr>
          <w:rFonts w:ascii="宋体" w:hAnsi="宋体" w:cs="宋体" w:eastAsia="宋体" w:hint="default"/>
          <w:b/>
          <w:bCs/>
          <w:sz w:val="30"/>
          <w:szCs w:val="30"/>
        </w:rPr>
      </w:pPr>
    </w:p>
    <w:p>
      <w:pPr>
        <w:spacing w:before="0"/>
        <w:ind w:left="857" w:right="769" w:firstLine="0"/>
        <w:jc w:val="left"/>
        <w:rPr>
          <w:rFonts w:ascii="宋体" w:hAnsi="宋体" w:cs="宋体" w:eastAsia="宋体" w:hint="default"/>
          <w:sz w:val="24"/>
          <w:szCs w:val="24"/>
        </w:rPr>
      </w:pPr>
      <w:r>
        <w:rPr>
          <w:rFonts w:ascii="宋体" w:hAnsi="宋体" w:cs="宋体" w:eastAsia="宋体" w:hint="default"/>
          <w:b/>
          <w:bCs/>
          <w:sz w:val="24"/>
          <w:szCs w:val="24"/>
        </w:rPr>
        <w:t>一、股份变动情况（截至</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12</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p>
      <w:pPr>
        <w:spacing w:line="240" w:lineRule="auto" w:before="4"/>
        <w:rPr>
          <w:rFonts w:ascii="宋体" w:hAnsi="宋体" w:cs="宋体" w:eastAsia="宋体" w:hint="default"/>
          <w:b/>
          <w:bCs/>
          <w:sz w:val="24"/>
          <w:szCs w:val="24"/>
        </w:rPr>
      </w:pPr>
    </w:p>
    <w:p>
      <w:pPr>
        <w:spacing w:before="0"/>
        <w:ind w:left="1340" w:right="769" w:firstLine="0"/>
        <w:jc w:val="left"/>
        <w:rPr>
          <w:rFonts w:ascii="宋体" w:hAnsi="宋体" w:cs="宋体" w:eastAsia="宋体" w:hint="default"/>
          <w:sz w:val="24"/>
          <w:szCs w:val="24"/>
        </w:rPr>
      </w:pPr>
      <w:r>
        <w:rPr>
          <w:rFonts w:ascii="宋体" w:hAnsi="宋体" w:cs="宋体" w:eastAsia="宋体" w:hint="default"/>
          <w:b/>
          <w:bCs/>
          <w:sz w:val="24"/>
          <w:szCs w:val="24"/>
        </w:rPr>
        <w:t>（一）股份变动情况表</w:t>
      </w:r>
      <w:r>
        <w:rPr>
          <w:rFonts w:ascii="宋体" w:hAnsi="宋体" w:cs="宋体" w:eastAsia="宋体" w:hint="default"/>
          <w:sz w:val="24"/>
          <w:szCs w:val="24"/>
        </w:rPr>
      </w:r>
    </w:p>
    <w:p>
      <w:pPr>
        <w:spacing w:line="240" w:lineRule="auto" w:before="6"/>
        <w:rPr>
          <w:rFonts w:ascii="宋体" w:hAnsi="宋体" w:cs="宋体" w:eastAsia="宋体" w:hint="default"/>
          <w:b/>
          <w:bCs/>
          <w:sz w:val="11"/>
          <w:szCs w:val="11"/>
        </w:rPr>
      </w:pPr>
    </w:p>
    <w:p>
      <w:pPr>
        <w:pStyle w:val="BodyText"/>
        <w:spacing w:line="240" w:lineRule="auto" w:before="26"/>
        <w:ind w:left="0" w:right="875"/>
        <w:jc w:val="right"/>
      </w:pPr>
      <w:r>
        <w:rPr/>
        <w:t>单位：股</w:t>
      </w:r>
    </w:p>
    <w:p>
      <w:pPr>
        <w:spacing w:line="240" w:lineRule="auto" w:before="7"/>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447"/>
        <w:gridCol w:w="1090"/>
        <w:gridCol w:w="910"/>
        <w:gridCol w:w="1130"/>
        <w:gridCol w:w="689"/>
        <w:gridCol w:w="912"/>
        <w:gridCol w:w="526"/>
        <w:gridCol w:w="1135"/>
        <w:gridCol w:w="1068"/>
        <w:gridCol w:w="910"/>
      </w:tblGrid>
      <w:tr>
        <w:trPr>
          <w:trHeight w:val="336" w:hRule="exact"/>
        </w:trPr>
        <w:tc>
          <w:tcPr>
            <w:tcW w:w="1447" w:type="dxa"/>
            <w:tcBorders>
              <w:top w:val="single" w:sz="4" w:space="0" w:color="000000"/>
              <w:left w:val="single" w:sz="4" w:space="0" w:color="000000"/>
              <w:bottom w:val="nil" w:sz="6" w:space="0" w:color="auto"/>
              <w:right w:val="single" w:sz="4" w:space="0" w:color="000000"/>
            </w:tcBorders>
            <w:shd w:val="clear" w:color="auto" w:fill="DDDDDD"/>
          </w:tcPr>
          <w:p>
            <w:pP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2"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exact"/>
              <w:ind w:left="114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45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8" w:hRule="exact"/>
        </w:trPr>
        <w:tc>
          <w:tcPr>
            <w:tcW w:w="1447" w:type="dxa"/>
            <w:vMerge w:val="restart"/>
            <w:tcBorders>
              <w:top w:val="nil" w:sz="6" w:space="0" w:color="auto"/>
              <w:left w:val="single" w:sz="4" w:space="0" w:color="000000"/>
              <w:right w:val="single" w:sz="4" w:space="0" w:color="000000"/>
            </w:tcBorders>
            <w:shd w:val="clear" w:color="auto" w:fill="DDDDDD"/>
          </w:tcPr>
          <w:p>
            <w:pPr/>
          </w:p>
        </w:tc>
        <w:tc>
          <w:tcPr>
            <w:tcW w:w="1090" w:type="dxa"/>
            <w:tcBorders>
              <w:top w:val="single" w:sz="4" w:space="0" w:color="000000"/>
              <w:left w:val="single" w:sz="4" w:space="0" w:color="000000"/>
              <w:bottom w:val="nil" w:sz="6" w:space="0" w:color="auto"/>
              <w:right w:val="single" w:sz="4" w:space="0" w:color="000000"/>
            </w:tcBorders>
            <w:shd w:val="clear" w:color="auto" w:fill="DDDDDD"/>
          </w:tcPr>
          <w:p>
            <w:pPr/>
          </w:p>
        </w:tc>
        <w:tc>
          <w:tcPr>
            <w:tcW w:w="910" w:type="dxa"/>
            <w:tcBorders>
              <w:top w:val="single" w:sz="4" w:space="0" w:color="000000"/>
              <w:left w:val="single" w:sz="4" w:space="0" w:color="000000"/>
              <w:bottom w:val="nil" w:sz="6" w:space="0" w:color="auto"/>
              <w:right w:val="single" w:sz="4" w:space="0" w:color="000000"/>
            </w:tcBorders>
            <w:shd w:val="clear" w:color="auto" w:fill="DDDDDD"/>
          </w:tcPr>
          <w:p>
            <w:pPr/>
          </w:p>
        </w:tc>
        <w:tc>
          <w:tcPr>
            <w:tcW w:w="1130" w:type="dxa"/>
            <w:tcBorders>
              <w:top w:val="single" w:sz="4" w:space="0" w:color="000000"/>
              <w:left w:val="single" w:sz="4" w:space="0" w:color="000000"/>
              <w:bottom w:val="nil" w:sz="6" w:space="0" w:color="auto"/>
              <w:right w:val="single" w:sz="4" w:space="0" w:color="000000"/>
            </w:tcBorders>
            <w:shd w:val="clear" w:color="auto" w:fill="DDDDDD"/>
          </w:tcPr>
          <w:p>
            <w:pPr/>
          </w:p>
        </w:tc>
        <w:tc>
          <w:tcPr>
            <w:tcW w:w="689" w:type="dxa"/>
            <w:tcBorders>
              <w:top w:val="single" w:sz="4" w:space="0" w:color="000000"/>
              <w:left w:val="single" w:sz="4" w:space="0" w:color="000000"/>
              <w:bottom w:val="nil" w:sz="6" w:space="0" w:color="auto"/>
              <w:right w:val="single" w:sz="4" w:space="0" w:color="000000"/>
            </w:tcBorders>
            <w:shd w:val="clear" w:color="auto" w:fill="DDDDDD"/>
          </w:tcPr>
          <w:p>
            <w:pPr/>
          </w:p>
        </w:tc>
        <w:tc>
          <w:tcPr>
            <w:tcW w:w="912" w:type="dxa"/>
            <w:vMerge w:val="restart"/>
            <w:tcBorders>
              <w:top w:val="single" w:sz="4" w:space="0" w:color="000000"/>
              <w:left w:val="single" w:sz="4" w:space="0" w:color="000000"/>
              <w:right w:val="single" w:sz="4" w:space="0" w:color="000000"/>
            </w:tcBorders>
            <w:shd w:val="clear" w:color="auto" w:fill="DDDDDD"/>
          </w:tcPr>
          <w:p>
            <w:pPr>
              <w:pStyle w:val="TableParagraph"/>
              <w:spacing w:line="285" w:lineRule="auto"/>
              <w:ind w:left="345" w:right="26"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26" w:type="dxa"/>
            <w:tcBorders>
              <w:top w:val="single" w:sz="4" w:space="0" w:color="000000"/>
              <w:left w:val="single" w:sz="4" w:space="0" w:color="000000"/>
              <w:bottom w:val="nil" w:sz="6" w:space="0" w:color="auto"/>
              <w:right w:val="single" w:sz="4" w:space="0" w:color="000000"/>
            </w:tcBorders>
            <w:shd w:val="clear" w:color="auto" w:fill="DDDDDD"/>
          </w:tcPr>
          <w:p>
            <w:pPr/>
          </w:p>
        </w:tc>
        <w:tc>
          <w:tcPr>
            <w:tcW w:w="1135" w:type="dxa"/>
            <w:tcBorders>
              <w:top w:val="single" w:sz="4" w:space="0" w:color="000000"/>
              <w:left w:val="single" w:sz="4" w:space="0" w:color="000000"/>
              <w:bottom w:val="nil" w:sz="6" w:space="0" w:color="auto"/>
              <w:right w:val="single" w:sz="4" w:space="0" w:color="000000"/>
            </w:tcBorders>
            <w:shd w:val="clear" w:color="auto" w:fill="DDDDDD"/>
          </w:tcPr>
          <w:p>
            <w:pPr/>
          </w:p>
        </w:tc>
        <w:tc>
          <w:tcPr>
            <w:tcW w:w="1068" w:type="dxa"/>
            <w:tcBorders>
              <w:top w:val="single" w:sz="4" w:space="0" w:color="000000"/>
              <w:left w:val="single" w:sz="4" w:space="0" w:color="000000"/>
              <w:bottom w:val="nil" w:sz="6" w:space="0" w:color="auto"/>
              <w:right w:val="single" w:sz="4" w:space="0" w:color="000000"/>
            </w:tcBorders>
            <w:shd w:val="clear" w:color="auto" w:fill="DDDDDD"/>
          </w:tcPr>
          <w:p>
            <w:pPr/>
          </w:p>
        </w:tc>
        <w:tc>
          <w:tcPr>
            <w:tcW w:w="910"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58" w:hRule="exact"/>
        </w:trPr>
        <w:tc>
          <w:tcPr>
            <w:tcW w:w="1447" w:type="dxa"/>
            <w:vMerge/>
            <w:tcBorders>
              <w:left w:val="single" w:sz="4" w:space="0" w:color="000000"/>
              <w:bottom w:val="nil" w:sz="6" w:space="0" w:color="auto"/>
              <w:right w:val="single" w:sz="4" w:space="0" w:color="000000"/>
            </w:tcBorders>
            <w:shd w:val="clear" w:color="auto" w:fill="DDDDDD"/>
          </w:tcPr>
          <w:p>
            <w:pPr/>
          </w:p>
        </w:tc>
        <w:tc>
          <w:tcPr>
            <w:tcW w:w="1090"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33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0"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89"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12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2" w:type="dxa"/>
            <w:vMerge/>
            <w:tcBorders>
              <w:left w:val="single" w:sz="4" w:space="0" w:color="000000"/>
              <w:right w:val="single" w:sz="4" w:space="0" w:color="000000"/>
            </w:tcBorders>
            <w:shd w:val="clear" w:color="auto" w:fill="DDDDDD"/>
          </w:tcPr>
          <w:p>
            <w:pPr/>
          </w:p>
        </w:tc>
        <w:tc>
          <w:tcPr>
            <w:tcW w:w="526"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3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68"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DDDDD"/>
          </w:tcPr>
          <w:p>
            <w:pPr>
              <w:pStyle w:val="TableParagraph"/>
              <w:spacing w:line="270" w:lineRule="exact"/>
              <w:ind w:left="23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8" w:hRule="exact"/>
        </w:trPr>
        <w:tc>
          <w:tcPr>
            <w:tcW w:w="1447" w:type="dxa"/>
            <w:vMerge w:val="restart"/>
            <w:tcBorders>
              <w:top w:val="nil" w:sz="6" w:space="0" w:color="auto"/>
              <w:left w:val="single" w:sz="4" w:space="0" w:color="000000"/>
              <w:right w:val="single" w:sz="4" w:space="0" w:color="000000"/>
            </w:tcBorders>
            <w:shd w:val="clear" w:color="auto" w:fill="DDDDDD"/>
          </w:tcPr>
          <w:p>
            <w:pPr/>
          </w:p>
        </w:tc>
        <w:tc>
          <w:tcPr>
            <w:tcW w:w="1090" w:type="dxa"/>
            <w:vMerge/>
            <w:tcBorders>
              <w:left w:val="single" w:sz="4" w:space="0" w:color="000000"/>
              <w:bottom w:val="nil" w:sz="6" w:space="0" w:color="auto"/>
              <w:right w:val="single" w:sz="4" w:space="0" w:color="000000"/>
            </w:tcBorders>
            <w:shd w:val="clear" w:color="auto" w:fill="DDDDDD"/>
          </w:tcPr>
          <w:p>
            <w:pPr/>
          </w:p>
        </w:tc>
        <w:tc>
          <w:tcPr>
            <w:tcW w:w="910" w:type="dxa"/>
            <w:vMerge/>
            <w:tcBorders>
              <w:left w:val="single" w:sz="4" w:space="0" w:color="000000"/>
              <w:bottom w:val="nil" w:sz="6" w:space="0" w:color="auto"/>
              <w:right w:val="single" w:sz="4" w:space="0" w:color="000000"/>
            </w:tcBorders>
            <w:shd w:val="clear" w:color="auto" w:fill="DDDDDD"/>
          </w:tcPr>
          <w:p>
            <w:pPr/>
          </w:p>
        </w:tc>
        <w:tc>
          <w:tcPr>
            <w:tcW w:w="1130" w:type="dxa"/>
            <w:vMerge/>
            <w:tcBorders>
              <w:left w:val="single" w:sz="4" w:space="0" w:color="000000"/>
              <w:bottom w:val="nil" w:sz="6" w:space="0" w:color="auto"/>
              <w:right w:val="single" w:sz="4" w:space="0" w:color="000000"/>
            </w:tcBorders>
            <w:shd w:val="clear" w:color="auto" w:fill="DDDDDD"/>
          </w:tcPr>
          <w:p>
            <w:pPr/>
          </w:p>
        </w:tc>
        <w:tc>
          <w:tcPr>
            <w:tcW w:w="689" w:type="dxa"/>
            <w:vMerge/>
            <w:tcBorders>
              <w:left w:val="single" w:sz="4" w:space="0" w:color="000000"/>
              <w:bottom w:val="nil" w:sz="6" w:space="0" w:color="auto"/>
              <w:right w:val="single" w:sz="4" w:space="0" w:color="000000"/>
            </w:tcBorders>
            <w:shd w:val="clear" w:color="auto" w:fill="DDDDDD"/>
          </w:tcPr>
          <w:p>
            <w:pPr/>
          </w:p>
        </w:tc>
        <w:tc>
          <w:tcPr>
            <w:tcW w:w="912" w:type="dxa"/>
            <w:vMerge/>
            <w:tcBorders>
              <w:left w:val="single" w:sz="4" w:space="0" w:color="000000"/>
              <w:right w:val="single" w:sz="4" w:space="0" w:color="000000"/>
            </w:tcBorders>
            <w:shd w:val="clear" w:color="auto" w:fill="DDDDDD"/>
          </w:tcPr>
          <w:p>
            <w:pPr/>
          </w:p>
        </w:tc>
        <w:tc>
          <w:tcPr>
            <w:tcW w:w="526" w:type="dxa"/>
            <w:vMerge/>
            <w:tcBorders>
              <w:left w:val="single" w:sz="4" w:space="0" w:color="000000"/>
              <w:bottom w:val="nil" w:sz="6" w:space="0" w:color="auto"/>
              <w:right w:val="single" w:sz="4" w:space="0" w:color="000000"/>
            </w:tcBorders>
            <w:shd w:val="clear" w:color="auto" w:fill="DDDDDD"/>
          </w:tcPr>
          <w:p>
            <w:pPr/>
          </w:p>
        </w:tc>
        <w:tc>
          <w:tcPr>
            <w:tcW w:w="1135" w:type="dxa"/>
            <w:vMerge/>
            <w:tcBorders>
              <w:left w:val="single" w:sz="4" w:space="0" w:color="000000"/>
              <w:bottom w:val="nil" w:sz="6" w:space="0" w:color="auto"/>
              <w:right w:val="single" w:sz="4" w:space="0" w:color="000000"/>
            </w:tcBorders>
            <w:shd w:val="clear" w:color="auto" w:fill="DDDDDD"/>
          </w:tcPr>
          <w:p>
            <w:pPr/>
          </w:p>
        </w:tc>
        <w:tc>
          <w:tcPr>
            <w:tcW w:w="1068" w:type="dxa"/>
            <w:vMerge/>
            <w:tcBorders>
              <w:left w:val="single" w:sz="4" w:space="0" w:color="000000"/>
              <w:bottom w:val="nil" w:sz="6" w:space="0" w:color="auto"/>
              <w:right w:val="single" w:sz="4" w:space="0" w:color="000000"/>
            </w:tcBorders>
            <w:shd w:val="clear" w:color="auto" w:fill="DDDDDD"/>
          </w:tcPr>
          <w:p>
            <w:pPr/>
          </w:p>
        </w:tc>
        <w:tc>
          <w:tcPr>
            <w:tcW w:w="910" w:type="dxa"/>
            <w:vMerge/>
            <w:tcBorders>
              <w:left w:val="single" w:sz="4" w:space="0" w:color="000000"/>
              <w:bottom w:val="nil" w:sz="6" w:space="0" w:color="auto"/>
              <w:right w:val="single" w:sz="4" w:space="0" w:color="000000"/>
            </w:tcBorders>
            <w:shd w:val="clear" w:color="auto" w:fill="DDDDDD"/>
          </w:tcPr>
          <w:p>
            <w:pPr/>
          </w:p>
        </w:tc>
      </w:tr>
      <w:tr>
        <w:trPr>
          <w:trHeight w:val="168" w:hRule="exact"/>
        </w:trPr>
        <w:tc>
          <w:tcPr>
            <w:tcW w:w="1447" w:type="dxa"/>
            <w:vMerge/>
            <w:tcBorders>
              <w:left w:val="single" w:sz="4" w:space="0" w:color="000000"/>
              <w:bottom w:val="single" w:sz="4" w:space="0" w:color="000000"/>
              <w:right w:val="single" w:sz="4" w:space="0" w:color="000000"/>
            </w:tcBorders>
            <w:shd w:val="clear" w:color="auto" w:fill="DDDDDD"/>
          </w:tcPr>
          <w:p>
            <w:pPr/>
          </w:p>
        </w:tc>
        <w:tc>
          <w:tcPr>
            <w:tcW w:w="1090" w:type="dxa"/>
            <w:tcBorders>
              <w:top w:val="nil" w:sz="6" w:space="0" w:color="auto"/>
              <w:left w:val="single" w:sz="4" w:space="0" w:color="000000"/>
              <w:bottom w:val="single" w:sz="4" w:space="0" w:color="000000"/>
              <w:right w:val="single" w:sz="4" w:space="0" w:color="000000"/>
            </w:tcBorders>
            <w:shd w:val="clear" w:color="auto" w:fill="DDDDDD"/>
          </w:tcPr>
          <w:p>
            <w:pPr/>
          </w:p>
        </w:tc>
        <w:tc>
          <w:tcPr>
            <w:tcW w:w="910" w:type="dxa"/>
            <w:tcBorders>
              <w:top w:val="nil" w:sz="6" w:space="0" w:color="auto"/>
              <w:left w:val="single" w:sz="4" w:space="0" w:color="000000"/>
              <w:bottom w:val="single" w:sz="4" w:space="0" w:color="000000"/>
              <w:right w:val="single" w:sz="4" w:space="0" w:color="000000"/>
            </w:tcBorders>
            <w:shd w:val="clear" w:color="auto" w:fill="DDDDDD"/>
          </w:tcPr>
          <w:p>
            <w:pPr/>
          </w:p>
        </w:tc>
        <w:tc>
          <w:tcPr>
            <w:tcW w:w="1130" w:type="dxa"/>
            <w:tcBorders>
              <w:top w:val="nil" w:sz="6" w:space="0" w:color="auto"/>
              <w:left w:val="single" w:sz="4" w:space="0" w:color="000000"/>
              <w:bottom w:val="single" w:sz="4" w:space="0" w:color="000000"/>
              <w:right w:val="single" w:sz="4" w:space="0" w:color="000000"/>
            </w:tcBorders>
            <w:shd w:val="clear" w:color="auto" w:fill="DDDDDD"/>
          </w:tcPr>
          <w:p>
            <w:pPr/>
          </w:p>
        </w:tc>
        <w:tc>
          <w:tcPr>
            <w:tcW w:w="689" w:type="dxa"/>
            <w:tcBorders>
              <w:top w:val="nil" w:sz="6" w:space="0" w:color="auto"/>
              <w:left w:val="single" w:sz="4" w:space="0" w:color="000000"/>
              <w:bottom w:val="single" w:sz="4" w:space="0" w:color="000000"/>
              <w:right w:val="single" w:sz="4" w:space="0" w:color="000000"/>
            </w:tcBorders>
            <w:shd w:val="clear" w:color="auto" w:fill="DDDDDD"/>
          </w:tcPr>
          <w:p>
            <w:pPr/>
          </w:p>
        </w:tc>
        <w:tc>
          <w:tcPr>
            <w:tcW w:w="912" w:type="dxa"/>
            <w:vMerge/>
            <w:tcBorders>
              <w:left w:val="single" w:sz="4" w:space="0" w:color="000000"/>
              <w:bottom w:val="single" w:sz="4" w:space="0" w:color="000000"/>
              <w:right w:val="single" w:sz="4" w:space="0" w:color="000000"/>
            </w:tcBorders>
            <w:shd w:val="clear" w:color="auto" w:fill="DDDDDD"/>
          </w:tcPr>
          <w:p>
            <w:pPr/>
          </w:p>
        </w:tc>
        <w:tc>
          <w:tcPr>
            <w:tcW w:w="526" w:type="dxa"/>
            <w:tcBorders>
              <w:top w:val="nil" w:sz="6" w:space="0" w:color="auto"/>
              <w:left w:val="single" w:sz="4" w:space="0" w:color="000000"/>
              <w:bottom w:val="single" w:sz="4" w:space="0" w:color="000000"/>
              <w:right w:val="single" w:sz="4" w:space="0" w:color="000000"/>
            </w:tcBorders>
            <w:shd w:val="clear" w:color="auto" w:fill="DDDDDD"/>
          </w:tcPr>
          <w:p>
            <w:pPr/>
          </w:p>
        </w:tc>
        <w:tc>
          <w:tcPr>
            <w:tcW w:w="1135" w:type="dxa"/>
            <w:tcBorders>
              <w:top w:val="nil" w:sz="6" w:space="0" w:color="auto"/>
              <w:left w:val="single" w:sz="4" w:space="0" w:color="000000"/>
              <w:bottom w:val="single" w:sz="4" w:space="0" w:color="000000"/>
              <w:right w:val="single" w:sz="4" w:space="0" w:color="000000"/>
            </w:tcBorders>
            <w:shd w:val="clear" w:color="auto" w:fill="DDDDDD"/>
          </w:tcPr>
          <w:p>
            <w:pPr/>
          </w:p>
        </w:tc>
        <w:tc>
          <w:tcPr>
            <w:tcW w:w="1068" w:type="dxa"/>
            <w:tcBorders>
              <w:top w:val="nil" w:sz="6" w:space="0" w:color="auto"/>
              <w:left w:val="single" w:sz="4" w:space="0" w:color="000000"/>
              <w:bottom w:val="single" w:sz="4" w:space="0" w:color="000000"/>
              <w:right w:val="single" w:sz="4" w:space="0" w:color="000000"/>
            </w:tcBorders>
            <w:shd w:val="clear" w:color="auto" w:fill="DDDDDD"/>
          </w:tcPr>
          <w:p>
            <w:pPr/>
          </w:p>
        </w:tc>
        <w:tc>
          <w:tcPr>
            <w:tcW w:w="910"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660"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12" w:right="161"/>
              <w:jc w:val="left"/>
              <w:rPr>
                <w:rFonts w:ascii="宋体" w:hAnsi="宋体" w:cs="宋体" w:eastAsia="宋体" w:hint="default"/>
                <w:sz w:val="21"/>
                <w:szCs w:val="21"/>
              </w:rPr>
            </w:pPr>
            <w:r>
              <w:rPr>
                <w:rFonts w:ascii="宋体" w:hAnsi="宋体" w:cs="宋体" w:eastAsia="宋体" w:hint="default"/>
                <w:sz w:val="21"/>
                <w:szCs w:val="21"/>
              </w:rPr>
              <w:t>一、有限售条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09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75.00%</w:t>
            </w:r>
          </w:p>
        </w:tc>
      </w:tr>
      <w:tr>
        <w:trPr>
          <w:trHeight w:val="336"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auto"/>
              <w:ind w:left="12" w:right="5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auto"/>
              <w:ind w:left="12" w:right="5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9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75.00%</w:t>
            </w: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12" w:right="55" w:firstLine="105"/>
              <w:jc w:val="left"/>
              <w:rPr>
                <w:rFonts w:ascii="宋体" w:hAnsi="宋体" w:cs="宋体" w:eastAsia="宋体" w:hint="default"/>
                <w:sz w:val="21"/>
                <w:szCs w:val="21"/>
              </w:rPr>
            </w:pPr>
            <w:r>
              <w:rPr>
                <w:rFonts w:ascii="宋体" w:hAnsi="宋体" w:cs="宋体" w:eastAsia="宋体" w:hint="default"/>
                <w:sz w:val="21"/>
                <w:szCs w:val="21"/>
              </w:rPr>
              <w:t>其中：境内非</w:t>
            </w:r>
            <w:r>
              <w:rPr>
                <w:rFonts w:ascii="宋体" w:hAnsi="宋体" w:cs="宋体" w:eastAsia="宋体" w:hint="default"/>
                <w:w w:val="100"/>
                <w:sz w:val="21"/>
                <w:szCs w:val="21"/>
              </w:rPr>
              <w:t> </w:t>
            </w:r>
            <w:r>
              <w:rPr>
                <w:rFonts w:ascii="宋体" w:hAnsi="宋体" w:cs="宋体" w:eastAsia="宋体" w:hint="default"/>
                <w:sz w:val="21"/>
                <w:szCs w:val="21"/>
              </w:rPr>
              <w:t>国有法人持股</w:t>
            </w:r>
          </w:p>
        </w:tc>
        <w:tc>
          <w:tcPr>
            <w:tcW w:w="109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2,981,706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7.10%</w:t>
            </w: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2,981,706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5.32%</w:t>
            </w: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12" w:right="55" w:firstLine="52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09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39,018,294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92.90%</w:t>
            </w: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39,018,294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69.68%</w:t>
            </w:r>
          </w:p>
        </w:tc>
      </w:tr>
      <w:tr>
        <w:trPr>
          <w:trHeight w:val="336"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12" w:right="55" w:firstLine="105"/>
              <w:jc w:val="left"/>
              <w:rPr>
                <w:rFonts w:ascii="宋体" w:hAnsi="宋体" w:cs="宋体" w:eastAsia="宋体" w:hint="default"/>
                <w:sz w:val="21"/>
                <w:szCs w:val="21"/>
              </w:rPr>
            </w:pPr>
            <w:r>
              <w:rPr>
                <w:rFonts w:ascii="宋体" w:hAnsi="宋体" w:cs="宋体" w:eastAsia="宋体" w:hint="default"/>
                <w:sz w:val="21"/>
                <w:szCs w:val="21"/>
              </w:rPr>
              <w:t>其中：境外法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12" w:right="55" w:firstLine="525"/>
              <w:jc w:val="left"/>
              <w:rPr>
                <w:rFonts w:ascii="宋体" w:hAnsi="宋体" w:cs="宋体" w:eastAsia="宋体" w:hint="default"/>
                <w:sz w:val="21"/>
                <w:szCs w:val="21"/>
              </w:rPr>
            </w:pPr>
            <w:r>
              <w:rPr>
                <w:rFonts w:ascii="宋体" w:hAnsi="宋体" w:cs="宋体" w:eastAsia="宋体" w:hint="default"/>
                <w:sz w:val="21"/>
                <w:szCs w:val="21"/>
              </w:rPr>
              <w:t>境外自然</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auto"/>
              <w:ind w:left="12" w:right="161"/>
              <w:jc w:val="left"/>
              <w:rPr>
                <w:rFonts w:ascii="宋体" w:hAnsi="宋体" w:cs="宋体" w:eastAsia="宋体" w:hint="default"/>
                <w:sz w:val="21"/>
                <w:szCs w:val="21"/>
              </w:rPr>
            </w:pPr>
            <w:r>
              <w:rPr>
                <w:rFonts w:ascii="宋体" w:hAnsi="宋体" w:cs="宋体" w:eastAsia="宋体" w:hint="default"/>
                <w:sz w:val="21"/>
                <w:szCs w:val="21"/>
              </w:rPr>
              <w:t>二、无限售条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25.00%</w:t>
            </w: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auto"/>
              <w:ind w:left="12" w:right="5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25.00%</w:t>
            </w: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auto"/>
              <w:ind w:left="12" w:right="5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w:t>
            </w:r>
            <w:r>
              <w:rPr>
                <w:rFonts w:ascii="宋体" w:hAnsi="宋体" w:cs="宋体" w:eastAsia="宋体" w:hint="default"/>
                <w:w w:val="100"/>
                <w:sz w:val="21"/>
                <w:szCs w:val="21"/>
              </w:rPr>
              <w:t> </w:t>
            </w:r>
            <w:r>
              <w:rPr>
                <w:rFonts w:ascii="宋体" w:hAnsi="宋体" w:cs="宋体" w:eastAsia="宋体" w:hint="default"/>
                <w:sz w:val="21"/>
                <w:szCs w:val="21"/>
              </w:rPr>
              <w:t>外资股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auto"/>
              <w:ind w:left="12" w:right="5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w:t>
            </w:r>
            <w:r>
              <w:rPr>
                <w:rFonts w:ascii="宋体" w:hAnsi="宋体" w:cs="宋体" w:eastAsia="宋体" w:hint="default"/>
                <w:w w:val="100"/>
                <w:sz w:val="21"/>
                <w:szCs w:val="21"/>
              </w:rPr>
              <w:t> </w:t>
            </w:r>
            <w:r>
              <w:rPr>
                <w:rFonts w:ascii="宋体" w:hAnsi="宋体" w:cs="宋体" w:eastAsia="宋体" w:hint="default"/>
                <w:sz w:val="21"/>
                <w:szCs w:val="21"/>
              </w:rPr>
              <w:t>外资股</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0" w:type="dxa"/>
            <w:tcBorders>
              <w:top w:val="single" w:sz="4" w:space="0" w:color="000000"/>
              <w:left w:val="single" w:sz="13" w:space="0" w:color="DDDDDD"/>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4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0"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42,000,000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1"/>
                <w:szCs w:val="21"/>
              </w:rPr>
            </w:pPr>
            <w:r>
              <w:rPr>
                <w:rFonts w:ascii="Times New Roman"/>
                <w:sz w:val="21"/>
              </w:rPr>
              <w:t>100.00%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14,000,000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56,000,000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0"/>
        <w:ind w:left="1340" w:right="769"/>
        <w:jc w:val="left"/>
        <w:rPr>
          <w:b w:val="0"/>
          <w:bCs w:val="0"/>
        </w:rPr>
      </w:pPr>
      <w:r>
        <w:rPr/>
        <w:t>（二）限售股份变动情况表</w:t>
      </w:r>
      <w:r>
        <w:rPr>
          <w:b w:val="0"/>
          <w:bCs w:val="0"/>
        </w:rPr>
      </w:r>
    </w:p>
    <w:p>
      <w:pPr>
        <w:spacing w:line="240" w:lineRule="auto" w:before="3"/>
        <w:rPr>
          <w:rFonts w:ascii="宋体" w:hAnsi="宋体" w:cs="宋体" w:eastAsia="宋体" w:hint="default"/>
          <w:b/>
          <w:bCs/>
          <w:sz w:val="11"/>
          <w:szCs w:val="11"/>
        </w:rPr>
      </w:pPr>
    </w:p>
    <w:p>
      <w:pPr>
        <w:pStyle w:val="BodyText"/>
        <w:spacing w:line="240" w:lineRule="auto" w:before="26"/>
        <w:ind w:left="0" w:right="875"/>
        <w:jc w:val="right"/>
      </w:pPr>
      <w:r>
        <w:rPr/>
        <w:t>单位：股</w:t>
      </w:r>
    </w:p>
    <w:p>
      <w:pPr>
        <w:spacing w:after="0" w:line="240" w:lineRule="auto"/>
        <w:jc w:val="right"/>
        <w:sectPr>
          <w:pgSz w:w="11910" w:h="16840"/>
          <w:pgMar w:header="850" w:footer="979" w:top="1380" w:bottom="1160" w:left="940" w:right="920"/>
        </w:sectPr>
      </w:pPr>
    </w:p>
    <w:tbl>
      <w:tblPr>
        <w:tblW w:w="0" w:type="auto"/>
        <w:jc w:val="left"/>
        <w:tblInd w:w="114"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662" w:hRule="exact"/>
        </w:trPr>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left="218"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年初限售股</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本年解除限</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本年增加限</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年末限售股</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left="218"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解除限售日</w:t>
            </w:r>
          </w:p>
          <w:p>
            <w:pPr>
              <w:pStyle w:val="TableParagraph"/>
              <w:spacing w:line="240" w:lineRule="auto" w:before="12"/>
              <w:ind w:left="2" w:right="0"/>
              <w:jc w:val="center"/>
              <w:rPr>
                <w:rFonts w:ascii="宋体" w:hAnsi="宋体" w:cs="宋体" w:eastAsia="宋体" w:hint="default"/>
                <w:sz w:val="24"/>
                <w:szCs w:val="24"/>
              </w:rPr>
            </w:pPr>
            <w:r>
              <w:rPr>
                <w:rFonts w:ascii="宋体" w:hAnsi="宋体" w:cs="宋体" w:eastAsia="宋体" w:hint="default"/>
                <w:sz w:val="24"/>
                <w:szCs w:val="24"/>
              </w:rPr>
              <w:t>期</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吴强华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18,377,898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18,377,898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许欣</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4,203,822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4,203,822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24"/>
                <w:szCs w:val="24"/>
              </w:rPr>
            </w:pPr>
            <w:r>
              <w:rPr>
                <w:rFonts w:ascii="宋体" w:hAnsi="宋体" w:cs="宋体" w:eastAsia="宋体" w:hint="default"/>
                <w:sz w:val="24"/>
                <w:szCs w:val="24"/>
              </w:rPr>
              <w:t>肖家铨</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2,227,176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2,227,176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8"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朱华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1,918,938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1,918,938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赵隽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1,898,316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1,898,316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张蕾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1,712,970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1,712,970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李国忠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1,644,972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1,644,972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上海顶势投</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775,043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775,043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上海顶势投</w:t>
            </w:r>
          </w:p>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806,677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806,677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8"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杨华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1,549,044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1,549,044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赵伟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1,516,494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1,516,494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邵献军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1,446,858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1,446,858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98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深圳市创新</w:t>
            </w:r>
          </w:p>
          <w:p>
            <w:pPr>
              <w:pStyle w:val="TableParagraph"/>
              <w:spacing w:line="249" w:lineRule="auto" w:before="12"/>
              <w:ind w:left="24" w:right="168"/>
              <w:jc w:val="left"/>
              <w:rPr>
                <w:rFonts w:ascii="宋体" w:hAnsi="宋体" w:cs="宋体" w:eastAsia="宋体" w:hint="default"/>
                <w:sz w:val="24"/>
                <w:szCs w:val="24"/>
              </w:rPr>
            </w:pPr>
            <w:r>
              <w:rPr>
                <w:rFonts w:ascii="宋体" w:hAnsi="宋体" w:cs="宋体" w:eastAsia="宋体" w:hint="default"/>
                <w:sz w:val="24"/>
                <w:szCs w:val="24"/>
              </w:rPr>
              <w:t>投资集团有 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1,399,986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24"/>
                <w:szCs w:val="24"/>
              </w:rPr>
            </w:pPr>
            <w:r>
              <w:rPr>
                <w:rFonts w:ascii="Times New Roman"/>
                <w:sz w:val="24"/>
              </w:rPr>
              <w:t>1,399,986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123"/>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15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24"/>
                <w:szCs w:val="24"/>
              </w:rPr>
            </w:pPr>
            <w:r>
              <w:rPr>
                <w:rFonts w:ascii="宋体" w:hAnsi="宋体" w:cs="宋体" w:eastAsia="宋体" w:hint="default"/>
                <w:sz w:val="24"/>
                <w:szCs w:val="24"/>
              </w:rPr>
              <w:t>陈睿</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840,000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9"/>
              <w:jc w:val="right"/>
              <w:rPr>
                <w:rFonts w:ascii="Times New Roman" w:hAnsi="Times New Roman" w:cs="Times New Roman" w:eastAsia="Times New Roman" w:hint="default"/>
                <w:sz w:val="24"/>
                <w:szCs w:val="24"/>
              </w:rPr>
            </w:pPr>
            <w:r>
              <w:rPr>
                <w:rFonts w:ascii="Times New Roman"/>
                <w:sz w:val="24"/>
              </w:rPr>
              <w:t>840,000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8"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萧凌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421,806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421,806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王洪深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胡环宇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郑凌云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420,000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66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24"/>
                <w:szCs w:val="24"/>
              </w:rPr>
            </w:pPr>
            <w:r>
              <w:rPr>
                <w:rFonts w:ascii="宋体" w:hAnsi="宋体" w:cs="宋体" w:eastAsia="宋体" w:hint="default"/>
                <w:sz w:val="24"/>
                <w:szCs w:val="24"/>
              </w:rPr>
              <w:t>网下配售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2,800,000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2,800,000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新股网下配</w:t>
            </w:r>
          </w:p>
          <w:p>
            <w:pPr>
              <w:pStyle w:val="TableParagraph"/>
              <w:spacing w:line="240" w:lineRule="auto" w:before="12"/>
              <w:ind w:left="23" w:right="0"/>
              <w:jc w:val="left"/>
              <w:rPr>
                <w:rFonts w:ascii="宋体" w:hAnsi="宋体" w:cs="宋体" w:eastAsia="宋体" w:hint="default"/>
                <w:sz w:val="24"/>
                <w:szCs w:val="24"/>
              </w:rPr>
            </w:pPr>
            <w:r>
              <w:rPr>
                <w:rFonts w:ascii="宋体" w:hAnsi="宋体" w:cs="宋体" w:eastAsia="宋体" w:hint="default"/>
                <w:sz w:val="24"/>
                <w:szCs w:val="24"/>
              </w:rPr>
              <w:t>售规定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p>
          <w:p>
            <w:pPr>
              <w:pStyle w:val="TableParagraph"/>
              <w:spacing w:line="329" w:lineRule="exact"/>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r>
      <w:tr>
        <w:trPr>
          <w:trHeight w:val="338" w:hRule="exact"/>
        </w:trPr>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5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2,800,000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44,800,000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24"/>
                <w:szCs w:val="24"/>
              </w:rPr>
            </w:pPr>
            <w:r>
              <w:rPr>
                <w:rFonts w:ascii="Times New Roman"/>
                <w:sz w:val="24"/>
              </w:rPr>
              <w:t>42,000,000</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after="0" w:line="276" w:lineRule="exact"/>
        <w:jc w:val="center"/>
        <w:rPr>
          <w:rFonts w:ascii="宋体" w:hAnsi="宋体" w:cs="宋体" w:eastAsia="宋体" w:hint="default"/>
          <w:sz w:val="24"/>
          <w:szCs w:val="24"/>
        </w:rPr>
        <w:sectPr>
          <w:pgSz w:w="11910" w:h="16840"/>
          <w:pgMar w:header="850" w:footer="979" w:top="1440" w:bottom="116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ind w:left="877" w:right="745"/>
        <w:jc w:val="left"/>
        <w:rPr>
          <w:b w:val="0"/>
          <w:bCs w:val="0"/>
        </w:rPr>
      </w:pPr>
      <w:r>
        <w:rPr/>
        <w:t>二、证券发行和上市情况</w:t>
      </w:r>
      <w:r>
        <w:rPr>
          <w:b w:val="0"/>
          <w:bCs w:val="0"/>
        </w:rPr>
      </w:r>
    </w:p>
    <w:p>
      <w:pPr>
        <w:spacing w:line="240" w:lineRule="auto" w:before="9"/>
        <w:rPr>
          <w:rFonts w:ascii="宋体" w:hAnsi="宋体" w:cs="宋体" w:eastAsia="宋体" w:hint="default"/>
          <w:b/>
          <w:bCs/>
          <w:sz w:val="25"/>
          <w:szCs w:val="25"/>
        </w:rPr>
      </w:pPr>
    </w:p>
    <w:p>
      <w:pPr>
        <w:pStyle w:val="BodyText"/>
        <w:spacing w:line="360" w:lineRule="auto"/>
        <w:ind w:left="877" w:right="873" w:firstLine="48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[2010]403 </w:t>
      </w:r>
      <w:r>
        <w:rPr>
          <w:spacing w:val="-7"/>
        </w:rPr>
        <w:t>号</w:t>
      </w:r>
      <w:r>
        <w:rPr>
          <w:rFonts w:ascii="Times New Roman" w:hAnsi="Times New Roman" w:cs="Times New Roman" w:eastAsia="Times New Roman" w:hint="default"/>
          <w:spacing w:val="-7"/>
        </w:rPr>
        <w:t>”</w:t>
      </w:r>
      <w:r>
        <w:rPr>
          <w:spacing w:val="-7"/>
        </w:rPr>
        <w:t>文核准，</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4</w:t>
      </w:r>
      <w:r>
        <w:rPr>
          <w:spacing w:val="-7"/>
        </w:rPr>
        <w:t>月，公</w:t>
      </w:r>
      <w:r>
        <w:rPr/>
        <w:t> 司首次公开发行人民币普通股（</w:t>
      </w:r>
      <w:r>
        <w:rPr>
          <w:rFonts w:ascii="Times New Roman" w:hAnsi="Times New Roman" w:cs="Times New Roman" w:eastAsia="Times New Roman" w:hint="default"/>
        </w:rPr>
        <w:t>A </w:t>
      </w:r>
      <w:r>
        <w:rPr>
          <w:spacing w:val="-4"/>
        </w:rPr>
        <w:t>股）</w:t>
      </w:r>
      <w:r>
        <w:rPr>
          <w:rFonts w:ascii="Times New Roman" w:hAnsi="Times New Roman" w:cs="Times New Roman" w:eastAsia="Times New Roman" w:hint="default"/>
          <w:spacing w:val="-4"/>
        </w:rPr>
        <w:t>1,400</w:t>
      </w:r>
      <w:r>
        <w:rPr>
          <w:rFonts w:ascii="Times New Roman" w:hAnsi="Times New Roman" w:cs="Times New Roman" w:eastAsia="Times New Roman" w:hint="default"/>
          <w:spacing w:val="7"/>
        </w:rPr>
        <w:t> </w:t>
      </w:r>
      <w:r>
        <w:rPr/>
        <w:t>万股。本次发行采用网下向股票配 </w:t>
      </w:r>
      <w:r>
        <w:rPr>
          <w:spacing w:val="-3"/>
        </w:rPr>
        <w:t>售对象询价配售与网上向社会公众投资者定价发行相结合的方式，其中，网下配</w:t>
      </w:r>
      <w:r>
        <w:rPr>
          <w:spacing w:val="-103"/>
        </w:rPr>
        <w:t> </w:t>
      </w:r>
      <w:r>
        <w:rPr>
          <w:spacing w:val="-103"/>
        </w:rPr>
      </w:r>
      <w:r>
        <w:rPr>
          <w:spacing w:val="-3"/>
        </w:rPr>
        <w:t>售</w:t>
      </w:r>
      <w:r>
        <w:rPr>
          <w:rFonts w:ascii="Times New Roman" w:hAnsi="Times New Roman" w:cs="Times New Roman" w:eastAsia="Times New Roman" w:hint="default"/>
          <w:spacing w:val="-3"/>
        </w:rPr>
        <w:t>280</w:t>
      </w:r>
      <w:r>
        <w:rPr>
          <w:spacing w:val="-3"/>
        </w:rPr>
        <w:t>万股，网上发行</w:t>
      </w:r>
      <w:r>
        <w:rPr>
          <w:rFonts w:ascii="Times New Roman" w:hAnsi="Times New Roman" w:cs="Times New Roman" w:eastAsia="Times New Roman" w:hint="default"/>
          <w:spacing w:val="-3"/>
        </w:rPr>
        <w:t>1,120</w:t>
      </w:r>
      <w:r>
        <w:rPr>
          <w:spacing w:val="-3"/>
        </w:rPr>
        <w:t>万股，发行价格为</w:t>
      </w:r>
      <w:r>
        <w:rPr>
          <w:rFonts w:ascii="Times New Roman" w:hAnsi="Times New Roman" w:cs="Times New Roman" w:eastAsia="Times New Roman" w:hint="default"/>
          <w:spacing w:val="-3"/>
        </w:rPr>
        <w:t>54</w:t>
      </w:r>
      <w:r>
        <w:rPr>
          <w:spacing w:val="-3"/>
        </w:rPr>
        <w:t>元</w:t>
      </w:r>
      <w:r>
        <w:rPr>
          <w:rFonts w:ascii="Times New Roman" w:hAnsi="Times New Roman" w:cs="Times New Roman" w:eastAsia="Times New Roman" w:hint="default"/>
          <w:spacing w:val="-3"/>
        </w:rPr>
        <w:t>/</w:t>
      </w:r>
      <w:r>
        <w:rPr>
          <w:spacing w:val="-3"/>
        </w:rPr>
        <w:t>股。经深圳证券交易所《关于</w:t>
      </w:r>
      <w:r>
        <w:rPr>
          <w:spacing w:val="-93"/>
        </w:rPr>
        <w:t> </w:t>
      </w:r>
      <w:r>
        <w:rPr>
          <w:spacing w:val="-93"/>
        </w:rPr>
      </w:r>
      <w:r>
        <w:rPr>
          <w:spacing w:val="-3"/>
        </w:rPr>
        <w:t>北京数字政通科技股份有限公司人民币普通股股票在创业板上市的通知》（深证</w:t>
      </w:r>
      <w:r>
        <w:rPr>
          <w:spacing w:val="-102"/>
        </w:rPr>
        <w:t> </w:t>
      </w:r>
      <w:r>
        <w:rPr>
          <w:spacing w:val="-102"/>
        </w:rPr>
      </w:r>
      <w:r>
        <w:rPr>
          <w:spacing w:val="-1"/>
        </w:rPr>
        <w:t>上</w:t>
      </w:r>
      <w:r>
        <w:rPr>
          <w:rFonts w:ascii="Times New Roman" w:hAnsi="Times New Roman" w:cs="Times New Roman" w:eastAsia="Times New Roman" w:hint="default"/>
          <w:spacing w:val="-1"/>
        </w:rPr>
        <w:t>[2010]133</w:t>
      </w:r>
      <w:r>
        <w:rPr>
          <w:spacing w:val="-1"/>
        </w:rPr>
        <w:t>号）同意，</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日，公司发行的人民币普通股股票在深圳证</w:t>
      </w:r>
      <w:r>
        <w:rPr>
          <w:spacing w:val="-86"/>
        </w:rPr>
        <w:t> </w:t>
      </w:r>
      <w:r>
        <w:rPr>
          <w:spacing w:val="-86"/>
        </w:rPr>
      </w:r>
      <w:r>
        <w:rPr/>
        <w:t>券交易所创业板上市，股票简称</w:t>
      </w:r>
      <w:r>
        <w:rPr>
          <w:rFonts w:ascii="宋体" w:hAnsi="宋体" w:cs="宋体" w:eastAsia="宋体" w:hint="default"/>
        </w:rPr>
        <w:t>“</w:t>
      </w:r>
      <w:r>
        <w:rPr/>
        <w:t>数字政通</w:t>
      </w:r>
      <w:r>
        <w:rPr>
          <w:rFonts w:ascii="宋体" w:hAnsi="宋体" w:cs="宋体" w:eastAsia="宋体" w:hint="default"/>
        </w:rPr>
        <w:t>”</w:t>
      </w:r>
      <w:r>
        <w:rPr/>
        <w:t>，股票代码</w:t>
      </w:r>
      <w:r>
        <w:rPr>
          <w:rFonts w:ascii="宋体" w:hAnsi="宋体" w:cs="宋体" w:eastAsia="宋体" w:hint="default"/>
        </w:rPr>
        <w:t>“</w:t>
      </w:r>
      <w:r>
        <w:rPr>
          <w:rFonts w:ascii="Times New Roman" w:hAnsi="Times New Roman" w:cs="Times New Roman" w:eastAsia="Times New Roman" w:hint="default"/>
        </w:rPr>
        <w:t>300075</w:t>
      </w:r>
      <w:r>
        <w:rPr>
          <w:rFonts w:ascii="宋体" w:hAnsi="宋体" w:cs="宋体" w:eastAsia="宋体" w:hint="default"/>
        </w:rPr>
        <w:t>”</w:t>
      </w:r>
      <w:r>
        <w:rPr/>
        <w:t>。</w:t>
      </w:r>
    </w:p>
    <w:p>
      <w:pPr>
        <w:pStyle w:val="Heading3"/>
        <w:spacing w:line="240" w:lineRule="auto" w:before="187"/>
        <w:ind w:left="877" w:right="745"/>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5"/>
          <w:szCs w:val="25"/>
        </w:rPr>
      </w:pPr>
    </w:p>
    <w:p>
      <w:pPr>
        <w:spacing w:before="0"/>
        <w:ind w:left="1350" w:right="745" w:firstLine="0"/>
        <w:jc w:val="left"/>
        <w:rPr>
          <w:rFonts w:ascii="宋体" w:hAnsi="宋体" w:cs="宋体" w:eastAsia="宋体" w:hint="default"/>
          <w:sz w:val="24"/>
          <w:szCs w:val="24"/>
        </w:rPr>
      </w:pPr>
      <w:r>
        <w:rPr>
          <w:rFonts w:ascii="宋体" w:hAnsi="宋体" w:cs="宋体" w:eastAsia="宋体" w:hint="default"/>
          <w:b/>
          <w:bCs/>
          <w:sz w:val="24"/>
          <w:szCs w:val="24"/>
        </w:rPr>
        <w:t>（一）报告期末股东总数</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p>
      <w:pPr>
        <w:pStyle w:val="BodyText"/>
        <w:spacing w:line="240" w:lineRule="auto"/>
        <w:ind w:left="1357" w:right="745"/>
        <w:jc w:val="left"/>
      </w:pPr>
      <w:r>
        <w:rPr/>
        <w:t>截至</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日，公司股东总人数为</w:t>
      </w:r>
      <w:r>
        <w:rPr>
          <w:rFonts w:ascii="Times New Roman" w:hAnsi="Times New Roman" w:cs="Times New Roman" w:eastAsia="Times New Roman" w:hint="default"/>
        </w:rPr>
        <w:t>4,610</w:t>
      </w:r>
      <w:r>
        <w:rPr/>
        <w:t>人。</w:t>
      </w:r>
    </w:p>
    <w:p>
      <w:pPr>
        <w:spacing w:line="240" w:lineRule="auto" w:before="7"/>
        <w:rPr>
          <w:rFonts w:ascii="宋体" w:hAnsi="宋体" w:cs="宋体" w:eastAsia="宋体" w:hint="default"/>
          <w:sz w:val="24"/>
          <w:szCs w:val="24"/>
        </w:rPr>
      </w:pPr>
    </w:p>
    <w:p>
      <w:pPr>
        <w:pStyle w:val="Heading3"/>
        <w:spacing w:line="240" w:lineRule="auto" w:before="0"/>
        <w:ind w:left="1350" w:right="745"/>
        <w:jc w:val="left"/>
        <w:rPr>
          <w:b w:val="0"/>
          <w:bCs w:val="0"/>
        </w:rPr>
      </w:pPr>
      <w:r>
        <w:rPr/>
        <w:t>（二）持有本公司</w:t>
      </w:r>
      <w:r>
        <w:rPr>
          <w:rFonts w:ascii="Times New Roman" w:hAnsi="Times New Roman" w:cs="Times New Roman" w:eastAsia="Times New Roman" w:hint="default"/>
        </w:rPr>
        <w:t>5%</w:t>
      </w:r>
      <w:r>
        <w:rPr/>
        <w:t>以上股份的股东情况</w:t>
      </w:r>
      <w:r>
        <w:rPr>
          <w:b w:val="0"/>
          <w:bCs w:val="0"/>
        </w:rPr>
      </w:r>
    </w:p>
    <w:p>
      <w:pPr>
        <w:spacing w:line="240" w:lineRule="auto" w:before="4"/>
        <w:rPr>
          <w:rFonts w:ascii="宋体" w:hAnsi="宋体" w:cs="宋体" w:eastAsia="宋体" w:hint="default"/>
          <w:b/>
          <w:bCs/>
          <w:sz w:val="24"/>
          <w:szCs w:val="24"/>
        </w:rPr>
      </w:pPr>
    </w:p>
    <w:p>
      <w:pPr>
        <w:pStyle w:val="BodyText"/>
        <w:spacing w:line="352" w:lineRule="auto"/>
        <w:ind w:left="877" w:right="745" w:firstLine="480"/>
        <w:jc w:val="left"/>
      </w:pPr>
      <w:r>
        <w:rPr>
          <w:rFonts w:ascii="Times New Roman" w:hAnsi="Times New Roman" w:cs="Times New Roman" w:eastAsia="Times New Roman" w:hint="default"/>
          <w:spacing w:val="-3"/>
        </w:rPr>
        <w:t>1</w:t>
      </w:r>
      <w:r>
        <w:rPr>
          <w:spacing w:val="-3"/>
        </w:rPr>
        <w:t>、吴强华，持有公司</w:t>
      </w:r>
      <w:r>
        <w:rPr>
          <w:rFonts w:ascii="Times New Roman" w:hAnsi="Times New Roman" w:cs="Times New Roman" w:eastAsia="Times New Roman" w:hint="default"/>
          <w:spacing w:val="-3"/>
        </w:rPr>
        <w:t>18,377,898</w:t>
      </w:r>
      <w:r>
        <w:rPr>
          <w:spacing w:val="-3"/>
        </w:rPr>
        <w:t>股，占公司股权的</w:t>
      </w:r>
      <w:r>
        <w:rPr>
          <w:rFonts w:ascii="Times New Roman" w:hAnsi="Times New Roman" w:cs="Times New Roman" w:eastAsia="Times New Roman" w:hint="default"/>
          <w:spacing w:val="-3"/>
        </w:rPr>
        <w:t>32.82%</w:t>
      </w:r>
      <w:r>
        <w:rPr>
          <w:spacing w:val="-3"/>
        </w:rPr>
        <w:t>，主要工作经历见</w:t>
      </w:r>
      <w:r>
        <w:rPr/>
        <w:t> 本节</w:t>
      </w:r>
      <w:r>
        <w:rPr>
          <w:rFonts w:ascii="宋体" w:hAnsi="宋体" w:cs="宋体" w:eastAsia="宋体" w:hint="default"/>
        </w:rPr>
        <w:t>“</w:t>
      </w:r>
      <w:r>
        <w:rPr/>
        <w:t>公司控股股东情况</w:t>
      </w:r>
      <w:r>
        <w:rPr>
          <w:rFonts w:ascii="宋体" w:hAnsi="宋体" w:cs="宋体" w:eastAsia="宋体" w:hint="default"/>
        </w:rPr>
        <w:t>”</w:t>
      </w:r>
      <w:r>
        <w:rPr/>
        <w:t>。</w:t>
      </w:r>
    </w:p>
    <w:p>
      <w:pPr>
        <w:pStyle w:val="BodyText"/>
        <w:spacing w:line="352" w:lineRule="auto" w:before="62"/>
        <w:ind w:left="877" w:right="865" w:firstLine="446"/>
        <w:jc w:val="left"/>
      </w:pPr>
      <w:r>
        <w:rPr>
          <w:rFonts w:ascii="Times New Roman" w:hAnsi="Times New Roman" w:cs="Times New Roman" w:eastAsia="Times New Roman" w:hint="default"/>
          <w:spacing w:val="-2"/>
        </w:rPr>
        <w:t>2</w:t>
      </w:r>
      <w:r>
        <w:rPr>
          <w:spacing w:val="-2"/>
        </w:rPr>
        <w:t>、许欣，持有公司</w:t>
      </w:r>
      <w:r>
        <w:rPr>
          <w:rFonts w:ascii="Times New Roman" w:hAnsi="Times New Roman" w:cs="Times New Roman" w:eastAsia="Times New Roman" w:hint="default"/>
          <w:spacing w:val="-2"/>
        </w:rPr>
        <w:t>4,203,822</w:t>
      </w:r>
      <w:r>
        <w:rPr>
          <w:spacing w:val="-2"/>
        </w:rPr>
        <w:t>股，占公司股权的</w:t>
      </w:r>
      <w:r>
        <w:rPr>
          <w:rFonts w:ascii="Times New Roman" w:hAnsi="Times New Roman" w:cs="Times New Roman" w:eastAsia="Times New Roman" w:hint="default"/>
          <w:spacing w:val="-2"/>
        </w:rPr>
        <w:t>7.51%</w:t>
      </w:r>
      <w:r>
        <w:rPr>
          <w:spacing w:val="-2"/>
        </w:rPr>
        <w:t>，主要工作经历见</w:t>
      </w:r>
      <w:r>
        <w:rPr>
          <w:rFonts w:ascii="宋体" w:hAnsi="宋体" w:cs="宋体" w:eastAsia="宋体" w:hint="default"/>
          <w:spacing w:val="-2"/>
        </w:rPr>
        <w:t>“</w:t>
      </w:r>
      <w:r>
        <w:rPr>
          <w:spacing w:val="-2"/>
        </w:rPr>
        <w:t>第</w:t>
      </w:r>
      <w:r>
        <w:rPr/>
        <w:t> 六节 董事、监事、高级管理人员和员工情况</w:t>
      </w:r>
      <w:r>
        <w:rPr>
          <w:rFonts w:ascii="宋体" w:hAnsi="宋体" w:cs="宋体" w:eastAsia="宋体" w:hint="default"/>
        </w:rPr>
        <w:t>”</w:t>
      </w:r>
      <w:r>
        <w:rPr/>
        <w:t>。</w:t>
      </w:r>
    </w:p>
    <w:p>
      <w:pPr>
        <w:spacing w:line="240" w:lineRule="auto" w:before="3"/>
        <w:rPr>
          <w:rFonts w:ascii="宋体" w:hAnsi="宋体" w:cs="宋体" w:eastAsia="宋体" w:hint="default"/>
          <w:sz w:val="17"/>
          <w:szCs w:val="17"/>
        </w:rPr>
      </w:pPr>
    </w:p>
    <w:p>
      <w:pPr>
        <w:pStyle w:val="Heading3"/>
        <w:spacing w:line="240" w:lineRule="auto" w:before="0"/>
        <w:ind w:left="1350" w:right="745"/>
        <w:jc w:val="left"/>
        <w:rPr>
          <w:b w:val="0"/>
          <w:bCs w:val="0"/>
        </w:rPr>
      </w:pPr>
      <w:r>
        <w:rPr/>
        <w:t>（三）前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4"/>
        </w:rPr>
        <w:t> </w:t>
      </w:r>
      <w:r>
        <w:rPr/>
        <w:t>名股东、前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名无限售条件股东持股情况表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875"/>
        <w:jc w:val="right"/>
      </w:pPr>
      <w:r>
        <w:rPr/>
        <w:t>单位：股</w:t>
      </w:r>
    </w:p>
    <w:p>
      <w:pPr>
        <w:spacing w:line="240" w:lineRule="auto" w:before="4"/>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334"/>
        <w:gridCol w:w="1307"/>
        <w:gridCol w:w="1301"/>
        <w:gridCol w:w="1298"/>
        <w:gridCol w:w="1822"/>
        <w:gridCol w:w="1766"/>
      </w:tblGrid>
      <w:tr>
        <w:trPr>
          <w:trHeight w:val="500" w:hRule="exact"/>
        </w:trPr>
        <w:tc>
          <w:tcPr>
            <w:tcW w:w="23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right="677"/>
              <w:jc w:val="right"/>
              <w:rPr>
                <w:rFonts w:ascii="宋体" w:hAnsi="宋体" w:cs="宋体" w:eastAsia="宋体" w:hint="default"/>
                <w:sz w:val="24"/>
                <w:szCs w:val="24"/>
              </w:rPr>
            </w:pPr>
            <w:r>
              <w:rPr>
                <w:rFonts w:ascii="宋体" w:hAnsi="宋体" w:cs="宋体" w:eastAsia="宋体" w:hint="default"/>
                <w:sz w:val="24"/>
                <w:szCs w:val="24"/>
              </w:rPr>
              <w:t>股东总数</w:t>
            </w:r>
          </w:p>
        </w:tc>
        <w:tc>
          <w:tcPr>
            <w:tcW w:w="7494" w:type="dxa"/>
            <w:gridSpan w:val="5"/>
            <w:tcBorders>
              <w:top w:val="single" w:sz="4" w:space="0" w:color="000000"/>
              <w:left w:val="single" w:sz="10" w:space="0" w:color="DDDDDD"/>
              <w:bottom w:val="single" w:sz="4" w:space="0" w:color="000000"/>
              <w:right w:val="single" w:sz="4" w:space="0" w:color="000000"/>
            </w:tcBorders>
          </w:tcPr>
          <w:p>
            <w:pPr>
              <w:pStyle w:val="TableParagraph"/>
              <w:spacing w:line="240" w:lineRule="auto" w:before="107"/>
              <w:ind w:right="19"/>
              <w:jc w:val="right"/>
              <w:rPr>
                <w:rFonts w:ascii="Times New Roman" w:hAnsi="Times New Roman" w:cs="Times New Roman" w:eastAsia="Times New Roman" w:hint="default"/>
                <w:sz w:val="24"/>
                <w:szCs w:val="24"/>
              </w:rPr>
            </w:pPr>
            <w:r>
              <w:rPr>
                <w:rFonts w:ascii="Times New Roman"/>
                <w:sz w:val="24"/>
              </w:rPr>
              <w:t>4,610</w:t>
            </w:r>
          </w:p>
        </w:tc>
      </w:tr>
      <w:tr>
        <w:trPr>
          <w:trHeight w:val="498" w:hRule="exact"/>
        </w:trPr>
        <w:tc>
          <w:tcPr>
            <w:tcW w:w="9828" w:type="dxa"/>
            <w:gridSpan w:val="6"/>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2" w:right="0"/>
              <w:jc w:val="center"/>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名股东持股情况</w:t>
            </w:r>
          </w:p>
        </w:tc>
      </w:tr>
      <w:tr>
        <w:trPr>
          <w:trHeight w:val="250" w:hRule="exact"/>
        </w:trPr>
        <w:tc>
          <w:tcPr>
            <w:tcW w:w="2334" w:type="dxa"/>
            <w:tcBorders>
              <w:top w:val="single" w:sz="4" w:space="0" w:color="000000"/>
              <w:left w:val="single" w:sz="4" w:space="0" w:color="000000"/>
              <w:bottom w:val="nil" w:sz="6" w:space="0" w:color="auto"/>
              <w:right w:val="single" w:sz="4" w:space="0" w:color="000000"/>
            </w:tcBorders>
            <w:shd w:val="clear" w:color="auto" w:fill="DDDDDD"/>
          </w:tcPr>
          <w:p>
            <w:pPr/>
          </w:p>
        </w:tc>
        <w:tc>
          <w:tcPr>
            <w:tcW w:w="1307" w:type="dxa"/>
            <w:tcBorders>
              <w:top w:val="single" w:sz="4" w:space="0" w:color="000000"/>
              <w:left w:val="single" w:sz="4" w:space="0" w:color="000000"/>
              <w:bottom w:val="nil" w:sz="6" w:space="0" w:color="auto"/>
              <w:right w:val="single" w:sz="4" w:space="0" w:color="000000"/>
            </w:tcBorders>
            <w:shd w:val="clear" w:color="auto" w:fill="DDDDDD"/>
          </w:tcPr>
          <w:p>
            <w:pPr/>
          </w:p>
        </w:tc>
        <w:tc>
          <w:tcPr>
            <w:tcW w:w="1301" w:type="dxa"/>
            <w:tcBorders>
              <w:top w:val="single" w:sz="4" w:space="0" w:color="000000"/>
              <w:left w:val="single" w:sz="4" w:space="0" w:color="000000"/>
              <w:bottom w:val="nil" w:sz="6" w:space="0" w:color="auto"/>
              <w:right w:val="single" w:sz="4" w:space="0" w:color="000000"/>
            </w:tcBorders>
            <w:shd w:val="clear" w:color="auto" w:fill="DDDDDD"/>
          </w:tcPr>
          <w:p>
            <w:pPr/>
          </w:p>
        </w:tc>
        <w:tc>
          <w:tcPr>
            <w:tcW w:w="1298" w:type="dxa"/>
            <w:tcBorders>
              <w:top w:val="single" w:sz="4" w:space="0" w:color="000000"/>
              <w:left w:val="single" w:sz="4" w:space="0" w:color="000000"/>
              <w:bottom w:val="nil" w:sz="6" w:space="0" w:color="auto"/>
              <w:right w:val="single" w:sz="4" w:space="0" w:color="000000"/>
            </w:tcBorders>
            <w:shd w:val="clear" w:color="auto" w:fill="DDDDDD"/>
          </w:tcPr>
          <w:p>
            <w:pPr/>
          </w:p>
        </w:tc>
        <w:tc>
          <w:tcPr>
            <w:tcW w:w="1822" w:type="dxa"/>
            <w:vMerge w:val="restart"/>
            <w:tcBorders>
              <w:top w:val="single" w:sz="4" w:space="0" w:color="000000"/>
              <w:left w:val="single" w:sz="4" w:space="0" w:color="000000"/>
              <w:right w:val="single" w:sz="4" w:space="0" w:color="000000"/>
            </w:tcBorders>
            <w:shd w:val="clear" w:color="auto" w:fill="DDDDDD"/>
          </w:tcPr>
          <w:p>
            <w:pPr>
              <w:pStyle w:val="TableParagraph"/>
              <w:spacing w:line="374" w:lineRule="auto" w:before="51"/>
              <w:ind w:left="424" w:right="65" w:hanging="360"/>
              <w:jc w:val="left"/>
              <w:rPr>
                <w:rFonts w:ascii="宋体" w:hAnsi="宋体" w:cs="宋体" w:eastAsia="宋体" w:hint="default"/>
                <w:sz w:val="24"/>
                <w:szCs w:val="24"/>
              </w:rPr>
            </w:pPr>
            <w:r>
              <w:rPr>
                <w:rFonts w:ascii="宋体" w:hAnsi="宋体" w:cs="宋体" w:eastAsia="宋体" w:hint="default"/>
                <w:sz w:val="24"/>
                <w:szCs w:val="24"/>
              </w:rPr>
              <w:t>持有有限售条件 股份数量</w:t>
            </w:r>
          </w:p>
        </w:tc>
        <w:tc>
          <w:tcPr>
            <w:tcW w:w="1766" w:type="dxa"/>
            <w:vMerge w:val="restart"/>
            <w:tcBorders>
              <w:top w:val="single" w:sz="4" w:space="0" w:color="000000"/>
              <w:left w:val="single" w:sz="4" w:space="0" w:color="000000"/>
              <w:right w:val="single" w:sz="4" w:space="0" w:color="000000"/>
            </w:tcBorders>
            <w:shd w:val="clear" w:color="auto" w:fill="DDDDDD"/>
          </w:tcPr>
          <w:p>
            <w:pPr>
              <w:pStyle w:val="TableParagraph"/>
              <w:spacing w:line="374" w:lineRule="auto" w:before="51"/>
              <w:ind w:left="515" w:right="38" w:hanging="480"/>
              <w:jc w:val="left"/>
              <w:rPr>
                <w:rFonts w:ascii="宋体" w:hAnsi="宋体" w:cs="宋体" w:eastAsia="宋体" w:hint="default"/>
                <w:sz w:val="24"/>
                <w:szCs w:val="24"/>
              </w:rPr>
            </w:pPr>
            <w:r>
              <w:rPr>
                <w:rFonts w:ascii="宋体" w:hAnsi="宋体" w:cs="宋体" w:eastAsia="宋体" w:hint="default"/>
                <w:sz w:val="24"/>
                <w:szCs w:val="24"/>
              </w:rPr>
              <w:t>质押或冻结的股 份数量</w:t>
            </w:r>
          </w:p>
        </w:tc>
      </w:tr>
      <w:tr>
        <w:trPr>
          <w:trHeight w:val="490" w:hRule="exact"/>
        </w:trPr>
        <w:tc>
          <w:tcPr>
            <w:tcW w:w="233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right="677"/>
              <w:jc w:val="right"/>
              <w:rPr>
                <w:rFonts w:ascii="宋体" w:hAnsi="宋体" w:cs="宋体" w:eastAsia="宋体" w:hint="default"/>
                <w:sz w:val="24"/>
                <w:szCs w:val="24"/>
              </w:rPr>
            </w:pPr>
            <w:r>
              <w:rPr>
                <w:rFonts w:ascii="宋体" w:hAnsi="宋体" w:cs="宋体" w:eastAsia="宋体" w:hint="default"/>
                <w:sz w:val="24"/>
                <w:szCs w:val="24"/>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6" w:right="0"/>
              <w:jc w:val="center"/>
              <w:rPr>
                <w:rFonts w:ascii="宋体" w:hAnsi="宋体" w:cs="宋体" w:eastAsia="宋体" w:hint="default"/>
                <w:sz w:val="24"/>
                <w:szCs w:val="24"/>
              </w:rPr>
            </w:pPr>
            <w:r>
              <w:rPr>
                <w:rFonts w:ascii="宋体" w:hAnsi="宋体" w:cs="宋体" w:eastAsia="宋体" w:hint="default"/>
                <w:sz w:val="24"/>
                <w:szCs w:val="24"/>
              </w:rPr>
              <w:t>股东性质</w:t>
            </w:r>
          </w:p>
        </w:tc>
        <w:tc>
          <w:tcPr>
            <w:tcW w:w="1301"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163"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129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51"/>
              <w:ind w:left="163"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822" w:type="dxa"/>
            <w:vMerge/>
            <w:tcBorders>
              <w:left w:val="single" w:sz="4" w:space="0" w:color="000000"/>
              <w:right w:val="single" w:sz="4" w:space="0" w:color="000000"/>
            </w:tcBorders>
            <w:shd w:val="clear" w:color="auto" w:fill="DDDDDD"/>
          </w:tcPr>
          <w:p>
            <w:pPr/>
          </w:p>
        </w:tc>
        <w:tc>
          <w:tcPr>
            <w:tcW w:w="1766" w:type="dxa"/>
            <w:vMerge/>
            <w:tcBorders>
              <w:left w:val="single" w:sz="4" w:space="0" w:color="000000"/>
              <w:right w:val="single" w:sz="4" w:space="0" w:color="000000"/>
            </w:tcBorders>
            <w:shd w:val="clear" w:color="auto" w:fill="DDDDDD"/>
          </w:tcPr>
          <w:p>
            <w:pPr/>
          </w:p>
        </w:tc>
      </w:tr>
      <w:tr>
        <w:trPr>
          <w:trHeight w:val="250" w:hRule="exact"/>
        </w:trPr>
        <w:tc>
          <w:tcPr>
            <w:tcW w:w="2334" w:type="dxa"/>
            <w:tcBorders>
              <w:top w:val="nil" w:sz="6" w:space="0" w:color="auto"/>
              <w:left w:val="single" w:sz="4" w:space="0" w:color="000000"/>
              <w:bottom w:val="single" w:sz="4" w:space="0" w:color="000000"/>
              <w:right w:val="single" w:sz="4" w:space="0" w:color="000000"/>
            </w:tcBorders>
            <w:shd w:val="clear" w:color="auto" w:fill="DDDDDD"/>
          </w:tcPr>
          <w:p>
            <w:pPr/>
          </w:p>
        </w:tc>
        <w:tc>
          <w:tcPr>
            <w:tcW w:w="1307" w:type="dxa"/>
            <w:tcBorders>
              <w:top w:val="nil" w:sz="6" w:space="0" w:color="auto"/>
              <w:left w:val="single" w:sz="4" w:space="0" w:color="000000"/>
              <w:bottom w:val="single" w:sz="4" w:space="0" w:color="000000"/>
              <w:right w:val="single" w:sz="4" w:space="0" w:color="000000"/>
            </w:tcBorders>
            <w:shd w:val="clear" w:color="auto" w:fill="DDDDDD"/>
          </w:tcPr>
          <w:p>
            <w:pPr/>
          </w:p>
        </w:tc>
        <w:tc>
          <w:tcPr>
            <w:tcW w:w="1301" w:type="dxa"/>
            <w:tcBorders>
              <w:top w:val="nil" w:sz="6" w:space="0" w:color="auto"/>
              <w:left w:val="single" w:sz="4" w:space="0" w:color="000000"/>
              <w:bottom w:val="single" w:sz="4" w:space="0" w:color="000000"/>
              <w:right w:val="single" w:sz="4" w:space="0" w:color="000000"/>
            </w:tcBorders>
            <w:shd w:val="clear" w:color="auto" w:fill="DDDDDD"/>
          </w:tcPr>
          <w:p>
            <w:pPr/>
          </w:p>
        </w:tc>
        <w:tc>
          <w:tcPr>
            <w:tcW w:w="1298" w:type="dxa"/>
            <w:tcBorders>
              <w:top w:val="nil" w:sz="6" w:space="0" w:color="auto"/>
              <w:left w:val="single" w:sz="4" w:space="0" w:color="000000"/>
              <w:bottom w:val="single" w:sz="4" w:space="0" w:color="000000"/>
              <w:right w:val="single" w:sz="4" w:space="0" w:color="000000"/>
            </w:tcBorders>
            <w:shd w:val="clear" w:color="auto" w:fill="DDDDDD"/>
          </w:tcPr>
          <w:p>
            <w:pPr/>
          </w:p>
        </w:tc>
        <w:tc>
          <w:tcPr>
            <w:tcW w:w="1822" w:type="dxa"/>
            <w:vMerge/>
            <w:tcBorders>
              <w:left w:val="single" w:sz="4" w:space="0" w:color="000000"/>
              <w:bottom w:val="single" w:sz="4" w:space="0" w:color="000000"/>
              <w:right w:val="single" w:sz="4" w:space="0" w:color="000000"/>
            </w:tcBorders>
            <w:shd w:val="clear" w:color="auto" w:fill="DDDDDD"/>
          </w:tcPr>
          <w:p>
            <w:pPr/>
          </w:p>
        </w:tc>
        <w:tc>
          <w:tcPr>
            <w:tcW w:w="1766" w:type="dxa"/>
            <w:vMerge/>
            <w:tcBorders>
              <w:left w:val="single" w:sz="4" w:space="0" w:color="000000"/>
              <w:bottom w:val="single" w:sz="4" w:space="0" w:color="000000"/>
              <w:right w:val="single" w:sz="4" w:space="0" w:color="000000"/>
            </w:tcBorders>
            <w:shd w:val="clear" w:color="auto" w:fill="DDDDDD"/>
          </w:tcPr>
          <w:p>
            <w:pPr/>
          </w:p>
        </w:tc>
      </w:tr>
      <w:tr>
        <w:trPr>
          <w:trHeight w:val="499"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吴强华</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w w:val="95"/>
                <w:sz w:val="24"/>
              </w:rPr>
              <w:t>32.82%</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18,377,898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18,377,898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许欣</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7.51%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4,203,822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4,203,822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bl>
    <w:p>
      <w:pPr>
        <w:spacing w:after="0" w:line="240" w:lineRule="auto"/>
        <w:jc w:val="right"/>
        <w:rPr>
          <w:rFonts w:ascii="Times New Roman" w:hAnsi="Times New Roman" w:cs="Times New Roman" w:eastAsia="Times New Roman" w:hint="default"/>
          <w:sz w:val="24"/>
          <w:szCs w:val="24"/>
        </w:rPr>
        <w:sectPr>
          <w:footerReference w:type="default" r:id="rId21"/>
          <w:pgSz w:w="11910" w:h="16840"/>
          <w:pgMar w:footer="979" w:header="850" w:top="1380" w:bottom="1160" w:left="920" w:right="920"/>
        </w:sectPr>
      </w:pPr>
    </w:p>
    <w:tbl>
      <w:tblPr>
        <w:tblW w:w="0" w:type="auto"/>
        <w:jc w:val="left"/>
        <w:tblInd w:w="114" w:type="dxa"/>
        <w:tblLayout w:type="fixed"/>
        <w:tblCellMar>
          <w:top w:w="0" w:type="dxa"/>
          <w:left w:w="0" w:type="dxa"/>
          <w:bottom w:w="0" w:type="dxa"/>
          <w:right w:w="0" w:type="dxa"/>
        </w:tblCellMar>
        <w:tblLook w:val="01E0"/>
      </w:tblPr>
      <w:tblGrid>
        <w:gridCol w:w="2340"/>
        <w:gridCol w:w="1301"/>
        <w:gridCol w:w="1301"/>
        <w:gridCol w:w="1298"/>
        <w:gridCol w:w="521"/>
        <w:gridCol w:w="1301"/>
        <w:gridCol w:w="1766"/>
      </w:tblGrid>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肖家铨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3.98%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2,227,176</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2,227,176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朱华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1,918,938</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1,918,938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赵隽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1,898,316</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1,898,316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张蕾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3.06%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1,712,970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1,712,970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李国忠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2.94%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1,644,972</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1,644,972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98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1"/>
              <w:ind w:left="24" w:right="144"/>
              <w:jc w:val="left"/>
              <w:rPr>
                <w:rFonts w:ascii="宋体" w:hAnsi="宋体" w:cs="宋体" w:eastAsia="宋体" w:hint="default"/>
                <w:sz w:val="24"/>
                <w:szCs w:val="24"/>
              </w:rPr>
            </w:pPr>
            <w:r>
              <w:rPr>
                <w:rFonts w:ascii="宋体" w:hAnsi="宋体" w:cs="宋体" w:eastAsia="宋体" w:hint="default"/>
                <w:sz w:val="24"/>
                <w:szCs w:val="24"/>
              </w:rPr>
              <w:t>上海顶势投资有限公 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1"/>
              <w:ind w:left="24" w:right="65"/>
              <w:jc w:val="left"/>
              <w:rPr>
                <w:rFonts w:ascii="宋体" w:hAnsi="宋体" w:cs="宋体" w:eastAsia="宋体" w:hint="default"/>
                <w:sz w:val="24"/>
                <w:szCs w:val="24"/>
              </w:rPr>
            </w:pPr>
            <w:r>
              <w:rPr>
                <w:rFonts w:ascii="宋体" w:hAnsi="宋体" w:cs="宋体" w:eastAsia="宋体" w:hint="default"/>
                <w:sz w:val="24"/>
                <w:szCs w:val="24"/>
              </w:rPr>
              <w:t>境内非国有 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2.82%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1,581,720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27" w:right="0"/>
              <w:jc w:val="left"/>
              <w:rPr>
                <w:rFonts w:ascii="Times New Roman" w:hAnsi="Times New Roman" w:cs="Times New Roman" w:eastAsia="Times New Roman" w:hint="default"/>
                <w:sz w:val="24"/>
                <w:szCs w:val="24"/>
              </w:rPr>
            </w:pPr>
            <w:r>
              <w:rPr>
                <w:rFonts w:ascii="Times New Roman"/>
                <w:sz w:val="24"/>
              </w:rPr>
              <w:t>1,581,720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杨华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2.77%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1,549,044</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1,549,044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赵伟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2.71%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1,516,494</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27" w:right="0"/>
              <w:jc w:val="left"/>
              <w:rPr>
                <w:rFonts w:ascii="Times New Roman" w:hAnsi="Times New Roman" w:cs="Times New Roman" w:eastAsia="Times New Roman" w:hint="default"/>
                <w:sz w:val="24"/>
                <w:szCs w:val="24"/>
              </w:rPr>
            </w:pPr>
            <w:r>
              <w:rPr>
                <w:rFonts w:ascii="Times New Roman"/>
                <w:sz w:val="24"/>
              </w:rPr>
              <w:t>1,516,494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0</w:t>
            </w:r>
          </w:p>
        </w:tc>
      </w:tr>
      <w:tr>
        <w:trPr>
          <w:trHeight w:val="499"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170"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名无限售条件股东持股情况</w:t>
            </w:r>
          </w:p>
        </w:tc>
      </w:tr>
      <w:tr>
        <w:trPr>
          <w:trHeight w:val="499"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232" w:right="0"/>
              <w:jc w:val="left"/>
              <w:rPr>
                <w:rFonts w:ascii="宋体" w:hAnsi="宋体" w:cs="宋体" w:eastAsia="宋体" w:hint="default"/>
                <w:sz w:val="24"/>
                <w:szCs w:val="24"/>
              </w:rPr>
            </w:pPr>
            <w:r>
              <w:rPr>
                <w:rFonts w:ascii="宋体" w:hAnsi="宋体" w:cs="宋体" w:eastAsia="宋体" w:hint="default"/>
                <w:sz w:val="24"/>
                <w:szCs w:val="24"/>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中国银行－银华优质增长股票型 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1,005,963</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2"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中国建设银行－华宝兴业多策略 增长证券投资基金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1,005,427</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中国农业银行－华夏复兴股票型 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560,783</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中国工商银行－银华成长先锋混 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560,695</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497"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吕剑锋</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558,901</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52" w:lineRule="auto" w:before="53"/>
              <w:ind w:left="24" w:right="19"/>
              <w:jc w:val="left"/>
              <w:rPr>
                <w:rFonts w:ascii="宋体" w:hAnsi="宋体" w:cs="宋体" w:eastAsia="宋体" w:hint="default"/>
                <w:sz w:val="24"/>
                <w:szCs w:val="24"/>
              </w:rPr>
            </w:pPr>
            <w:r>
              <w:rPr>
                <w:rFonts w:ascii="宋体" w:hAnsi="宋体" w:cs="宋体" w:eastAsia="宋体" w:hint="default"/>
                <w:sz w:val="24"/>
                <w:szCs w:val="24"/>
              </w:rPr>
              <w:t>东证资管－中行－东方红</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号集合 资产管理计划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322,685</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中国银行－易方达策略成长二号 混合型证券投资基金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301,354</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6"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45"/>
              <w:jc w:val="left"/>
              <w:rPr>
                <w:rFonts w:ascii="宋体" w:hAnsi="宋体" w:cs="宋体" w:eastAsia="宋体" w:hint="default"/>
                <w:sz w:val="24"/>
                <w:szCs w:val="24"/>
              </w:rPr>
            </w:pPr>
            <w:r>
              <w:rPr>
                <w:rFonts w:ascii="宋体" w:hAnsi="宋体" w:cs="宋体" w:eastAsia="宋体" w:hint="default"/>
                <w:sz w:val="24"/>
                <w:szCs w:val="24"/>
              </w:rPr>
              <w:t>中国银行－易方达策略成长证券 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301,339</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98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72" w:lineRule="auto" w:before="53"/>
              <w:ind w:left="24" w:right="245"/>
              <w:jc w:val="left"/>
              <w:rPr>
                <w:rFonts w:ascii="宋体" w:hAnsi="宋体" w:cs="宋体" w:eastAsia="宋体" w:hint="default"/>
                <w:sz w:val="24"/>
                <w:szCs w:val="24"/>
              </w:rPr>
            </w:pPr>
            <w:r>
              <w:rPr>
                <w:rFonts w:ascii="宋体" w:hAnsi="宋体" w:cs="宋体" w:eastAsia="宋体" w:hint="default"/>
                <w:sz w:val="24"/>
                <w:szCs w:val="24"/>
              </w:rPr>
              <w:t>交通银行－中海优质成长证券投 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266,770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bl>
    <w:p>
      <w:pPr>
        <w:spacing w:after="0" w:line="240" w:lineRule="auto"/>
        <w:jc w:val="left"/>
        <w:rPr>
          <w:rFonts w:ascii="宋体" w:hAnsi="宋体" w:cs="宋体" w:eastAsia="宋体" w:hint="default"/>
          <w:sz w:val="24"/>
          <w:szCs w:val="24"/>
        </w:rPr>
        <w:sectPr>
          <w:footerReference w:type="default" r:id="rId22"/>
          <w:pgSz w:w="11910" w:h="16840"/>
          <w:pgMar w:footer="979" w:header="850" w:top="1440" w:bottom="1160" w:left="920" w:right="920"/>
          <w:pgNumType w:start="41"/>
        </w:sectPr>
      </w:pPr>
    </w:p>
    <w:p>
      <w:pPr>
        <w:spacing w:line="240" w:lineRule="auto" w:before="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340"/>
        <w:gridCol w:w="1301"/>
        <w:gridCol w:w="3120"/>
        <w:gridCol w:w="3067"/>
      </w:tblGrid>
      <w:tr>
        <w:trPr>
          <w:trHeight w:val="49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24"/>
                <w:szCs w:val="24"/>
              </w:rPr>
            </w:pPr>
            <w:r>
              <w:rPr>
                <w:rFonts w:ascii="宋体" w:hAnsi="宋体" w:cs="宋体" w:eastAsia="宋体" w:hint="default"/>
                <w:sz w:val="24"/>
                <w:szCs w:val="24"/>
              </w:rPr>
              <w:t>全国社保基金一零九组合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24"/>
                <w:szCs w:val="24"/>
              </w:rPr>
            </w:pPr>
            <w:r>
              <w:rPr>
                <w:rFonts w:ascii="Times New Roman"/>
                <w:sz w:val="24"/>
              </w:rPr>
              <w:t>249,899</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1476" w:hRule="exact"/>
        </w:trPr>
        <w:tc>
          <w:tcPr>
            <w:tcW w:w="2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sz w:val="22"/>
                <w:szCs w:val="22"/>
              </w:rPr>
            </w:pPr>
          </w:p>
          <w:p>
            <w:pPr>
              <w:pStyle w:val="TableParagraph"/>
              <w:spacing w:line="374" w:lineRule="auto"/>
              <w:ind w:left="326" w:right="83" w:hanging="240"/>
              <w:jc w:val="left"/>
              <w:rPr>
                <w:rFonts w:ascii="宋体" w:hAnsi="宋体" w:cs="宋体" w:eastAsia="宋体" w:hint="default"/>
                <w:sz w:val="24"/>
                <w:szCs w:val="24"/>
              </w:rPr>
            </w:pPr>
            <w:r>
              <w:rPr>
                <w:rFonts w:ascii="宋体" w:hAnsi="宋体" w:cs="宋体" w:eastAsia="宋体" w:hint="default"/>
                <w:sz w:val="24"/>
                <w:szCs w:val="24"/>
              </w:rPr>
              <w:t>上述股东关联关系或 一致行动的说明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24" w:right="23"/>
              <w:jc w:val="both"/>
              <w:rPr>
                <w:rFonts w:ascii="宋体" w:hAnsi="宋体" w:cs="宋体" w:eastAsia="宋体" w:hint="default"/>
                <w:sz w:val="24"/>
                <w:szCs w:val="24"/>
              </w:rPr>
            </w:pPr>
            <w:r>
              <w:rPr>
                <w:rFonts w:ascii="宋体" w:hAnsi="宋体" w:cs="宋体" w:eastAsia="宋体" w:hint="default"/>
                <w:spacing w:val="-1"/>
                <w:sz w:val="24"/>
                <w:szCs w:val="24"/>
              </w:rPr>
              <w:t>前十名股东中，上海顶势投资有限公司股东吴克忠是吴强华胞兄。未知</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1"/>
                <w:sz w:val="24"/>
                <w:szCs w:val="24"/>
              </w:rPr>
              <w:t>前十名无限售条件股东间是否存在关联关系，也未知是否属于《上市公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司持股变动信息披露管理办法》中规定的一致行动人。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ind w:left="1350" w:right="745"/>
        <w:jc w:val="left"/>
        <w:rPr>
          <w:b w:val="0"/>
          <w:bCs w:val="0"/>
        </w:rPr>
      </w:pPr>
      <w:r>
        <w:rPr/>
        <w:t>（四）公司控股股东情况</w:t>
      </w:r>
      <w:r>
        <w:rPr>
          <w:b w:val="0"/>
          <w:bCs w:val="0"/>
        </w:rPr>
      </w:r>
    </w:p>
    <w:p>
      <w:pPr>
        <w:spacing w:line="240" w:lineRule="auto" w:before="12"/>
        <w:rPr>
          <w:rFonts w:ascii="宋体" w:hAnsi="宋体" w:cs="宋体" w:eastAsia="宋体" w:hint="default"/>
          <w:b/>
          <w:bCs/>
          <w:sz w:val="25"/>
          <w:szCs w:val="25"/>
        </w:rPr>
      </w:pPr>
    </w:p>
    <w:p>
      <w:pPr>
        <w:pStyle w:val="BodyText"/>
        <w:spacing w:line="352" w:lineRule="auto"/>
        <w:ind w:left="877" w:right="875" w:firstLine="480"/>
        <w:jc w:val="both"/>
      </w:pPr>
      <w:r>
        <w:rPr/>
        <w:t>截至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日，吴强华先生持有公司 </w:t>
      </w:r>
      <w:r>
        <w:rPr>
          <w:rFonts w:ascii="Times New Roman" w:hAnsi="Times New Roman" w:cs="Times New Roman" w:eastAsia="Times New Roman" w:hint="default"/>
        </w:rPr>
        <w:t>18,377,898</w:t>
      </w:r>
      <w:r>
        <w:rPr>
          <w:rFonts w:ascii="Times New Roman" w:hAnsi="Times New Roman" w:cs="Times New Roman" w:eastAsia="Times New Roman" w:hint="default"/>
          <w:spacing w:val="29"/>
        </w:rPr>
        <w:t> </w:t>
      </w:r>
      <w:r>
        <w:rPr/>
        <w:t>股，占公司股 权的</w:t>
      </w:r>
      <w:r>
        <w:rPr>
          <w:spacing w:val="-61"/>
        </w:rPr>
        <w:t> </w:t>
      </w:r>
      <w:r>
        <w:rPr>
          <w:rFonts w:ascii="Times New Roman" w:hAnsi="Times New Roman" w:cs="Times New Roman" w:eastAsia="Times New Roman" w:hint="default"/>
        </w:rPr>
        <w:t>32.82%</w:t>
      </w:r>
      <w:r>
        <w:rPr/>
        <w:t>，为公司的控股股东。</w:t>
      </w:r>
    </w:p>
    <w:p>
      <w:pPr>
        <w:pStyle w:val="BodyText"/>
        <w:spacing w:line="352" w:lineRule="auto" w:before="30"/>
        <w:ind w:left="877" w:right="873" w:firstLine="480"/>
        <w:jc w:val="both"/>
      </w:pPr>
      <w:r>
        <w:rPr/>
        <w:t>吴强华先生，男，</w:t>
      </w:r>
      <w:r>
        <w:rPr>
          <w:rFonts w:ascii="Times New Roman" w:hAnsi="Times New Roman" w:cs="Times New Roman" w:eastAsia="Times New Roman" w:hint="default"/>
        </w:rPr>
        <w:t>42 </w:t>
      </w:r>
      <w:r>
        <w:rPr/>
        <w:t>岁，中国国籍，无境外居留权，</w:t>
      </w:r>
      <w:r>
        <w:rPr>
          <w:rFonts w:ascii="Times New Roman" w:hAnsi="Times New Roman" w:cs="Times New Roman" w:eastAsia="Times New Roman" w:hint="default"/>
        </w:rPr>
        <w:t>1994</w:t>
      </w:r>
      <w:r>
        <w:rPr>
          <w:rFonts w:ascii="Times New Roman" w:hAnsi="Times New Roman" w:cs="Times New Roman" w:eastAsia="Times New Roman" w:hint="default"/>
          <w:spacing w:val="32"/>
        </w:rPr>
        <w:t> </w:t>
      </w:r>
      <w:r>
        <w:rPr/>
        <w:t>年毕业于北京林 业大学，研究生学历，地理信息和测绘专业高级工程师。</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t>年担任 北京建设电子信息工程公司研发工程师、技术部经理，</w:t>
      </w:r>
      <w:r>
        <w:rPr>
          <w:rFonts w:ascii="Times New Roman" w:hAnsi="Times New Roman" w:cs="Times New Roman" w:eastAsia="Times New Roman" w:hint="default"/>
        </w:rPr>
        <w:t>2003</w:t>
      </w:r>
      <w:r>
        <w:rPr>
          <w:rFonts w:ascii="Times New Roman" w:hAnsi="Times New Roman" w:cs="Times New Roman" w:eastAsia="Times New Roman" w:hint="default"/>
          <w:spacing w:val="21"/>
        </w:rPr>
        <w:t> </w:t>
      </w:r>
      <w:r>
        <w:rPr/>
        <w:t>年加入有限公司，</w:t>
      </w:r>
      <w:r>
        <w:rPr>
          <w:spacing w:val="-118"/>
        </w:rPr>
        <w:t> </w:t>
      </w:r>
      <w:r>
        <w:rPr>
          <w:spacing w:val="-118"/>
        </w:rPr>
      </w:r>
      <w:r>
        <w:rPr/>
        <w:t>历任执行总裁、董事长，现任本公司董事长、总裁。</w:t>
      </w:r>
    </w:p>
    <w:p>
      <w:pPr>
        <w:spacing w:line="240" w:lineRule="auto" w:before="1"/>
        <w:rPr>
          <w:rFonts w:ascii="宋体" w:hAnsi="宋体" w:cs="宋体" w:eastAsia="宋体" w:hint="default"/>
          <w:sz w:val="17"/>
          <w:szCs w:val="17"/>
        </w:rPr>
      </w:pPr>
    </w:p>
    <w:p>
      <w:pPr>
        <w:pStyle w:val="Heading3"/>
        <w:spacing w:line="240" w:lineRule="auto" w:before="0"/>
        <w:ind w:left="1350" w:right="745"/>
        <w:jc w:val="left"/>
        <w:rPr>
          <w:b w:val="0"/>
          <w:bCs w:val="0"/>
        </w:rPr>
      </w:pPr>
      <w:r>
        <w:rPr/>
        <w:t>（五）公司实际控制人情况</w:t>
      </w:r>
      <w:r>
        <w:rPr>
          <w:b w:val="0"/>
          <w:bCs w:val="0"/>
        </w:rPr>
      </w:r>
    </w:p>
    <w:p>
      <w:pPr>
        <w:spacing w:line="240" w:lineRule="auto" w:before="12"/>
        <w:rPr>
          <w:rFonts w:ascii="宋体" w:hAnsi="宋体" w:cs="宋体" w:eastAsia="宋体" w:hint="default"/>
          <w:b/>
          <w:bCs/>
          <w:sz w:val="25"/>
          <w:szCs w:val="25"/>
        </w:rPr>
      </w:pPr>
    </w:p>
    <w:p>
      <w:pPr>
        <w:pStyle w:val="BodyText"/>
        <w:spacing w:line="374" w:lineRule="auto"/>
        <w:ind w:left="877" w:right="873" w:firstLine="480"/>
        <w:jc w:val="both"/>
      </w:pPr>
      <w:r>
        <w:rPr>
          <w:spacing w:val="-3"/>
        </w:rPr>
        <w:t>报告期内，公司的实际控制人未发生变更。公司的实际控制人仍为吴强华先</w:t>
      </w:r>
      <w:r>
        <w:rPr/>
        <w:t> 生。公司与实际控制人之间的产权关系和控制关系如下图：</w:t>
      </w:r>
    </w:p>
    <w:p>
      <w:pPr>
        <w:spacing w:line="240" w:lineRule="auto" w:before="6"/>
        <w:rPr>
          <w:rFonts w:ascii="宋体" w:hAnsi="宋体" w:cs="宋体" w:eastAsia="宋体" w:hint="default"/>
          <w:sz w:val="9"/>
          <w:szCs w:val="9"/>
        </w:rPr>
      </w:pPr>
    </w:p>
    <w:p>
      <w:pPr>
        <w:spacing w:line="1222" w:lineRule="exact"/>
        <w:ind w:left="4125"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116.7pt;height:61.15pt;mso-position-horizontal-relative:char;mso-position-vertical-relative:line" coordorigin="0,0" coordsize="2334,1223">
            <v:group style="position:absolute;left:7;top:7;width:2320;height:844" coordorigin="7,7" coordsize="2320,844">
              <v:shape style="position:absolute;left:7;top:7;width:2320;height:844" coordorigin="7,7" coordsize="2320,844" path="m7,7l2327,7,2327,851,7,851,7,7xe" filled="true" fillcolor="#92d050" stroked="false">
                <v:path arrowok="t"/>
                <v:fill type="solid"/>
              </v:shape>
            </v:group>
            <v:group style="position:absolute;left:7;top:7;width:2320;height:844" coordorigin="7,7" coordsize="2320,844">
              <v:shape style="position:absolute;left:7;top:7;width:2320;height:844" coordorigin="7,7" coordsize="2320,844" path="m7,851l2327,851,2327,7,7,7,7,851xe" filled="false" stroked="true" strokeweight=".716991pt" strokecolor="#000000">
                <v:path arrowok="t"/>
              </v:shape>
            </v:group>
            <v:group style="position:absolute;left:1198;top:851;width:2;height:370" coordorigin="1198,851" coordsize="2,370">
              <v:shape style="position:absolute;left:1198;top:851;width:2;height:370" coordorigin="1198,851" coordsize="0,370" path="m1198,1221l1198,851e" filled="false" stroked="true" strokeweight=".21505pt" strokecolor="#000000">
                <v:path arrowok="t"/>
              </v:shape>
              <v:shape style="position:absolute;left:7;top:7;width:2320;height:844" type="#_x0000_t202" filled="false" stroked="false">
                <v:textbox inset="0,0,0,0">
                  <w:txbxContent>
                    <w:p>
                      <w:pPr>
                        <w:spacing w:before="109"/>
                        <w:ind w:left="263" w:right="0" w:firstLine="0"/>
                        <w:jc w:val="left"/>
                        <w:rPr>
                          <w:rFonts w:ascii="宋体" w:hAnsi="宋体" w:cs="宋体" w:eastAsia="宋体" w:hint="default"/>
                          <w:sz w:val="36"/>
                          <w:szCs w:val="36"/>
                        </w:rPr>
                      </w:pPr>
                      <w:r>
                        <w:rPr>
                          <w:rFonts w:ascii="宋体" w:hAnsi="宋体" w:cs="宋体" w:eastAsia="宋体" w:hint="default"/>
                          <w:sz w:val="36"/>
                          <w:szCs w:val="36"/>
                        </w:rPr>
                        <w:t>吴强华先生</w:t>
                      </w:r>
                    </w:p>
                  </w:txbxContent>
                </v:textbox>
                <w10:wrap type="none"/>
              </v:shape>
            </v:group>
          </v:group>
        </w:pict>
      </w:r>
      <w:r>
        <w:rPr>
          <w:rFonts w:ascii="宋体" w:hAnsi="宋体" w:cs="宋体" w:eastAsia="宋体" w:hint="default"/>
          <w:position w:val="-23"/>
          <w:sz w:val="20"/>
          <w:szCs w:val="20"/>
        </w:rPr>
      </w:r>
    </w:p>
    <w:p>
      <w:pPr>
        <w:spacing w:line="216" w:lineRule="exact" w:before="0"/>
        <w:ind w:left="4988" w:right="4408" w:firstLine="0"/>
        <w:jc w:val="center"/>
        <w:rPr>
          <w:rFonts w:ascii="宋体" w:hAnsi="宋体" w:cs="宋体" w:eastAsia="宋体" w:hint="default"/>
          <w:sz w:val="21"/>
          <w:szCs w:val="21"/>
        </w:rPr>
      </w:pPr>
      <w:r>
        <w:rPr>
          <w:rFonts w:ascii="宋体"/>
          <w:sz w:val="21"/>
        </w:rPr>
        <w:t>32.82%</w:t>
      </w:r>
    </w:p>
    <w:p>
      <w:pPr>
        <w:spacing w:line="240" w:lineRule="auto" w:before="5"/>
        <w:rPr>
          <w:rFonts w:ascii="宋体" w:hAnsi="宋体" w:cs="宋体" w:eastAsia="宋体" w:hint="default"/>
          <w:sz w:val="2"/>
          <w:szCs w:val="2"/>
        </w:rPr>
      </w:pPr>
    </w:p>
    <w:p>
      <w:pPr>
        <w:spacing w:line="371" w:lineRule="exact"/>
        <w:ind w:left="526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5.45pt;height:18.6pt;mso-position-horizontal-relative:char;mso-position-vertical-relative:line" coordorigin="0,0" coordsize="109,372">
            <v:group style="position:absolute;left:55;top:2;width:2;height:219" coordorigin="55,2" coordsize="2,219">
              <v:shape style="position:absolute;left:55;top:2;width:2;height:219" coordorigin="55,2" coordsize="0,219" path="m55,220l55,2e" filled="false" stroked="true" strokeweight=".21505pt" strokecolor="#000000">
                <v:path arrowok="t"/>
              </v:shape>
            </v:group>
            <v:group style="position:absolute;left:0;top:206;width:109;height:165" coordorigin="0,206" coordsize="109,165">
              <v:shape style="position:absolute;left:0;top:206;width:109;height:165" coordorigin="0,206" coordsize="109,165" path="m56,371l0,206,109,206,56,371xe" filled="true" fillcolor="#000000" stroked="false">
                <v:path arrowok="t"/>
                <v:fill type="solid"/>
              </v:shape>
            </v:group>
          </v:group>
        </w:pict>
      </w:r>
      <w:r>
        <w:rPr>
          <w:rFonts w:ascii="宋体" w:hAnsi="宋体" w:cs="宋体" w:eastAsia="宋体" w:hint="default"/>
          <w:position w:val="-6"/>
          <w:sz w:val="20"/>
          <w:szCs w:val="20"/>
        </w:rPr>
      </w:r>
    </w:p>
    <w:p>
      <w:pPr>
        <w:spacing w:line="1128" w:lineRule="exact"/>
        <w:ind w:left="3629" w:right="0" w:firstLine="0"/>
        <w:rPr>
          <w:rFonts w:ascii="宋体" w:hAnsi="宋体" w:cs="宋体" w:eastAsia="宋体" w:hint="default"/>
          <w:sz w:val="20"/>
          <w:szCs w:val="20"/>
        </w:rPr>
      </w:pPr>
      <w:r>
        <w:rPr>
          <w:rFonts w:ascii="宋体" w:hAnsi="宋体" w:cs="宋体" w:eastAsia="宋体" w:hint="default"/>
          <w:position w:val="-22"/>
          <w:sz w:val="20"/>
          <w:szCs w:val="20"/>
        </w:rPr>
        <w:pict>
          <v:shape style="width:163.7pt;height:56.45pt;mso-position-horizontal-relative:char;mso-position-vertical-relative:line" type="#_x0000_t202" filled="true" fillcolor="#92d050" stroked="true" strokeweight=".716989pt" strokecolor="#000000">
            <w10:anchorlock/>
            <v:textbox inset="0,0,0,0">
              <w:txbxContent>
                <w:p>
                  <w:pPr>
                    <w:spacing w:line="334" w:lineRule="exact" w:before="206"/>
                    <w:ind w:left="235" w:right="233" w:firstLine="0"/>
                    <w:jc w:val="left"/>
                    <w:rPr>
                      <w:rFonts w:ascii="宋体" w:hAnsi="宋体" w:cs="宋体" w:eastAsia="宋体" w:hint="default"/>
                      <w:sz w:val="28"/>
                      <w:szCs w:val="28"/>
                    </w:rPr>
                  </w:pPr>
                  <w:r>
                    <w:rPr>
                      <w:rFonts w:ascii="宋体" w:hAnsi="宋体" w:cs="宋体" w:eastAsia="宋体" w:hint="default"/>
                      <w:sz w:val="28"/>
                      <w:szCs w:val="28"/>
                    </w:rPr>
                    <w:t>北 京 数 字 政 通</w:t>
                  </w:r>
                  <w:r>
                    <w:rPr>
                      <w:rFonts w:ascii="宋体" w:hAnsi="宋体" w:cs="宋体" w:eastAsia="宋体" w:hint="default"/>
                      <w:spacing w:val="-15"/>
                      <w:sz w:val="28"/>
                      <w:szCs w:val="28"/>
                    </w:rPr>
                    <w:t> </w:t>
                  </w:r>
                  <w:r>
                    <w:rPr>
                      <w:rFonts w:ascii="宋体" w:hAnsi="宋体" w:cs="宋体" w:eastAsia="宋体" w:hint="default"/>
                      <w:sz w:val="28"/>
                      <w:szCs w:val="28"/>
                    </w:rPr>
                    <w:t>科</w:t>
                  </w:r>
                  <w:r>
                    <w:rPr>
                      <w:rFonts w:ascii="宋体" w:hAnsi="宋体" w:cs="宋体" w:eastAsia="宋体" w:hint="default"/>
                      <w:w w:val="99"/>
                      <w:sz w:val="28"/>
                      <w:szCs w:val="28"/>
                    </w:rPr>
                    <w:t> </w:t>
                  </w:r>
                  <w:r>
                    <w:rPr>
                      <w:rFonts w:ascii="宋体" w:hAnsi="宋体" w:cs="宋体" w:eastAsia="宋体" w:hint="default"/>
                      <w:sz w:val="28"/>
                      <w:szCs w:val="28"/>
                    </w:rPr>
                    <w:t>技 股 份 有 限 公</w:t>
                  </w:r>
                  <w:r>
                    <w:rPr>
                      <w:rFonts w:ascii="宋体" w:hAnsi="宋体" w:cs="宋体" w:eastAsia="宋体" w:hint="default"/>
                      <w:spacing w:val="-15"/>
                      <w:sz w:val="28"/>
                      <w:szCs w:val="28"/>
                    </w:rPr>
                    <w:t> </w:t>
                  </w:r>
                  <w:r>
                    <w:rPr>
                      <w:rFonts w:ascii="宋体" w:hAnsi="宋体" w:cs="宋体" w:eastAsia="宋体" w:hint="default"/>
                      <w:sz w:val="28"/>
                      <w:szCs w:val="28"/>
                    </w:rPr>
                    <w:t>司</w:t>
                  </w:r>
                </w:p>
              </w:txbxContent>
            </v:textbox>
            <v:fill type="solid"/>
          </v:shape>
        </w:pict>
      </w:r>
      <w:r>
        <w:rPr>
          <w:rFonts w:ascii="宋体" w:hAnsi="宋体" w:cs="宋体" w:eastAsia="宋体" w:hint="default"/>
          <w:position w:val="-22"/>
          <w:sz w:val="20"/>
          <w:szCs w:val="20"/>
        </w:rPr>
      </w:r>
    </w:p>
    <w:p>
      <w:pPr>
        <w:spacing w:after="0" w:line="1128" w:lineRule="exact"/>
        <w:rPr>
          <w:rFonts w:ascii="宋体" w:hAnsi="宋体" w:cs="宋体" w:eastAsia="宋体" w:hint="default"/>
          <w:sz w:val="20"/>
          <w:szCs w:val="20"/>
        </w:rPr>
        <w:sectPr>
          <w:pgSz w:w="11910" w:h="16840"/>
          <w:pgMar w:header="850" w:footer="979" w:top="1380" w:bottom="1160" w:left="920" w:right="920"/>
        </w:sectPr>
      </w:pPr>
    </w:p>
    <w:p>
      <w:pPr>
        <w:spacing w:line="240" w:lineRule="auto" w:before="3"/>
        <w:rPr>
          <w:rFonts w:ascii="宋体" w:hAnsi="宋体" w:cs="宋体" w:eastAsia="宋体" w:hint="default"/>
          <w:sz w:val="23"/>
          <w:szCs w:val="23"/>
        </w:rPr>
      </w:pPr>
    </w:p>
    <w:p>
      <w:pPr>
        <w:pStyle w:val="Heading2"/>
        <w:spacing w:line="240" w:lineRule="auto"/>
        <w:ind w:left="2149" w:right="745"/>
        <w:jc w:val="left"/>
        <w:rPr>
          <w:b w:val="0"/>
          <w:bCs w:val="0"/>
        </w:rPr>
      </w:pPr>
      <w:bookmarkStart w:name="第六节 董事、监事、高级管理人员和员工情况" w:id="11"/>
      <w:bookmarkEnd w:id="11"/>
      <w:r>
        <w:rPr>
          <w:b w:val="0"/>
          <w:bCs w:val="0"/>
        </w:rPr>
      </w:r>
      <w:bookmarkStart w:name="_bookmark5" w:id="12"/>
      <w:bookmarkEnd w:id="12"/>
      <w:r>
        <w:rPr>
          <w:b w:val="0"/>
          <w:bCs w:val="0"/>
        </w:rPr>
      </w:r>
      <w:r>
        <w:rPr/>
        <w:t>第六节 董事、监事、高级管理人员和员工情况</w:t>
      </w:r>
      <w:r>
        <w:rPr>
          <w:b w:val="0"/>
          <w:bCs w:val="0"/>
        </w:rPr>
      </w:r>
    </w:p>
    <w:p>
      <w:pPr>
        <w:spacing w:line="240" w:lineRule="auto" w:before="5"/>
        <w:rPr>
          <w:rFonts w:ascii="宋体" w:hAnsi="宋体" w:cs="宋体" w:eastAsia="宋体" w:hint="default"/>
          <w:b/>
          <w:bCs/>
          <w:sz w:val="30"/>
          <w:szCs w:val="30"/>
        </w:rPr>
      </w:pPr>
    </w:p>
    <w:p>
      <w:pPr>
        <w:pStyle w:val="Heading3"/>
        <w:spacing w:line="240" w:lineRule="auto" w:before="0"/>
        <w:ind w:left="877" w:right="745"/>
        <w:jc w:val="left"/>
        <w:rPr>
          <w:b w:val="0"/>
          <w:bCs w:val="0"/>
        </w:rPr>
      </w:pPr>
      <w:r>
        <w:rPr/>
        <w:t>一、董事、监事和高级管理人员的基本情况</w:t>
      </w:r>
      <w:r>
        <w:rPr>
          <w:b w:val="0"/>
          <w:bCs w:val="0"/>
        </w:rPr>
      </w:r>
    </w:p>
    <w:p>
      <w:pPr>
        <w:spacing w:line="240" w:lineRule="auto" w:before="12"/>
        <w:rPr>
          <w:rFonts w:ascii="宋体" w:hAnsi="宋体" w:cs="宋体" w:eastAsia="宋体" w:hint="default"/>
          <w:b/>
          <w:bCs/>
          <w:sz w:val="25"/>
          <w:szCs w:val="25"/>
        </w:rPr>
      </w:pPr>
    </w:p>
    <w:p>
      <w:pPr>
        <w:spacing w:before="0"/>
        <w:ind w:left="1360" w:right="74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5"/>
          <w:sz w:val="24"/>
          <w:szCs w:val="24"/>
        </w:rPr>
        <w:t> </w:t>
      </w:r>
      <w:r>
        <w:rPr>
          <w:rFonts w:ascii="宋体" w:hAnsi="宋体" w:cs="宋体" w:eastAsia="宋体" w:hint="default"/>
          <w:b/>
          <w:bCs/>
          <w:sz w:val="24"/>
          <w:szCs w:val="24"/>
        </w:rPr>
        <w:t>董事、监事和高级管理人员持股变动及报酬情况表</w:t>
      </w:r>
      <w:r>
        <w:rPr>
          <w:rFonts w:ascii="宋体" w:hAnsi="宋体" w:cs="宋体" w:eastAsia="宋体" w:hint="default"/>
          <w:sz w:val="24"/>
          <w:szCs w:val="24"/>
        </w:rPr>
      </w:r>
    </w:p>
    <w:p>
      <w:pPr>
        <w:spacing w:line="240" w:lineRule="auto" w:before="13"/>
        <w:rPr>
          <w:rFonts w:ascii="宋体" w:hAnsi="宋体" w:cs="宋体" w:eastAsia="宋体" w:hint="default"/>
          <w:b/>
          <w:bCs/>
          <w:sz w:val="21"/>
          <w:szCs w:val="21"/>
        </w:rPr>
      </w:pPr>
    </w:p>
    <w:tbl>
      <w:tblPr>
        <w:tblW w:w="0" w:type="auto"/>
        <w:jc w:val="left"/>
        <w:tblInd w:w="114" w:type="dxa"/>
        <w:tblLayout w:type="fixed"/>
        <w:tblCellMar>
          <w:top w:w="0" w:type="dxa"/>
          <w:left w:w="0" w:type="dxa"/>
          <w:bottom w:w="0" w:type="dxa"/>
          <w:right w:w="0" w:type="dxa"/>
        </w:tblCellMar>
        <w:tblLook w:val="01E0"/>
      </w:tblPr>
      <w:tblGrid>
        <w:gridCol w:w="780"/>
        <w:gridCol w:w="1042"/>
        <w:gridCol w:w="518"/>
        <w:gridCol w:w="521"/>
        <w:gridCol w:w="1169"/>
        <w:gridCol w:w="1171"/>
        <w:gridCol w:w="1231"/>
        <w:gridCol w:w="1133"/>
        <w:gridCol w:w="574"/>
        <w:gridCol w:w="883"/>
        <w:gridCol w:w="806"/>
      </w:tblGrid>
      <w:tr>
        <w:trPr>
          <w:trHeight w:val="2292"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83" w:lineRule="auto"/>
              <w:ind w:left="472" w:right="5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83" w:lineRule="auto"/>
              <w:ind w:left="475" w:right="50"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5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83" w:lineRule="auto"/>
              <w:ind w:left="72" w:right="67"/>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8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ind w:left="21" w:right="19"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4"/>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5" w:lineRule="auto" w:before="158"/>
              <w:ind w:left="83"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吴强华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163"/>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总裁</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18,377,898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18,377,898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37.00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8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许欣</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46"/>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常务副总</w:t>
            </w:r>
          </w:p>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4,203,822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4,203,822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朱华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163"/>
              <w:jc w:val="left"/>
              <w:rPr>
                <w:rFonts w:ascii="宋体" w:hAnsi="宋体" w:cs="宋体" w:eastAsia="宋体" w:hint="default"/>
                <w:sz w:val="21"/>
                <w:szCs w:val="21"/>
              </w:rPr>
            </w:pPr>
            <w:r>
              <w:rPr>
                <w:rFonts w:ascii="宋体" w:hAnsi="宋体" w:cs="宋体" w:eastAsia="宋体" w:hint="default"/>
                <w:sz w:val="21"/>
                <w:szCs w:val="21"/>
              </w:rPr>
              <w:t>董事、副</w:t>
            </w:r>
            <w:r>
              <w:rPr>
                <w:rFonts w:ascii="宋体" w:hAnsi="宋体" w:cs="宋体" w:eastAsia="宋体" w:hint="default"/>
                <w:w w:val="100"/>
                <w:sz w:val="21"/>
                <w:szCs w:val="21"/>
              </w:rPr>
              <w:t> </w:t>
            </w:r>
            <w:r>
              <w:rPr>
                <w:rFonts w:ascii="宋体" w:hAnsi="宋体" w:cs="宋体" w:eastAsia="宋体" w:hint="default"/>
                <w:sz w:val="21"/>
                <w:szCs w:val="21"/>
              </w:rPr>
              <w:t>总裁</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1,918,938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1,918,938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杨华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1,549,044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1,549,044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17.00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李国忠</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1,644,972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1,644,972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刘纲</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邵建平</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4" w:right="0"/>
              <w:jc w:val="left"/>
              <w:rPr>
                <w:rFonts w:ascii="宋体" w:hAnsi="宋体" w:cs="宋体" w:eastAsia="宋体" w:hint="default"/>
                <w:sz w:val="21"/>
                <w:szCs w:val="21"/>
              </w:rPr>
            </w:pPr>
            <w:r>
              <w:rPr>
                <w:rFonts w:ascii="宋体" w:hAnsi="宋体" w:cs="宋体" w:eastAsia="宋体" w:hint="default"/>
                <w:sz w:val="21"/>
                <w:szCs w:val="21"/>
              </w:rPr>
              <w:t>秦其明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3"/>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高文荣</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张蕾</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1,712,970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1,712,970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冯立</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戴敏云</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王洪深</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28.60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胡环宇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21"/>
                <w:szCs w:val="21"/>
              </w:rPr>
            </w:pPr>
            <w:r>
              <w:rPr>
                <w:rFonts w:ascii="Times New Roman"/>
                <w:sz w:val="21"/>
              </w:rPr>
              <w:t>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420,000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28.60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72" w:lineRule="exact"/>
        <w:jc w:val="left"/>
        <w:rPr>
          <w:rFonts w:ascii="宋体" w:hAnsi="宋体" w:cs="宋体" w:eastAsia="宋体" w:hint="default"/>
          <w:sz w:val="21"/>
          <w:szCs w:val="21"/>
        </w:rPr>
        <w:sectPr>
          <w:pgSz w:w="11910" w:h="16840"/>
          <w:pgMar w:header="850" w:footer="979" w:top="1380" w:bottom="1160" w:left="920" w:right="920"/>
        </w:sectPr>
      </w:pPr>
    </w:p>
    <w:p>
      <w:pPr>
        <w:spacing w:line="240" w:lineRule="auto" w:before="2"/>
        <w:rPr>
          <w:rFonts w:ascii="宋体" w:hAnsi="宋体" w:cs="宋体" w:eastAsia="宋体" w:hint="default"/>
          <w:b/>
          <w:bCs/>
          <w:sz w:val="4"/>
          <w:szCs w:val="4"/>
        </w:rPr>
      </w:pPr>
    </w:p>
    <w:tbl>
      <w:tblPr>
        <w:tblW w:w="0" w:type="auto"/>
        <w:jc w:val="left"/>
        <w:tblInd w:w="114" w:type="dxa"/>
        <w:tblLayout w:type="fixed"/>
        <w:tblCellMar>
          <w:top w:w="0" w:type="dxa"/>
          <w:left w:w="0" w:type="dxa"/>
          <w:bottom w:w="0" w:type="dxa"/>
          <w:right w:w="0" w:type="dxa"/>
        </w:tblCellMar>
        <w:tblLook w:val="01E0"/>
      </w:tblPr>
      <w:tblGrid>
        <w:gridCol w:w="780"/>
        <w:gridCol w:w="1042"/>
        <w:gridCol w:w="518"/>
        <w:gridCol w:w="521"/>
        <w:gridCol w:w="1169"/>
        <w:gridCol w:w="1171"/>
        <w:gridCol w:w="1231"/>
        <w:gridCol w:w="1133"/>
        <w:gridCol w:w="574"/>
        <w:gridCol w:w="883"/>
        <w:gridCol w:w="806"/>
      </w:tblGrid>
      <w:tr>
        <w:trPr>
          <w:trHeight w:val="336" w:hRule="exact"/>
        </w:trPr>
        <w:tc>
          <w:tcPr>
            <w:tcW w:w="78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殷小敏</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73"/>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陈睿</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163"/>
              <w:jc w:val="left"/>
              <w:rPr>
                <w:rFonts w:ascii="宋体" w:hAnsi="宋体" w:cs="宋体" w:eastAsia="宋体" w:hint="default"/>
                <w:sz w:val="21"/>
                <w:szCs w:val="21"/>
              </w:rPr>
            </w:pPr>
            <w:r>
              <w:rPr>
                <w:rFonts w:ascii="宋体" w:hAnsi="宋体" w:cs="宋体" w:eastAsia="宋体" w:hint="default"/>
                <w:sz w:val="21"/>
                <w:szCs w:val="21"/>
              </w:rPr>
              <w:t>董事会秘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73"/>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840,000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7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0" w:lineRule="exact"/>
              <w:ind w:left="1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2"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41"/>
              <w:ind w:right="11"/>
              <w:jc w:val="center"/>
              <w:rPr>
                <w:rFonts w:ascii="Times New Roman" w:hAnsi="Times New Roman" w:cs="Times New Roman" w:eastAsia="Times New Roman" w:hint="default"/>
                <w:sz w:val="21"/>
                <w:szCs w:val="21"/>
              </w:rPr>
            </w:pPr>
            <w:r>
              <w:rPr>
                <w:rFonts w:ascii="Times New Roman"/>
                <w:w w:val="100"/>
                <w:sz w:val="21"/>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7"/>
              <w:jc w:val="right"/>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0" w:right="0"/>
              <w:jc w:val="lef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31,087,644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31,087,644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z w:val="21"/>
              </w:rPr>
              <w:t>250.90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26"/>
        <w:ind w:left="1360" w:right="745" w:firstLine="0"/>
        <w:jc w:val="left"/>
        <w:rPr>
          <w:rFonts w:ascii="宋体" w:hAnsi="宋体" w:cs="宋体" w:eastAsia="宋体" w:hint="default"/>
          <w:sz w:val="24"/>
          <w:szCs w:val="24"/>
        </w:rPr>
      </w:pPr>
      <w:r>
        <w:rPr>
          <w:rFonts w:ascii="宋体" w:hAnsi="宋体" w:cs="宋体" w:eastAsia="宋体" w:hint="default"/>
          <w:b/>
          <w:bCs/>
          <w:sz w:val="24"/>
          <w:szCs w:val="24"/>
        </w:rPr>
        <w:t>（二）现任董事、监事、高级管理人员最近</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年的主要工作经历</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BodyText"/>
        <w:spacing w:line="240" w:lineRule="auto"/>
        <w:ind w:left="1357" w:right="745"/>
        <w:jc w:val="left"/>
      </w:pPr>
      <w:r>
        <w:rPr>
          <w:rFonts w:ascii="Times New Roman" w:hAnsi="Times New Roman" w:cs="Times New Roman" w:eastAsia="Times New Roman" w:hint="default"/>
        </w:rPr>
        <w:t>1</w:t>
      </w:r>
      <w:r>
        <w:rPr/>
        <w:t>、公司现任董事</w:t>
      </w:r>
    </w:p>
    <w:p>
      <w:pPr>
        <w:pStyle w:val="BodyText"/>
        <w:spacing w:line="352" w:lineRule="auto" w:before="157"/>
        <w:ind w:left="877" w:right="873" w:firstLine="480"/>
        <w:jc w:val="both"/>
      </w:pPr>
      <w:r>
        <w:rPr/>
        <w:t>吴强华，男，</w:t>
      </w:r>
      <w:r>
        <w:rPr>
          <w:rFonts w:ascii="Times New Roman" w:hAnsi="Times New Roman" w:cs="Times New Roman" w:eastAsia="Times New Roman" w:hint="default"/>
        </w:rPr>
        <w:t>42 </w:t>
      </w:r>
      <w:r>
        <w:rPr/>
        <w:t>岁，中国国籍，无境外居留权，</w:t>
      </w:r>
      <w:r>
        <w:rPr>
          <w:rFonts w:ascii="Times New Roman" w:hAnsi="Times New Roman" w:cs="Times New Roman" w:eastAsia="Times New Roman" w:hint="default"/>
        </w:rPr>
        <w:t>1994</w:t>
      </w:r>
      <w:r>
        <w:rPr>
          <w:rFonts w:ascii="Times New Roman" w:hAnsi="Times New Roman" w:cs="Times New Roman" w:eastAsia="Times New Roman" w:hint="default"/>
          <w:spacing w:val="32"/>
        </w:rPr>
        <w:t> </w:t>
      </w:r>
      <w:r>
        <w:rPr/>
        <w:t>年毕业于北京林业大 学，研究生学历，地理信息和测绘专业高级工程师。</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t>年担任北京 建设电子信息工程公司研发工程师、技术部经理，</w:t>
      </w:r>
      <w:r>
        <w:rPr>
          <w:rFonts w:ascii="Times New Roman" w:hAnsi="Times New Roman" w:cs="Times New Roman" w:eastAsia="Times New Roman" w:hint="default"/>
        </w:rPr>
        <w:t>2003</w:t>
      </w:r>
      <w:r>
        <w:rPr>
          <w:rFonts w:ascii="Times New Roman" w:hAnsi="Times New Roman" w:cs="Times New Roman" w:eastAsia="Times New Roman" w:hint="default"/>
          <w:spacing w:val="21"/>
        </w:rPr>
        <w:t> </w:t>
      </w:r>
      <w:r>
        <w:rPr/>
        <w:t>年加入有限公司，历任</w:t>
      </w:r>
      <w:r>
        <w:rPr>
          <w:spacing w:val="-118"/>
        </w:rPr>
        <w:t> </w:t>
      </w:r>
      <w:r>
        <w:rPr>
          <w:spacing w:val="-118"/>
        </w:rPr>
      </w:r>
      <w:r>
        <w:rPr/>
        <w:t>执行总裁、董事长，现任本公司董事长、总裁。</w:t>
      </w:r>
    </w:p>
    <w:p>
      <w:pPr>
        <w:pStyle w:val="BodyText"/>
        <w:spacing w:line="352" w:lineRule="auto" w:before="62"/>
        <w:ind w:left="877" w:right="740" w:firstLine="482"/>
        <w:jc w:val="left"/>
      </w:pPr>
      <w:r>
        <w:rPr>
          <w:spacing w:val="-6"/>
        </w:rPr>
        <w:t>许欣，男，</w:t>
      </w:r>
      <w:r>
        <w:rPr>
          <w:rFonts w:ascii="Times New Roman" w:hAnsi="Times New Roman" w:cs="Times New Roman" w:eastAsia="Times New Roman" w:hint="default"/>
          <w:spacing w:val="-6"/>
        </w:rPr>
        <w:t>45 </w:t>
      </w:r>
      <w:r>
        <w:rPr>
          <w:spacing w:val="-3"/>
        </w:rPr>
        <w:t>岁，中国国籍，无境外居留权，</w:t>
      </w:r>
      <w:r>
        <w:rPr>
          <w:rFonts w:ascii="Times New Roman" w:hAnsi="Times New Roman" w:cs="Times New Roman" w:eastAsia="Times New Roman" w:hint="default"/>
          <w:spacing w:val="-3"/>
        </w:rPr>
        <w:t>1989</w:t>
      </w:r>
      <w:r>
        <w:rPr>
          <w:rFonts w:ascii="Times New Roman" w:hAnsi="Times New Roman" w:cs="Times New Roman" w:eastAsia="Times New Roman" w:hint="default"/>
          <w:spacing w:val="9"/>
        </w:rPr>
        <w:t> </w:t>
      </w:r>
      <w:r>
        <w:rPr/>
        <w:t>年毕业于北京工业大学， 大学本科学历。</w:t>
      </w:r>
      <w:r>
        <w:rPr>
          <w:rFonts w:ascii="Times New Roman" w:hAnsi="Times New Roman" w:cs="Times New Roman" w:eastAsia="Times New Roman" w:hint="default"/>
        </w:rPr>
        <w:t>1989 </w:t>
      </w:r>
      <w:r>
        <w:rPr/>
        <w:t>年至 </w:t>
      </w:r>
      <w:r>
        <w:rPr>
          <w:rFonts w:ascii="Times New Roman" w:hAnsi="Times New Roman" w:cs="Times New Roman" w:eastAsia="Times New Roman" w:hint="default"/>
        </w:rPr>
        <w:t>1993 </w:t>
      </w:r>
      <w:r>
        <w:rPr/>
        <w:t>年担任建设部信息中心工程师；</w:t>
      </w:r>
      <w:r>
        <w:rPr>
          <w:rFonts w:ascii="Times New Roman" w:hAnsi="Times New Roman" w:cs="Times New Roman" w:eastAsia="Times New Roman" w:hint="default"/>
        </w:rPr>
        <w:t>1993 </w:t>
      </w:r>
      <w:r>
        <w:rPr/>
        <w:t>年至</w:t>
      </w:r>
      <w:r>
        <w:rPr>
          <w:spacing w:val="-28"/>
        </w:rPr>
        <w:t> </w:t>
      </w:r>
      <w:r>
        <w:rPr>
          <w:rFonts w:ascii="Times New Roman" w:hAnsi="Times New Roman" w:cs="Times New Roman" w:eastAsia="Times New Roman" w:hint="default"/>
        </w:rPr>
        <w:t>2002 </w:t>
      </w:r>
      <w:r>
        <w:rPr/>
        <w:t>年担任北京建设电子信息工程公司市场部经理和规管事业部副经理；</w:t>
      </w:r>
      <w:r>
        <w:rPr>
          <w:rFonts w:ascii="Times New Roman" w:hAnsi="Times New Roman" w:cs="Times New Roman" w:eastAsia="Times New Roman" w:hint="default"/>
        </w:rPr>
        <w:t>2003 </w:t>
      </w:r>
      <w:r>
        <w:rPr/>
        <w:t>年加</w:t>
      </w:r>
      <w:r>
        <w:rPr>
          <w:spacing w:val="-97"/>
        </w:rPr>
        <w:t> </w:t>
      </w:r>
      <w:r>
        <w:rPr/>
        <w:t>入有限公司，历任销售总监、副董事长，现任本公司副董事长、常务副总裁。</w:t>
      </w:r>
    </w:p>
    <w:p>
      <w:pPr>
        <w:pStyle w:val="BodyText"/>
        <w:spacing w:line="352" w:lineRule="auto" w:before="62"/>
        <w:ind w:left="877" w:right="740" w:firstLine="482"/>
        <w:jc w:val="left"/>
      </w:pPr>
      <w:r>
        <w:rPr>
          <w:spacing w:val="-6"/>
        </w:rPr>
        <w:t>朱华，男，</w:t>
      </w:r>
      <w:r>
        <w:rPr>
          <w:rFonts w:ascii="Times New Roman" w:hAnsi="Times New Roman" w:cs="Times New Roman" w:eastAsia="Times New Roman" w:hint="default"/>
          <w:spacing w:val="-6"/>
        </w:rPr>
        <w:t>37 </w:t>
      </w:r>
      <w:r>
        <w:rPr>
          <w:spacing w:val="-3"/>
        </w:rPr>
        <w:t>岁，中国国籍，无境外居留权，</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9"/>
        </w:rPr>
        <w:t> </w:t>
      </w:r>
      <w:r>
        <w:rPr/>
        <w:t>年毕业于北京理工大学， 研究生学历。</w:t>
      </w:r>
      <w:r>
        <w:rPr>
          <w:rFonts w:ascii="Times New Roman" w:hAnsi="Times New Roman" w:cs="Times New Roman" w:eastAsia="Times New Roman" w:hint="default"/>
        </w:rPr>
        <w:t>2000 </w:t>
      </w:r>
      <w:r>
        <w:rPr/>
        <w:t>年至</w:t>
      </w:r>
      <w:r>
        <w:rPr>
          <w:spacing w:val="-60"/>
        </w:rPr>
        <w:t> </w:t>
      </w:r>
      <w:r>
        <w:rPr>
          <w:rFonts w:ascii="Times New Roman" w:hAnsi="Times New Roman" w:cs="Times New Roman" w:eastAsia="Times New Roman" w:hint="default"/>
        </w:rPr>
        <w:t>2002 </w:t>
      </w:r>
      <w:r>
        <w:rPr/>
        <w:t>年担任北京建设数字科技有限责任公司项目经理； </w:t>
      </w:r>
      <w:r>
        <w:rPr>
          <w:rFonts w:ascii="Times New Roman" w:hAnsi="Times New Roman" w:cs="Times New Roman" w:eastAsia="Times New Roman" w:hint="default"/>
        </w:rPr>
        <w:t>2002 </w:t>
      </w:r>
      <w:r>
        <w:rPr/>
        <w:t>年加入有限公司，历任工程部经理、规划和国土事业部副总经理、规划和</w:t>
      </w:r>
      <w:r>
        <w:rPr>
          <w:spacing w:val="-97"/>
        </w:rPr>
        <w:t> </w:t>
      </w:r>
      <w:r>
        <w:rPr>
          <w:spacing w:val="-97"/>
        </w:rPr>
      </w:r>
      <w:r>
        <w:rPr/>
        <w:t>国土事业部总经理。现任公司董事、副总裁、规划和国土事业部总经理。</w:t>
      </w:r>
    </w:p>
    <w:p>
      <w:pPr>
        <w:pStyle w:val="BodyText"/>
        <w:spacing w:line="352" w:lineRule="auto" w:before="62"/>
        <w:ind w:left="877" w:right="875" w:firstLine="482"/>
        <w:jc w:val="both"/>
      </w:pPr>
      <w:r>
        <w:rPr/>
        <w:t>杨华，男，</w:t>
      </w:r>
      <w:r>
        <w:rPr>
          <w:rFonts w:ascii="Times New Roman" w:hAnsi="Times New Roman" w:cs="Times New Roman" w:eastAsia="Times New Roman" w:hint="default"/>
        </w:rPr>
        <w:t>39 </w:t>
      </w:r>
      <w:r>
        <w:rPr/>
        <w:t>岁，中国国籍，无境外居留权，</w:t>
      </w:r>
      <w:r>
        <w:rPr>
          <w:rFonts w:ascii="Times New Roman" w:hAnsi="Times New Roman" w:cs="Times New Roman" w:eastAsia="Times New Roman" w:hint="default"/>
        </w:rPr>
        <w:t>1991</w:t>
      </w:r>
      <w:r>
        <w:rPr>
          <w:rFonts w:ascii="Times New Roman" w:hAnsi="Times New Roman" w:cs="Times New Roman" w:eastAsia="Times New Roman" w:hint="default"/>
          <w:spacing w:val="27"/>
        </w:rPr>
        <w:t> </w:t>
      </w:r>
      <w:r>
        <w:rPr/>
        <w:t>年毕业于郑州大学，大 学本科学历。</w:t>
      </w:r>
      <w:r>
        <w:rPr>
          <w:rFonts w:ascii="Times New Roman" w:hAnsi="Times New Roman" w:cs="Times New Roman" w:eastAsia="Times New Roman" w:hint="default"/>
        </w:rPr>
        <w:t>1991</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年任职于开封市工商局计算机中心、开封市城市规 划局信息中心，</w:t>
      </w:r>
      <w:r>
        <w:rPr>
          <w:rFonts w:ascii="Times New Roman" w:hAnsi="Times New Roman" w:cs="Times New Roman" w:eastAsia="Times New Roman" w:hint="default"/>
        </w:rPr>
        <w:t>2001</w:t>
      </w:r>
      <w:r>
        <w:rPr>
          <w:rFonts w:ascii="Times New Roman" w:hAnsi="Times New Roman" w:cs="Times New Roman" w:eastAsia="Times New Roman" w:hint="default"/>
          <w:spacing w:val="21"/>
        </w:rPr>
        <w:t> </w:t>
      </w:r>
      <w:r>
        <w:rPr/>
        <w:t>年加入有限公司，担任公司执行董事，现任公司董事、销</w:t>
      </w:r>
      <w:r>
        <w:rPr>
          <w:spacing w:val="-118"/>
        </w:rPr>
        <w:t> </w:t>
      </w:r>
      <w:r>
        <w:rPr>
          <w:spacing w:val="-118"/>
        </w:rPr>
      </w:r>
      <w:r>
        <w:rPr/>
        <w:t>售总监、上海政通监事。</w:t>
      </w:r>
    </w:p>
    <w:p>
      <w:pPr>
        <w:pStyle w:val="BodyText"/>
        <w:spacing w:line="352" w:lineRule="auto" w:before="62"/>
        <w:ind w:left="877" w:right="875" w:firstLine="482"/>
        <w:jc w:val="both"/>
        <w:rPr>
          <w:rFonts w:ascii="Times New Roman" w:hAnsi="Times New Roman" w:cs="Times New Roman" w:eastAsia="Times New Roman" w:hint="default"/>
        </w:rPr>
      </w:pPr>
      <w:r>
        <w:rPr/>
        <w:t>李国忠，男，</w:t>
      </w:r>
      <w:r>
        <w:rPr>
          <w:rFonts w:ascii="Times New Roman" w:hAnsi="Times New Roman" w:cs="Times New Roman" w:eastAsia="Times New Roman" w:hint="default"/>
        </w:rPr>
        <w:t>37 </w:t>
      </w:r>
      <w:r>
        <w:rPr/>
        <w:t>岁，中国国籍，无境外居留权，</w:t>
      </w:r>
      <w:r>
        <w:rPr>
          <w:rFonts w:ascii="Times New Roman" w:hAnsi="Times New Roman" w:cs="Times New Roman" w:eastAsia="Times New Roman" w:hint="default"/>
        </w:rPr>
        <w:t>1999</w:t>
      </w:r>
      <w:r>
        <w:rPr>
          <w:rFonts w:ascii="Times New Roman" w:hAnsi="Times New Roman" w:cs="Times New Roman" w:eastAsia="Times New Roman" w:hint="default"/>
          <w:spacing w:val="27"/>
        </w:rPr>
        <w:t> </w:t>
      </w:r>
      <w:r>
        <w:rPr/>
        <w:t>年毕业于北京工业大 学半导体器件与微电子学专业，硕士学历。</w:t>
      </w:r>
      <w:r>
        <w:rPr>
          <w:rFonts w:ascii="Times New Roman" w:hAnsi="Times New Roman" w:cs="Times New Roman" w:eastAsia="Times New Roman" w:hint="default"/>
        </w:rPr>
        <w:t>1999</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t>年担任北京建设数字 </w:t>
      </w:r>
      <w:r>
        <w:rPr>
          <w:spacing w:val="-7"/>
        </w:rPr>
        <w:t>科技有限责任公司研发工程师，</w:t>
      </w:r>
      <w:r>
        <w:rPr>
          <w:rFonts w:ascii="Times New Roman" w:hAnsi="Times New Roman" w:cs="Times New Roman" w:eastAsia="Times New Roman" w:hint="default"/>
          <w:spacing w:val="-7"/>
        </w:rPr>
        <w:t>2002</w:t>
      </w:r>
      <w:r>
        <w:rPr>
          <w:rFonts w:ascii="Times New Roman" w:hAnsi="Times New Roman" w:cs="Times New Roman" w:eastAsia="Times New Roman" w:hint="default"/>
          <w:spacing w:val="-3"/>
        </w:rPr>
        <w:t> </w:t>
      </w:r>
      <w:r>
        <w:rPr/>
        <w:t>年至</w:t>
      </w:r>
      <w:r>
        <w:rPr>
          <w:spacing w:val="-63"/>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spacing w:val="-8"/>
        </w:rPr>
        <w:t>年担任公司高级研发工程师，</w:t>
      </w:r>
      <w:r>
        <w:rPr>
          <w:rFonts w:ascii="Times New Roman" w:hAnsi="Times New Roman" w:cs="Times New Roman" w:eastAsia="Times New Roman" w:hint="default"/>
          <w:spacing w:val="-8"/>
        </w:rPr>
        <w:t>2004</w:t>
      </w:r>
    </w:p>
    <w:p>
      <w:pPr>
        <w:spacing w:after="0" w:line="352" w:lineRule="auto"/>
        <w:jc w:val="both"/>
        <w:rPr>
          <w:rFonts w:ascii="Times New Roman" w:hAnsi="Times New Roman" w:cs="Times New Roman" w:eastAsia="Times New Roman" w:hint="default"/>
        </w:rPr>
        <w:sectPr>
          <w:pgSz w:w="11910" w:h="16840"/>
          <w:pgMar w:header="850" w:footer="979" w:top="1380" w:bottom="1160" w:left="920" w:right="920"/>
        </w:sectPr>
      </w:pPr>
    </w:p>
    <w:p>
      <w:pPr>
        <w:pStyle w:val="BodyText"/>
        <w:spacing w:line="374" w:lineRule="auto" w:before="105"/>
        <w:ind w:right="233"/>
        <w:jc w:val="both"/>
      </w:pPr>
      <w:r>
        <w:rPr>
          <w:spacing w:val="-3"/>
        </w:rPr>
        <w:t>年至今担任公司规划和国土事业部规划业务研发经理。现任公司董事、规划和国</w:t>
      </w:r>
      <w:r>
        <w:rPr>
          <w:spacing w:val="-103"/>
        </w:rPr>
        <w:t> </w:t>
      </w:r>
      <w:r>
        <w:rPr>
          <w:spacing w:val="-103"/>
        </w:rPr>
      </w:r>
      <w:r>
        <w:rPr/>
        <w:t>土事业部规划业务研发经理。</w:t>
      </w:r>
    </w:p>
    <w:p>
      <w:pPr>
        <w:pStyle w:val="BodyText"/>
        <w:spacing w:line="352" w:lineRule="auto" w:before="38"/>
        <w:ind w:right="99" w:firstLine="482"/>
        <w:jc w:val="left"/>
      </w:pPr>
      <w:r>
        <w:rPr>
          <w:spacing w:val="-3"/>
        </w:rPr>
        <w:t>刘纲，男，</w:t>
      </w:r>
      <w:r>
        <w:rPr>
          <w:rFonts w:ascii="Times New Roman" w:hAnsi="Times New Roman" w:cs="Times New Roman" w:eastAsia="Times New Roman" w:hint="default"/>
          <w:spacing w:val="-3"/>
        </w:rPr>
        <w:t>42</w:t>
      </w:r>
      <w:r>
        <w:rPr>
          <w:rFonts w:ascii="Times New Roman" w:hAnsi="Times New Roman" w:cs="Times New Roman" w:eastAsia="Times New Roman" w:hint="default"/>
          <w:spacing w:val="-11"/>
        </w:rPr>
        <w:t> </w:t>
      </w:r>
      <w:r>
        <w:rPr/>
        <w:t>岁，中国国籍，无境外居留权，中国人民大学工商管理硕士。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年担任湘财证券创投公司业务副总裁；现担任深圳市创新投资集 团投资委员、北京公司总经理、天津公司副董事长。现任公司董事。</w:t>
      </w:r>
    </w:p>
    <w:p>
      <w:pPr>
        <w:pStyle w:val="BodyText"/>
        <w:spacing w:line="352" w:lineRule="auto" w:before="62"/>
        <w:ind w:right="233" w:firstLine="482"/>
        <w:jc w:val="both"/>
      </w:pPr>
      <w:r>
        <w:rPr/>
        <w:t>邵建平，男，</w:t>
      </w:r>
      <w:r>
        <w:rPr>
          <w:rFonts w:ascii="Times New Roman" w:hAnsi="Times New Roman" w:cs="Times New Roman" w:eastAsia="Times New Roman" w:hint="default"/>
        </w:rPr>
        <w:t>58 </w:t>
      </w:r>
      <w:r>
        <w:rPr/>
        <w:t>岁，中国国籍，无境外居留权，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27"/>
        </w:rPr>
        <w:t> </w:t>
      </w:r>
      <w:r>
        <w:rPr/>
        <w:t>年毕业于清华大学电 子工程系计算机专业，大学本科学历。</w:t>
      </w:r>
      <w:r>
        <w:rPr>
          <w:rFonts w:ascii="Times New Roman" w:hAnsi="Times New Roman" w:cs="Times New Roman" w:eastAsia="Times New Roman" w:hint="default"/>
        </w:rPr>
        <w:t>1977</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1985</w:t>
      </w:r>
      <w:r>
        <w:rPr>
          <w:rFonts w:ascii="Times New Roman" w:hAnsi="Times New Roman" w:cs="Times New Roman" w:eastAsia="Times New Roman" w:hint="default"/>
          <w:spacing w:val="-10"/>
        </w:rPr>
        <w:t> </w:t>
      </w:r>
      <w:r>
        <w:rPr/>
        <w:t>年担任北京计算机三厂厂 长助理职务；</w:t>
      </w:r>
      <w:r>
        <w:rPr>
          <w:rFonts w:ascii="Times New Roman" w:hAnsi="Times New Roman" w:cs="Times New Roman" w:eastAsia="Times New Roman" w:hint="default"/>
        </w:rPr>
        <w:t>1985 </w:t>
      </w:r>
      <w:r>
        <w:rPr/>
        <w:t>年至 </w:t>
      </w:r>
      <w:r>
        <w:rPr>
          <w:rFonts w:ascii="Times New Roman" w:hAnsi="Times New Roman" w:cs="Times New Roman" w:eastAsia="Times New Roman" w:hint="default"/>
        </w:rPr>
        <w:t>1988 </w:t>
      </w:r>
      <w:r>
        <w:rPr/>
        <w:t>年担任日本 </w:t>
      </w:r>
      <w:r>
        <w:rPr>
          <w:rFonts w:ascii="Times New Roman" w:hAnsi="Times New Roman" w:cs="Times New Roman" w:eastAsia="Times New Roman" w:hint="default"/>
        </w:rPr>
        <w:t>DCL</w:t>
      </w:r>
      <w:r>
        <w:rPr>
          <w:rFonts w:ascii="Times New Roman" w:hAnsi="Times New Roman" w:cs="Times New Roman" w:eastAsia="Times New Roman" w:hint="default"/>
          <w:spacing w:val="-30"/>
        </w:rPr>
        <w:t> </w:t>
      </w:r>
      <w:r>
        <w:rPr/>
        <w:t>株式会社软件开发研修生职务； </w:t>
      </w:r>
      <w:r>
        <w:rPr>
          <w:rFonts w:ascii="Times New Roman" w:hAnsi="Times New Roman" w:cs="Times New Roman" w:eastAsia="Times New Roman" w:hint="default"/>
        </w:rPr>
        <w:t>1988</w:t>
      </w:r>
      <w:r>
        <w:rPr>
          <w:rFonts w:ascii="Times New Roman" w:hAnsi="Times New Roman" w:cs="Times New Roman" w:eastAsia="Times New Roman" w:hint="default"/>
          <w:spacing w:val="4"/>
        </w:rPr>
        <w:t> </w:t>
      </w:r>
      <w:r>
        <w:rPr/>
        <w:t>年至</w:t>
      </w:r>
      <w:r>
        <w:rPr>
          <w:spacing w:val="-56"/>
        </w:rPr>
        <w:t> </w:t>
      </w:r>
      <w:r>
        <w:rPr>
          <w:rFonts w:ascii="Times New Roman" w:hAnsi="Times New Roman" w:cs="Times New Roman" w:eastAsia="Times New Roman" w:hint="default"/>
        </w:rPr>
        <w:t>1989</w:t>
      </w:r>
      <w:r>
        <w:rPr>
          <w:rFonts w:ascii="Times New Roman" w:hAnsi="Times New Roman" w:cs="Times New Roman" w:eastAsia="Times New Roman" w:hint="default"/>
          <w:spacing w:val="4"/>
        </w:rPr>
        <w:t> </w:t>
      </w:r>
      <w:r>
        <w:rPr/>
        <w:t>年担任北京计算机三厂厂长助理职务；</w:t>
      </w:r>
      <w:r>
        <w:rPr>
          <w:rFonts w:ascii="Times New Roman" w:hAnsi="Times New Roman" w:cs="Times New Roman" w:eastAsia="Times New Roman" w:hint="default"/>
        </w:rPr>
        <w:t>1989</w:t>
      </w:r>
      <w:r>
        <w:rPr>
          <w:rFonts w:ascii="Times New Roman" w:hAnsi="Times New Roman" w:cs="Times New Roman" w:eastAsia="Times New Roman" w:hint="default"/>
          <w:spacing w:val="4"/>
        </w:rPr>
        <w:t> </w:t>
      </w:r>
      <w:r>
        <w:rPr/>
        <w:t>年至</w:t>
      </w:r>
      <w:r>
        <w:rPr>
          <w:spacing w:val="-56"/>
        </w:rPr>
        <w:t> </w:t>
      </w:r>
      <w:r>
        <w:rPr>
          <w:rFonts w:ascii="Times New Roman" w:hAnsi="Times New Roman" w:cs="Times New Roman" w:eastAsia="Times New Roman" w:hint="default"/>
        </w:rPr>
        <w:t>1990</w:t>
      </w:r>
      <w:r>
        <w:rPr>
          <w:rFonts w:ascii="Times New Roman" w:hAnsi="Times New Roman" w:cs="Times New Roman" w:eastAsia="Times New Roman" w:hint="default"/>
          <w:spacing w:val="4"/>
        </w:rPr>
        <w:t> </w:t>
      </w:r>
      <w:r>
        <w:rPr/>
        <w:t>年任职于 京电香港有限公司；</w:t>
      </w:r>
      <w:r>
        <w:rPr>
          <w:rFonts w:ascii="Times New Roman" w:hAnsi="Times New Roman" w:cs="Times New Roman" w:eastAsia="Times New Roman" w:hint="default"/>
        </w:rPr>
        <w:t>1990</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年担任北京计算机三厂厂长助理职务；</w:t>
      </w:r>
      <w:r>
        <w:rPr>
          <w:rFonts w:ascii="Times New Roman" w:hAnsi="Times New Roman" w:cs="Times New Roman" w:eastAsia="Times New Roman" w:hint="default"/>
        </w:rPr>
        <w:t>2001 </w:t>
      </w:r>
      <w:r>
        <w:rPr/>
        <w:t>年至</w:t>
      </w:r>
      <w:r>
        <w:rPr>
          <w:spacing w:val="-7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年担任首都信息发展股份有限公司副总裁职务；</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年至今担任首都 信息发展股份有限公司顾问职务。现任公司独立董事。</w:t>
      </w:r>
    </w:p>
    <w:p>
      <w:pPr>
        <w:pStyle w:val="BodyText"/>
        <w:spacing w:line="352" w:lineRule="auto" w:before="62"/>
        <w:ind w:right="99" w:firstLine="482"/>
        <w:jc w:val="left"/>
      </w:pPr>
      <w:r>
        <w:rPr/>
        <w:t>秦其明，男，</w:t>
      </w:r>
      <w:r>
        <w:rPr>
          <w:rFonts w:ascii="Times New Roman" w:hAnsi="Times New Roman" w:cs="Times New Roman" w:eastAsia="Times New Roman" w:hint="default"/>
        </w:rPr>
        <w:t>56 </w:t>
      </w:r>
      <w:r>
        <w:rPr/>
        <w:t>岁，中国国籍，无境外居留权，</w:t>
      </w:r>
      <w:r>
        <w:rPr>
          <w:rFonts w:ascii="Times New Roman" w:hAnsi="Times New Roman" w:cs="Times New Roman" w:eastAsia="Times New Roman" w:hint="default"/>
        </w:rPr>
        <w:t>1990</w:t>
      </w:r>
      <w:r>
        <w:rPr>
          <w:rFonts w:ascii="Times New Roman" w:hAnsi="Times New Roman" w:cs="Times New Roman" w:eastAsia="Times New Roman" w:hint="default"/>
          <w:spacing w:val="27"/>
        </w:rPr>
        <w:t> </w:t>
      </w:r>
      <w:r>
        <w:rPr/>
        <w:t>年毕业于北京大学自 </w:t>
      </w:r>
      <w:r>
        <w:rPr>
          <w:spacing w:val="-10"/>
        </w:rPr>
        <w:t>然地理专业，博士学历。</w:t>
      </w:r>
      <w:r>
        <w:rPr>
          <w:rFonts w:ascii="Times New Roman" w:hAnsi="Times New Roman" w:cs="Times New Roman" w:eastAsia="Times New Roman" w:hint="default"/>
          <w:spacing w:val="-10"/>
        </w:rPr>
        <w:t>1997</w:t>
      </w:r>
      <w:r>
        <w:rPr>
          <w:rFonts w:ascii="Times New Roman" w:hAnsi="Times New Roman" w:cs="Times New Roman" w:eastAsia="Times New Roman" w:hint="default"/>
        </w:rPr>
        <w:t> </w:t>
      </w:r>
      <w:r>
        <w:rPr/>
        <w:t>年至</w:t>
      </w:r>
      <w:r>
        <w:rPr>
          <w:spacing w:val="-60"/>
        </w:rPr>
        <w:t> </w:t>
      </w:r>
      <w:r>
        <w:rPr>
          <w:rFonts w:ascii="Times New Roman" w:hAnsi="Times New Roman" w:cs="Times New Roman" w:eastAsia="Times New Roman" w:hint="default"/>
        </w:rPr>
        <w:t>2001 </w:t>
      </w:r>
      <w:r>
        <w:rPr/>
        <w:t>年担任北京大学遥感研究所副所长职务； </w:t>
      </w:r>
      <w:r>
        <w:rPr>
          <w:rFonts w:ascii="Times New Roman" w:hAnsi="Times New Roman" w:cs="Times New Roman" w:eastAsia="Times New Roman" w:hint="default"/>
        </w:rPr>
        <w:t>2001 </w:t>
      </w:r>
      <w:r>
        <w:rPr/>
        <w:t>年至今担任北京大学地球与空间学院副院长职务。现任公司独立董事。</w:t>
      </w:r>
    </w:p>
    <w:p>
      <w:pPr>
        <w:pStyle w:val="BodyText"/>
        <w:spacing w:line="352" w:lineRule="auto" w:before="32"/>
        <w:ind w:right="217" w:firstLine="482"/>
        <w:jc w:val="left"/>
        <w:rPr>
          <w:rFonts w:ascii="Times New Roman" w:hAnsi="Times New Roman" w:cs="Times New Roman" w:eastAsia="Times New Roman" w:hint="default"/>
        </w:rPr>
      </w:pPr>
      <w:r>
        <w:rPr/>
        <w:t>高文荣，女，</w:t>
      </w:r>
      <w:r>
        <w:rPr>
          <w:rFonts w:ascii="Times New Roman" w:hAnsi="Times New Roman" w:cs="Times New Roman" w:eastAsia="Times New Roman" w:hint="default"/>
        </w:rPr>
        <w:t>38 </w:t>
      </w:r>
      <w:r>
        <w:rPr/>
        <w:t>岁，中国国籍，无境外居留权，</w:t>
      </w:r>
      <w:r>
        <w:rPr>
          <w:rFonts w:ascii="Times New Roman" w:hAnsi="Times New Roman" w:cs="Times New Roman" w:eastAsia="Times New Roman" w:hint="default"/>
        </w:rPr>
        <w:t>1996</w:t>
      </w:r>
      <w:r>
        <w:rPr>
          <w:rFonts w:ascii="Times New Roman" w:hAnsi="Times New Roman" w:cs="Times New Roman" w:eastAsia="Times New Roman" w:hint="default"/>
          <w:spacing w:val="27"/>
        </w:rPr>
        <w:t> </w:t>
      </w:r>
      <w:r>
        <w:rPr/>
        <w:t>年毕业于山西财经大 </w:t>
      </w:r>
      <w:r>
        <w:rPr>
          <w:spacing w:val="-3"/>
        </w:rPr>
        <w:t>学计划统计专业，本科学历，注册会计师、注册评估师、注册税务师，</w:t>
      </w:r>
      <w:r>
        <w:rPr>
          <w:rFonts w:ascii="Times New Roman" w:hAnsi="Times New Roman" w:cs="Times New Roman" w:eastAsia="Times New Roman" w:hint="default"/>
          <w:spacing w:val="-3"/>
        </w:rPr>
        <w:t>1999 </w:t>
      </w:r>
      <w:r>
        <w:rPr/>
        <w:t>年</w:t>
      </w:r>
      <w:r>
        <w:rPr>
          <w:spacing w:val="-40"/>
        </w:rPr>
        <w:t> </w:t>
      </w:r>
      <w:r>
        <w:rPr>
          <w:rFonts w:ascii="Times New Roman" w:hAnsi="Times New Roman" w:cs="Times New Roman" w:eastAsia="Times New Roman" w:hint="default"/>
        </w:rPr>
        <w:t>1</w:t>
      </w:r>
    </w:p>
    <w:p>
      <w:pPr>
        <w:pStyle w:val="BodyText"/>
        <w:spacing w:line="352" w:lineRule="auto" w:before="32"/>
        <w:ind w:right="233"/>
        <w:jc w:val="both"/>
      </w:pPr>
      <w:r>
        <w:rPr/>
        <w:t>月至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月，历任山西煤炭气化公司统计员、山西华岳会计师事务所有限 公司项目经理、中审会计师事务所有限公司高级项目经理，</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月至今， 任国家开发银行贷款项目行外评审委员。现任公司独立董事。</w:t>
      </w:r>
    </w:p>
    <w:p>
      <w:pPr>
        <w:pStyle w:val="BodyText"/>
        <w:spacing w:line="240" w:lineRule="auto" w:before="62"/>
        <w:ind w:left="617" w:right="111"/>
        <w:jc w:val="left"/>
      </w:pPr>
      <w:r>
        <w:rPr>
          <w:rFonts w:ascii="Times New Roman" w:hAnsi="Times New Roman" w:cs="Times New Roman" w:eastAsia="Times New Roman" w:hint="default"/>
        </w:rPr>
        <w:t>2</w:t>
      </w:r>
      <w:r>
        <w:rPr/>
        <w:t>、公司现任监事</w:t>
      </w:r>
    </w:p>
    <w:p>
      <w:pPr>
        <w:pStyle w:val="BodyText"/>
        <w:spacing w:line="360" w:lineRule="auto" w:before="157"/>
        <w:ind w:right="100" w:firstLine="482"/>
        <w:jc w:val="left"/>
      </w:pPr>
      <w:r>
        <w:rPr>
          <w:spacing w:val="-6"/>
        </w:rPr>
        <w:t>张蕾，女，</w:t>
      </w:r>
      <w:r>
        <w:rPr>
          <w:rFonts w:ascii="Times New Roman" w:hAnsi="Times New Roman" w:cs="Times New Roman" w:eastAsia="Times New Roman" w:hint="default"/>
          <w:spacing w:val="-6"/>
        </w:rPr>
        <w:t>37 </w:t>
      </w:r>
      <w:r>
        <w:rPr>
          <w:spacing w:val="-3"/>
        </w:rPr>
        <w:t>岁，中国国籍，无境外居留权，</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9"/>
        </w:rPr>
        <w:t> </w:t>
      </w:r>
      <w:r>
        <w:rPr/>
        <w:t>年毕业于西安交通大学， </w:t>
      </w:r>
      <w:r>
        <w:rPr>
          <w:spacing w:val="-12"/>
        </w:rPr>
        <w:t>研究生学历。</w:t>
      </w:r>
      <w:r>
        <w:rPr>
          <w:rFonts w:ascii="Times New Roman" w:hAnsi="Times New Roman" w:cs="Times New Roman" w:eastAsia="Times New Roman" w:hint="default"/>
          <w:spacing w:val="-12"/>
        </w:rPr>
        <w:t>1998</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spacing w:val="-5"/>
        </w:rPr>
        <w:t>年担任北京建设电子信息工程公司研发工程师，</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58"/>
        </w:rPr>
        <w:t> </w:t>
      </w:r>
      <w:r>
        <w:rPr>
          <w:spacing w:val="-3"/>
        </w:rPr>
        <w:t>年加入有限公司，历任研发组长、研发经理。现任公司监事会主席、规划和国土</w:t>
      </w:r>
      <w:r>
        <w:rPr>
          <w:spacing w:val="-103"/>
        </w:rPr>
        <w:t> </w:t>
      </w:r>
      <w:r>
        <w:rPr>
          <w:spacing w:val="-103"/>
        </w:rPr>
      </w:r>
      <w:r>
        <w:rPr/>
        <w:t>事业部国土业务研发经理。</w:t>
      </w:r>
    </w:p>
    <w:p>
      <w:pPr>
        <w:pStyle w:val="BodyText"/>
        <w:spacing w:line="352" w:lineRule="auto" w:before="55"/>
        <w:ind w:right="233" w:firstLine="482"/>
        <w:jc w:val="both"/>
      </w:pPr>
      <w:r>
        <w:rPr/>
        <w:t>戴敏云，男，</w:t>
      </w:r>
      <w:r>
        <w:rPr>
          <w:rFonts w:ascii="Times New Roman" w:hAnsi="Times New Roman" w:cs="Times New Roman" w:eastAsia="Times New Roman" w:hint="default"/>
        </w:rPr>
        <w:t>41 </w:t>
      </w:r>
      <w:r>
        <w:rPr/>
        <w:t>岁，中国国籍，无境外居留权，</w:t>
      </w:r>
      <w:r>
        <w:rPr>
          <w:rFonts w:ascii="Times New Roman" w:hAnsi="Times New Roman" w:cs="Times New Roman" w:eastAsia="Times New Roman" w:hint="default"/>
        </w:rPr>
        <w:t>1992</w:t>
      </w:r>
      <w:r>
        <w:rPr>
          <w:rFonts w:ascii="Times New Roman" w:hAnsi="Times New Roman" w:cs="Times New Roman" w:eastAsia="Times New Roman" w:hint="default"/>
          <w:spacing w:val="27"/>
        </w:rPr>
        <w:t> </w:t>
      </w:r>
      <w:r>
        <w:rPr/>
        <w:t>年毕业于中国金融学 </w:t>
      </w:r>
      <w:r>
        <w:rPr>
          <w:spacing w:val="-6"/>
        </w:rPr>
        <w:t>院，本科学历。</w:t>
      </w:r>
      <w:r>
        <w:rPr>
          <w:rFonts w:ascii="Times New Roman" w:hAnsi="Times New Roman" w:cs="Times New Roman" w:eastAsia="Times New Roman" w:hint="default"/>
          <w:spacing w:val="-6"/>
        </w:rPr>
        <w:t>1999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月获复旦大学工商管理硕士学位。</w:t>
      </w:r>
      <w:r>
        <w:rPr>
          <w:rFonts w:ascii="Times New Roman" w:hAnsi="Times New Roman" w:cs="Times New Roman" w:eastAsia="Times New Roman" w:hint="default"/>
        </w:rPr>
        <w:t>1992</w:t>
      </w:r>
      <w:r>
        <w:rPr>
          <w:rFonts w:ascii="Times New Roman" w:hAnsi="Times New Roman" w:cs="Times New Roman" w:eastAsia="Times New Roman" w:hint="default"/>
          <w:spacing w:val="-4"/>
        </w:rPr>
        <w:t> </w:t>
      </w:r>
      <w:r>
        <w:rPr/>
        <w:t>年至</w:t>
      </w:r>
      <w:r>
        <w:rPr>
          <w:spacing w:val="-64"/>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年担 任国泰证券有限公司发行部发行一处副经理；</w:t>
      </w:r>
      <w:r>
        <w:rPr>
          <w:rFonts w:ascii="Times New Roman" w:hAnsi="Times New Roman" w:cs="Times New Roman" w:eastAsia="Times New Roman" w:hint="default"/>
        </w:rPr>
        <w:t>1998</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0"/>
        </w:rPr>
        <w:t> </w:t>
      </w:r>
      <w:r>
        <w:rPr/>
        <w:t>年担任华夏证券有</w:t>
      </w:r>
    </w:p>
    <w:p>
      <w:pPr>
        <w:spacing w:after="0" w:line="352" w:lineRule="auto"/>
        <w:jc w:val="both"/>
        <w:sectPr>
          <w:pgSz w:w="11910" w:h="16840"/>
          <w:pgMar w:header="850" w:footer="979" w:top="1380" w:bottom="1160" w:left="1660" w:right="1560"/>
        </w:sectPr>
      </w:pPr>
    </w:p>
    <w:p>
      <w:pPr>
        <w:pStyle w:val="BodyText"/>
        <w:spacing w:line="352" w:lineRule="auto" w:before="105"/>
        <w:ind w:right="96"/>
        <w:jc w:val="left"/>
      </w:pPr>
      <w:r>
        <w:rPr/>
        <w:t>限公司投资银行部总经理助理；</w:t>
      </w:r>
      <w:r>
        <w:rPr>
          <w:rFonts w:ascii="Times New Roman" w:hAnsi="Times New Roman" w:cs="Times New Roman" w:eastAsia="Times New Roman" w:hint="default"/>
        </w:rPr>
        <w:t>1999</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年担任海通证券有限公司投资银 </w:t>
      </w:r>
      <w:r>
        <w:rPr>
          <w:spacing w:val="-7"/>
        </w:rPr>
        <w:t>行部副总经理；</w:t>
      </w:r>
      <w:r>
        <w:rPr>
          <w:rFonts w:ascii="Times New Roman" w:hAnsi="Times New Roman" w:cs="Times New Roman" w:eastAsia="Times New Roman" w:hint="default"/>
          <w:spacing w:val="-7"/>
        </w:rPr>
        <w:t>2002</w:t>
      </w:r>
      <w:r>
        <w:rPr>
          <w:rFonts w:ascii="Times New Roman" w:hAnsi="Times New Roman" w:cs="Times New Roman" w:eastAsia="Times New Roman" w:hint="default"/>
        </w:rPr>
        <w:t> </w:t>
      </w:r>
      <w:r>
        <w:rPr/>
        <w:t>年至</w:t>
      </w:r>
      <w:r>
        <w:rPr>
          <w:spacing w:val="-60"/>
        </w:rPr>
        <w:t> </w:t>
      </w:r>
      <w:r>
        <w:rPr>
          <w:rFonts w:ascii="Times New Roman" w:hAnsi="Times New Roman" w:cs="Times New Roman" w:eastAsia="Times New Roman" w:hint="default"/>
        </w:rPr>
        <w:t>2007 </w:t>
      </w:r>
      <w:r>
        <w:rPr>
          <w:spacing w:val="-4"/>
        </w:rPr>
        <w:t>年担任中富证券有限公司副总裁；</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t>年至</w:t>
      </w:r>
      <w:r>
        <w:rPr>
          <w:spacing w:val="-60"/>
        </w:rPr>
        <w:t> </w:t>
      </w:r>
      <w:r>
        <w:rPr>
          <w:rFonts w:ascii="Times New Roman" w:hAnsi="Times New Roman" w:cs="Times New Roman" w:eastAsia="Times New Roman" w:hint="default"/>
        </w:rPr>
        <w:t>2008 </w:t>
      </w:r>
      <w:r>
        <w:rPr/>
        <w:t>年担任上海瀚银信息技术有限公司副总裁；</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年起，担任上海顶势执行董事。 现任公司监事。</w:t>
      </w:r>
    </w:p>
    <w:p>
      <w:pPr>
        <w:pStyle w:val="BodyText"/>
        <w:spacing w:line="352" w:lineRule="auto" w:before="62"/>
        <w:ind w:right="220" w:firstLine="482"/>
        <w:jc w:val="left"/>
      </w:pPr>
      <w:r>
        <w:rPr/>
        <w:t>冯立，女，</w:t>
      </w:r>
      <w:r>
        <w:rPr>
          <w:rFonts w:ascii="Times New Roman" w:hAnsi="Times New Roman" w:cs="Times New Roman" w:eastAsia="Times New Roman" w:hint="default"/>
        </w:rPr>
        <w:t>38 </w:t>
      </w:r>
      <w:r>
        <w:rPr/>
        <w:t>岁，中国国籍，无境外居留权，</w:t>
      </w:r>
      <w:r>
        <w:rPr>
          <w:rFonts w:ascii="Times New Roman" w:hAnsi="Times New Roman" w:cs="Times New Roman" w:eastAsia="Times New Roman" w:hint="default"/>
        </w:rPr>
        <w:t>1995</w:t>
      </w:r>
      <w:r>
        <w:rPr>
          <w:rFonts w:ascii="Times New Roman" w:hAnsi="Times New Roman" w:cs="Times New Roman" w:eastAsia="Times New Roman" w:hint="default"/>
          <w:spacing w:val="27"/>
        </w:rPr>
        <w:t> </w:t>
      </w:r>
      <w:r>
        <w:rPr/>
        <w:t>年毕业于辽宁大学，本 科学历。</w:t>
      </w:r>
      <w:r>
        <w:rPr>
          <w:spacing w:val="-42"/>
        </w:rPr>
        <w:t> </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月在上海新昌公司担任总经理助理；</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1"/>
        </w:rPr>
        <w:t> </w:t>
      </w:r>
      <w:r>
        <w:rPr/>
        <w:t>年</w:t>
      </w:r>
    </w:p>
    <w:p>
      <w:pPr>
        <w:pStyle w:val="BodyText"/>
        <w:spacing w:line="240" w:lineRule="auto" w:before="30"/>
        <w:ind w:right="111"/>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月至</w:t>
      </w:r>
      <w:r>
        <w:rPr>
          <w:spacing w:val="-6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月在</w:t>
      </w:r>
      <w:r>
        <w:rPr>
          <w:spacing w:val="-3"/>
        </w:rPr>
        <w:t>中</w:t>
      </w:r>
      <w:r>
        <w:rPr/>
        <w:t>国水产</w:t>
      </w:r>
      <w:r>
        <w:rPr>
          <w:rFonts w:ascii="Times New Roman" w:hAnsi="Times New Roman" w:cs="Times New Roman" w:eastAsia="Times New Roman" w:hint="default"/>
          <w:spacing w:val="-1"/>
        </w:rPr>
        <w:t>(</w:t>
      </w:r>
      <w:r>
        <w:rPr/>
        <w:t>集团</w:t>
      </w:r>
      <w:r>
        <w:rPr>
          <w:rFonts w:ascii="Times New Roman" w:hAnsi="Times New Roman" w:cs="Times New Roman" w:eastAsia="Times New Roman" w:hint="default"/>
          <w:spacing w:val="-1"/>
        </w:rPr>
        <w:t>)</w:t>
      </w:r>
      <w:r>
        <w:rPr/>
        <w:t>总公司</w:t>
      </w:r>
      <w:r>
        <w:rPr>
          <w:spacing w:val="2"/>
        </w:rPr>
        <w:t>担</w:t>
      </w:r>
      <w:r>
        <w:rPr/>
        <w:t>任总经办助理</w:t>
      </w:r>
      <w:r>
        <w:rPr>
          <w:spacing w:val="-120"/>
        </w:rPr>
        <w:t>；</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w:t>
      </w:r>
      <w:r>
        <w:rPr>
          <w:spacing w:val="-68"/>
        </w:rPr>
        <w:t> </w:t>
      </w:r>
      <w:r>
        <w:rPr>
          <w:rFonts w:ascii="Times New Roman" w:hAnsi="Times New Roman" w:cs="Times New Roman" w:eastAsia="Times New Roman" w:hint="default"/>
        </w:rPr>
        <w:t>2005</w:t>
      </w:r>
    </w:p>
    <w:p>
      <w:pPr>
        <w:pStyle w:val="BodyText"/>
        <w:spacing w:line="352" w:lineRule="auto" w:before="157"/>
        <w:ind w:right="235"/>
        <w:jc w:val="both"/>
      </w:pP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月在神州卫视台担任节目后期制作总经理；</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月至</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月在 北京京奇信装饰工程公司担任办公室主任；</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月加入有限公司，历任人 事行政经理。现任公司监事、人事行政经理。</w:t>
      </w:r>
    </w:p>
    <w:p>
      <w:pPr>
        <w:pStyle w:val="BodyText"/>
        <w:spacing w:line="367" w:lineRule="auto" w:before="60"/>
        <w:ind w:left="619" w:right="4687" w:hanging="3"/>
        <w:jc w:val="left"/>
      </w:pPr>
      <w:r>
        <w:rPr>
          <w:rFonts w:ascii="Times New Roman" w:hAnsi="Times New Roman" w:cs="Times New Roman" w:eastAsia="Times New Roman" w:hint="default"/>
        </w:rPr>
        <w:t>3</w:t>
      </w:r>
      <w:r>
        <w:rPr/>
        <w:t>、公司现任高级管理人员 吴强华，公司总裁，简历同上。 许欣，常务副总裁，简历同上。 朱华，副总裁，简历同上。</w:t>
      </w:r>
    </w:p>
    <w:p>
      <w:pPr>
        <w:pStyle w:val="BodyText"/>
        <w:spacing w:line="352" w:lineRule="auto" w:before="46"/>
        <w:ind w:right="235" w:firstLine="482"/>
        <w:jc w:val="both"/>
      </w:pPr>
      <w:r>
        <w:rPr/>
        <w:t>王洪深，男，</w:t>
      </w:r>
      <w:r>
        <w:rPr>
          <w:rFonts w:ascii="Times New Roman" w:hAnsi="Times New Roman" w:cs="Times New Roman" w:eastAsia="Times New Roman" w:hint="default"/>
        </w:rPr>
        <w:t>35 </w:t>
      </w:r>
      <w:r>
        <w:rPr/>
        <w:t>岁，中国国籍，无境外居留权，</w:t>
      </w:r>
      <w:r>
        <w:rPr>
          <w:rFonts w:ascii="Times New Roman" w:hAnsi="Times New Roman" w:cs="Times New Roman" w:eastAsia="Times New Roman" w:hint="default"/>
        </w:rPr>
        <w:t>2002</w:t>
      </w:r>
      <w:r>
        <w:rPr>
          <w:rFonts w:ascii="Times New Roman" w:hAnsi="Times New Roman" w:cs="Times New Roman" w:eastAsia="Times New Roman" w:hint="default"/>
          <w:spacing w:val="27"/>
        </w:rPr>
        <w:t> </w:t>
      </w:r>
      <w:r>
        <w:rPr/>
        <w:t>年毕业于清华大学， 研究生学历。</w:t>
      </w:r>
      <w:r>
        <w:rPr>
          <w:rFonts w:ascii="Times New Roman" w:hAnsi="Times New Roman" w:cs="Times New Roman" w:eastAsia="Times New Roman" w:hint="default"/>
        </w:rPr>
        <w:t>2002</w:t>
      </w:r>
      <w:r>
        <w:rPr>
          <w:rFonts w:ascii="Times New Roman" w:hAnsi="Times New Roman" w:cs="Times New Roman" w:eastAsia="Times New Roman" w:hint="default"/>
          <w:spacing w:val="21"/>
        </w:rPr>
        <w:t> </w:t>
      </w:r>
      <w:r>
        <w:rPr/>
        <w:t>年加入有限公司，历任研发组组长、研发部经理、数字城管</w:t>
      </w:r>
      <w:r>
        <w:rPr>
          <w:spacing w:val="-118"/>
        </w:rPr>
        <w:t> </w:t>
      </w:r>
      <w:r>
        <w:rPr>
          <w:spacing w:val="-118"/>
        </w:rPr>
      </w:r>
      <w:r>
        <w:rPr/>
        <w:t>事业部副总经理、技术总监。现任公司副总裁、技术总监。</w:t>
      </w:r>
    </w:p>
    <w:p>
      <w:pPr>
        <w:pStyle w:val="BodyText"/>
        <w:spacing w:line="360" w:lineRule="auto" w:before="62"/>
        <w:ind w:right="95" w:firstLine="482"/>
        <w:jc w:val="left"/>
      </w:pPr>
      <w:r>
        <w:rPr/>
        <w:t>胡环宇，男，</w:t>
      </w:r>
      <w:r>
        <w:rPr>
          <w:rFonts w:ascii="Times New Roman" w:hAnsi="Times New Roman" w:cs="Times New Roman" w:eastAsia="Times New Roman" w:hint="default"/>
        </w:rPr>
        <w:t>33 </w:t>
      </w:r>
      <w:r>
        <w:rPr/>
        <w:t>岁，中国国籍，无境外居留权，</w:t>
      </w:r>
      <w:r>
        <w:rPr>
          <w:rFonts w:ascii="Times New Roman" w:hAnsi="Times New Roman" w:cs="Times New Roman" w:eastAsia="Times New Roman" w:hint="default"/>
        </w:rPr>
        <w:t>2004</w:t>
      </w:r>
      <w:r>
        <w:rPr>
          <w:rFonts w:ascii="Times New Roman" w:hAnsi="Times New Roman" w:cs="Times New Roman" w:eastAsia="Times New Roman" w:hint="default"/>
          <w:spacing w:val="27"/>
        </w:rPr>
        <w:t> </w:t>
      </w:r>
      <w:r>
        <w:rPr/>
        <w:t>年毕业于北京科技大 学，研究生学历。</w:t>
      </w:r>
      <w:r>
        <w:rPr>
          <w:rFonts w:ascii="Times New Roman" w:hAnsi="Times New Roman" w:cs="Times New Roman" w:eastAsia="Times New Roman" w:hint="default"/>
        </w:rPr>
        <w:t>2004</w:t>
      </w:r>
      <w:r>
        <w:rPr>
          <w:rFonts w:ascii="Times New Roman" w:hAnsi="Times New Roman" w:cs="Times New Roman" w:eastAsia="Times New Roman" w:hint="default"/>
          <w:spacing w:val="-26"/>
        </w:rPr>
        <w:t> </w:t>
      </w:r>
      <w:r>
        <w:rPr/>
        <w:t>年加入有限公司，历任数字城管事业部工程部项目经理、 </w:t>
      </w:r>
      <w:r>
        <w:rPr>
          <w:spacing w:val="-6"/>
        </w:rPr>
        <w:t>数字城管事业部工程部经理、数字城管事业部副总经理、数字城管事业部总经理。</w:t>
      </w:r>
      <w:r>
        <w:rPr>
          <w:spacing w:val="-112"/>
        </w:rPr>
        <w:t> </w:t>
      </w:r>
      <w:r>
        <w:rPr>
          <w:spacing w:val="-112"/>
        </w:rPr>
      </w:r>
      <w:r>
        <w:rPr/>
        <w:t>现任公司副总裁、数字城管事业部总经理。</w:t>
      </w:r>
    </w:p>
    <w:p>
      <w:pPr>
        <w:pStyle w:val="BodyText"/>
        <w:spacing w:line="352" w:lineRule="auto" w:before="55"/>
        <w:ind w:right="98" w:firstLine="482"/>
        <w:jc w:val="left"/>
      </w:pPr>
      <w:r>
        <w:rPr/>
        <w:t>殷小敏，女，</w:t>
      </w:r>
      <w:r>
        <w:rPr>
          <w:rFonts w:ascii="Times New Roman" w:hAnsi="Times New Roman" w:cs="Times New Roman" w:eastAsia="Times New Roman" w:hint="default"/>
        </w:rPr>
        <w:t>55 </w:t>
      </w:r>
      <w:r>
        <w:rPr/>
        <w:t>岁，中国国籍，无境外居留权，</w:t>
      </w:r>
      <w:r>
        <w:rPr>
          <w:rFonts w:ascii="Times New Roman" w:hAnsi="Times New Roman" w:cs="Times New Roman" w:eastAsia="Times New Roman" w:hint="default"/>
        </w:rPr>
        <w:t>1986</w:t>
      </w:r>
      <w:r>
        <w:rPr>
          <w:rFonts w:ascii="Times New Roman" w:hAnsi="Times New Roman" w:cs="Times New Roman" w:eastAsia="Times New Roman" w:hint="default"/>
          <w:spacing w:val="27"/>
        </w:rPr>
        <w:t> </w:t>
      </w:r>
      <w:r>
        <w:rPr/>
        <w:t>年毕业于北京广播电 </w:t>
      </w:r>
      <w:r>
        <w:rPr>
          <w:spacing w:val="-6"/>
        </w:rPr>
        <w:t>视大学，专科学历。</w:t>
      </w:r>
      <w:r>
        <w:rPr>
          <w:rFonts w:ascii="Times New Roman" w:hAnsi="Times New Roman" w:cs="Times New Roman" w:eastAsia="Times New Roman" w:hint="default"/>
          <w:spacing w:val="-6"/>
        </w:rPr>
        <w:t>1981</w:t>
      </w:r>
      <w:r>
        <w:rPr>
          <w:rFonts w:ascii="Times New Roman" w:hAnsi="Times New Roman" w:cs="Times New Roman" w:eastAsia="Times New Roman" w:hint="default"/>
          <w:spacing w:val="3"/>
        </w:rPr>
        <w:t> </w:t>
      </w:r>
      <w:r>
        <w:rPr/>
        <w:t>年至</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spacing w:val="-4"/>
        </w:rPr>
        <w:t>年担任北京友谊宾馆出纳、会计、总账主管、</w:t>
      </w:r>
      <w:r>
        <w:rPr/>
        <w:t> </w:t>
      </w:r>
      <w:r>
        <w:rPr>
          <w:spacing w:val="-14"/>
        </w:rPr>
        <w:t>财务经理；</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8"/>
        </w:rPr>
        <w:t> </w:t>
      </w:r>
      <w:r>
        <w:rPr/>
        <w:t>年至</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spacing w:val="-5"/>
        </w:rPr>
        <w:t>年担任中国清洁发展机制基金管理中心财务主管；</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53"/>
        </w:rPr>
        <w:t> </w:t>
      </w:r>
      <w:r>
        <w:rPr/>
        <w:t>年加入有限公司，任财务负责人。现任公司财务负责人。</w:t>
      </w:r>
    </w:p>
    <w:p>
      <w:pPr>
        <w:pStyle w:val="BodyText"/>
        <w:spacing w:line="352" w:lineRule="auto" w:before="62"/>
        <w:ind w:right="219" w:firstLine="482"/>
        <w:jc w:val="left"/>
        <w:rPr>
          <w:rFonts w:ascii="Times New Roman" w:hAnsi="Times New Roman" w:cs="Times New Roman" w:eastAsia="Times New Roman" w:hint="default"/>
        </w:rPr>
      </w:pPr>
      <w:r>
        <w:rPr/>
        <w:t>陈睿，男，</w:t>
      </w:r>
      <w:r>
        <w:rPr>
          <w:rFonts w:ascii="Times New Roman" w:hAnsi="Times New Roman" w:cs="Times New Roman" w:eastAsia="Times New Roman" w:hint="default"/>
        </w:rPr>
        <w:t>29 </w:t>
      </w:r>
      <w:r>
        <w:rPr/>
        <w:t>岁，中国国籍，无境外居留权，</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年毕业于福州大学，研 究生学历。</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年至</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年担任上海科维思投资管理有限公司项目经理；</w:t>
      </w:r>
      <w:r>
        <w:rPr>
          <w:rFonts w:ascii="Times New Roman" w:hAnsi="Times New Roman" w:cs="Times New Roman" w:eastAsia="Times New Roman" w:hint="default"/>
        </w:rPr>
        <w:t>2008</w:t>
      </w:r>
    </w:p>
    <w:p>
      <w:pPr>
        <w:spacing w:after="0" w:line="352" w:lineRule="auto"/>
        <w:jc w:val="left"/>
        <w:rPr>
          <w:rFonts w:ascii="Times New Roman" w:hAnsi="Times New Roman" w:cs="Times New Roman" w:eastAsia="Times New Roman" w:hint="default"/>
        </w:rPr>
        <w:sectPr>
          <w:pgSz w:w="11910" w:h="16840"/>
          <w:pgMar w:header="850" w:footer="979" w:top="1380" w:bottom="1160" w:left="1660" w:right="1560"/>
        </w:sectPr>
      </w:pPr>
    </w:p>
    <w:p>
      <w:pPr>
        <w:pStyle w:val="BodyText"/>
        <w:spacing w:line="352" w:lineRule="auto" w:before="105"/>
        <w:ind w:left="217" w:right="89"/>
        <w:jc w:val="left"/>
      </w:pPr>
      <w:r>
        <w:rPr/>
        <w:t>年至</w:t>
      </w:r>
      <w:r>
        <w:rPr>
          <w:spacing w:val="-60"/>
        </w:rPr>
        <w:t> </w:t>
      </w:r>
      <w:r>
        <w:rPr>
          <w:rFonts w:ascii="Times New Roman" w:hAnsi="Times New Roman" w:cs="Times New Roman" w:eastAsia="Times New Roman" w:hint="default"/>
        </w:rPr>
        <w:t>2009 </w:t>
      </w:r>
      <w:r>
        <w:rPr/>
        <w:t>年担任财富中国金融控股有限公司项目经理；</w:t>
      </w:r>
      <w:r>
        <w:rPr>
          <w:rFonts w:ascii="Times New Roman" w:hAnsi="Times New Roman" w:cs="Times New Roman" w:eastAsia="Times New Roman" w:hint="default"/>
        </w:rPr>
        <w:t>2009 </w:t>
      </w:r>
      <w:r>
        <w:rPr/>
        <w:t>年加入有限公司， 任总裁助理。现任公司董事会秘书、副总裁。</w:t>
      </w:r>
    </w:p>
    <w:p>
      <w:pPr>
        <w:spacing w:line="240" w:lineRule="auto" w:before="1"/>
        <w:rPr>
          <w:rFonts w:ascii="宋体" w:hAnsi="宋体" w:cs="宋体" w:eastAsia="宋体" w:hint="default"/>
          <w:sz w:val="17"/>
          <w:szCs w:val="17"/>
        </w:rPr>
      </w:pPr>
    </w:p>
    <w:p>
      <w:pPr>
        <w:pStyle w:val="Heading3"/>
        <w:spacing w:line="374" w:lineRule="auto" w:before="0"/>
        <w:ind w:left="217" w:right="89" w:firstLine="472"/>
        <w:jc w:val="left"/>
        <w:rPr>
          <w:b w:val="0"/>
          <w:bCs w:val="0"/>
        </w:rPr>
      </w:pPr>
      <w:r>
        <w:rPr>
          <w:spacing w:val="-3"/>
          <w:w w:val="95"/>
        </w:rPr>
        <w:t>（三）董事、监事、高级管理人员在股东单位任职及在除股东单位以外的其</w:t>
      </w:r>
      <w:r>
        <w:rPr>
          <w:w w:val="99"/>
        </w:rPr>
        <w:t> </w:t>
      </w:r>
      <w:r>
        <w:rPr/>
        <w:t>他单位任职或兼职情况</w:t>
      </w:r>
      <w:r>
        <w:rPr>
          <w:b w:val="0"/>
          <w:bCs w:val="0"/>
        </w:rPr>
      </w:r>
    </w:p>
    <w:p>
      <w:pPr>
        <w:spacing w:line="240" w:lineRule="auto" w:before="10"/>
        <w:rPr>
          <w:rFonts w:ascii="宋体" w:hAnsi="宋体" w:cs="宋体" w:eastAsia="宋体"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960"/>
        <w:gridCol w:w="1274"/>
        <w:gridCol w:w="3403"/>
        <w:gridCol w:w="2750"/>
      </w:tblGrid>
      <w:tr>
        <w:trPr>
          <w:trHeight w:val="4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6" w:right="0"/>
              <w:jc w:val="left"/>
              <w:rPr>
                <w:rFonts w:ascii="宋体" w:hAnsi="宋体" w:cs="宋体" w:eastAsia="宋体" w:hint="default"/>
                <w:sz w:val="24"/>
                <w:szCs w:val="24"/>
              </w:rPr>
            </w:pPr>
            <w:r>
              <w:rPr>
                <w:rFonts w:ascii="宋体" w:hAnsi="宋体" w:cs="宋体" w:eastAsia="宋体" w:hint="default"/>
                <w:sz w:val="24"/>
                <w:szCs w:val="24"/>
              </w:rPr>
              <w:t>在股东单位任职情况</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24"/>
                <w:szCs w:val="24"/>
              </w:rPr>
            </w:pPr>
            <w:r>
              <w:rPr>
                <w:rFonts w:ascii="宋体" w:hAnsi="宋体" w:cs="宋体" w:eastAsia="宋体" w:hint="default"/>
                <w:sz w:val="24"/>
                <w:szCs w:val="24"/>
              </w:rPr>
              <w:t>在非股东单位任职情况</w:t>
            </w:r>
          </w:p>
        </w:tc>
      </w:tr>
      <w:tr>
        <w:trPr>
          <w:trHeight w:val="147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刘纲</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3" w:right="72"/>
              <w:jc w:val="both"/>
              <w:rPr>
                <w:rFonts w:ascii="宋体" w:hAnsi="宋体" w:cs="宋体" w:eastAsia="宋体" w:hint="default"/>
                <w:sz w:val="24"/>
                <w:szCs w:val="24"/>
              </w:rPr>
            </w:pPr>
            <w:r>
              <w:rPr>
                <w:rFonts w:ascii="宋体" w:hAnsi="宋体" w:cs="宋体" w:eastAsia="宋体" w:hint="default"/>
                <w:spacing w:val="25"/>
                <w:sz w:val="24"/>
                <w:szCs w:val="24"/>
              </w:rPr>
              <w:t>深圳市创新投资集团投资委</w:t>
            </w:r>
            <w:r>
              <w:rPr>
                <w:rFonts w:ascii="宋体" w:hAnsi="宋体" w:cs="宋体" w:eastAsia="宋体" w:hint="default"/>
                <w:spacing w:val="-92"/>
                <w:sz w:val="24"/>
                <w:szCs w:val="24"/>
              </w:rPr>
              <w:t> </w:t>
            </w:r>
            <w:r>
              <w:rPr>
                <w:rFonts w:ascii="宋体" w:hAnsi="宋体" w:cs="宋体" w:eastAsia="宋体" w:hint="default"/>
                <w:spacing w:val="4"/>
                <w:sz w:val="24"/>
                <w:szCs w:val="24"/>
              </w:rPr>
              <w:t>员、北京公司总经理、天津公</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司副董事长</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74" w:lineRule="auto"/>
              <w:ind w:left="100" w:right="-1"/>
              <w:jc w:val="left"/>
              <w:rPr>
                <w:rFonts w:ascii="宋体" w:hAnsi="宋体" w:cs="宋体" w:eastAsia="宋体" w:hint="default"/>
                <w:sz w:val="24"/>
                <w:szCs w:val="24"/>
              </w:rPr>
            </w:pPr>
            <w:r>
              <w:rPr>
                <w:rFonts w:ascii="宋体" w:hAnsi="宋体" w:cs="宋体" w:eastAsia="宋体" w:hint="default"/>
                <w:sz w:val="24"/>
                <w:szCs w:val="24"/>
              </w:rPr>
              <w:t>乐视网信息技术（北京） 股份有限公司董事</w:t>
            </w:r>
          </w:p>
        </w:tc>
      </w:tr>
      <w:tr>
        <w:trPr>
          <w:trHeight w:val="9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邵建平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无</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0" w:right="103"/>
              <w:jc w:val="left"/>
              <w:rPr>
                <w:rFonts w:ascii="宋体" w:hAnsi="宋体" w:cs="宋体" w:eastAsia="宋体" w:hint="default"/>
                <w:sz w:val="24"/>
                <w:szCs w:val="24"/>
              </w:rPr>
            </w:pPr>
            <w:r>
              <w:rPr>
                <w:rFonts w:ascii="宋体" w:hAnsi="宋体" w:cs="宋体" w:eastAsia="宋体" w:hint="default"/>
                <w:spacing w:val="13"/>
                <w:sz w:val="24"/>
                <w:szCs w:val="24"/>
              </w:rPr>
              <w:t>首都信息发展股份有限</w:t>
            </w:r>
            <w:r>
              <w:rPr>
                <w:rFonts w:ascii="宋体" w:hAnsi="宋体" w:cs="宋体" w:eastAsia="宋体" w:hint="default"/>
                <w:sz w:val="24"/>
                <w:szCs w:val="24"/>
              </w:rPr>
              <w:t> 公司顾问</w:t>
            </w:r>
          </w:p>
        </w:tc>
      </w:tr>
      <w:tr>
        <w:trPr>
          <w:trHeight w:val="9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秦其明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无</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0" w:right="103"/>
              <w:jc w:val="left"/>
              <w:rPr>
                <w:rFonts w:ascii="宋体" w:hAnsi="宋体" w:cs="宋体" w:eastAsia="宋体" w:hint="default"/>
                <w:sz w:val="24"/>
                <w:szCs w:val="24"/>
              </w:rPr>
            </w:pPr>
            <w:r>
              <w:rPr>
                <w:rFonts w:ascii="宋体" w:hAnsi="宋体" w:cs="宋体" w:eastAsia="宋体" w:hint="default"/>
                <w:spacing w:val="13"/>
                <w:sz w:val="24"/>
                <w:szCs w:val="24"/>
              </w:rPr>
              <w:t>北京大学地球与空间学</w:t>
            </w:r>
            <w:r>
              <w:rPr>
                <w:rFonts w:ascii="宋体" w:hAnsi="宋体" w:cs="宋体" w:eastAsia="宋体" w:hint="default"/>
                <w:sz w:val="24"/>
                <w:szCs w:val="24"/>
              </w:rPr>
              <w:t> 院副院长</w:t>
            </w:r>
          </w:p>
        </w:tc>
      </w:tr>
      <w:tr>
        <w:trPr>
          <w:trHeight w:val="9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高文荣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无</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3"/>
              <w:ind w:left="100" w:right="103"/>
              <w:jc w:val="left"/>
              <w:rPr>
                <w:rFonts w:ascii="宋体" w:hAnsi="宋体" w:cs="宋体" w:eastAsia="宋体" w:hint="default"/>
                <w:sz w:val="24"/>
                <w:szCs w:val="24"/>
              </w:rPr>
            </w:pPr>
            <w:r>
              <w:rPr>
                <w:rFonts w:ascii="宋体" w:hAnsi="宋体" w:cs="宋体" w:eastAsia="宋体" w:hint="default"/>
                <w:spacing w:val="13"/>
                <w:sz w:val="24"/>
                <w:szCs w:val="24"/>
              </w:rPr>
              <w:t>国家开发银行贷款项目</w:t>
            </w:r>
            <w:r>
              <w:rPr>
                <w:rFonts w:ascii="宋体" w:hAnsi="宋体" w:cs="宋体" w:eastAsia="宋体" w:hint="default"/>
                <w:sz w:val="24"/>
                <w:szCs w:val="24"/>
              </w:rPr>
              <w:t> 行外评审委员</w:t>
            </w:r>
          </w:p>
        </w:tc>
      </w:tr>
      <w:tr>
        <w:trPr>
          <w:trHeight w:val="9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戴敏云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3" w:right="103"/>
              <w:jc w:val="left"/>
              <w:rPr>
                <w:rFonts w:ascii="宋体" w:hAnsi="宋体" w:cs="宋体" w:eastAsia="宋体" w:hint="default"/>
                <w:sz w:val="24"/>
                <w:szCs w:val="24"/>
              </w:rPr>
            </w:pPr>
            <w:r>
              <w:rPr>
                <w:rFonts w:ascii="宋体" w:hAnsi="宋体" w:cs="宋体" w:eastAsia="宋体" w:hint="default"/>
                <w:spacing w:val="4"/>
                <w:sz w:val="24"/>
                <w:szCs w:val="24"/>
              </w:rPr>
              <w:t>上海顶势投资管理有限公司执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行董事</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51"/>
              <w:ind w:left="100" w:right="103"/>
              <w:jc w:val="left"/>
              <w:rPr>
                <w:rFonts w:ascii="宋体" w:hAnsi="宋体" w:cs="宋体" w:eastAsia="宋体" w:hint="default"/>
                <w:sz w:val="24"/>
                <w:szCs w:val="24"/>
              </w:rPr>
            </w:pPr>
            <w:r>
              <w:rPr>
                <w:rFonts w:ascii="宋体" w:hAnsi="宋体" w:cs="宋体" w:eastAsia="宋体" w:hint="default"/>
                <w:spacing w:val="13"/>
                <w:sz w:val="24"/>
                <w:szCs w:val="24"/>
              </w:rPr>
              <w:t>长江证券股份有限公司</w:t>
            </w:r>
            <w:r>
              <w:rPr>
                <w:rFonts w:ascii="宋体" w:hAnsi="宋体" w:cs="宋体" w:eastAsia="宋体" w:hint="default"/>
                <w:sz w:val="24"/>
                <w:szCs w:val="24"/>
              </w:rPr>
              <w:t> 董事</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0"/>
        <w:ind w:left="217" w:right="89" w:firstLine="0"/>
        <w:jc w:val="left"/>
        <w:rPr>
          <w:rFonts w:ascii="宋体" w:hAnsi="宋体" w:cs="宋体" w:eastAsia="宋体" w:hint="default"/>
          <w:sz w:val="24"/>
          <w:szCs w:val="24"/>
        </w:rPr>
      </w:pPr>
      <w:r>
        <w:rPr>
          <w:rFonts w:ascii="宋体" w:hAnsi="宋体" w:cs="宋体" w:eastAsia="宋体" w:hint="default"/>
          <w:b/>
          <w:bCs/>
          <w:sz w:val="24"/>
          <w:szCs w:val="24"/>
        </w:rPr>
        <w:t>二、报告期内董事、监事、高管变动情况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p>
      <w:pPr>
        <w:pStyle w:val="BodyText"/>
        <w:spacing w:line="364" w:lineRule="auto"/>
        <w:ind w:left="217" w:right="133" w:firstLine="48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日，公司第一届董事会第十次会议审议通过《关于聘任陈睿先 </w:t>
      </w:r>
      <w:r>
        <w:rPr>
          <w:spacing w:val="-3"/>
        </w:rPr>
        <w:t>生为公司副总裁的议案》。陈睿先生现任公司副总裁、董事会秘书，主要管理证</w:t>
      </w:r>
      <w:r>
        <w:rPr>
          <w:spacing w:val="-103"/>
        </w:rPr>
        <w:t> </w:t>
      </w:r>
      <w:r>
        <w:rPr>
          <w:spacing w:val="-103"/>
        </w:rPr>
      </w:r>
      <w:r>
        <w:rPr/>
        <w:t>券事务、投资等工作。</w:t>
      </w:r>
    </w:p>
    <w:p>
      <w:pPr>
        <w:spacing w:line="434" w:lineRule="auto" w:before="214"/>
        <w:ind w:left="697" w:right="1469" w:hanging="480"/>
        <w:jc w:val="left"/>
        <w:rPr>
          <w:rFonts w:ascii="宋体" w:hAnsi="宋体" w:cs="宋体" w:eastAsia="宋体" w:hint="default"/>
          <w:sz w:val="24"/>
          <w:szCs w:val="24"/>
        </w:rPr>
      </w:pPr>
      <w:r>
        <w:rPr>
          <w:rFonts w:ascii="宋体" w:hAnsi="宋体" w:cs="宋体" w:eastAsia="宋体" w:hint="default"/>
          <w:b/>
          <w:bCs/>
          <w:sz w:val="24"/>
          <w:szCs w:val="24"/>
        </w:rPr>
        <w:t>三、在报告期内，公司核心技术团队或关键技术人员变动情况</w:t>
      </w:r>
      <w:r>
        <w:rPr>
          <w:rFonts w:ascii="宋体" w:hAnsi="宋体" w:cs="宋体" w:eastAsia="宋体" w:hint="default"/>
          <w:b/>
          <w:bCs/>
          <w:w w:val="99"/>
          <w:sz w:val="24"/>
          <w:szCs w:val="24"/>
        </w:rPr>
        <w:t> </w:t>
      </w:r>
      <w:r>
        <w:rPr>
          <w:rFonts w:ascii="宋体" w:hAnsi="宋体" w:cs="宋体" w:eastAsia="宋体" w:hint="default"/>
          <w:sz w:val="24"/>
          <w:szCs w:val="24"/>
        </w:rPr>
        <w:t>在报告期内，公司核心技术团队或关键技术人员未发生变动。</w:t>
      </w:r>
    </w:p>
    <w:p>
      <w:pPr>
        <w:pStyle w:val="Heading3"/>
        <w:spacing w:line="240" w:lineRule="auto" w:before="62"/>
        <w:ind w:left="217" w:right="89"/>
        <w:jc w:val="left"/>
        <w:rPr>
          <w:b w:val="0"/>
          <w:bCs w:val="0"/>
        </w:rPr>
      </w:pPr>
      <w:r>
        <w:rPr/>
        <w:t>四、公司员工情况</w:t>
      </w:r>
      <w:r>
        <w:rPr>
          <w:b w:val="0"/>
          <w:bCs w:val="0"/>
        </w:rPr>
      </w:r>
    </w:p>
    <w:p>
      <w:pPr>
        <w:spacing w:line="240" w:lineRule="auto" w:before="12"/>
        <w:rPr>
          <w:rFonts w:ascii="宋体" w:hAnsi="宋体" w:cs="宋体" w:eastAsia="宋体" w:hint="default"/>
          <w:b/>
          <w:bCs/>
          <w:sz w:val="25"/>
          <w:szCs w:val="25"/>
        </w:rPr>
      </w:pPr>
    </w:p>
    <w:p>
      <w:pPr>
        <w:pStyle w:val="BodyText"/>
        <w:spacing w:line="372" w:lineRule="auto"/>
        <w:ind w:left="217" w:right="166" w:firstLine="480"/>
        <w:jc w:val="both"/>
      </w:pPr>
      <w:r>
        <w:rPr/>
        <w:t>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日，公司员工总数为</w:t>
      </w:r>
      <w:r>
        <w:rPr>
          <w:rFonts w:ascii="宋体" w:hAnsi="宋体" w:cs="宋体" w:eastAsia="宋体" w:hint="default"/>
        </w:rPr>
        <w:t>319</w:t>
      </w:r>
      <w:r>
        <w:rPr/>
        <w:t>人（包括分公司和子公司）。公 司员工的专业结构、教育程度、年龄划分结构以及社会保障情况如下：</w:t>
      </w:r>
    </w:p>
    <w:p>
      <w:pPr>
        <w:spacing w:after="0" w:line="372" w:lineRule="auto"/>
        <w:jc w:val="both"/>
        <w:sectPr>
          <w:pgSz w:w="11910" w:h="16840"/>
          <w:pgMar w:header="850" w:footer="979" w:top="1380" w:bottom="1160" w:left="1580" w:right="1660"/>
        </w:sectPr>
      </w:pPr>
    </w:p>
    <w:p>
      <w:pPr>
        <w:pStyle w:val="Heading3"/>
        <w:spacing w:line="240" w:lineRule="auto" w:before="105"/>
        <w:ind w:left="557" w:right="0"/>
        <w:jc w:val="left"/>
        <w:rPr>
          <w:b w:val="0"/>
          <w:bCs w:val="0"/>
        </w:rPr>
      </w:pPr>
      <w:r>
        <w:rPr/>
        <w:t>（一）员工专业结构</w:t>
      </w:r>
      <w:r>
        <w:rPr>
          <w:b w:val="0"/>
          <w:bCs w:val="0"/>
        </w:rPr>
      </w:r>
    </w:p>
    <w:p>
      <w:pPr>
        <w:spacing w:line="240" w:lineRule="auto" w:before="13"/>
        <w:rPr>
          <w:rFonts w:ascii="宋体" w:hAnsi="宋体" w:cs="宋体" w:eastAsia="宋体" w:hint="default"/>
          <w:b/>
          <w:bCs/>
          <w:sz w:val="21"/>
          <w:szCs w:val="21"/>
        </w:rPr>
      </w:pPr>
    </w:p>
    <w:tbl>
      <w:tblPr>
        <w:tblW w:w="0" w:type="auto"/>
        <w:jc w:val="left"/>
        <w:tblInd w:w="315" w:type="dxa"/>
        <w:tblLayout w:type="fixed"/>
        <w:tblCellMar>
          <w:top w:w="0" w:type="dxa"/>
          <w:left w:w="0" w:type="dxa"/>
          <w:bottom w:w="0" w:type="dxa"/>
          <w:right w:w="0" w:type="dxa"/>
        </w:tblCellMar>
        <w:tblLook w:val="01E0"/>
      </w:tblPr>
      <w:tblGrid>
        <w:gridCol w:w="1819"/>
        <w:gridCol w:w="1061"/>
        <w:gridCol w:w="1111"/>
        <w:gridCol w:w="950"/>
        <w:gridCol w:w="1066"/>
        <w:gridCol w:w="864"/>
        <w:gridCol w:w="1056"/>
      </w:tblGrid>
      <w:tr>
        <w:trPr>
          <w:trHeight w:val="511" w:hRule="exact"/>
        </w:trPr>
        <w:tc>
          <w:tcPr>
            <w:tcW w:w="1819" w:type="dxa"/>
            <w:vMerge w:val="restart"/>
            <w:tcBorders>
              <w:top w:val="single" w:sz="12" w:space="0" w:color="000000"/>
              <w:left w:val="single" w:sz="12" w:space="0" w:color="000000"/>
              <w:right w:val="single" w:sz="6" w:space="0" w:color="000000"/>
            </w:tcBorders>
            <w:shd w:val="clear" w:color="auto" w:fill="F3F3F3"/>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职工专业构成</w:t>
            </w:r>
          </w:p>
        </w:tc>
        <w:tc>
          <w:tcPr>
            <w:tcW w:w="2172"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6"/>
              <w:ind w:left="21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16"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6"/>
              <w:ind w:left="1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20" w:type="dxa"/>
            <w:gridSpan w:val="2"/>
            <w:tcBorders>
              <w:top w:val="single" w:sz="12" w:space="0" w:color="000000"/>
              <w:left w:val="single" w:sz="6" w:space="0" w:color="000000"/>
              <w:bottom w:val="single" w:sz="6" w:space="0" w:color="000000"/>
              <w:right w:val="single" w:sz="12" w:space="0" w:color="000000"/>
            </w:tcBorders>
            <w:shd w:val="clear" w:color="auto" w:fill="F3F3F3"/>
          </w:tcPr>
          <w:p>
            <w:pPr>
              <w:pStyle w:val="TableParagraph"/>
              <w:spacing w:line="240" w:lineRule="auto" w:before="76"/>
              <w:ind w:left="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04" w:hRule="exact"/>
        </w:trPr>
        <w:tc>
          <w:tcPr>
            <w:tcW w:w="1819" w:type="dxa"/>
            <w:vMerge/>
            <w:tcBorders>
              <w:left w:val="single" w:sz="12" w:space="0" w:color="000000"/>
              <w:bottom w:val="single" w:sz="6" w:space="0" w:color="000000"/>
              <w:right w:val="single" w:sz="6" w:space="0" w:color="000000"/>
            </w:tcBorders>
            <w:shd w:val="clear" w:color="auto" w:fill="F3F3F3"/>
          </w:tcPr>
          <w:p>
            <w:pPr/>
          </w:p>
        </w:tc>
        <w:tc>
          <w:tcPr>
            <w:tcW w:w="1061"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31" w:val="left" w:leader="none"/>
              </w:tabs>
              <w:spacing w:line="240" w:lineRule="auto" w:before="76"/>
              <w:ind w:left="208" w:right="0"/>
              <w:jc w:val="left"/>
              <w:rPr>
                <w:rFonts w:ascii="宋体" w:hAnsi="宋体" w:cs="宋体" w:eastAsia="宋体" w:hint="default"/>
                <w:sz w:val="21"/>
                <w:szCs w:val="21"/>
              </w:rPr>
            </w:pPr>
            <w:r>
              <w:rPr>
                <w:rFonts w:ascii="宋体" w:hAnsi="宋体" w:cs="宋体" w:eastAsia="宋体" w:hint="default"/>
                <w:sz w:val="21"/>
                <w:szCs w:val="21"/>
              </w:rPr>
              <w:t>人</w:t>
              <w:tab/>
              <w:t>数</w:t>
            </w:r>
          </w:p>
        </w:tc>
        <w:tc>
          <w:tcPr>
            <w:tcW w:w="1111"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52" w:val="left" w:leader="none"/>
              </w:tabs>
              <w:spacing w:line="240" w:lineRule="auto" w:before="76"/>
              <w:ind w:left="230" w:right="0"/>
              <w:jc w:val="left"/>
              <w:rPr>
                <w:rFonts w:ascii="宋体" w:hAnsi="宋体" w:cs="宋体" w:eastAsia="宋体" w:hint="default"/>
                <w:sz w:val="21"/>
                <w:szCs w:val="21"/>
              </w:rPr>
            </w:pPr>
            <w:r>
              <w:rPr>
                <w:rFonts w:ascii="宋体" w:hAnsi="宋体" w:cs="宋体" w:eastAsia="宋体" w:hint="default"/>
                <w:sz w:val="21"/>
                <w:szCs w:val="21"/>
              </w:rPr>
              <w:t>比</w:t>
              <w:tab/>
              <w:t>例</w:t>
            </w:r>
          </w:p>
        </w:tc>
        <w:tc>
          <w:tcPr>
            <w:tcW w:w="950"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49"/>
              <w:jc w:val="right"/>
              <w:rPr>
                <w:rFonts w:ascii="宋体" w:hAnsi="宋体" w:cs="宋体" w:eastAsia="宋体" w:hint="default"/>
                <w:sz w:val="21"/>
                <w:szCs w:val="21"/>
              </w:rPr>
            </w:pPr>
            <w:r>
              <w:rPr>
                <w:rFonts w:ascii="宋体" w:hAnsi="宋体" w:cs="宋体" w:eastAsia="宋体" w:hint="default"/>
                <w:sz w:val="21"/>
                <w:szCs w:val="21"/>
              </w:rPr>
              <w:t>人</w:t>
              <w:tab/>
              <w:t>数</w:t>
            </w:r>
          </w:p>
        </w:tc>
        <w:tc>
          <w:tcPr>
            <w:tcW w:w="1066"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31" w:val="left" w:leader="none"/>
              </w:tabs>
              <w:spacing w:line="240" w:lineRule="auto" w:before="76"/>
              <w:ind w:left="208" w:right="0"/>
              <w:jc w:val="left"/>
              <w:rPr>
                <w:rFonts w:ascii="宋体" w:hAnsi="宋体" w:cs="宋体" w:eastAsia="宋体" w:hint="default"/>
                <w:sz w:val="21"/>
                <w:szCs w:val="21"/>
              </w:rPr>
            </w:pPr>
            <w:r>
              <w:rPr>
                <w:rFonts w:ascii="宋体" w:hAnsi="宋体" w:cs="宋体" w:eastAsia="宋体" w:hint="default"/>
                <w:sz w:val="21"/>
                <w:szCs w:val="21"/>
              </w:rPr>
              <w:t>比</w:t>
              <w:tab/>
              <w:t>例</w:t>
            </w:r>
          </w:p>
        </w:tc>
        <w:tc>
          <w:tcPr>
            <w:tcW w:w="864"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08"/>
              <w:jc w:val="right"/>
              <w:rPr>
                <w:rFonts w:ascii="宋体" w:hAnsi="宋体" w:cs="宋体" w:eastAsia="宋体" w:hint="default"/>
                <w:sz w:val="21"/>
                <w:szCs w:val="21"/>
              </w:rPr>
            </w:pPr>
            <w:r>
              <w:rPr>
                <w:rFonts w:ascii="宋体" w:hAnsi="宋体" w:cs="宋体" w:eastAsia="宋体" w:hint="default"/>
                <w:sz w:val="21"/>
                <w:szCs w:val="21"/>
              </w:rPr>
              <w:t>人</w:t>
              <w:tab/>
              <w:t>数</w:t>
            </w:r>
          </w:p>
        </w:tc>
        <w:tc>
          <w:tcPr>
            <w:tcW w:w="1056" w:type="dxa"/>
            <w:tcBorders>
              <w:top w:val="single" w:sz="6" w:space="0" w:color="000000"/>
              <w:left w:val="single" w:sz="6" w:space="0" w:color="000000"/>
              <w:bottom w:val="single" w:sz="6" w:space="0" w:color="000000"/>
              <w:right w:val="single" w:sz="12" w:space="0" w:color="000000"/>
            </w:tcBorders>
            <w:shd w:val="clear" w:color="auto" w:fill="F3F3F3"/>
          </w:tcPr>
          <w:p>
            <w:pPr>
              <w:pStyle w:val="TableParagraph"/>
              <w:tabs>
                <w:tab w:pos="626" w:val="left" w:leader="none"/>
              </w:tabs>
              <w:spacing w:line="240" w:lineRule="auto" w:before="76"/>
              <w:ind w:left="203" w:right="0"/>
              <w:jc w:val="left"/>
              <w:rPr>
                <w:rFonts w:ascii="宋体" w:hAnsi="宋体" w:cs="宋体" w:eastAsia="宋体" w:hint="default"/>
                <w:sz w:val="21"/>
                <w:szCs w:val="21"/>
              </w:rPr>
            </w:pPr>
            <w:r>
              <w:rPr>
                <w:rFonts w:ascii="宋体" w:hAnsi="宋体" w:cs="宋体" w:eastAsia="宋体" w:hint="default"/>
                <w:sz w:val="21"/>
                <w:szCs w:val="21"/>
              </w:rPr>
              <w:t>比</w:t>
              <w:tab/>
              <w:t>例</w:t>
            </w:r>
          </w:p>
        </w:tc>
      </w:tr>
      <w:tr>
        <w:trPr>
          <w:trHeight w:val="504" w:hRule="exact"/>
        </w:trPr>
        <w:tc>
          <w:tcPr>
            <w:tcW w:w="18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技术研发人员</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4"/>
              <w:jc w:val="right"/>
              <w:rPr>
                <w:rFonts w:ascii="宋体" w:hAnsi="宋体" w:cs="宋体" w:eastAsia="宋体" w:hint="default"/>
                <w:sz w:val="21"/>
                <w:szCs w:val="21"/>
              </w:rPr>
            </w:pPr>
            <w:r>
              <w:rPr>
                <w:rFonts w:ascii="宋体"/>
                <w:sz w:val="21"/>
              </w:rPr>
              <w:t>228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71.47%</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163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72.44%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124</w:t>
            </w:r>
          </w:p>
        </w:tc>
        <w:tc>
          <w:tcPr>
            <w:tcW w:w="1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77.99%</w:t>
            </w:r>
          </w:p>
        </w:tc>
      </w:tr>
      <w:tr>
        <w:trPr>
          <w:trHeight w:val="504" w:hRule="exact"/>
        </w:trPr>
        <w:tc>
          <w:tcPr>
            <w:tcW w:w="18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8.78%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22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9.78%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12</w:t>
            </w:r>
          </w:p>
        </w:tc>
        <w:tc>
          <w:tcPr>
            <w:tcW w:w="1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7.55%</w:t>
            </w:r>
          </w:p>
        </w:tc>
      </w:tr>
      <w:tr>
        <w:trPr>
          <w:trHeight w:val="504" w:hRule="exact"/>
        </w:trPr>
        <w:tc>
          <w:tcPr>
            <w:tcW w:w="18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46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14.42%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32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14.22%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17</w:t>
            </w:r>
          </w:p>
        </w:tc>
        <w:tc>
          <w:tcPr>
            <w:tcW w:w="1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10.69%</w:t>
            </w:r>
          </w:p>
        </w:tc>
      </w:tr>
      <w:tr>
        <w:trPr>
          <w:trHeight w:val="504" w:hRule="exact"/>
        </w:trPr>
        <w:tc>
          <w:tcPr>
            <w:tcW w:w="18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后勤人员</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5.33%</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3.56%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w w:val="100"/>
                <w:sz w:val="21"/>
              </w:rPr>
              <w:t>6</w:t>
            </w:r>
          </w:p>
        </w:tc>
        <w:tc>
          <w:tcPr>
            <w:tcW w:w="10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3.77%</w:t>
            </w:r>
          </w:p>
        </w:tc>
      </w:tr>
      <w:tr>
        <w:trPr>
          <w:trHeight w:val="509" w:hRule="exact"/>
        </w:trPr>
        <w:tc>
          <w:tcPr>
            <w:tcW w:w="1819" w:type="dxa"/>
            <w:tcBorders>
              <w:top w:val="single" w:sz="6" w:space="0" w:color="000000"/>
              <w:left w:val="single" w:sz="12" w:space="0" w:color="000000"/>
              <w:bottom w:val="single" w:sz="12" w:space="0" w:color="000000"/>
              <w:right w:val="single" w:sz="6" w:space="0" w:color="000000"/>
            </w:tcBorders>
          </w:tcPr>
          <w:p>
            <w:pPr>
              <w:pStyle w:val="TableParagraph"/>
              <w:tabs>
                <w:tab w:pos="1000" w:val="left" w:leader="none"/>
              </w:tabs>
              <w:spacing w:line="240" w:lineRule="auto" w:before="76"/>
              <w:ind w:left="57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319</w:t>
            </w:r>
          </w:p>
        </w:tc>
        <w:tc>
          <w:tcPr>
            <w:tcW w:w="1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100.00%</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225</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pacing w:val="-1"/>
                <w:sz w:val="21"/>
              </w:rPr>
              <w:t>100.00%</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159</w:t>
            </w:r>
          </w:p>
        </w:tc>
        <w:tc>
          <w:tcPr>
            <w:tcW w:w="10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pacing w:val="-1"/>
                <w:sz w:val="21"/>
              </w:rPr>
              <w:t>100.00%</w:t>
            </w:r>
          </w:p>
        </w:tc>
      </w:tr>
    </w:tbl>
    <w:p>
      <w:pPr>
        <w:spacing w:line="240" w:lineRule="auto" w:before="7"/>
        <w:rPr>
          <w:rFonts w:ascii="宋体" w:hAnsi="宋体" w:cs="宋体" w:eastAsia="宋体" w:hint="default"/>
          <w:b/>
          <w:bCs/>
          <w:sz w:val="14"/>
          <w:szCs w:val="14"/>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（二）员工教育程度</w:t>
      </w:r>
      <w:r>
        <w:rPr>
          <w:rFonts w:ascii="宋体" w:hAnsi="宋体" w:cs="宋体" w:eastAsia="宋体" w:hint="default"/>
          <w:sz w:val="24"/>
          <w:szCs w:val="24"/>
        </w:rPr>
      </w:r>
    </w:p>
    <w:p>
      <w:pPr>
        <w:spacing w:line="240" w:lineRule="auto" w:before="13"/>
        <w:rPr>
          <w:rFonts w:ascii="宋体" w:hAnsi="宋体" w:cs="宋体" w:eastAsia="宋体" w:hint="default"/>
          <w:b/>
          <w:bCs/>
          <w:sz w:val="21"/>
          <w:szCs w:val="21"/>
        </w:rPr>
      </w:pPr>
    </w:p>
    <w:tbl>
      <w:tblPr>
        <w:tblW w:w="0" w:type="auto"/>
        <w:jc w:val="left"/>
        <w:tblInd w:w="351" w:type="dxa"/>
        <w:tblLayout w:type="fixed"/>
        <w:tblCellMar>
          <w:top w:w="0" w:type="dxa"/>
          <w:left w:w="0" w:type="dxa"/>
          <w:bottom w:w="0" w:type="dxa"/>
          <w:right w:w="0" w:type="dxa"/>
        </w:tblCellMar>
        <w:tblLook w:val="01E0"/>
      </w:tblPr>
      <w:tblGrid>
        <w:gridCol w:w="1783"/>
        <w:gridCol w:w="1097"/>
        <w:gridCol w:w="998"/>
        <w:gridCol w:w="1063"/>
        <w:gridCol w:w="953"/>
        <w:gridCol w:w="977"/>
        <w:gridCol w:w="984"/>
      </w:tblGrid>
      <w:tr>
        <w:trPr>
          <w:trHeight w:val="511" w:hRule="exact"/>
        </w:trPr>
        <w:tc>
          <w:tcPr>
            <w:tcW w:w="1783" w:type="dxa"/>
            <w:vMerge w:val="restart"/>
            <w:tcBorders>
              <w:top w:val="single" w:sz="12" w:space="0" w:color="000000"/>
              <w:left w:val="single" w:sz="12" w:space="0" w:color="000000"/>
              <w:right w:val="single" w:sz="6" w:space="0" w:color="000000"/>
            </w:tcBorders>
            <w:shd w:val="clear" w:color="auto" w:fill="F3F3F3"/>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095"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6"/>
              <w:ind w:left="17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16"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6"/>
              <w:ind w:left="1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1" w:type="dxa"/>
            <w:gridSpan w:val="2"/>
            <w:tcBorders>
              <w:top w:val="single" w:sz="12" w:space="0" w:color="000000"/>
              <w:left w:val="single" w:sz="6" w:space="0" w:color="000000"/>
              <w:bottom w:val="single" w:sz="6" w:space="0" w:color="000000"/>
              <w:right w:val="single" w:sz="12" w:space="0" w:color="000000"/>
            </w:tcBorders>
            <w:shd w:val="clear" w:color="auto" w:fill="F3F3F3"/>
          </w:tcPr>
          <w:p>
            <w:pPr>
              <w:pStyle w:val="TableParagraph"/>
              <w:spacing w:line="240" w:lineRule="auto" w:before="76"/>
              <w:ind w:left="1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04" w:hRule="exact"/>
        </w:trPr>
        <w:tc>
          <w:tcPr>
            <w:tcW w:w="1783" w:type="dxa"/>
            <w:vMerge/>
            <w:tcBorders>
              <w:left w:val="single" w:sz="12" w:space="0" w:color="000000"/>
              <w:bottom w:val="single" w:sz="6" w:space="0" w:color="000000"/>
              <w:right w:val="single" w:sz="6" w:space="0" w:color="000000"/>
            </w:tcBorders>
            <w:shd w:val="clear" w:color="auto" w:fill="F3F3F3"/>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47" w:val="left" w:leader="none"/>
              </w:tabs>
              <w:spacing w:line="240" w:lineRule="auto" w:before="76"/>
              <w:ind w:left="225" w:right="0"/>
              <w:jc w:val="left"/>
              <w:rPr>
                <w:rFonts w:ascii="宋体" w:hAnsi="宋体" w:cs="宋体" w:eastAsia="宋体" w:hint="default"/>
                <w:sz w:val="21"/>
                <w:szCs w:val="21"/>
              </w:rPr>
            </w:pPr>
            <w:r>
              <w:rPr>
                <w:rFonts w:ascii="宋体" w:hAnsi="宋体" w:cs="宋体" w:eastAsia="宋体" w:hint="default"/>
                <w:sz w:val="21"/>
                <w:szCs w:val="21"/>
              </w:rPr>
              <w:t>人</w:t>
              <w:tab/>
              <w:t>数</w:t>
            </w:r>
          </w:p>
        </w:tc>
        <w:tc>
          <w:tcPr>
            <w:tcW w:w="998"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73"/>
              <w:jc w:val="right"/>
              <w:rPr>
                <w:rFonts w:ascii="宋体" w:hAnsi="宋体" w:cs="宋体" w:eastAsia="宋体" w:hint="default"/>
                <w:sz w:val="21"/>
                <w:szCs w:val="21"/>
              </w:rPr>
            </w:pPr>
            <w:r>
              <w:rPr>
                <w:rFonts w:ascii="宋体" w:hAnsi="宋体" w:cs="宋体" w:eastAsia="宋体" w:hint="default"/>
                <w:sz w:val="21"/>
                <w:szCs w:val="21"/>
              </w:rPr>
              <w:t>比</w:t>
              <w:tab/>
              <w:t>例</w:t>
            </w:r>
          </w:p>
        </w:tc>
        <w:tc>
          <w:tcPr>
            <w:tcW w:w="1063"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31" w:val="left" w:leader="none"/>
              </w:tabs>
              <w:spacing w:line="240" w:lineRule="auto" w:before="76"/>
              <w:ind w:left="208" w:right="0"/>
              <w:jc w:val="left"/>
              <w:rPr>
                <w:rFonts w:ascii="宋体" w:hAnsi="宋体" w:cs="宋体" w:eastAsia="宋体" w:hint="default"/>
                <w:sz w:val="21"/>
                <w:szCs w:val="21"/>
              </w:rPr>
            </w:pPr>
            <w:r>
              <w:rPr>
                <w:rFonts w:ascii="宋体" w:hAnsi="宋体" w:cs="宋体" w:eastAsia="宋体" w:hint="default"/>
                <w:sz w:val="21"/>
                <w:szCs w:val="21"/>
              </w:rPr>
              <w:t>人</w:t>
              <w:tab/>
              <w:t>数</w:t>
            </w:r>
          </w:p>
        </w:tc>
        <w:tc>
          <w:tcPr>
            <w:tcW w:w="953"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49"/>
              <w:jc w:val="right"/>
              <w:rPr>
                <w:rFonts w:ascii="宋体" w:hAnsi="宋体" w:cs="宋体" w:eastAsia="宋体" w:hint="default"/>
                <w:sz w:val="21"/>
                <w:szCs w:val="21"/>
              </w:rPr>
            </w:pPr>
            <w:r>
              <w:rPr>
                <w:rFonts w:ascii="宋体" w:hAnsi="宋体" w:cs="宋体" w:eastAsia="宋体" w:hint="default"/>
                <w:sz w:val="21"/>
                <w:szCs w:val="21"/>
              </w:rPr>
              <w:t>比</w:t>
              <w:tab/>
              <w:t>例</w:t>
            </w:r>
          </w:p>
        </w:tc>
        <w:tc>
          <w:tcPr>
            <w:tcW w:w="977"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61"/>
              <w:jc w:val="right"/>
              <w:rPr>
                <w:rFonts w:ascii="宋体" w:hAnsi="宋体" w:cs="宋体" w:eastAsia="宋体" w:hint="default"/>
                <w:sz w:val="21"/>
                <w:szCs w:val="21"/>
              </w:rPr>
            </w:pPr>
            <w:r>
              <w:rPr>
                <w:rFonts w:ascii="宋体" w:hAnsi="宋体" w:cs="宋体" w:eastAsia="宋体" w:hint="default"/>
                <w:sz w:val="21"/>
                <w:szCs w:val="21"/>
              </w:rPr>
              <w:t>人</w:t>
              <w:tab/>
              <w:t>数</w:t>
            </w:r>
          </w:p>
        </w:tc>
        <w:tc>
          <w:tcPr>
            <w:tcW w:w="984" w:type="dxa"/>
            <w:tcBorders>
              <w:top w:val="single" w:sz="6" w:space="0" w:color="000000"/>
              <w:left w:val="single" w:sz="6" w:space="0" w:color="000000"/>
              <w:bottom w:val="single" w:sz="6" w:space="0" w:color="000000"/>
              <w:right w:val="single" w:sz="12" w:space="0" w:color="000000"/>
            </w:tcBorders>
            <w:shd w:val="clear" w:color="auto" w:fill="F3F3F3"/>
          </w:tcPr>
          <w:p>
            <w:pPr>
              <w:pStyle w:val="TableParagraph"/>
              <w:tabs>
                <w:tab w:pos="590" w:val="left" w:leader="none"/>
              </w:tabs>
              <w:spacing w:line="240" w:lineRule="auto" w:before="76"/>
              <w:ind w:left="167" w:right="0"/>
              <w:jc w:val="left"/>
              <w:rPr>
                <w:rFonts w:ascii="宋体" w:hAnsi="宋体" w:cs="宋体" w:eastAsia="宋体" w:hint="default"/>
                <w:sz w:val="21"/>
                <w:szCs w:val="21"/>
              </w:rPr>
            </w:pPr>
            <w:r>
              <w:rPr>
                <w:rFonts w:ascii="宋体" w:hAnsi="宋体" w:cs="宋体" w:eastAsia="宋体" w:hint="default"/>
                <w:sz w:val="21"/>
                <w:szCs w:val="21"/>
              </w:rPr>
              <w:t>比</w:t>
              <w:tab/>
              <w:t>例</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191</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59.87%</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66</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29.33%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48</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30.18%</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tabs>
                <w:tab w:pos="515"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本</w:t>
              <w:tab/>
              <w:t>科</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103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32.29%</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143</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63.56%</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107</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67.30%</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tabs>
                <w:tab w:pos="515" w:val="left" w:leader="none"/>
              </w:tabs>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专</w:t>
              <w:tab/>
              <w:t>科</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25</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7.84%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15</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6.67%</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3</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1.89%</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w w:val="100"/>
                <w:sz w:val="21"/>
              </w:rPr>
              <w:t>0</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0.00%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1</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0.44%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1</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0.63%</w:t>
            </w:r>
          </w:p>
        </w:tc>
      </w:tr>
      <w:tr>
        <w:trPr>
          <w:trHeight w:val="511" w:hRule="exact"/>
        </w:trPr>
        <w:tc>
          <w:tcPr>
            <w:tcW w:w="1783" w:type="dxa"/>
            <w:tcBorders>
              <w:top w:val="single" w:sz="6" w:space="0" w:color="000000"/>
              <w:left w:val="single" w:sz="12" w:space="0" w:color="000000"/>
              <w:bottom w:val="single" w:sz="12" w:space="0" w:color="000000"/>
              <w:right w:val="single" w:sz="6" w:space="0" w:color="000000"/>
            </w:tcBorders>
          </w:tcPr>
          <w:p>
            <w:pPr>
              <w:pStyle w:val="TableParagraph"/>
              <w:tabs>
                <w:tab w:pos="983" w:val="left" w:leader="none"/>
              </w:tabs>
              <w:spacing w:line="240" w:lineRule="auto" w:before="76"/>
              <w:ind w:left="5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319</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100.00%</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225</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100.00%</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159</w:t>
            </w:r>
          </w:p>
        </w:tc>
        <w:tc>
          <w:tcPr>
            <w:tcW w:w="9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34" w:right="0"/>
              <w:jc w:val="lef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b/>
          <w:bCs/>
          <w:sz w:val="14"/>
          <w:szCs w:val="14"/>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（三）员工年龄结构</w:t>
      </w:r>
      <w:r>
        <w:rPr>
          <w:rFonts w:ascii="宋体" w:hAnsi="宋体" w:cs="宋体" w:eastAsia="宋体" w:hint="default"/>
          <w:sz w:val="24"/>
          <w:szCs w:val="24"/>
        </w:rPr>
      </w:r>
    </w:p>
    <w:p>
      <w:pPr>
        <w:spacing w:line="240" w:lineRule="auto" w:before="12"/>
        <w:rPr>
          <w:rFonts w:ascii="宋体" w:hAnsi="宋体" w:cs="宋体" w:eastAsia="宋体" w:hint="default"/>
          <w:b/>
          <w:bCs/>
          <w:sz w:val="21"/>
          <w:szCs w:val="21"/>
        </w:rPr>
      </w:pPr>
    </w:p>
    <w:tbl>
      <w:tblPr>
        <w:tblW w:w="0" w:type="auto"/>
        <w:jc w:val="left"/>
        <w:tblInd w:w="351" w:type="dxa"/>
        <w:tblLayout w:type="fixed"/>
        <w:tblCellMar>
          <w:top w:w="0" w:type="dxa"/>
          <w:left w:w="0" w:type="dxa"/>
          <w:bottom w:w="0" w:type="dxa"/>
          <w:right w:w="0" w:type="dxa"/>
        </w:tblCellMar>
        <w:tblLook w:val="01E0"/>
      </w:tblPr>
      <w:tblGrid>
        <w:gridCol w:w="1783"/>
        <w:gridCol w:w="1097"/>
        <w:gridCol w:w="998"/>
        <w:gridCol w:w="1063"/>
        <w:gridCol w:w="953"/>
        <w:gridCol w:w="977"/>
        <w:gridCol w:w="984"/>
      </w:tblGrid>
      <w:tr>
        <w:trPr>
          <w:trHeight w:val="512" w:hRule="exact"/>
        </w:trPr>
        <w:tc>
          <w:tcPr>
            <w:tcW w:w="1783" w:type="dxa"/>
            <w:vMerge w:val="restart"/>
            <w:tcBorders>
              <w:top w:val="single" w:sz="12" w:space="0" w:color="000000"/>
              <w:left w:val="single" w:sz="12" w:space="0" w:color="000000"/>
              <w:right w:val="single" w:sz="6" w:space="0" w:color="000000"/>
            </w:tcBorders>
            <w:shd w:val="clear" w:color="auto" w:fill="F3F3F3"/>
          </w:tcPr>
          <w:p>
            <w:pPr>
              <w:pStyle w:val="TableParagraph"/>
              <w:spacing w:line="240" w:lineRule="auto" w:before="2"/>
              <w:ind w:right="0"/>
              <w:jc w:val="left"/>
              <w:rPr>
                <w:rFonts w:ascii="宋体" w:hAnsi="宋体" w:cs="宋体" w:eastAsia="宋体" w:hint="default"/>
                <w:b/>
                <w:bCs/>
                <w:sz w:val="25"/>
                <w:szCs w:val="25"/>
              </w:rPr>
            </w:pPr>
          </w:p>
          <w:p>
            <w:pPr>
              <w:pStyle w:val="TableParagraph"/>
              <w:tabs>
                <w:tab w:pos="983" w:val="left" w:leader="none"/>
              </w:tabs>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年</w:t>
              <w:tab/>
              <w:t>龄</w:t>
            </w:r>
          </w:p>
        </w:tc>
        <w:tc>
          <w:tcPr>
            <w:tcW w:w="2095"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7"/>
              <w:ind w:left="17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16" w:type="dxa"/>
            <w:gridSpan w:val="2"/>
            <w:tcBorders>
              <w:top w:val="single" w:sz="12" w:space="0" w:color="000000"/>
              <w:left w:val="single" w:sz="6" w:space="0" w:color="000000"/>
              <w:bottom w:val="single" w:sz="6" w:space="0" w:color="000000"/>
              <w:right w:val="single" w:sz="6" w:space="0" w:color="000000"/>
            </w:tcBorders>
            <w:shd w:val="clear" w:color="auto" w:fill="F3F3F3"/>
          </w:tcPr>
          <w:p>
            <w:pPr>
              <w:pStyle w:val="TableParagraph"/>
              <w:spacing w:line="240" w:lineRule="auto" w:before="77"/>
              <w:ind w:left="13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61" w:type="dxa"/>
            <w:gridSpan w:val="2"/>
            <w:tcBorders>
              <w:top w:val="single" w:sz="12" w:space="0" w:color="000000"/>
              <w:left w:val="single" w:sz="6" w:space="0" w:color="000000"/>
              <w:bottom w:val="single" w:sz="6" w:space="0" w:color="000000"/>
              <w:right w:val="single" w:sz="12" w:space="0" w:color="000000"/>
            </w:tcBorders>
            <w:shd w:val="clear" w:color="auto" w:fill="F3F3F3"/>
          </w:tcPr>
          <w:p>
            <w:pPr>
              <w:pStyle w:val="TableParagraph"/>
              <w:spacing w:line="240" w:lineRule="auto" w:before="77"/>
              <w:ind w:left="10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04" w:hRule="exact"/>
        </w:trPr>
        <w:tc>
          <w:tcPr>
            <w:tcW w:w="1783" w:type="dxa"/>
            <w:vMerge/>
            <w:tcBorders>
              <w:left w:val="single" w:sz="12" w:space="0" w:color="000000"/>
              <w:bottom w:val="single" w:sz="6" w:space="0" w:color="000000"/>
              <w:right w:val="single" w:sz="6" w:space="0" w:color="000000"/>
            </w:tcBorders>
            <w:shd w:val="clear" w:color="auto" w:fill="F3F3F3"/>
          </w:tcPr>
          <w:p>
            <w:pPr/>
          </w:p>
        </w:tc>
        <w:tc>
          <w:tcPr>
            <w:tcW w:w="1097"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47" w:val="left" w:leader="none"/>
              </w:tabs>
              <w:spacing w:line="240" w:lineRule="auto" w:before="76"/>
              <w:ind w:left="225" w:right="0"/>
              <w:jc w:val="left"/>
              <w:rPr>
                <w:rFonts w:ascii="宋体" w:hAnsi="宋体" w:cs="宋体" w:eastAsia="宋体" w:hint="default"/>
                <w:sz w:val="21"/>
                <w:szCs w:val="21"/>
              </w:rPr>
            </w:pPr>
            <w:r>
              <w:rPr>
                <w:rFonts w:ascii="宋体" w:hAnsi="宋体" w:cs="宋体" w:eastAsia="宋体" w:hint="default"/>
                <w:sz w:val="21"/>
                <w:szCs w:val="21"/>
              </w:rPr>
              <w:t>人</w:t>
              <w:tab/>
              <w:t>数</w:t>
            </w:r>
          </w:p>
        </w:tc>
        <w:tc>
          <w:tcPr>
            <w:tcW w:w="998"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73"/>
              <w:jc w:val="right"/>
              <w:rPr>
                <w:rFonts w:ascii="宋体" w:hAnsi="宋体" w:cs="宋体" w:eastAsia="宋体" w:hint="default"/>
                <w:sz w:val="21"/>
                <w:szCs w:val="21"/>
              </w:rPr>
            </w:pPr>
            <w:r>
              <w:rPr>
                <w:rFonts w:ascii="宋体" w:hAnsi="宋体" w:cs="宋体" w:eastAsia="宋体" w:hint="default"/>
                <w:sz w:val="21"/>
                <w:szCs w:val="21"/>
              </w:rPr>
              <w:t>比</w:t>
              <w:tab/>
              <w:t>例</w:t>
            </w:r>
          </w:p>
        </w:tc>
        <w:tc>
          <w:tcPr>
            <w:tcW w:w="1063"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631" w:val="left" w:leader="none"/>
              </w:tabs>
              <w:spacing w:line="240" w:lineRule="auto" w:before="76"/>
              <w:ind w:left="208" w:right="0"/>
              <w:jc w:val="left"/>
              <w:rPr>
                <w:rFonts w:ascii="宋体" w:hAnsi="宋体" w:cs="宋体" w:eastAsia="宋体" w:hint="default"/>
                <w:sz w:val="21"/>
                <w:szCs w:val="21"/>
              </w:rPr>
            </w:pPr>
            <w:r>
              <w:rPr>
                <w:rFonts w:ascii="宋体" w:hAnsi="宋体" w:cs="宋体" w:eastAsia="宋体" w:hint="default"/>
                <w:sz w:val="21"/>
                <w:szCs w:val="21"/>
              </w:rPr>
              <w:t>人</w:t>
              <w:tab/>
              <w:t>数</w:t>
            </w:r>
          </w:p>
        </w:tc>
        <w:tc>
          <w:tcPr>
            <w:tcW w:w="953"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49"/>
              <w:jc w:val="right"/>
              <w:rPr>
                <w:rFonts w:ascii="宋体" w:hAnsi="宋体" w:cs="宋体" w:eastAsia="宋体" w:hint="default"/>
                <w:sz w:val="21"/>
                <w:szCs w:val="21"/>
              </w:rPr>
            </w:pPr>
            <w:r>
              <w:rPr>
                <w:rFonts w:ascii="宋体" w:hAnsi="宋体" w:cs="宋体" w:eastAsia="宋体" w:hint="default"/>
                <w:sz w:val="21"/>
                <w:szCs w:val="21"/>
              </w:rPr>
              <w:t>比</w:t>
              <w:tab/>
              <w:t>例</w:t>
            </w:r>
          </w:p>
        </w:tc>
        <w:tc>
          <w:tcPr>
            <w:tcW w:w="977" w:type="dxa"/>
            <w:tcBorders>
              <w:top w:val="single" w:sz="6" w:space="0" w:color="000000"/>
              <w:left w:val="single" w:sz="6" w:space="0" w:color="000000"/>
              <w:bottom w:val="single" w:sz="6" w:space="0" w:color="000000"/>
              <w:right w:val="single" w:sz="6" w:space="0" w:color="000000"/>
            </w:tcBorders>
            <w:shd w:val="clear" w:color="auto" w:fill="F3F3F3"/>
          </w:tcPr>
          <w:p>
            <w:pPr>
              <w:pStyle w:val="TableParagraph"/>
              <w:tabs>
                <w:tab w:pos="422" w:val="left" w:leader="none"/>
              </w:tabs>
              <w:spacing w:line="240" w:lineRule="auto" w:before="76"/>
              <w:ind w:right="161"/>
              <w:jc w:val="right"/>
              <w:rPr>
                <w:rFonts w:ascii="宋体" w:hAnsi="宋体" w:cs="宋体" w:eastAsia="宋体" w:hint="default"/>
                <w:sz w:val="21"/>
                <w:szCs w:val="21"/>
              </w:rPr>
            </w:pPr>
            <w:r>
              <w:rPr>
                <w:rFonts w:ascii="宋体" w:hAnsi="宋体" w:cs="宋体" w:eastAsia="宋体" w:hint="default"/>
                <w:sz w:val="21"/>
                <w:szCs w:val="21"/>
              </w:rPr>
              <w:t>人</w:t>
              <w:tab/>
              <w:t>数</w:t>
            </w:r>
          </w:p>
        </w:tc>
        <w:tc>
          <w:tcPr>
            <w:tcW w:w="984" w:type="dxa"/>
            <w:tcBorders>
              <w:top w:val="single" w:sz="6" w:space="0" w:color="000000"/>
              <w:left w:val="single" w:sz="6" w:space="0" w:color="000000"/>
              <w:bottom w:val="single" w:sz="6" w:space="0" w:color="000000"/>
              <w:right w:val="single" w:sz="12" w:space="0" w:color="000000"/>
            </w:tcBorders>
            <w:shd w:val="clear" w:color="auto" w:fill="F3F3F3"/>
          </w:tcPr>
          <w:p>
            <w:pPr>
              <w:pStyle w:val="TableParagraph"/>
              <w:tabs>
                <w:tab w:pos="590" w:val="left" w:leader="none"/>
              </w:tabs>
              <w:spacing w:line="240" w:lineRule="auto" w:before="76"/>
              <w:ind w:left="167" w:right="0"/>
              <w:jc w:val="left"/>
              <w:rPr>
                <w:rFonts w:ascii="宋体" w:hAnsi="宋体" w:cs="宋体" w:eastAsia="宋体" w:hint="default"/>
                <w:sz w:val="21"/>
                <w:szCs w:val="21"/>
              </w:rPr>
            </w:pPr>
            <w:r>
              <w:rPr>
                <w:rFonts w:ascii="宋体" w:hAnsi="宋体" w:cs="宋体" w:eastAsia="宋体" w:hint="default"/>
                <w:sz w:val="21"/>
                <w:szCs w:val="21"/>
              </w:rPr>
              <w:t>比</w:t>
              <w:tab/>
              <w:t>例</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pacing w:val="-3"/>
                <w:sz w:val="21"/>
                <w:szCs w:val="21"/>
              </w:rPr>
              <w:t>岁以下</w:t>
            </w:r>
            <w:r>
              <w:rPr>
                <w:rFonts w:ascii="宋体" w:hAnsi="宋体" w:cs="宋体" w:eastAsia="宋体" w:hint="default"/>
                <w:sz w:val="21"/>
                <w:szCs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286</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89.66%</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186</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82.67%</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135</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84.90%</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31—40</w:t>
            </w:r>
            <w:r>
              <w:rPr>
                <w:rFonts w:ascii="宋体" w:hAnsi="宋体" w:cs="宋体" w:eastAsia="宋体" w:hint="default"/>
                <w:spacing w:val="-52"/>
                <w:sz w:val="21"/>
                <w:szCs w:val="21"/>
              </w:rPr>
              <w:t> </w:t>
            </w:r>
            <w:r>
              <w:rPr>
                <w:rFonts w:ascii="宋体" w:hAnsi="宋体" w:cs="宋体" w:eastAsia="宋体" w:hint="default"/>
                <w:sz w:val="21"/>
                <w:szCs w:val="21"/>
              </w:rPr>
              <w:t>岁</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28</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8.78%</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34</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15.11%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sz w:val="21"/>
              </w:rPr>
              <w:t>21</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13.20%</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41—50</w:t>
            </w:r>
            <w:r>
              <w:rPr>
                <w:rFonts w:ascii="宋体" w:hAnsi="宋体" w:cs="宋体" w:eastAsia="宋体" w:hint="default"/>
                <w:spacing w:val="-52"/>
                <w:sz w:val="21"/>
                <w:szCs w:val="21"/>
              </w:rPr>
              <w:t> </w:t>
            </w:r>
            <w:r>
              <w:rPr>
                <w:rFonts w:ascii="宋体" w:hAnsi="宋体" w:cs="宋体" w:eastAsia="宋体" w:hint="default"/>
                <w:sz w:val="21"/>
                <w:szCs w:val="21"/>
              </w:rPr>
              <w:t>岁</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w w:val="100"/>
                <w:sz w:val="21"/>
              </w:rPr>
              <w:t>3</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0.94%</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4</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1.78%</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2</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1.27%</w:t>
            </w:r>
          </w:p>
        </w:tc>
      </w:tr>
      <w:tr>
        <w:trPr>
          <w:trHeight w:val="504" w:hRule="exact"/>
        </w:trPr>
        <w:tc>
          <w:tcPr>
            <w:tcW w:w="1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left="93" w:right="0"/>
              <w:jc w:val="left"/>
              <w:rPr>
                <w:rFonts w:ascii="宋体" w:hAnsi="宋体" w:cs="宋体" w:eastAsia="宋体" w:hint="default"/>
                <w:sz w:val="21"/>
                <w:szCs w:val="21"/>
              </w:rPr>
            </w:pPr>
            <w:r>
              <w:rPr>
                <w:rFonts w:ascii="宋体" w:hAnsi="宋体" w:cs="宋体" w:eastAsia="宋体" w:hint="default"/>
                <w:sz w:val="21"/>
                <w:szCs w:val="21"/>
              </w:rPr>
              <w:t>51</w:t>
            </w:r>
            <w:r>
              <w:rPr>
                <w:rFonts w:ascii="宋体" w:hAnsi="宋体" w:cs="宋体" w:eastAsia="宋体" w:hint="default"/>
                <w:spacing w:val="-49"/>
                <w:sz w:val="21"/>
                <w:szCs w:val="21"/>
              </w:rPr>
              <w:t> </w:t>
            </w:r>
            <w:r>
              <w:rPr>
                <w:rFonts w:ascii="宋体" w:hAnsi="宋体" w:cs="宋体" w:eastAsia="宋体" w:hint="default"/>
                <w:spacing w:val="-3"/>
                <w:sz w:val="21"/>
                <w:szCs w:val="21"/>
              </w:rPr>
              <w:t>岁以上</w:t>
            </w:r>
            <w:r>
              <w:rPr>
                <w:rFonts w:ascii="宋体" w:hAnsi="宋体" w:cs="宋体" w:eastAsia="宋体" w:hint="default"/>
                <w:sz w:val="21"/>
                <w:szCs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w w:val="100"/>
                <w:sz w:val="21"/>
              </w:rPr>
              <w:t>2</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0.63%</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1</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0.44%</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w w:val="100"/>
                <w:sz w:val="21"/>
              </w:rPr>
              <w:t>1</w:t>
            </w:r>
          </w:p>
        </w:tc>
        <w:tc>
          <w:tcPr>
            <w:tcW w:w="9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89"/>
              <w:jc w:val="right"/>
              <w:rPr>
                <w:rFonts w:ascii="宋体" w:hAnsi="宋体" w:cs="宋体" w:eastAsia="宋体" w:hint="default"/>
                <w:sz w:val="21"/>
                <w:szCs w:val="21"/>
              </w:rPr>
            </w:pPr>
            <w:r>
              <w:rPr>
                <w:rFonts w:ascii="宋体"/>
                <w:sz w:val="21"/>
              </w:rPr>
              <w:t>0.63%</w:t>
            </w:r>
          </w:p>
        </w:tc>
      </w:tr>
      <w:tr>
        <w:trPr>
          <w:trHeight w:val="509" w:hRule="exact"/>
        </w:trPr>
        <w:tc>
          <w:tcPr>
            <w:tcW w:w="1783" w:type="dxa"/>
            <w:tcBorders>
              <w:top w:val="single" w:sz="6" w:space="0" w:color="000000"/>
              <w:left w:val="single" w:sz="12" w:space="0" w:color="000000"/>
              <w:bottom w:val="single" w:sz="12" w:space="0" w:color="000000"/>
              <w:right w:val="single" w:sz="6" w:space="0" w:color="000000"/>
            </w:tcBorders>
          </w:tcPr>
          <w:p>
            <w:pPr>
              <w:pStyle w:val="TableParagraph"/>
              <w:tabs>
                <w:tab w:pos="983" w:val="left" w:leader="none"/>
              </w:tabs>
              <w:spacing w:line="240" w:lineRule="auto" w:before="76"/>
              <w:ind w:left="5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319</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100.00%</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225</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100.00%</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159</w:t>
            </w:r>
          </w:p>
        </w:tc>
        <w:tc>
          <w:tcPr>
            <w:tcW w:w="9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34" w:right="0"/>
              <w:jc w:val="left"/>
              <w:rPr>
                <w:rFonts w:ascii="宋体" w:hAnsi="宋体" w:cs="宋体" w:eastAsia="宋体" w:hint="default"/>
                <w:sz w:val="21"/>
                <w:szCs w:val="21"/>
              </w:rPr>
            </w:pPr>
            <w:r>
              <w:rPr>
                <w:rFonts w:ascii="宋体"/>
                <w:sz w:val="21"/>
              </w:rPr>
              <w:t>100.00%</w:t>
            </w:r>
          </w:p>
        </w:tc>
      </w:tr>
    </w:tbl>
    <w:p>
      <w:pPr>
        <w:spacing w:after="0" w:line="240" w:lineRule="auto"/>
        <w:jc w:val="left"/>
        <w:rPr>
          <w:rFonts w:ascii="宋体" w:hAnsi="宋体" w:cs="宋体" w:eastAsia="宋体" w:hint="default"/>
          <w:sz w:val="21"/>
          <w:szCs w:val="21"/>
        </w:rPr>
        <w:sectPr>
          <w:pgSz w:w="11910" w:h="16840"/>
          <w:pgMar w:header="850" w:footer="979" w:top="1380" w:bottom="1160" w:left="1660" w:right="1660"/>
        </w:sectPr>
      </w:pPr>
    </w:p>
    <w:p>
      <w:pPr>
        <w:spacing w:line="240" w:lineRule="auto" w:before="10"/>
        <w:rPr>
          <w:rFonts w:ascii="宋体" w:hAnsi="宋体" w:cs="宋体" w:eastAsia="宋体" w:hint="default"/>
          <w:b/>
          <w:bCs/>
          <w:sz w:val="10"/>
          <w:szCs w:val="10"/>
        </w:rPr>
      </w:pPr>
    </w:p>
    <w:p>
      <w:pPr>
        <w:pStyle w:val="Heading2"/>
        <w:spacing w:line="240" w:lineRule="auto"/>
        <w:ind w:right="2752"/>
        <w:jc w:val="center"/>
        <w:rPr>
          <w:b w:val="0"/>
          <w:bCs w:val="0"/>
        </w:rPr>
      </w:pPr>
      <w:bookmarkStart w:name="第七节 公司治理结构" w:id="13"/>
      <w:bookmarkEnd w:id="13"/>
      <w:r>
        <w:rPr>
          <w:b w:val="0"/>
          <w:bCs w:val="0"/>
        </w:rPr>
      </w:r>
      <w:bookmarkStart w:name="_bookmark6" w:id="14"/>
      <w:bookmarkEnd w:id="14"/>
      <w:r>
        <w:rPr>
          <w:b w:val="0"/>
          <w:bCs w:val="0"/>
        </w:rPr>
      </w:r>
      <w:r>
        <w:rPr/>
        <w:t>第七节</w:t>
      </w:r>
      <w:r>
        <w:rPr>
          <w:spacing w:val="-1"/>
        </w:rPr>
        <w:t> </w:t>
      </w:r>
      <w:r>
        <w:rPr/>
        <w:t>公司治理结构</w:t>
      </w:r>
      <w:r>
        <w:rPr>
          <w:b w:val="0"/>
          <w:bCs w:val="0"/>
        </w:rPr>
      </w:r>
    </w:p>
    <w:p>
      <w:pPr>
        <w:spacing w:line="240" w:lineRule="auto" w:before="8"/>
        <w:rPr>
          <w:rFonts w:ascii="宋体" w:hAnsi="宋体" w:cs="宋体" w:eastAsia="宋体" w:hint="default"/>
          <w:b/>
          <w:bCs/>
          <w:sz w:val="21"/>
          <w:szCs w:val="21"/>
        </w:rPr>
      </w:pPr>
    </w:p>
    <w:p>
      <w:pPr>
        <w:spacing w:before="26"/>
        <w:ind w:left="137" w:right="0" w:firstLine="0"/>
        <w:jc w:val="both"/>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sz w:val="24"/>
          <w:szCs w:val="24"/>
        </w:rPr>
      </w:r>
    </w:p>
    <w:p>
      <w:pPr>
        <w:spacing w:line="240" w:lineRule="auto" w:before="1"/>
        <w:rPr>
          <w:rFonts w:ascii="宋体" w:hAnsi="宋体" w:cs="宋体" w:eastAsia="宋体" w:hint="default"/>
          <w:b/>
          <w:bCs/>
          <w:sz w:val="24"/>
          <w:szCs w:val="24"/>
        </w:rPr>
      </w:pPr>
    </w:p>
    <w:p>
      <w:pPr>
        <w:pStyle w:val="BodyText"/>
        <w:spacing w:line="240" w:lineRule="auto"/>
        <w:ind w:left="617" w:right="105"/>
        <w:jc w:val="left"/>
      </w:pPr>
      <w:r>
        <w:rPr>
          <w:spacing w:val="-7"/>
        </w:rPr>
        <w:t>报告期内，公司严格按照《公司法》、《证券法》、《上市公司治理准则》、</w:t>
      </w:r>
    </w:p>
    <w:p>
      <w:pPr>
        <w:pStyle w:val="BodyText"/>
        <w:spacing w:line="357" w:lineRule="auto" w:before="154"/>
        <w:ind w:right="233"/>
        <w:jc w:val="both"/>
      </w:pPr>
      <w:r>
        <w:rPr>
          <w:spacing w:val="-3"/>
        </w:rPr>
        <w:t>《深圳证券交易所创业板股票上市规则》、《深圳证券交易所创业板上市公司规</w:t>
      </w:r>
      <w:r>
        <w:rPr>
          <w:spacing w:val="-105"/>
        </w:rPr>
        <w:t> </w:t>
      </w:r>
      <w:r>
        <w:rPr>
          <w:spacing w:val="-105"/>
        </w:rPr>
      </w:r>
      <w:r>
        <w:rPr>
          <w:spacing w:val="-3"/>
        </w:rPr>
        <w:t>范运作指引》等法律、法规和中国证监会有关法律法规等的要求，不断完善公司</w:t>
      </w:r>
      <w:r>
        <w:rPr>
          <w:spacing w:val="-102"/>
        </w:rPr>
        <w:t> </w:t>
      </w:r>
      <w:r>
        <w:rPr>
          <w:spacing w:val="-102"/>
        </w:rPr>
      </w:r>
      <w:r>
        <w:rPr>
          <w:spacing w:val="-3"/>
        </w:rPr>
        <w:t>的法人治理结构，建立健全公司内部管理和控制制度，持续深入开展公司治理活</w:t>
      </w:r>
      <w:r>
        <w:rPr>
          <w:spacing w:val="-103"/>
        </w:rPr>
        <w:t> </w:t>
      </w:r>
      <w:r>
        <w:rPr>
          <w:spacing w:val="-103"/>
        </w:rPr>
      </w:r>
      <w:r>
        <w:rPr>
          <w:spacing w:val="-3"/>
        </w:rPr>
        <w:t>动，促进了公司规范运作，提高了公司治理水平。截至报告期末，公司实际状况</w:t>
      </w:r>
      <w:r>
        <w:rPr>
          <w:spacing w:val="-103"/>
        </w:rPr>
        <w:t> </w:t>
      </w:r>
      <w:r>
        <w:rPr>
          <w:spacing w:val="-103"/>
        </w:rPr>
      </w:r>
      <w:r>
        <w:rPr>
          <w:spacing w:val="-3"/>
        </w:rPr>
        <w:t>基本符合《上市公司治理准则》和《深圳证券交易所创业板上市公司规范运作指</w:t>
      </w:r>
      <w:r>
        <w:rPr>
          <w:spacing w:val="-102"/>
        </w:rPr>
        <w:t> </w:t>
      </w:r>
      <w:r>
        <w:rPr>
          <w:spacing w:val="-102"/>
        </w:rPr>
      </w:r>
      <w:r>
        <w:rPr/>
        <w:t>引》的要求，不存在尚未解决的治理问题。</w:t>
      </w:r>
    </w:p>
    <w:p>
      <w:pPr>
        <w:pStyle w:val="Heading3"/>
        <w:spacing w:line="240" w:lineRule="auto" w:before="199"/>
        <w:ind w:right="111"/>
        <w:jc w:val="left"/>
        <w:rPr>
          <w:b w:val="0"/>
          <w:bCs w:val="0"/>
        </w:rPr>
      </w:pPr>
      <w:r>
        <w:rPr/>
        <w:t>（一）关于股东和股东大会</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233" w:firstLine="480"/>
        <w:jc w:val="both"/>
      </w:pPr>
      <w:r>
        <w:rPr>
          <w:spacing w:val="-3"/>
        </w:rPr>
        <w:t>公司严格按照《上市公司股东大会规则》、《公司章程》、《股东大会议事</w:t>
      </w:r>
      <w:r>
        <w:rPr/>
        <w:t> </w:t>
      </w:r>
      <w:r>
        <w:rPr>
          <w:spacing w:val="-3"/>
        </w:rPr>
        <w:t>规则》等规定和要求，规范地召集、召开股东大会，平等对待所有股东，并尽可</w:t>
      </w:r>
      <w:r>
        <w:rPr>
          <w:spacing w:val="-103"/>
        </w:rPr>
        <w:t> </w:t>
      </w:r>
      <w:r>
        <w:rPr>
          <w:spacing w:val="-103"/>
        </w:rPr>
      </w:r>
      <w:r>
        <w:rPr>
          <w:spacing w:val="-3"/>
        </w:rPr>
        <w:t>能为股东参加股东大会提供便利，使其充分行使股东权利。报告期内，公司共召</w:t>
      </w:r>
      <w:r>
        <w:rPr>
          <w:spacing w:val="-102"/>
        </w:rPr>
        <w:t> </w:t>
      </w:r>
      <w:r>
        <w:rPr>
          <w:spacing w:val="-102"/>
        </w:rPr>
      </w:r>
      <w:r>
        <w:rPr/>
        <w:t>开一次年度股东大会及一次临时股东大会，由董事会召集召开。</w:t>
      </w:r>
    </w:p>
    <w:p>
      <w:pPr>
        <w:pStyle w:val="Heading3"/>
        <w:spacing w:line="240" w:lineRule="auto" w:before="197"/>
        <w:ind w:right="111"/>
        <w:jc w:val="left"/>
        <w:rPr>
          <w:b w:val="0"/>
          <w:bCs w:val="0"/>
        </w:rPr>
      </w:pPr>
      <w:r>
        <w:rPr/>
        <w:t>（二）公司与控股股东</w:t>
      </w:r>
      <w:r>
        <w:rPr>
          <w:b w:val="0"/>
          <w:bCs w:val="0"/>
        </w:rPr>
      </w:r>
    </w:p>
    <w:p>
      <w:pPr>
        <w:spacing w:line="240" w:lineRule="auto" w:before="3"/>
        <w:rPr>
          <w:rFonts w:ascii="宋体" w:hAnsi="宋体" w:cs="宋体" w:eastAsia="宋体" w:hint="default"/>
          <w:b/>
          <w:bCs/>
          <w:sz w:val="24"/>
          <w:szCs w:val="24"/>
        </w:rPr>
      </w:pPr>
    </w:p>
    <w:p>
      <w:pPr>
        <w:pStyle w:val="BodyText"/>
        <w:spacing w:line="357" w:lineRule="auto"/>
        <w:ind w:right="129" w:firstLine="480"/>
        <w:jc w:val="left"/>
      </w:pPr>
      <w:r>
        <w:rPr>
          <w:spacing w:val="-3"/>
        </w:rPr>
        <w:t>公司控股股东为自然人吴强华先生。吴强华先生在公司担任董事长兼总裁职</w:t>
      </w:r>
      <w:r>
        <w:rPr/>
        <w:t> </w:t>
      </w:r>
      <w:r>
        <w:rPr>
          <w:spacing w:val="-3"/>
        </w:rPr>
        <w:t>务，严格规范自己的行为，没有超越股东大会直接或间接干预公司的决策和经营</w:t>
      </w:r>
      <w:r>
        <w:rPr>
          <w:spacing w:val="-103"/>
        </w:rPr>
        <w:t> </w:t>
      </w:r>
      <w:r>
        <w:rPr>
          <w:spacing w:val="-103"/>
        </w:rPr>
      </w:r>
      <w:r>
        <w:rPr/>
        <w:t>活动。公司拥有独立完整的业务和自主经营能力，在业务、人员、资产、机构、 财务上独立于控股股东，公司董事会、监事会和内部机构独立运作。</w:t>
      </w:r>
    </w:p>
    <w:p>
      <w:pPr>
        <w:spacing w:line="424" w:lineRule="auto" w:before="199"/>
        <w:ind w:left="617" w:right="231" w:hanging="8"/>
        <w:jc w:val="left"/>
        <w:rPr>
          <w:rFonts w:ascii="宋体" w:hAnsi="宋体" w:cs="宋体" w:eastAsia="宋体" w:hint="default"/>
          <w:sz w:val="24"/>
          <w:szCs w:val="24"/>
        </w:rPr>
      </w:pPr>
      <w:r>
        <w:rPr>
          <w:rFonts w:ascii="宋体" w:hAnsi="宋体" w:cs="宋体" w:eastAsia="宋体" w:hint="default"/>
          <w:b/>
          <w:bCs/>
          <w:sz w:val="24"/>
          <w:szCs w:val="24"/>
        </w:rPr>
        <w:t>（三）关于董事和董事会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公司董事会有</w:t>
      </w:r>
      <w:r>
        <w:rPr>
          <w:rFonts w:ascii="Times New Roman" w:hAnsi="Times New Roman" w:cs="Times New Roman" w:eastAsia="Times New Roman" w:hint="default"/>
          <w:spacing w:val="-3"/>
          <w:sz w:val="24"/>
          <w:szCs w:val="24"/>
        </w:rPr>
        <w:t>9</w:t>
      </w:r>
      <w:r>
        <w:rPr>
          <w:rFonts w:ascii="宋体" w:hAnsi="宋体" w:cs="宋体" w:eastAsia="宋体" w:hint="default"/>
          <w:spacing w:val="-3"/>
          <w:sz w:val="24"/>
          <w:szCs w:val="24"/>
        </w:rPr>
        <w:t>名董事，其中包括</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名独立董事，下设战略委员会、薪酬与考</w:t>
      </w:r>
    </w:p>
    <w:p>
      <w:pPr>
        <w:pStyle w:val="BodyText"/>
        <w:spacing w:line="267" w:lineRule="exact"/>
        <w:ind w:right="0"/>
        <w:jc w:val="both"/>
      </w:pPr>
      <w:r>
        <w:rPr>
          <w:spacing w:val="-3"/>
        </w:rPr>
        <w:t>核委员会、审计委员会和提名委员会四个专门委员会。董事会的人数和人员构成</w:t>
      </w:r>
    </w:p>
    <w:p>
      <w:pPr>
        <w:pStyle w:val="BodyText"/>
        <w:spacing w:line="240" w:lineRule="auto" w:before="175"/>
        <w:ind w:right="0"/>
        <w:jc w:val="both"/>
      </w:pPr>
      <w:r>
        <w:rPr>
          <w:spacing w:val="-3"/>
        </w:rPr>
        <w:t>符合《公司法》等相关法律法规和《公司章程》的规定。董事会及成员能够根据</w:t>
      </w:r>
    </w:p>
    <w:p>
      <w:pPr>
        <w:pStyle w:val="BodyText"/>
        <w:spacing w:line="374" w:lineRule="auto" w:before="173"/>
        <w:ind w:right="233"/>
        <w:jc w:val="both"/>
      </w:pPr>
      <w:r>
        <w:rPr>
          <w:spacing w:val="-3"/>
        </w:rPr>
        <w:t>《深圳证券交易所创业板上市公司规范运作指引》、《董事会议事规则》、《独</w:t>
      </w:r>
      <w:r>
        <w:rPr>
          <w:spacing w:val="-103"/>
        </w:rPr>
        <w:t> </w:t>
      </w:r>
      <w:r>
        <w:rPr>
          <w:spacing w:val="-103"/>
        </w:rPr>
      </w:r>
      <w:r>
        <w:rPr>
          <w:spacing w:val="-3"/>
        </w:rPr>
        <w:t>立董事制度》等制度运作并开展工作，出席董事会和股东大会，勤勉尽责地履行</w:t>
      </w:r>
      <w:r>
        <w:rPr>
          <w:spacing w:val="-102"/>
        </w:rPr>
        <w:t> </w:t>
      </w:r>
      <w:r>
        <w:rPr>
          <w:spacing w:val="-102"/>
        </w:rPr>
      </w:r>
      <w:r>
        <w:rPr/>
        <w:t>职责和义务，同时参加培训，熟悉相关法律法规。</w:t>
      </w:r>
    </w:p>
    <w:p>
      <w:pPr>
        <w:spacing w:after="0" w:line="374" w:lineRule="auto"/>
        <w:jc w:val="both"/>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0"/>
        <w:ind w:right="111"/>
        <w:jc w:val="left"/>
        <w:rPr>
          <w:b w:val="0"/>
          <w:bCs w:val="0"/>
        </w:rPr>
      </w:pPr>
      <w:r>
        <w:rPr/>
        <w:t>（四）关于监事和监事会</w:t>
      </w:r>
      <w:r>
        <w:rPr>
          <w:b w:val="0"/>
          <w:bCs w:val="0"/>
        </w:rPr>
      </w:r>
    </w:p>
    <w:p>
      <w:pPr>
        <w:spacing w:line="240" w:lineRule="auto" w:before="1"/>
        <w:rPr>
          <w:rFonts w:ascii="宋体" w:hAnsi="宋体" w:cs="宋体" w:eastAsia="宋体" w:hint="default"/>
          <w:b/>
          <w:bCs/>
          <w:sz w:val="24"/>
          <w:szCs w:val="24"/>
        </w:rPr>
      </w:pPr>
    </w:p>
    <w:p>
      <w:pPr>
        <w:pStyle w:val="BodyText"/>
        <w:spacing w:line="350" w:lineRule="auto"/>
        <w:ind w:right="233" w:firstLine="480"/>
        <w:jc w:val="both"/>
      </w:pPr>
      <w:r>
        <w:rPr/>
        <w:t>公司监事会设监事</w:t>
      </w:r>
      <w:r>
        <w:rPr>
          <w:rFonts w:ascii="Times New Roman" w:hAnsi="Times New Roman" w:cs="Times New Roman" w:eastAsia="Times New Roman" w:hint="default"/>
        </w:rPr>
        <w:t>3 </w:t>
      </w:r>
      <w:r>
        <w:rPr>
          <w:spacing w:val="-5"/>
        </w:rPr>
        <w:t>名，其中职工监事</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19"/>
        </w:rPr>
        <w:t> </w:t>
      </w:r>
      <w:r>
        <w:rPr>
          <w:spacing w:val="-4"/>
        </w:rPr>
        <w:t>名，监事会的人数及人员构成符合</w:t>
      </w:r>
      <w:r>
        <w:rPr/>
        <w:t> </w:t>
      </w:r>
      <w:r>
        <w:rPr>
          <w:spacing w:val="-3"/>
        </w:rPr>
        <w:t>法律，法规的要求。各位监事能够按照《监事会议事规则》的要求，认真履行自</w:t>
      </w:r>
      <w:r>
        <w:rPr>
          <w:spacing w:val="-106"/>
        </w:rPr>
        <w:t> </w:t>
      </w:r>
      <w:r>
        <w:rPr>
          <w:spacing w:val="-106"/>
        </w:rPr>
      </w:r>
      <w:r>
        <w:rPr>
          <w:spacing w:val="-3"/>
        </w:rPr>
        <w:t>己的职责，对公司重大交易、关联交易、财务状况以及董事、高管人员履行职责</w:t>
      </w:r>
      <w:r>
        <w:rPr>
          <w:spacing w:val="-103"/>
        </w:rPr>
        <w:t> </w:t>
      </w:r>
      <w:r>
        <w:rPr>
          <w:spacing w:val="-103"/>
        </w:rPr>
      </w:r>
      <w:r>
        <w:rPr/>
        <w:t>的合法合规性进行监督。</w:t>
      </w:r>
    </w:p>
    <w:p>
      <w:pPr>
        <w:pStyle w:val="Heading3"/>
        <w:spacing w:line="240" w:lineRule="auto" w:before="206"/>
        <w:ind w:right="111"/>
        <w:jc w:val="left"/>
        <w:rPr>
          <w:b w:val="0"/>
          <w:bCs w:val="0"/>
        </w:rPr>
      </w:pPr>
      <w:r>
        <w:rPr/>
        <w:t>（五）关于绩效评价与激励约束机制</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233" w:firstLine="480"/>
        <w:jc w:val="both"/>
      </w:pPr>
      <w:r>
        <w:rPr>
          <w:spacing w:val="-3"/>
        </w:rPr>
        <w:t>公司正在逐步完善公正、有效的高级管理人员的绩效评价标准和激励约束机</w:t>
      </w:r>
      <w:r>
        <w:rPr/>
        <w:t> </w:t>
      </w:r>
      <w:r>
        <w:rPr>
          <w:spacing w:val="-3"/>
        </w:rPr>
        <w:t>制，公司高级管理人员实行基本年薪与年终绩效考核相结合的薪酬制度。高级管</w:t>
      </w:r>
      <w:r>
        <w:rPr>
          <w:spacing w:val="-103"/>
        </w:rPr>
        <w:t> </w:t>
      </w:r>
      <w:r>
        <w:rPr>
          <w:spacing w:val="-103"/>
        </w:rPr>
      </w:r>
      <w:r>
        <w:rPr>
          <w:spacing w:val="-3"/>
        </w:rPr>
        <w:t>理人员的聘任公开、透明，符合法律、法规的规定。公司严格按规定对高级管理</w:t>
      </w:r>
      <w:r>
        <w:rPr>
          <w:spacing w:val="-103"/>
        </w:rPr>
        <w:t> </w:t>
      </w:r>
      <w:r>
        <w:rPr>
          <w:spacing w:val="-103"/>
        </w:rPr>
      </w:r>
      <w:r>
        <w:rPr>
          <w:spacing w:val="-3"/>
        </w:rPr>
        <w:t>人员进行绩效评价与考核，在强化对高级管理人员的考评激励作用的同时，保证</w:t>
      </w:r>
      <w:r>
        <w:rPr>
          <w:spacing w:val="-103"/>
        </w:rPr>
        <w:t> </w:t>
      </w:r>
      <w:r>
        <w:rPr>
          <w:spacing w:val="-103"/>
        </w:rPr>
      </w:r>
      <w:r>
        <w:rPr/>
        <w:t>了公司近远期目标的达成。</w:t>
      </w:r>
    </w:p>
    <w:p>
      <w:pPr>
        <w:pStyle w:val="Heading3"/>
        <w:spacing w:line="240" w:lineRule="auto" w:before="199"/>
        <w:ind w:right="111"/>
        <w:jc w:val="left"/>
        <w:rPr>
          <w:b w:val="0"/>
          <w:bCs w:val="0"/>
        </w:rPr>
      </w:pPr>
      <w:r>
        <w:rPr/>
        <w:t>（六）关于信息披露与透明度</w:t>
      </w:r>
      <w:r>
        <w:rPr>
          <w:b w:val="0"/>
          <w:bCs w:val="0"/>
        </w:rPr>
      </w:r>
    </w:p>
    <w:p>
      <w:pPr>
        <w:spacing w:line="240" w:lineRule="auto" w:before="0"/>
        <w:rPr>
          <w:rFonts w:ascii="宋体" w:hAnsi="宋体" w:cs="宋体" w:eastAsia="宋体" w:hint="default"/>
          <w:b/>
          <w:bCs/>
          <w:sz w:val="31"/>
          <w:szCs w:val="31"/>
        </w:rPr>
      </w:pPr>
    </w:p>
    <w:p>
      <w:pPr>
        <w:pStyle w:val="BodyText"/>
        <w:spacing w:line="369" w:lineRule="auto"/>
        <w:ind w:right="105" w:firstLine="480"/>
        <w:jc w:val="left"/>
      </w:pPr>
      <w:r>
        <w:rPr>
          <w:spacing w:val="-7"/>
        </w:rPr>
        <w:t>公司严格按照有关法律法规以及相关规定的要求，真实、准确、及时、公平、</w:t>
      </w:r>
      <w:r>
        <w:rPr/>
        <w:t> </w:t>
      </w:r>
      <w:r>
        <w:rPr>
          <w:spacing w:val="-3"/>
        </w:rPr>
        <w:t>完整地披露有关信息；并指定公司董事会秘书负责信息披露工作，协调公司与投</w:t>
      </w:r>
      <w:r>
        <w:rPr>
          <w:spacing w:val="-103"/>
        </w:rPr>
        <w:t> </w:t>
      </w:r>
      <w:r>
        <w:rPr>
          <w:spacing w:val="-103"/>
        </w:rPr>
      </w:r>
      <w:r>
        <w:rPr>
          <w:spacing w:val="-6"/>
        </w:rPr>
        <w:t>资者的关系，接待股东来访，回答投资者咨询，向投资者提供公司已披露的资料；</w:t>
      </w:r>
      <w:r>
        <w:rPr>
          <w:spacing w:val="-114"/>
        </w:rPr>
        <w:t> </w:t>
      </w:r>
      <w:r>
        <w:rPr>
          <w:spacing w:val="-114"/>
        </w:rPr>
      </w:r>
      <w:r>
        <w:rPr/>
        <w:t>并指定巨潮资讯网（</w:t>
      </w:r>
      <w:hyperlink r:id="rId12">
        <w:r>
          <w:rPr>
            <w:rFonts w:ascii="Times New Roman" w:hAnsi="Times New Roman" w:cs="Times New Roman" w:eastAsia="Times New Roman" w:hint="default"/>
          </w:rPr>
          <w:t>www.cninfo.com.cn</w:t>
        </w:r>
      </w:hyperlink>
      <w:r>
        <w:rPr/>
        <w:t>）为公司信息披露的指定网站，《中国 </w:t>
      </w:r>
      <w:r>
        <w:rPr>
          <w:spacing w:val="-3"/>
        </w:rPr>
        <w:t>证券报》、《证券时报》为公司定期报告披露的指定报刊。确保公司所有股东能</w:t>
      </w:r>
      <w:r>
        <w:rPr>
          <w:spacing w:val="-103"/>
        </w:rPr>
        <w:t> </w:t>
      </w:r>
      <w:r>
        <w:rPr>
          <w:spacing w:val="-103"/>
        </w:rPr>
      </w:r>
      <w:r>
        <w:rPr/>
        <w:t>够以平等的机会获得信息。</w:t>
      </w:r>
    </w:p>
    <w:p>
      <w:pPr>
        <w:pStyle w:val="Heading3"/>
        <w:spacing w:line="240" w:lineRule="auto" w:before="115"/>
        <w:ind w:right="111"/>
        <w:jc w:val="left"/>
        <w:rPr>
          <w:b w:val="0"/>
          <w:bCs w:val="0"/>
        </w:rPr>
      </w:pPr>
      <w:r>
        <w:rPr/>
        <w:t>（七）关于相关利益者</w:t>
      </w:r>
      <w:r>
        <w:rPr>
          <w:b w:val="0"/>
          <w:bCs w:val="0"/>
        </w:rPr>
      </w:r>
    </w:p>
    <w:p>
      <w:pPr>
        <w:spacing w:line="240" w:lineRule="auto" w:before="3"/>
        <w:rPr>
          <w:rFonts w:ascii="宋体" w:hAnsi="宋体" w:cs="宋体" w:eastAsia="宋体" w:hint="default"/>
          <w:b/>
          <w:bCs/>
          <w:sz w:val="24"/>
          <w:szCs w:val="24"/>
        </w:rPr>
      </w:pPr>
    </w:p>
    <w:p>
      <w:pPr>
        <w:pStyle w:val="BodyText"/>
        <w:spacing w:line="355" w:lineRule="auto"/>
        <w:ind w:right="228" w:firstLine="480"/>
        <w:jc w:val="left"/>
      </w:pPr>
      <w:r>
        <w:rPr>
          <w:spacing w:val="-3"/>
        </w:rPr>
        <w:t>公司充分尊重和维护相关利益者的合法权益，实现股东、员工、社会等各方</w:t>
      </w:r>
      <w:r>
        <w:rPr/>
        <w:t> 利益的协调平衡，共同推动公司持续、健康的发展。</w:t>
      </w:r>
    </w:p>
    <w:p>
      <w:pPr>
        <w:pStyle w:val="Heading3"/>
        <w:spacing w:line="240" w:lineRule="auto" w:before="202"/>
        <w:ind w:left="137" w:right="111"/>
        <w:jc w:val="left"/>
        <w:rPr>
          <w:b w:val="0"/>
          <w:bCs w:val="0"/>
        </w:rPr>
      </w:pPr>
      <w:r>
        <w:rPr/>
        <w:t>二、董事履行职责情况</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105" w:firstLine="480"/>
        <w:jc w:val="left"/>
      </w:pPr>
      <w:r>
        <w:rPr>
          <w:spacing w:val="-3"/>
        </w:rPr>
        <w:t>（一）报告期内，公司全体董事严格按照《公司法》、《证券法》、《深圳</w:t>
      </w:r>
      <w:r>
        <w:rPr/>
        <w:t> </w:t>
      </w:r>
      <w:r>
        <w:rPr>
          <w:spacing w:val="-3"/>
        </w:rPr>
        <w:t>证券交易所创业板上市公司规范运作指引》、《上市公司治理准则》及《公司章</w:t>
      </w:r>
      <w:r>
        <w:rPr>
          <w:spacing w:val="-105"/>
        </w:rPr>
        <w:t> </w:t>
      </w:r>
      <w:r>
        <w:rPr>
          <w:spacing w:val="-105"/>
        </w:rPr>
      </w:r>
      <w:r>
        <w:rPr>
          <w:spacing w:val="-6"/>
        </w:rPr>
        <w:t>程》等法律、法规及规章制度的规定和要求，履行董事职责，遵守董事行为规范，</w:t>
      </w:r>
      <w:r>
        <w:rPr>
          <w:spacing w:val="-114"/>
        </w:rPr>
        <w:t> </w:t>
      </w:r>
      <w:r>
        <w:rPr>
          <w:spacing w:val="-114"/>
        </w:rPr>
      </w:r>
      <w:r>
        <w:rPr>
          <w:spacing w:val="-6"/>
        </w:rPr>
        <w:t>积极参加相关培训，提高规范运作水平，发挥各自的专业特长，积极的履行职责。</w:t>
      </w:r>
    </w:p>
    <w:p>
      <w:pPr>
        <w:spacing w:after="0" w:line="357" w:lineRule="auto"/>
        <w:jc w:val="left"/>
        <w:sectPr>
          <w:footerReference w:type="default" r:id="rId23"/>
          <w:pgSz w:w="11910" w:h="16840"/>
          <w:pgMar w:footer="979" w:header="850" w:top="1380" w:bottom="1160" w:left="1660" w:right="1560"/>
        </w:sectPr>
      </w:pPr>
    </w:p>
    <w:p>
      <w:pPr>
        <w:spacing w:line="20" w:lineRule="exact"/>
        <w:ind w:left="18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left="217" w:right="193"/>
        <w:jc w:val="both"/>
      </w:pPr>
      <w:r>
        <w:rPr>
          <w:spacing w:val="-3"/>
        </w:rPr>
        <w:t>董事在董事会会议投票表决重大事项或其他对公司有重大影响的事项时，严格遵</w:t>
      </w:r>
      <w:r>
        <w:rPr>
          <w:spacing w:val="-104"/>
        </w:rPr>
        <w:t> </w:t>
      </w:r>
      <w:r>
        <w:rPr>
          <w:spacing w:val="-104"/>
        </w:rPr>
      </w:r>
      <w:r>
        <w:rPr>
          <w:spacing w:val="-3"/>
        </w:rPr>
        <w:t>循公司董事会议事规则的有关审议事项，审慎决策，切实保护公司和股东特别是</w:t>
      </w:r>
      <w:r>
        <w:rPr>
          <w:spacing w:val="-103"/>
        </w:rPr>
        <w:t> </w:t>
      </w:r>
      <w:r>
        <w:rPr>
          <w:spacing w:val="-103"/>
        </w:rPr>
      </w:r>
      <w:r>
        <w:rPr/>
        <w:t>社会公众股股东的利益。</w:t>
      </w:r>
    </w:p>
    <w:p>
      <w:pPr>
        <w:pStyle w:val="BodyText"/>
        <w:spacing w:line="357" w:lineRule="auto" w:before="36"/>
        <w:ind w:left="217" w:right="89" w:firstLine="480"/>
        <w:jc w:val="left"/>
      </w:pPr>
      <w:r>
        <w:rPr>
          <w:spacing w:val="-3"/>
        </w:rPr>
        <w:t>（二）报告期内，公司董事长在履行职责时，严格按照《公司法》、《证券</w:t>
      </w:r>
      <w:r>
        <w:rPr/>
        <w:t> 法》、《深圳证券交易所创业板上市公司规范运作指引》和《公司章程》规定， </w:t>
      </w:r>
      <w:r>
        <w:rPr>
          <w:spacing w:val="-3"/>
        </w:rPr>
        <w:t>行使董事长职权，履行职责。在召集、主持董事会会议时，带头执行董事会集体</w:t>
      </w:r>
      <w:r>
        <w:rPr>
          <w:spacing w:val="-103"/>
        </w:rPr>
        <w:t> </w:t>
      </w:r>
      <w:r>
        <w:rPr>
          <w:spacing w:val="-103"/>
        </w:rPr>
      </w:r>
      <w:r>
        <w:rPr>
          <w:spacing w:val="-3"/>
        </w:rPr>
        <w:t>决策机制，积极推动公司治理工作和内部控制建设、督促执行股东大会和董事会</w:t>
      </w:r>
      <w:r>
        <w:rPr>
          <w:spacing w:val="-103"/>
        </w:rPr>
        <w:t> </w:t>
      </w:r>
      <w:r>
        <w:rPr>
          <w:spacing w:val="-103"/>
        </w:rPr>
      </w:r>
      <w:r>
        <w:rPr/>
        <w:t>的各项决议，确保董事会依法正常运作。保证独立董事和董事会秘书的知情权， 及时将董事会工作运行情况通报其他董事。</w:t>
      </w:r>
    </w:p>
    <w:p>
      <w:pPr>
        <w:pStyle w:val="BodyText"/>
        <w:spacing w:line="357" w:lineRule="auto" w:before="36"/>
        <w:ind w:left="217" w:right="193" w:firstLine="480"/>
        <w:jc w:val="both"/>
      </w:pPr>
      <w:r>
        <w:rPr>
          <w:spacing w:val="-3"/>
        </w:rPr>
        <w:t>（三）报告期内，公司独立董事严格按照《公司章程》和《独立董事工作制</w:t>
      </w:r>
      <w:r>
        <w:rPr/>
        <w:t> </w:t>
      </w:r>
      <w:r>
        <w:rPr>
          <w:spacing w:val="-3"/>
        </w:rPr>
        <w:t>度》等的规定，独立、客观、公正地履行职责，出席和列席了报告期内历次董事</w:t>
      </w:r>
      <w:r>
        <w:rPr>
          <w:spacing w:val="-103"/>
        </w:rPr>
        <w:t> </w:t>
      </w:r>
      <w:r>
        <w:rPr>
          <w:spacing w:val="-103"/>
        </w:rPr>
      </w:r>
      <w:r>
        <w:rPr>
          <w:spacing w:val="-3"/>
        </w:rPr>
        <w:t>会会议和股东大会会议，对董事会议案和股东大会议案进行认真审核，为公司经</w:t>
      </w:r>
      <w:r>
        <w:rPr>
          <w:spacing w:val="-103"/>
        </w:rPr>
        <w:t> </w:t>
      </w:r>
      <w:r>
        <w:rPr>
          <w:spacing w:val="-103"/>
        </w:rPr>
      </w:r>
      <w:r>
        <w:rPr>
          <w:spacing w:val="-3"/>
        </w:rPr>
        <w:t>营和发展提出合理化的意见和建议，根据相关规定对公司的重大事项发表独立意</w:t>
      </w:r>
      <w:r>
        <w:rPr>
          <w:spacing w:val="-104"/>
        </w:rPr>
        <w:t> </w:t>
      </w:r>
      <w:r>
        <w:rPr>
          <w:spacing w:val="-104"/>
        </w:rPr>
      </w:r>
      <w:r>
        <w:rPr>
          <w:spacing w:val="-3"/>
        </w:rPr>
        <w:t>见。报告期内，公司独立董事未对公司董事会审议的各项议案及其他相关事项提</w:t>
      </w:r>
      <w:r>
        <w:rPr>
          <w:spacing w:val="-106"/>
        </w:rPr>
        <w:t> </w:t>
      </w:r>
      <w:r>
        <w:rPr>
          <w:spacing w:val="-106"/>
        </w:rPr>
      </w:r>
      <w:r>
        <w:rPr/>
        <w:t>出异议。</w:t>
      </w:r>
    </w:p>
    <w:p>
      <w:pPr>
        <w:pStyle w:val="BodyText"/>
        <w:spacing w:line="240" w:lineRule="auto" w:before="199"/>
        <w:ind w:left="697" w:right="89"/>
        <w:jc w:val="left"/>
      </w:pPr>
      <w:r>
        <w:rPr/>
        <w:t>（四）报告期内，公司董事出席董事会情况如下：</w:t>
      </w:r>
    </w:p>
    <w:p>
      <w:pPr>
        <w:spacing w:line="240" w:lineRule="auto" w:before="10"/>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88"/>
        <w:gridCol w:w="1260"/>
        <w:gridCol w:w="900"/>
        <w:gridCol w:w="900"/>
        <w:gridCol w:w="1080"/>
        <w:gridCol w:w="900"/>
        <w:gridCol w:w="2160"/>
      </w:tblGrid>
      <w:tr>
        <w:trPr>
          <w:trHeight w:val="942" w:hRule="exact"/>
        </w:trPr>
        <w:tc>
          <w:tcPr>
            <w:tcW w:w="1188"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2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466" w:lineRule="exact" w:before="31"/>
              <w:ind w:left="203" w:right="204"/>
              <w:jc w:val="left"/>
              <w:rPr>
                <w:rFonts w:ascii="宋体" w:hAnsi="宋体" w:cs="宋体" w:eastAsia="宋体" w:hint="default"/>
                <w:sz w:val="24"/>
                <w:szCs w:val="24"/>
              </w:rPr>
            </w:pPr>
            <w:r>
              <w:rPr>
                <w:rFonts w:ascii="宋体" w:hAnsi="宋体" w:cs="宋体" w:eastAsia="宋体" w:hint="default"/>
                <w:sz w:val="24"/>
                <w:szCs w:val="24"/>
              </w:rPr>
              <w:t>应出 席次</w:t>
            </w:r>
          </w:p>
        </w:tc>
        <w:tc>
          <w:tcPr>
            <w:tcW w:w="90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466" w:lineRule="exact" w:before="31"/>
              <w:ind w:left="203" w:right="204"/>
              <w:jc w:val="left"/>
              <w:rPr>
                <w:rFonts w:ascii="宋体" w:hAnsi="宋体" w:cs="宋体" w:eastAsia="宋体" w:hint="default"/>
                <w:sz w:val="24"/>
                <w:szCs w:val="24"/>
              </w:rPr>
            </w:pPr>
            <w:r>
              <w:rPr>
                <w:rFonts w:ascii="宋体" w:hAnsi="宋体" w:cs="宋体" w:eastAsia="宋体" w:hint="default"/>
                <w:sz w:val="24"/>
                <w:szCs w:val="24"/>
              </w:rPr>
              <w:t>亲自 出席</w:t>
            </w:r>
          </w:p>
        </w:tc>
        <w:tc>
          <w:tcPr>
            <w:tcW w:w="108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466" w:lineRule="exact" w:before="31"/>
              <w:ind w:left="175" w:right="173"/>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90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466" w:lineRule="exact" w:before="31"/>
              <w:ind w:left="203" w:right="204"/>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2160" w:type="dxa"/>
            <w:tcBorders>
              <w:top w:val="single" w:sz="4" w:space="0" w:color="000000"/>
              <w:left w:val="single" w:sz="4" w:space="0" w:color="000000"/>
              <w:bottom w:val="single" w:sz="4" w:space="0" w:color="000000"/>
              <w:right w:val="single" w:sz="4" w:space="0" w:color="000000"/>
            </w:tcBorders>
            <w:shd w:val="clear" w:color="auto" w:fill="C1C1C1"/>
          </w:tcPr>
          <w:p>
            <w:pPr>
              <w:pStyle w:val="TableParagraph"/>
              <w:spacing w:line="249" w:lineRule="auto" w:before="109"/>
              <w:ind w:left="475" w:right="113" w:hanging="360"/>
              <w:jc w:val="left"/>
              <w:rPr>
                <w:rFonts w:ascii="宋体" w:hAnsi="宋体" w:cs="宋体" w:eastAsia="宋体" w:hint="default"/>
                <w:sz w:val="24"/>
                <w:szCs w:val="24"/>
              </w:rPr>
            </w:pPr>
            <w:r>
              <w:rPr>
                <w:rFonts w:ascii="宋体" w:hAnsi="宋体" w:cs="宋体" w:eastAsia="宋体" w:hint="default"/>
                <w:sz w:val="24"/>
                <w:szCs w:val="24"/>
              </w:rPr>
              <w:t>是否连续两次未亲 自出席会议</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吴强华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许欣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朱华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6"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hAnsi="宋体" w:cs="宋体" w:eastAsia="宋体" w:hint="default"/>
                <w:sz w:val="24"/>
                <w:szCs w:val="24"/>
              </w:rPr>
              <w:t>杨华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李国忠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刘纲</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邵建平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秦其明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56"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高文荣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5"/>
        <w:rPr>
          <w:rFonts w:ascii="宋体" w:hAnsi="宋体" w:cs="宋体" w:eastAsia="宋体" w:hint="default"/>
          <w:sz w:val="7"/>
          <w:szCs w:val="7"/>
        </w:rPr>
      </w:pPr>
    </w:p>
    <w:p>
      <w:pPr>
        <w:spacing w:line="480" w:lineRule="auto" w:before="26"/>
        <w:ind w:left="697" w:right="188" w:hanging="480"/>
        <w:jc w:val="left"/>
        <w:rPr>
          <w:rFonts w:ascii="宋体" w:hAnsi="宋体" w:cs="宋体" w:eastAsia="宋体" w:hint="default"/>
          <w:sz w:val="24"/>
          <w:szCs w:val="24"/>
        </w:rPr>
      </w:pPr>
      <w:r>
        <w:rPr>
          <w:rFonts w:ascii="宋体" w:hAnsi="宋体" w:cs="宋体" w:eastAsia="宋体" w:hint="default"/>
          <w:b/>
          <w:bCs/>
          <w:sz w:val="24"/>
          <w:szCs w:val="24"/>
        </w:rPr>
        <w:t>三、股东大会运行情况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报告期内，共召开两次股东大会，股东大会的召集、提案、出席、议事、表</w:t>
      </w:r>
    </w:p>
    <w:p>
      <w:pPr>
        <w:spacing w:after="0" w:line="480" w:lineRule="auto"/>
        <w:jc w:val="left"/>
        <w:rPr>
          <w:rFonts w:ascii="宋体" w:hAnsi="宋体" w:cs="宋体" w:eastAsia="宋体" w:hint="default"/>
          <w:sz w:val="24"/>
          <w:szCs w:val="24"/>
        </w:rPr>
        <w:sectPr>
          <w:footerReference w:type="default" r:id="rId24"/>
          <w:pgSz w:w="11910" w:h="16840"/>
          <w:pgMar w:footer="979" w:header="850" w:top="1380" w:bottom="1160" w:left="1580" w:right="1600"/>
          <w:pgNumType w:start="51"/>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11"/>
        <w:jc w:val="left"/>
      </w:pPr>
      <w:r>
        <w:rPr>
          <w:spacing w:val="-3"/>
        </w:rPr>
        <w:t>决、决议及会议记录均按照《公司法》、《公司章程》的要求规范运作。召开情</w:t>
      </w:r>
      <w:r>
        <w:rPr>
          <w:spacing w:val="-102"/>
        </w:rPr>
        <w:t> </w:t>
      </w:r>
      <w:r>
        <w:rPr>
          <w:spacing w:val="-102"/>
        </w:rPr>
      </w:r>
      <w:r>
        <w:rPr/>
        <w:t>况如下：</w:t>
      </w:r>
    </w:p>
    <w:p>
      <w:pPr>
        <w:pStyle w:val="BodyText"/>
        <w:spacing w:line="338" w:lineRule="auto" w:before="34"/>
        <w:ind w:right="235" w:firstLine="480"/>
        <w:jc w:val="both"/>
      </w:pPr>
      <w:r>
        <w:rPr/>
        <w:t>（一）</w:t>
      </w:r>
      <w:r>
        <w:rPr>
          <w:rFonts w:ascii="Times New Roman" w:hAnsi="Times New Roman" w:cs="Times New Roman" w:eastAsia="Times New Roman" w:hint="default"/>
        </w:rPr>
        <w:t>2010</w:t>
      </w:r>
      <w:r>
        <w:rPr/>
        <w:t>年第一次临时股东大会于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日在公司会议室以现场方 </w:t>
      </w:r>
      <w:r>
        <w:rPr>
          <w:spacing w:val="6"/>
        </w:rPr>
        <w:t>式召开，出席会议的股东</w:t>
      </w:r>
      <w:r>
        <w:rPr>
          <w:rFonts w:ascii="Times New Roman" w:hAnsi="Times New Roman" w:cs="Times New Roman" w:eastAsia="Times New Roman" w:hint="default"/>
          <w:spacing w:val="6"/>
        </w:rPr>
        <w:t>/</w:t>
      </w:r>
      <w:r>
        <w:rPr>
          <w:spacing w:val="6"/>
        </w:rPr>
        <w:t>股东代表</w:t>
      </w:r>
      <w:r>
        <w:rPr>
          <w:rFonts w:ascii="Times New Roman" w:hAnsi="Times New Roman" w:cs="Times New Roman" w:eastAsia="Times New Roman" w:hint="default"/>
          <w:spacing w:val="6"/>
        </w:rPr>
        <w:t>/</w:t>
      </w:r>
      <w:r>
        <w:rPr>
          <w:spacing w:val="6"/>
        </w:rPr>
        <w:t>代理人共计</w:t>
      </w:r>
      <w:r>
        <w:rPr>
          <w:rFonts w:ascii="Times New Roman" w:hAnsi="Times New Roman" w:cs="Times New Roman" w:eastAsia="Times New Roman" w:hint="default"/>
          <w:spacing w:val="6"/>
        </w:rPr>
        <w:t>17</w:t>
      </w:r>
      <w:r>
        <w:rPr>
          <w:spacing w:val="6"/>
        </w:rPr>
        <w:t>名，代表有表决权的股份数</w:t>
      </w:r>
      <w:r>
        <w:rPr>
          <w:spacing w:val="-90"/>
        </w:rPr>
        <w:t> </w:t>
      </w:r>
      <w:r>
        <w:rPr>
          <w:spacing w:val="-90"/>
        </w:rPr>
      </w:r>
      <w:r>
        <w:rPr>
          <w:rFonts w:ascii="Times New Roman" w:hAnsi="Times New Roman" w:cs="Times New Roman" w:eastAsia="Times New Roman" w:hint="default"/>
        </w:rPr>
        <w:t>4,200</w:t>
      </w:r>
      <w:r>
        <w:rPr/>
        <w:t>万股，占公司股份总额的</w:t>
      </w:r>
      <w:r>
        <w:rPr>
          <w:rFonts w:ascii="Times New Roman" w:hAnsi="Times New Roman" w:cs="Times New Roman" w:eastAsia="Times New Roman" w:hint="default"/>
        </w:rPr>
        <w:t>100%</w:t>
      </w:r>
      <w:r>
        <w:rPr/>
        <w:t>。会议审议并通过《关于</w:t>
      </w:r>
      <w:r>
        <w:rPr>
          <w:rFonts w:ascii="Times New Roman" w:hAnsi="Times New Roman" w:cs="Times New Roman" w:eastAsia="Times New Roman" w:hint="default"/>
        </w:rPr>
        <w:t>2009</w:t>
      </w:r>
      <w:r>
        <w:rPr/>
        <w:t>年度利润分配</w:t>
      </w:r>
      <w:r>
        <w:rPr>
          <w:spacing w:val="-112"/>
        </w:rPr>
        <w:t> </w:t>
      </w:r>
      <w:r>
        <w:rPr/>
        <w:t>的议案》。</w:t>
      </w:r>
    </w:p>
    <w:p>
      <w:pPr>
        <w:pStyle w:val="BodyText"/>
        <w:spacing w:line="340" w:lineRule="auto" w:before="53"/>
        <w:ind w:right="111" w:firstLine="480"/>
        <w:jc w:val="left"/>
      </w:pPr>
      <w:r>
        <w:rPr>
          <w:spacing w:val="-3"/>
        </w:rPr>
        <w:t>（二）</w:t>
      </w:r>
      <w:r>
        <w:rPr>
          <w:rFonts w:ascii="Times New Roman" w:hAnsi="Times New Roman" w:cs="Times New Roman" w:eastAsia="Times New Roman" w:hint="default"/>
          <w:spacing w:val="-3"/>
        </w:rPr>
        <w:t>2009</w:t>
      </w:r>
      <w:r>
        <w:rPr>
          <w:spacing w:val="-3"/>
        </w:rPr>
        <w:t>年年度股东大会于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日在公司会议室以现场方式召开，</w:t>
      </w:r>
      <w:r>
        <w:rPr/>
        <w:t> 出席会议的股东共计</w:t>
      </w:r>
      <w:r>
        <w:rPr>
          <w:rFonts w:ascii="Times New Roman" w:hAnsi="Times New Roman" w:cs="Times New Roman" w:eastAsia="Times New Roman" w:hint="default"/>
        </w:rPr>
        <w:t>17</w:t>
      </w:r>
      <w:r>
        <w:rPr/>
        <w:t>名，代表有表决权的股份数</w:t>
      </w:r>
      <w:r>
        <w:rPr>
          <w:rFonts w:ascii="Times New Roman" w:hAnsi="Times New Roman" w:cs="Times New Roman" w:eastAsia="Times New Roman" w:hint="default"/>
        </w:rPr>
        <w:t>40,485,616</w:t>
      </w:r>
      <w:r>
        <w:rPr/>
        <w:t>股，占公司股份总</w:t>
      </w:r>
      <w:r>
        <w:rPr>
          <w:spacing w:val="-96"/>
        </w:rPr>
        <w:t> </w:t>
      </w:r>
      <w:r>
        <w:rPr>
          <w:spacing w:val="-96"/>
        </w:rPr>
      </w:r>
      <w:r>
        <w:rPr>
          <w:spacing w:val="-3"/>
        </w:rPr>
        <w:t>额的</w:t>
      </w:r>
      <w:r>
        <w:rPr>
          <w:rFonts w:ascii="Times New Roman" w:hAnsi="Times New Roman" w:cs="Times New Roman" w:eastAsia="Times New Roman" w:hint="default"/>
          <w:spacing w:val="-3"/>
        </w:rPr>
        <w:t>72.30%</w:t>
      </w:r>
      <w:r>
        <w:rPr>
          <w:spacing w:val="-3"/>
        </w:rPr>
        <w:t>。会议审议并通过《</w:t>
      </w:r>
      <w:r>
        <w:rPr>
          <w:rFonts w:ascii="Times New Roman" w:hAnsi="Times New Roman" w:cs="Times New Roman" w:eastAsia="Times New Roman" w:hint="default"/>
          <w:spacing w:val="-3"/>
        </w:rPr>
        <w:t>2009</w:t>
      </w:r>
      <w:r>
        <w:rPr>
          <w:spacing w:val="-3"/>
        </w:rPr>
        <w:t>年董事会工作报告》、《</w:t>
      </w:r>
      <w:r>
        <w:rPr>
          <w:rFonts w:ascii="Times New Roman" w:hAnsi="Times New Roman" w:cs="Times New Roman" w:eastAsia="Times New Roman" w:hint="default"/>
          <w:spacing w:val="-3"/>
        </w:rPr>
        <w:t>2009</w:t>
      </w:r>
      <w:r>
        <w:rPr>
          <w:spacing w:val="-3"/>
        </w:rPr>
        <w:t>年监事会工作</w:t>
      </w:r>
      <w:r>
        <w:rPr>
          <w:spacing w:val="-105"/>
        </w:rPr>
        <w:t> </w:t>
      </w:r>
      <w:r>
        <w:rPr/>
        <w:t>报告》、《</w:t>
      </w:r>
      <w:r>
        <w:rPr>
          <w:rFonts w:ascii="Times New Roman" w:hAnsi="Times New Roman" w:cs="Times New Roman" w:eastAsia="Times New Roman" w:hint="default"/>
        </w:rPr>
        <w:t>2009 </w:t>
      </w:r>
      <w:r>
        <w:rPr/>
        <w:t>年度财务决算报告》、《</w:t>
      </w:r>
      <w:r>
        <w:rPr>
          <w:rFonts w:ascii="Times New Roman" w:hAnsi="Times New Roman" w:cs="Times New Roman" w:eastAsia="Times New Roman" w:hint="default"/>
        </w:rPr>
        <w:t>2009</w:t>
      </w:r>
      <w:r>
        <w:rPr/>
        <w:t>年度财务报告及摘要》、《关于</w:t>
      </w:r>
      <w:r>
        <w:rPr>
          <w:spacing w:val="-95"/>
        </w:rPr>
        <w:t> </w:t>
      </w:r>
      <w:r>
        <w:rPr>
          <w:spacing w:val="-95"/>
        </w:rPr>
      </w:r>
      <w:r>
        <w:rPr>
          <w:spacing w:val="-3"/>
        </w:rPr>
        <w:t>续聘公司</w:t>
      </w:r>
      <w:r>
        <w:rPr>
          <w:rFonts w:ascii="Times New Roman" w:hAnsi="Times New Roman" w:cs="Times New Roman" w:eastAsia="Times New Roman" w:hint="default"/>
          <w:spacing w:val="-3"/>
        </w:rPr>
        <w:t>2010</w:t>
      </w:r>
      <w:r>
        <w:rPr>
          <w:spacing w:val="-3"/>
        </w:rPr>
        <w:t>年度审计机构的议案》、《关于公司首次公开发行后注册资本变更</w:t>
      </w:r>
      <w:r>
        <w:rPr>
          <w:spacing w:val="-99"/>
        </w:rPr>
        <w:t> </w:t>
      </w:r>
      <w:r>
        <w:rPr>
          <w:spacing w:val="-99"/>
        </w:rPr>
      </w:r>
      <w:r>
        <w:rPr>
          <w:spacing w:val="-3"/>
        </w:rPr>
        <w:t>的议案》、《公司章程（草案）》、《募集资金管理制度》、《投资者关系管理</w:t>
      </w:r>
      <w:r>
        <w:rPr>
          <w:spacing w:val="-110"/>
        </w:rPr>
        <w:t> </w:t>
      </w:r>
      <w:r>
        <w:rPr>
          <w:spacing w:val="-110"/>
        </w:rPr>
      </w:r>
      <w:r>
        <w:rPr/>
        <w:t>制度》、《重大信息内部保密制度》</w:t>
      </w:r>
    </w:p>
    <w:p>
      <w:pPr>
        <w:spacing w:line="240" w:lineRule="auto" w:before="7"/>
        <w:rPr>
          <w:rFonts w:ascii="宋体" w:hAnsi="宋体" w:cs="宋体" w:eastAsia="宋体" w:hint="default"/>
          <w:sz w:val="16"/>
          <w:szCs w:val="16"/>
        </w:rPr>
      </w:pPr>
    </w:p>
    <w:p>
      <w:pPr>
        <w:spacing w:line="549" w:lineRule="auto" w:before="0"/>
        <w:ind w:left="617" w:right="2529" w:hanging="480"/>
        <w:jc w:val="left"/>
        <w:rPr>
          <w:rFonts w:ascii="宋体" w:hAnsi="宋体" w:cs="宋体" w:eastAsia="宋体" w:hint="default"/>
          <w:sz w:val="24"/>
          <w:szCs w:val="24"/>
        </w:rPr>
      </w:pPr>
      <w:r>
        <w:rPr/>
        <w:pict>
          <v:shape style="position:absolute;margin-left:99.599998pt;margin-top:57.935623pt;width:396.4pt;height:200.0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7"/>
                    <w:gridCol w:w="3276"/>
                    <w:gridCol w:w="3780"/>
                  </w:tblGrid>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会议届次</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召开时间</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第一届董事会第六次会议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第一届董事会第七次会议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第一届董事会第八次会议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第一届董事会第九次会议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第一届董事会第十次会议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r>
                  <w:tr>
                    <w:trPr>
                      <w:trHeight w:val="49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第一届董事会第十一次会议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w:t>
                        </w:r>
                      </w:p>
                    </w:tc>
                  </w:tr>
                  <w:tr>
                    <w:trPr>
                      <w:trHeight w:val="4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24"/>
                            <w:szCs w:val="24"/>
                          </w:rPr>
                        </w:pPr>
                        <w:r>
                          <w:rPr>
                            <w:rFonts w:ascii="Times New Roman"/>
                            <w:sz w:val="24"/>
                          </w:rPr>
                          <w:t>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第一届董事会第十二次会议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bl>
                <w:p>
                  <w:pPr/>
                </w:p>
              </w:txbxContent>
            </v:textbox>
            <w10:wrap type="none"/>
          </v:shape>
        </w:pict>
      </w:r>
      <w:r>
        <w:rPr>
          <w:rFonts w:ascii="宋体" w:hAnsi="宋体" w:cs="宋体" w:eastAsia="宋体" w:hint="default"/>
          <w:b/>
          <w:bCs/>
          <w:sz w:val="24"/>
          <w:szCs w:val="24"/>
        </w:rPr>
        <w:t>四、董事会运行情况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报告期内，公司共召开七次董事会，具体情况如下：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62" w:lineRule="auto" w:before="202"/>
        <w:ind w:right="233" w:firstLine="48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日在公司会议室召开了第一届董事会第六次会议，会 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名。本次董事会 </w:t>
      </w:r>
      <w:r>
        <w:rPr>
          <w:spacing w:val="-3"/>
        </w:rPr>
        <w:t>的召集和召开符合《中华人民共和国公司法》和《北京数字政通科技股份有限公</w:t>
      </w:r>
      <w:r>
        <w:rPr>
          <w:spacing w:val="-102"/>
        </w:rPr>
        <w:t> </w:t>
      </w:r>
      <w:r>
        <w:rPr>
          <w:spacing w:val="-102"/>
        </w:rPr>
      </w:r>
      <w:r>
        <w:rPr>
          <w:spacing w:val="-3"/>
        </w:rPr>
        <w:t>司章程》的规定。会议由公司董事长吴强华先生主持，经全体董事表决，审议通</w:t>
      </w:r>
      <w:r>
        <w:rPr>
          <w:spacing w:val="-103"/>
        </w:rPr>
        <w:t> </w:t>
      </w:r>
      <w:r>
        <w:rPr>
          <w:spacing w:val="-103"/>
        </w:rPr>
      </w:r>
      <w:r>
        <w:rPr/>
        <w:t>过了如下议案：《关于</w:t>
      </w:r>
      <w:r>
        <w:rPr>
          <w:rFonts w:ascii="Times New Roman" w:hAnsi="Times New Roman" w:cs="Times New Roman" w:eastAsia="Times New Roman" w:hint="default"/>
        </w:rPr>
        <w:t>2009</w:t>
      </w:r>
      <w:r>
        <w:rPr/>
        <w:t>年度利润分配预案》，《关于购买枫蓝国际中心</w:t>
      </w:r>
      <w:r>
        <w:rPr>
          <w:rFonts w:ascii="Times New Roman" w:hAnsi="Times New Roman" w:cs="Times New Roman" w:eastAsia="Times New Roman" w:hint="default"/>
        </w:rPr>
        <w:t>1</w:t>
      </w:r>
      <w:r>
        <w:rPr/>
        <w:t>号</w:t>
      </w:r>
    </w:p>
    <w:p>
      <w:pPr>
        <w:spacing w:after="0" w:line="362" w:lineRule="auto"/>
        <w:jc w:val="both"/>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2" w:lineRule="auto" w:before="85"/>
        <w:ind w:right="179"/>
        <w:jc w:val="left"/>
      </w:pPr>
      <w:r>
        <w:rPr>
          <w:spacing w:val="-3"/>
        </w:rPr>
        <w:t>楼</w:t>
      </w:r>
      <w:r>
        <w:rPr>
          <w:rFonts w:ascii="Times New Roman" w:hAnsi="Times New Roman" w:cs="Times New Roman" w:eastAsia="Times New Roman" w:hint="default"/>
          <w:spacing w:val="-3"/>
        </w:rPr>
        <w:t>18</w:t>
      </w:r>
      <w:r>
        <w:rPr>
          <w:spacing w:val="-3"/>
        </w:rPr>
        <w:t>层部分办公室以及车位的议案》，《关于召开</w:t>
      </w:r>
      <w:r>
        <w:rPr>
          <w:rFonts w:ascii="Times New Roman" w:hAnsi="Times New Roman" w:cs="Times New Roman" w:eastAsia="Times New Roman" w:hint="default"/>
          <w:spacing w:val="-3"/>
        </w:rPr>
        <w:t>2009</w:t>
      </w:r>
      <w:r>
        <w:rPr>
          <w:spacing w:val="-3"/>
        </w:rPr>
        <w:t>年第一次临时股东大会的</w:t>
      </w:r>
      <w:r>
        <w:rPr>
          <w:spacing w:val="-96"/>
        </w:rPr>
        <w:t> </w:t>
      </w:r>
      <w:r>
        <w:rPr/>
        <w:t>议案》。</w:t>
      </w:r>
    </w:p>
    <w:p>
      <w:pPr>
        <w:pStyle w:val="BodyText"/>
        <w:spacing w:line="364" w:lineRule="auto" w:before="60"/>
        <w:ind w:right="193" w:firstLine="480"/>
        <w:jc w:val="both"/>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日在公司会议室召开了第一届董事会第七次会议，会</w:t>
      </w:r>
      <w:r>
        <w:rPr/>
        <w:t> 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名。本次董事会 </w:t>
      </w:r>
      <w:r>
        <w:rPr>
          <w:spacing w:val="-3"/>
        </w:rPr>
        <w:t>的召集和召开符合《中华人民共和国公司法》和《北京数字政通科技股份有限公</w:t>
      </w:r>
      <w:r>
        <w:rPr>
          <w:spacing w:val="-102"/>
        </w:rPr>
        <w:t> </w:t>
      </w:r>
      <w:r>
        <w:rPr>
          <w:spacing w:val="-102"/>
        </w:rPr>
      </w:r>
      <w:r>
        <w:rPr>
          <w:spacing w:val="-3"/>
        </w:rPr>
        <w:t>司章程》的规定。会议由公司董事长吴强华先生主持，经全体董事表决，审议通</w:t>
      </w:r>
      <w:r>
        <w:rPr>
          <w:spacing w:val="-103"/>
        </w:rPr>
        <w:t> </w:t>
      </w:r>
      <w:r>
        <w:rPr>
          <w:spacing w:val="-103"/>
        </w:rPr>
      </w:r>
      <w:r>
        <w:rPr>
          <w:spacing w:val="-3"/>
        </w:rPr>
        <w:t>过了如下议案：《关于设立募集资金专项账户的议案》；《关于签署募集资金三</w:t>
      </w:r>
      <w:r>
        <w:rPr>
          <w:spacing w:val="-106"/>
        </w:rPr>
        <w:t> </w:t>
      </w:r>
      <w:r>
        <w:rPr>
          <w:spacing w:val="-106"/>
        </w:rPr>
      </w:r>
      <w:r>
        <w:rPr/>
        <w:t>方监管协议的议案》。</w:t>
      </w:r>
    </w:p>
    <w:p>
      <w:pPr>
        <w:pStyle w:val="BodyText"/>
        <w:spacing w:line="362" w:lineRule="auto" w:before="50"/>
        <w:ind w:right="193" w:firstLine="480"/>
        <w:jc w:val="both"/>
      </w:pPr>
      <w:r>
        <w:rPr>
          <w:rFonts w:ascii="Times New Roman" w:hAnsi="Times New Roman" w:cs="Times New Roman" w:eastAsia="Times New Roman" w:hint="default"/>
          <w:spacing w:val="-3"/>
        </w:rPr>
        <w:t>3</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26</w:t>
      </w:r>
      <w:r>
        <w:rPr>
          <w:spacing w:val="-3"/>
        </w:rPr>
        <w:t>日在公司会议室召开了第一届董事会第八次会议，会</w:t>
      </w:r>
      <w:r>
        <w:rPr/>
        <w:t> 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名。本次董事会 </w:t>
      </w:r>
      <w:r>
        <w:rPr>
          <w:spacing w:val="-3"/>
        </w:rPr>
        <w:t>的召集和召开符合《中华人民共和国公司法》和《北京数字政通科技股份有限公</w:t>
      </w:r>
      <w:r>
        <w:rPr>
          <w:spacing w:val="-102"/>
        </w:rPr>
        <w:t> </w:t>
      </w:r>
      <w:r>
        <w:rPr>
          <w:spacing w:val="-102"/>
        </w:rPr>
      </w:r>
      <w:r>
        <w:rPr>
          <w:spacing w:val="-3"/>
        </w:rPr>
        <w:t>司章程》的规定。会议由公司董事长吴强华先生主持，经全体董事表决，审议通</w:t>
      </w:r>
      <w:r>
        <w:rPr>
          <w:spacing w:val="-103"/>
        </w:rPr>
        <w:t> </w:t>
      </w:r>
      <w:r>
        <w:rPr>
          <w:spacing w:val="-103"/>
        </w:rPr>
      </w:r>
      <w:r>
        <w:rPr/>
        <w:t>过了如下议案：《关于公司用部分闲置募集资金临时补充流动资金的议案》。</w:t>
      </w:r>
    </w:p>
    <w:p>
      <w:pPr>
        <w:pStyle w:val="BodyText"/>
        <w:spacing w:line="360" w:lineRule="auto" w:before="53"/>
        <w:ind w:right="106" w:firstLine="480"/>
        <w:jc w:val="both"/>
      </w:pPr>
      <w:r>
        <w:rPr>
          <w:rFonts w:ascii="Times New Roman" w:hAnsi="Times New Roman" w:cs="Times New Roman" w:eastAsia="Times New Roman" w:hint="default"/>
          <w:spacing w:val="-3"/>
        </w:rPr>
        <w:t>4</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日在公司会议室召开了第一届董事会第九次会议，会</w:t>
      </w:r>
      <w:r>
        <w:rPr/>
        <w:t> 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名。本次董事会 </w:t>
      </w:r>
      <w:r>
        <w:rPr>
          <w:spacing w:val="-3"/>
        </w:rPr>
        <w:t>的召集和召开符合《中华人民共和国公司法》和《北京数字政通科技股份有限公</w:t>
      </w:r>
      <w:r>
        <w:rPr>
          <w:spacing w:val="-102"/>
        </w:rPr>
        <w:t> </w:t>
      </w:r>
      <w:r>
        <w:rPr>
          <w:spacing w:val="-102"/>
        </w:rPr>
      </w:r>
      <w:r>
        <w:rPr>
          <w:spacing w:val="-3"/>
        </w:rPr>
        <w:t>司章程》的规定。会议由公司董事长吴强华先生主持，经全体董事表决，审议通</w:t>
      </w:r>
      <w:r>
        <w:rPr>
          <w:spacing w:val="-103"/>
        </w:rPr>
        <w:t> </w:t>
      </w:r>
      <w:r>
        <w:rPr>
          <w:spacing w:val="-103"/>
        </w:rPr>
      </w:r>
      <w:r>
        <w:rPr>
          <w:spacing w:val="-9"/>
        </w:rPr>
        <w:t>过了如下议案：《</w:t>
      </w:r>
      <w:r>
        <w:rPr>
          <w:rFonts w:ascii="Times New Roman" w:hAnsi="Times New Roman" w:cs="Times New Roman" w:eastAsia="Times New Roman" w:hint="default"/>
          <w:spacing w:val="-9"/>
        </w:rPr>
        <w:t>2009</w:t>
      </w:r>
      <w:r>
        <w:rPr>
          <w:spacing w:val="-9"/>
        </w:rPr>
        <w:t>年度总裁工作报告》；《</w:t>
      </w:r>
      <w:r>
        <w:rPr>
          <w:rFonts w:ascii="Times New Roman" w:hAnsi="Times New Roman" w:cs="Times New Roman" w:eastAsia="Times New Roman" w:hint="default"/>
          <w:spacing w:val="-9"/>
        </w:rPr>
        <w:t>2009</w:t>
      </w:r>
      <w:r>
        <w:rPr>
          <w:spacing w:val="-9"/>
        </w:rPr>
        <w:t>年度董事会工作报告》；《关</w:t>
      </w:r>
      <w:r>
        <w:rPr>
          <w:spacing w:val="-88"/>
        </w:rPr>
        <w:t> </w:t>
      </w:r>
      <w:r>
        <w:rPr>
          <w:spacing w:val="-88"/>
        </w:rPr>
      </w:r>
      <w:r>
        <w:rPr/>
        <w:t>于</w:t>
      </w:r>
      <w:r>
        <w:rPr>
          <w:rFonts w:ascii="Times New Roman" w:hAnsi="Times New Roman" w:cs="Times New Roman" w:eastAsia="Times New Roman" w:hint="default"/>
        </w:rPr>
        <w:t>2009</w:t>
      </w:r>
      <w:r>
        <w:rPr/>
        <w:t>年度财务报告及摘要的议案》；《关于</w:t>
      </w:r>
      <w:r>
        <w:rPr>
          <w:rFonts w:ascii="Times New Roman" w:hAnsi="Times New Roman" w:cs="Times New Roman" w:eastAsia="Times New Roman" w:hint="default"/>
        </w:rPr>
        <w:t>2009</w:t>
      </w:r>
      <w:r>
        <w:rPr/>
        <w:t>年度财务决算报告的议案》；</w:t>
      </w:r>
    </w:p>
    <w:p>
      <w:pPr>
        <w:pStyle w:val="BodyText"/>
        <w:spacing w:line="352" w:lineRule="auto" w:before="24"/>
        <w:ind w:right="163"/>
        <w:jc w:val="left"/>
      </w:pPr>
      <w:r>
        <w:rPr>
          <w:spacing w:val="-3"/>
        </w:rPr>
        <w:t>《关于续聘公司</w:t>
      </w:r>
      <w:r>
        <w:rPr>
          <w:rFonts w:ascii="Times New Roman" w:hAnsi="Times New Roman" w:cs="Times New Roman" w:eastAsia="Times New Roman" w:hint="default"/>
          <w:spacing w:val="-3"/>
        </w:rPr>
        <w:t>2010</w:t>
      </w:r>
      <w:r>
        <w:rPr>
          <w:spacing w:val="-3"/>
        </w:rPr>
        <w:t>年度审计机构的议案》；《关于公司首次公开发行后注册资</w:t>
      </w:r>
      <w:r>
        <w:rPr>
          <w:spacing w:val="-96"/>
        </w:rPr>
        <w:t> </w:t>
      </w:r>
      <w:r>
        <w:rPr>
          <w:spacing w:val="-96"/>
        </w:rPr>
      </w:r>
      <w:r>
        <w:rPr>
          <w:spacing w:val="-1"/>
        </w:rPr>
        <w:t>本变更的议案》；《关于审议</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的议案》；《关于审议</w:t>
      </w:r>
      <w:r>
        <w:rPr>
          <w:rFonts w:ascii="Times New Roman" w:hAnsi="Times New Roman" w:cs="Times New Roman" w:eastAsia="Times New Roman" w:hint="default"/>
          <w:spacing w:val="-1"/>
        </w:rPr>
        <w:t>&lt;</w:t>
      </w:r>
      <w:r>
        <w:rPr>
          <w:spacing w:val="-1"/>
        </w:rPr>
        <w:t>投资者关系管</w:t>
      </w:r>
      <w:r>
        <w:rPr>
          <w:spacing w:val="-99"/>
        </w:rPr>
        <w:t> </w:t>
      </w:r>
      <w:r>
        <w:rPr>
          <w:spacing w:val="-99"/>
        </w:rPr>
      </w:r>
      <w:r>
        <w:rPr/>
        <w:t>理制度</w:t>
      </w:r>
      <w:r>
        <w:rPr>
          <w:rFonts w:ascii="Times New Roman" w:hAnsi="Times New Roman" w:cs="Times New Roman" w:eastAsia="Times New Roman" w:hint="default"/>
        </w:rPr>
        <w:t>&gt;</w:t>
      </w:r>
      <w:r>
        <w:rPr/>
        <w:t>的议案》；《关于审议</w:t>
      </w:r>
      <w:r>
        <w:rPr>
          <w:rFonts w:ascii="Times New Roman" w:hAnsi="Times New Roman" w:cs="Times New Roman" w:eastAsia="Times New Roman" w:hint="default"/>
        </w:rPr>
        <w:t>&lt;</w:t>
      </w:r>
      <w:r>
        <w:rPr/>
        <w:t>募集资金管理制度</w:t>
      </w:r>
      <w:r>
        <w:rPr>
          <w:rFonts w:ascii="Times New Roman" w:hAnsi="Times New Roman" w:cs="Times New Roman" w:eastAsia="Times New Roman" w:hint="default"/>
        </w:rPr>
        <w:t>&gt;</w:t>
      </w:r>
      <w:r>
        <w:rPr/>
        <w:t>的议案》；《关于审议</w:t>
      </w:r>
      <w:r>
        <w:rPr>
          <w:rFonts w:ascii="Times New Roman" w:hAnsi="Times New Roman" w:cs="Times New Roman" w:eastAsia="Times New Roman" w:hint="default"/>
        </w:rPr>
        <w:t>&lt;</w:t>
      </w:r>
      <w:r>
        <w:rPr/>
        <w:t>重 大信息内部保密制度</w:t>
      </w:r>
      <w:r>
        <w:rPr>
          <w:rFonts w:ascii="Times New Roman" w:hAnsi="Times New Roman" w:cs="Times New Roman" w:eastAsia="Times New Roman" w:hint="default"/>
        </w:rPr>
        <w:t>&gt;</w:t>
      </w:r>
      <w:r>
        <w:rPr/>
        <w:t>的议案》；《关于审议</w:t>
      </w:r>
      <w:r>
        <w:rPr>
          <w:rFonts w:ascii="Times New Roman" w:hAnsi="Times New Roman" w:cs="Times New Roman" w:eastAsia="Times New Roman" w:hint="default"/>
        </w:rPr>
        <w:t>&lt;</w:t>
      </w:r>
      <w:r>
        <w:rPr/>
        <w:t>董事会秘书工作细则</w:t>
      </w:r>
      <w:r>
        <w:rPr>
          <w:rFonts w:ascii="Times New Roman" w:hAnsi="Times New Roman" w:cs="Times New Roman" w:eastAsia="Times New Roman" w:hint="default"/>
        </w:rPr>
        <w:t>&gt;</w:t>
      </w:r>
      <w:r>
        <w:rPr/>
        <w:t>的议案》；</w:t>
      </w:r>
    </w:p>
    <w:p>
      <w:pPr>
        <w:pStyle w:val="BodyText"/>
        <w:spacing w:line="240" w:lineRule="auto" w:before="32"/>
        <w:ind w:right="179"/>
        <w:jc w:val="left"/>
      </w:pPr>
      <w:r>
        <w:rPr/>
        <w:t>《关于召开</w:t>
      </w:r>
      <w:r>
        <w:rPr>
          <w:rFonts w:ascii="Times New Roman" w:hAnsi="Times New Roman" w:cs="Times New Roman" w:eastAsia="Times New Roman" w:hint="default"/>
        </w:rPr>
        <w:t>2009</w:t>
      </w:r>
      <w:r>
        <w:rPr/>
        <w:t>年度股东大会的议案》。</w:t>
      </w:r>
    </w:p>
    <w:p>
      <w:pPr>
        <w:pStyle w:val="BodyText"/>
        <w:spacing w:line="360" w:lineRule="auto" w:before="157"/>
        <w:ind w:right="193" w:firstLine="480"/>
        <w:jc w:val="both"/>
      </w:pPr>
      <w:r>
        <w:rPr>
          <w:rFonts w:ascii="Times New Roman" w:hAnsi="Times New Roman" w:cs="Times New Roman" w:eastAsia="Times New Roman" w:hint="default"/>
          <w:spacing w:val="-3"/>
        </w:rPr>
        <w:t>5</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30</w:t>
      </w:r>
      <w:r>
        <w:rPr>
          <w:spacing w:val="-3"/>
        </w:rPr>
        <w:t>日在公司会议室召开了第一届董事会第十次会议，会</w:t>
      </w:r>
      <w:r>
        <w:rPr/>
        <w:t> 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名。本次董事会 </w:t>
      </w:r>
      <w:r>
        <w:rPr>
          <w:spacing w:val="-3"/>
        </w:rPr>
        <w:t>的召集和召开符合《中华人民共和国公司法》和《北京数字政通科技股份有限公</w:t>
      </w:r>
      <w:r>
        <w:rPr>
          <w:spacing w:val="-102"/>
        </w:rPr>
        <w:t> </w:t>
      </w:r>
      <w:r>
        <w:rPr>
          <w:spacing w:val="-102"/>
        </w:rPr>
      </w:r>
      <w:r>
        <w:rPr>
          <w:spacing w:val="-3"/>
        </w:rPr>
        <w:t>司章程》的规定。会议由公司董事长吴强华先生主持，经全体董事表决，审议通</w:t>
      </w:r>
    </w:p>
    <w:p>
      <w:pPr>
        <w:spacing w:after="0" w:line="360" w:lineRule="auto"/>
        <w:jc w:val="both"/>
        <w:sectPr>
          <w:pgSz w:w="11910" w:h="16840"/>
          <w:pgMar w:header="850" w:footer="979" w:top="1380" w:bottom="1160" w:left="1660" w:right="1600"/>
        </w:sectPr>
      </w:pPr>
    </w:p>
    <w:p>
      <w:pPr>
        <w:pStyle w:val="BodyText"/>
        <w:spacing w:line="367" w:lineRule="auto" w:before="105"/>
        <w:ind w:right="233"/>
        <w:jc w:val="both"/>
      </w:pPr>
      <w:r>
        <w:rPr>
          <w:spacing w:val="-3"/>
        </w:rPr>
        <w:t>过了如下议案：《关于公司以募集资金置换预先已投入募集资金投资项目的自筹</w:t>
      </w:r>
      <w:r>
        <w:rPr>
          <w:spacing w:val="-105"/>
        </w:rPr>
        <w:t> </w:t>
      </w:r>
      <w:r>
        <w:rPr>
          <w:spacing w:val="-105"/>
        </w:rPr>
      </w:r>
      <w:r>
        <w:rPr>
          <w:spacing w:val="-9"/>
        </w:rPr>
        <w:t>资金的议案》；公司《</w:t>
      </w:r>
      <w:r>
        <w:rPr>
          <w:rFonts w:ascii="Times New Roman" w:hAnsi="Times New Roman" w:cs="Times New Roman" w:eastAsia="Times New Roman" w:hint="default"/>
          <w:spacing w:val="-9"/>
        </w:rPr>
        <w:t>2010 </w:t>
      </w:r>
      <w:r>
        <w:rPr>
          <w:spacing w:val="-7"/>
        </w:rPr>
        <w:t>年半年度报告》及《</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6"/>
        </w:rPr>
        <w:t> </w:t>
      </w:r>
      <w:r>
        <w:rPr>
          <w:spacing w:val="-11"/>
        </w:rPr>
        <w:t>年半年度报告摘要》；《关</w:t>
      </w:r>
      <w:r>
        <w:rPr/>
        <w:t> </w:t>
      </w:r>
      <w:r>
        <w:rPr>
          <w:spacing w:val="-3"/>
        </w:rPr>
        <w:t>于聘任陈睿为公司副总裁的议案》；《关于设立北京数字政通科技股份有限公司</w:t>
      </w:r>
      <w:r>
        <w:rPr>
          <w:spacing w:val="-105"/>
        </w:rPr>
        <w:t> </w:t>
      </w:r>
      <w:r>
        <w:rPr>
          <w:spacing w:val="-105"/>
        </w:rPr>
      </w:r>
      <w:r>
        <w:rPr/>
        <w:t>沧州分公司的议案》。</w:t>
      </w:r>
    </w:p>
    <w:p>
      <w:pPr>
        <w:pStyle w:val="BodyText"/>
        <w:spacing w:line="364" w:lineRule="auto" w:before="48"/>
        <w:ind w:right="129" w:firstLine="480"/>
        <w:jc w:val="left"/>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日在公司会议室召开了第一届董事会第十一次会议， 会议应参与表决董事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 </w:t>
      </w:r>
      <w:r>
        <w:rPr>
          <w:spacing w:val="-3"/>
        </w:rPr>
        <w:t>会的召集和召开符合《中华人民共和国公司法》和《北京数字政通科技股份有限</w:t>
      </w:r>
      <w:r>
        <w:rPr>
          <w:spacing w:val="-102"/>
        </w:rPr>
        <w:t> </w:t>
      </w:r>
      <w:r>
        <w:rPr>
          <w:spacing w:val="-102"/>
        </w:rPr>
      </w:r>
      <w:r>
        <w:rPr>
          <w:spacing w:val="-3"/>
        </w:rPr>
        <w:t>公司章程》的规定。会议由公司董事长吴强华先生主持，经全体董事表决，审议</w:t>
      </w:r>
      <w:r>
        <w:rPr>
          <w:spacing w:val="-103"/>
        </w:rPr>
        <w:t> </w:t>
      </w:r>
      <w:r>
        <w:rPr>
          <w:spacing w:val="-103"/>
        </w:rPr>
      </w:r>
      <w:r>
        <w:rPr/>
        <w:t>通过了如下议案：《关于设立北京数字政通科技股份有限公司开封分公司的议 案》。</w:t>
      </w:r>
    </w:p>
    <w:p>
      <w:pPr>
        <w:pStyle w:val="BodyText"/>
        <w:spacing w:line="289" w:lineRule="exact"/>
        <w:ind w:left="617" w:right="0"/>
        <w:jc w:val="left"/>
      </w:pPr>
      <w:r>
        <w:rPr>
          <w:rFonts w:ascii="Times New Roman" w:hAnsi="Times New Roman" w:cs="Times New Roman" w:eastAsia="Times New Roman" w:hint="default"/>
          <w:spacing w:val="-3"/>
        </w:rPr>
        <w:t>7</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日在公司会议室召开了第一届董事会第十二次会议，</w:t>
      </w:r>
    </w:p>
    <w:p>
      <w:pPr>
        <w:pStyle w:val="BodyText"/>
        <w:spacing w:line="348" w:lineRule="auto" w:before="135"/>
        <w:ind w:right="233"/>
        <w:jc w:val="both"/>
      </w:pPr>
      <w:r>
        <w:rPr/>
        <w:t>会议应参与表决董事</w:t>
      </w:r>
      <w:r>
        <w:rPr>
          <w:rFonts w:ascii="Times New Roman" w:hAnsi="Times New Roman" w:cs="Times New Roman" w:eastAsia="Times New Roman" w:hint="default"/>
        </w:rPr>
        <w:t>9</w:t>
      </w:r>
      <w:r>
        <w:rPr/>
        <w:t>名，实际参与表决董事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名。本次董事</w:t>
      </w:r>
      <w:r>
        <w:rPr>
          <w:spacing w:val="-95"/>
        </w:rPr>
        <w:t> </w:t>
      </w:r>
      <w:r>
        <w:rPr>
          <w:spacing w:val="-95"/>
        </w:rPr>
      </w:r>
      <w:r>
        <w:rPr>
          <w:spacing w:val="-3"/>
        </w:rPr>
        <w:t>会的召集和召开符合《中华人民共和国公司法》和《北京数字政通科技股份有限</w:t>
      </w:r>
      <w:r>
        <w:rPr>
          <w:spacing w:val="-102"/>
        </w:rPr>
        <w:t> </w:t>
      </w:r>
      <w:r>
        <w:rPr>
          <w:spacing w:val="-102"/>
        </w:rPr>
      </w:r>
      <w:r>
        <w:rPr>
          <w:spacing w:val="-3"/>
        </w:rPr>
        <w:t>公司章程》的规定。会议由公司董事长吴强华先生主持，经全体董事表决，审议</w:t>
      </w:r>
      <w:r>
        <w:rPr>
          <w:spacing w:val="-103"/>
        </w:rPr>
        <w:t> </w:t>
      </w:r>
      <w:r>
        <w:rPr>
          <w:spacing w:val="-103"/>
        </w:rPr>
      </w:r>
      <w:r>
        <w:rPr/>
        <w:t>通过了如下议案：《</w:t>
      </w:r>
      <w:r>
        <w:rPr>
          <w:rFonts w:ascii="Times New Roman" w:hAnsi="Times New Roman" w:cs="Times New Roman" w:eastAsia="Times New Roman" w:hint="default"/>
        </w:rPr>
        <w:t>2010</w:t>
      </w:r>
      <w:r>
        <w:rPr>
          <w:rFonts w:ascii="Times New Roman" w:hAnsi="Times New Roman" w:cs="Times New Roman" w:eastAsia="Times New Roman" w:hint="default"/>
          <w:spacing w:val="23"/>
        </w:rPr>
        <w:t> </w:t>
      </w:r>
      <w:r>
        <w:rPr/>
        <w:t>年第三季度报告全文及其正文》；《关于设立北京数</w:t>
      </w:r>
      <w:r>
        <w:rPr>
          <w:spacing w:val="-118"/>
        </w:rPr>
        <w:t> </w:t>
      </w:r>
      <w:r>
        <w:rPr>
          <w:spacing w:val="-118"/>
        </w:rPr>
      </w:r>
      <w:r>
        <w:rPr/>
        <w:t>字政通科技股份有限公司衡水分公司的议案》。</w:t>
      </w:r>
    </w:p>
    <w:p>
      <w:pPr>
        <w:pStyle w:val="Heading3"/>
        <w:spacing w:line="240" w:lineRule="auto" w:before="209"/>
        <w:ind w:left="137" w:right="0"/>
        <w:jc w:val="both"/>
        <w:rPr>
          <w:b w:val="0"/>
          <w:bCs w:val="0"/>
        </w:rPr>
      </w:pPr>
      <w:r>
        <w:rPr/>
        <w:t>五、董事会下设的专门委员会的履行情况汇总报告</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111" w:firstLine="480"/>
        <w:jc w:val="left"/>
      </w:pPr>
      <w:r>
        <w:rPr>
          <w:spacing w:val="-7"/>
        </w:rPr>
        <w:t>公司董事会下设审计委员会、战略委员会、提名委员会、薪酬与考核委员会。</w:t>
      </w:r>
      <w:r>
        <w:rPr/>
        <w:t> </w:t>
      </w:r>
      <w:r>
        <w:rPr>
          <w:spacing w:val="3"/>
        </w:rPr>
        <w:t>各个专门委员会根据公司董事会所指定的各专门委员会实施细则的职权范围运</w:t>
      </w:r>
      <w:r>
        <w:rPr>
          <w:spacing w:val="-93"/>
        </w:rPr>
        <w:t> </w:t>
      </w:r>
      <w:r>
        <w:rPr>
          <w:spacing w:val="-93"/>
        </w:rPr>
      </w:r>
      <w:r>
        <w:rPr>
          <w:spacing w:val="-3"/>
        </w:rPr>
        <w:t>作，就专业性事项进行研究，提出意见及建议，供董事会决策参考。根据《公司</w:t>
      </w:r>
      <w:r>
        <w:rPr>
          <w:spacing w:val="-103"/>
        </w:rPr>
        <w:t> </w:t>
      </w:r>
      <w:r>
        <w:rPr>
          <w:spacing w:val="-103"/>
        </w:rPr>
      </w:r>
      <w:r>
        <w:rPr/>
        <w:t>章程》，各专门委员会成员全部由董事组成。</w:t>
      </w:r>
    </w:p>
    <w:p>
      <w:pPr>
        <w:pStyle w:val="Heading3"/>
        <w:spacing w:line="240" w:lineRule="auto" w:before="197"/>
        <w:ind w:left="617" w:right="111"/>
        <w:jc w:val="left"/>
        <w:rPr>
          <w:b w:val="0"/>
          <w:bCs w:val="0"/>
        </w:rPr>
      </w:pPr>
      <w:r>
        <w:rPr/>
        <w:t>（一）审计委员会履职情况说明</w:t>
      </w:r>
      <w:r>
        <w:rPr>
          <w:b w:val="0"/>
          <w:bCs w:val="0"/>
        </w:rPr>
      </w:r>
    </w:p>
    <w:p>
      <w:pPr>
        <w:spacing w:line="240" w:lineRule="auto" w:before="3"/>
        <w:rPr>
          <w:rFonts w:ascii="宋体" w:hAnsi="宋体" w:cs="宋体" w:eastAsia="宋体" w:hint="default"/>
          <w:b/>
          <w:bCs/>
          <w:sz w:val="24"/>
          <w:szCs w:val="24"/>
        </w:rPr>
      </w:pPr>
    </w:p>
    <w:p>
      <w:pPr>
        <w:pStyle w:val="BodyText"/>
        <w:spacing w:line="240" w:lineRule="auto"/>
        <w:ind w:left="603" w:right="111"/>
        <w:jc w:val="left"/>
      </w:pPr>
      <w:r>
        <w:rPr/>
        <w:t>报告期内，公司共召开四次审计委员会会议，情况如下：</w:t>
      </w:r>
    </w:p>
    <w:p>
      <w:pPr>
        <w:pStyle w:val="BodyText"/>
        <w:spacing w:line="240" w:lineRule="auto" w:before="151"/>
        <w:ind w:left="603" w:right="111"/>
        <w:jc w:val="left"/>
      </w:pPr>
      <w:r>
        <w:rPr>
          <w:rFonts w:ascii="Times New Roman" w:hAnsi="Times New Roman" w:cs="Times New Roman" w:eastAsia="Times New Roman" w:hint="default"/>
        </w:rPr>
        <w:t>1</w:t>
      </w:r>
      <w:r>
        <w:rPr/>
        <w:t>、第一届审计委员会第三次会议</w:t>
      </w:r>
    </w:p>
    <w:p>
      <w:pPr>
        <w:pStyle w:val="BodyText"/>
        <w:spacing w:line="336" w:lineRule="auto" w:before="135"/>
        <w:ind w:right="230" w:firstLine="465"/>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日，公司召开第一届审计委员会第三次会议，对内审部工作进</w:t>
      </w:r>
      <w:r>
        <w:rPr>
          <w:spacing w:val="2"/>
        </w:rPr>
        <w:t> </w:t>
      </w:r>
      <w:r>
        <w:rPr>
          <w:spacing w:val="-3"/>
        </w:rPr>
        <w:t>行总结，与会计师事务所就</w:t>
      </w:r>
      <w:r>
        <w:rPr>
          <w:rFonts w:ascii="Times New Roman" w:hAnsi="Times New Roman" w:cs="Times New Roman" w:eastAsia="Times New Roman" w:hint="default"/>
          <w:spacing w:val="-3"/>
        </w:rPr>
        <w:t>2009</w:t>
      </w:r>
      <w:r>
        <w:rPr>
          <w:spacing w:val="-3"/>
        </w:rPr>
        <w:t>年度审计工作中的重点问题进行了沟通，并审核</w:t>
      </w:r>
      <w:r>
        <w:rPr>
          <w:spacing w:val="-97"/>
        </w:rPr>
        <w:t> </w:t>
      </w:r>
      <w:r>
        <w:rPr>
          <w:spacing w:val="-97"/>
        </w:rPr>
      </w:r>
      <w:r>
        <w:rPr>
          <w:spacing w:val="-3"/>
        </w:rPr>
        <w:t>了中瑞岳华会计师事务所出具的</w:t>
      </w:r>
      <w:r>
        <w:rPr>
          <w:rFonts w:ascii="Times New Roman" w:hAnsi="Times New Roman" w:cs="Times New Roman" w:eastAsia="Times New Roman" w:hint="default"/>
          <w:spacing w:val="-3"/>
        </w:rPr>
        <w:t>2009</w:t>
      </w:r>
      <w:r>
        <w:rPr>
          <w:spacing w:val="-3"/>
        </w:rPr>
        <w:t>年度审计报告，认为公司不存在任何关联交</w:t>
      </w:r>
      <w:r>
        <w:rPr>
          <w:spacing w:val="-98"/>
        </w:rPr>
        <w:t> </w:t>
      </w:r>
      <w:r>
        <w:rPr>
          <w:spacing w:val="-98"/>
        </w:rPr>
      </w:r>
      <w:r>
        <w:rPr>
          <w:spacing w:val="-3"/>
        </w:rPr>
        <w:t>易及对外担保等可能损害公司及股东利益的现象，也不存在调节利润、虚假财务</w:t>
      </w:r>
    </w:p>
    <w:p>
      <w:pPr>
        <w:spacing w:after="0" w:line="336" w:lineRule="auto"/>
        <w:jc w:val="both"/>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33"/>
        <w:jc w:val="both"/>
      </w:pPr>
      <w:r>
        <w:rPr>
          <w:spacing w:val="-3"/>
        </w:rPr>
        <w:t>记载等问题。经审议，审计委员会认为：公司的财务报告已按照企业会计准则的</w:t>
      </w:r>
      <w:r>
        <w:rPr>
          <w:spacing w:val="-102"/>
        </w:rPr>
        <w:t> </w:t>
      </w:r>
      <w:r>
        <w:rPr>
          <w:spacing w:val="-102"/>
        </w:rPr>
      </w:r>
      <w:r>
        <w:rPr/>
        <w:t>规定编制，在所有重大方面均真实反映了公司的财务状况和经营成果。</w:t>
      </w:r>
    </w:p>
    <w:p>
      <w:pPr>
        <w:pStyle w:val="BodyText"/>
        <w:spacing w:line="240" w:lineRule="auto" w:before="34"/>
        <w:ind w:left="603" w:right="0"/>
        <w:jc w:val="left"/>
      </w:pPr>
      <w:r>
        <w:rPr>
          <w:rFonts w:ascii="Times New Roman" w:hAnsi="Times New Roman" w:cs="Times New Roman" w:eastAsia="Times New Roman" w:hint="default"/>
        </w:rPr>
        <w:t>2</w:t>
      </w:r>
      <w:r>
        <w:rPr/>
        <w:t>、第一届审计委员会第四次会议</w:t>
      </w:r>
    </w:p>
    <w:p>
      <w:pPr>
        <w:pStyle w:val="BodyText"/>
        <w:spacing w:line="336" w:lineRule="auto" w:before="135"/>
        <w:ind w:right="133" w:firstLine="465"/>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日，公司召开了第一届审计委员会第四次会议，审议了《</w:t>
      </w:r>
      <w:r>
        <w:rPr>
          <w:rFonts w:ascii="Times New Roman" w:hAnsi="Times New Roman" w:cs="Times New Roman" w:eastAsia="Times New Roman" w:hint="default"/>
        </w:rPr>
        <w:t>2010 </w:t>
      </w:r>
      <w:r>
        <w:rPr>
          <w:spacing w:val="-3"/>
        </w:rPr>
        <w:t>年内部审计一季度工作报告》及《</w:t>
      </w:r>
      <w:r>
        <w:rPr>
          <w:rFonts w:ascii="Times New Roman" w:hAnsi="Times New Roman" w:cs="Times New Roman" w:eastAsia="Times New Roman" w:hint="default"/>
          <w:spacing w:val="-3"/>
        </w:rPr>
        <w:t>2010</w:t>
      </w:r>
      <w:r>
        <w:rPr>
          <w:spacing w:val="-3"/>
        </w:rPr>
        <w:t>年一季度报告》，认为公司内审部要加强</w:t>
      </w:r>
      <w:r>
        <w:rPr>
          <w:spacing w:val="-97"/>
        </w:rPr>
        <w:t> </w:t>
      </w:r>
      <w:r>
        <w:rPr>
          <w:spacing w:val="-97"/>
        </w:rPr>
      </w:r>
      <w:r>
        <w:rPr>
          <w:spacing w:val="-3"/>
        </w:rPr>
        <w:t>对上市后募集资金管理以及定期报告的审核工作；公司于</w:t>
      </w:r>
      <w:r>
        <w:rPr>
          <w:rFonts w:ascii="Times New Roman" w:hAnsi="Times New Roman" w:cs="Times New Roman" w:eastAsia="Times New Roman" w:hint="default"/>
          <w:spacing w:val="-3"/>
        </w:rPr>
        <w:t>2010</w:t>
      </w:r>
      <w:r>
        <w:rPr>
          <w:spacing w:val="-3"/>
        </w:rPr>
        <w:t>年一季度购买的枫</w:t>
      </w:r>
      <w:r>
        <w:rPr>
          <w:spacing w:val="-98"/>
        </w:rPr>
        <w:t> </w:t>
      </w:r>
      <w:r>
        <w:rPr/>
        <w:t>蓝国际中心</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18</w:t>
      </w:r>
      <w:r>
        <w:rPr/>
        <w:t>层的房产产权清晰，权属完整，不存在任何关联交易以及可</w:t>
      </w:r>
      <w:r>
        <w:rPr>
          <w:spacing w:val="-95"/>
        </w:rPr>
        <w:t> </w:t>
      </w:r>
      <w:r>
        <w:rPr>
          <w:spacing w:val="-95"/>
        </w:rPr>
      </w:r>
      <w:r>
        <w:rPr>
          <w:spacing w:val="-3"/>
        </w:rPr>
        <w:t>能损害公司及股东利益的行为；公司的《</w:t>
      </w:r>
      <w:r>
        <w:rPr>
          <w:rFonts w:ascii="Times New Roman" w:hAnsi="Times New Roman" w:cs="Times New Roman" w:eastAsia="Times New Roman" w:hint="default"/>
          <w:spacing w:val="-3"/>
        </w:rPr>
        <w:t>2010</w:t>
      </w:r>
      <w:r>
        <w:rPr>
          <w:spacing w:val="-3"/>
        </w:rPr>
        <w:t>年一季度报告》符合公司实际经营</w:t>
      </w:r>
      <w:r>
        <w:rPr>
          <w:spacing w:val="-96"/>
        </w:rPr>
        <w:t> </w:t>
      </w:r>
      <w:r>
        <w:rPr>
          <w:spacing w:val="-96"/>
        </w:rPr>
      </w:r>
      <w:r>
        <w:rPr/>
        <w:t>情况，不存在虚假记载等问题。</w:t>
      </w:r>
    </w:p>
    <w:p>
      <w:pPr>
        <w:pStyle w:val="BodyText"/>
        <w:spacing w:line="240" w:lineRule="auto" w:before="58"/>
        <w:ind w:left="603" w:right="0"/>
        <w:jc w:val="left"/>
      </w:pPr>
      <w:r>
        <w:rPr>
          <w:rFonts w:ascii="Times New Roman" w:hAnsi="Times New Roman" w:cs="Times New Roman" w:eastAsia="Times New Roman" w:hint="default"/>
        </w:rPr>
        <w:t>3</w:t>
      </w:r>
      <w:r>
        <w:rPr/>
        <w:t>、第一届审计委员会第五次会议</w:t>
      </w:r>
    </w:p>
    <w:p>
      <w:pPr>
        <w:pStyle w:val="BodyText"/>
        <w:spacing w:line="348" w:lineRule="auto" w:before="133"/>
        <w:ind w:right="128" w:firstLine="465"/>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日，公司召开第一届审计委员会第五次会议，对公司</w:t>
      </w:r>
      <w:r>
        <w:rPr>
          <w:rFonts w:ascii="Times New Roman" w:hAnsi="Times New Roman" w:cs="Times New Roman" w:eastAsia="Times New Roman" w:hint="default"/>
        </w:rPr>
        <w:t>2010</w:t>
      </w:r>
      <w:r>
        <w:rPr/>
        <w:t>年度</w:t>
      </w:r>
      <w:r>
        <w:rPr>
          <w:spacing w:val="2"/>
        </w:rPr>
        <w:t> </w:t>
      </w:r>
      <w:r>
        <w:rPr>
          <w:spacing w:val="-3"/>
        </w:rPr>
        <w:t>中期报告进行审议，认为公司内部审计制度已得到有效实施，公司不存在关联交</w:t>
      </w:r>
      <w:r>
        <w:rPr>
          <w:spacing w:val="-103"/>
        </w:rPr>
        <w:t> </w:t>
      </w:r>
      <w:r>
        <w:rPr>
          <w:spacing w:val="-103"/>
        </w:rPr>
      </w:r>
      <w:r>
        <w:rPr>
          <w:spacing w:val="-3"/>
        </w:rPr>
        <w:t>易、对外担保的违法违规行为；公司二季度募集资金存放与使用符合有关法律法</w:t>
      </w:r>
      <w:r>
        <w:rPr>
          <w:spacing w:val="-103"/>
        </w:rPr>
        <w:t> </w:t>
      </w:r>
      <w:r>
        <w:rPr>
          <w:spacing w:val="-103"/>
        </w:rPr>
      </w:r>
      <w:r>
        <w:rPr>
          <w:spacing w:val="-3"/>
        </w:rPr>
        <w:t>规及公司《募集资金管理制度》的规定，不存在违规使用的情况；公司的《</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7"/>
        </w:rPr>
        <w:t> </w:t>
      </w:r>
      <w:r>
        <w:rPr/>
        <w:t>年半年报全文及摘要》符合公司实际经营情况，不存在虚假记载等问题。</w:t>
      </w:r>
    </w:p>
    <w:p>
      <w:pPr>
        <w:pStyle w:val="BodyText"/>
        <w:spacing w:line="240" w:lineRule="auto" w:before="46"/>
        <w:ind w:left="603" w:right="0"/>
        <w:jc w:val="left"/>
      </w:pPr>
      <w:r>
        <w:rPr>
          <w:rFonts w:ascii="Times New Roman" w:hAnsi="Times New Roman" w:cs="Times New Roman" w:eastAsia="Times New Roman" w:hint="default"/>
        </w:rPr>
        <w:t>4</w:t>
      </w:r>
      <w:r>
        <w:rPr/>
        <w:t>、第一届审计委员会第六次会议</w:t>
      </w:r>
    </w:p>
    <w:p>
      <w:pPr>
        <w:pStyle w:val="BodyText"/>
        <w:spacing w:line="240" w:lineRule="auto" w:before="135"/>
        <w:ind w:left="603"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日，公司召开第一届审计委员会第六次会议，会议审核了公司</w:t>
      </w:r>
    </w:p>
    <w:p>
      <w:pPr>
        <w:pStyle w:val="BodyText"/>
        <w:spacing w:line="348" w:lineRule="auto" w:before="133"/>
        <w:ind w:right="133"/>
        <w:jc w:val="both"/>
      </w:pPr>
      <w:r>
        <w:rPr>
          <w:rFonts w:ascii="Times New Roman" w:hAnsi="Times New Roman" w:cs="Times New Roman" w:eastAsia="Times New Roman" w:hint="default"/>
          <w:spacing w:val="-3"/>
        </w:rPr>
        <w:t>2010</w:t>
      </w:r>
      <w:r>
        <w:rPr>
          <w:spacing w:val="-3"/>
        </w:rPr>
        <w:t>年三季报，认为公司的三季度报告内容真实，符合公司实际经营情况，不存</w:t>
      </w:r>
      <w:r>
        <w:rPr>
          <w:spacing w:val="-96"/>
        </w:rPr>
        <w:t> </w:t>
      </w:r>
      <w:r>
        <w:rPr>
          <w:spacing w:val="-96"/>
        </w:rPr>
      </w:r>
      <w:r>
        <w:rPr>
          <w:spacing w:val="-3"/>
        </w:rPr>
        <w:t>在虚假记载等问题；公司三季度募集资金存放于使用符合有关规定，不存在违规</w:t>
      </w:r>
      <w:r>
        <w:rPr>
          <w:spacing w:val="-103"/>
        </w:rPr>
        <w:t> </w:t>
      </w:r>
      <w:r>
        <w:rPr>
          <w:spacing w:val="-103"/>
        </w:rPr>
      </w:r>
      <w:r>
        <w:rPr/>
        <w:t>存放和使用的情况。</w:t>
      </w:r>
    </w:p>
    <w:p>
      <w:pPr>
        <w:pStyle w:val="Heading3"/>
        <w:spacing w:line="240" w:lineRule="auto" w:before="209"/>
        <w:ind w:left="603" w:right="0"/>
        <w:jc w:val="left"/>
        <w:rPr>
          <w:b w:val="0"/>
          <w:bCs w:val="0"/>
        </w:rPr>
      </w:pPr>
      <w:r>
        <w:rPr/>
        <w:t>（二）薪酬与考核委员会履职情况说明</w:t>
      </w:r>
      <w:r>
        <w:rPr>
          <w:b w:val="0"/>
          <w:bCs w:val="0"/>
        </w:rPr>
      </w:r>
    </w:p>
    <w:p>
      <w:pPr>
        <w:spacing w:line="240" w:lineRule="auto" w:before="1"/>
        <w:rPr>
          <w:rFonts w:ascii="宋体" w:hAnsi="宋体" w:cs="宋体" w:eastAsia="宋体" w:hint="default"/>
          <w:b/>
          <w:bCs/>
          <w:sz w:val="24"/>
          <w:szCs w:val="24"/>
        </w:rPr>
      </w:pPr>
    </w:p>
    <w:p>
      <w:pPr>
        <w:pStyle w:val="BodyText"/>
        <w:spacing w:line="343" w:lineRule="auto"/>
        <w:ind w:right="130" w:firstLine="465"/>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日，公司召开第一届薪酬与考核委员会第一次会议。公司薪酬</w:t>
      </w:r>
      <w:r>
        <w:rPr>
          <w:spacing w:val="2"/>
        </w:rPr>
        <w:t> </w:t>
      </w:r>
      <w:r>
        <w:rPr>
          <w:spacing w:val="-3"/>
        </w:rPr>
        <w:t>与考核委员会严格按照《薪酬与考核委员会实施细则》对公司</w:t>
      </w:r>
      <w:r>
        <w:rPr>
          <w:rFonts w:ascii="Times New Roman" w:hAnsi="Times New Roman" w:cs="Times New Roman" w:eastAsia="Times New Roman" w:hint="default"/>
          <w:spacing w:val="-3"/>
        </w:rPr>
        <w:t>2009</w:t>
      </w:r>
      <w:r>
        <w:rPr>
          <w:spacing w:val="-3"/>
        </w:rPr>
        <w:t>年度董事、监</w:t>
      </w:r>
      <w:r>
        <w:rPr>
          <w:spacing w:val="-96"/>
        </w:rPr>
        <w:t> </w:t>
      </w:r>
      <w:r>
        <w:rPr>
          <w:spacing w:val="-96"/>
        </w:rPr>
      </w:r>
      <w:r>
        <w:rPr>
          <w:spacing w:val="-3"/>
        </w:rPr>
        <w:t>事、高级管理人员的薪酬进行了认真审核，认为公司董事、监事、高级管理人员</w:t>
      </w:r>
      <w:r>
        <w:rPr>
          <w:spacing w:val="-103"/>
        </w:rPr>
        <w:t> </w:t>
      </w:r>
      <w:r>
        <w:rPr>
          <w:spacing w:val="-103"/>
        </w:rPr>
      </w:r>
      <w:r>
        <w:rPr>
          <w:rFonts w:ascii="Times New Roman" w:hAnsi="Times New Roman" w:cs="Times New Roman" w:eastAsia="Times New Roman" w:hint="default"/>
          <w:spacing w:val="-3"/>
        </w:rPr>
        <w:t>2009</w:t>
      </w:r>
      <w:r>
        <w:rPr>
          <w:spacing w:val="-3"/>
        </w:rPr>
        <w:t>年度薪酬符合公司的总体薪酬方案，相应的报酬符合公司整体经营业绩和个</w:t>
      </w:r>
      <w:r>
        <w:rPr>
          <w:spacing w:val="-98"/>
        </w:rPr>
        <w:t> </w:t>
      </w:r>
      <w:r>
        <w:rPr>
          <w:spacing w:val="-98"/>
        </w:rPr>
      </w:r>
      <w:r>
        <w:rPr>
          <w:spacing w:val="-3"/>
        </w:rPr>
        <w:t>人绩效。</w:t>
      </w:r>
      <w:r>
        <w:rPr>
          <w:rFonts w:ascii="Times New Roman" w:hAnsi="Times New Roman" w:cs="Times New Roman" w:eastAsia="Times New Roman" w:hint="default"/>
          <w:spacing w:val="-3"/>
        </w:rPr>
        <w:t>2010</w:t>
      </w:r>
      <w:r>
        <w:rPr>
          <w:spacing w:val="-3"/>
        </w:rPr>
        <w:t>年度公司薪酬考核制度将总体维持不变。但综合考虑公司发展和行</w:t>
      </w:r>
      <w:r>
        <w:rPr>
          <w:spacing w:val="-97"/>
        </w:rPr>
        <w:t> </w:t>
      </w:r>
      <w:r>
        <w:rPr>
          <w:spacing w:val="-97"/>
        </w:rPr>
      </w:r>
      <w:r>
        <w:rPr>
          <w:spacing w:val="-3"/>
        </w:rPr>
        <w:t>业整体薪酬水平等因素，公司将适当调整薪酬水平，以保证公司的薪酬水平具有</w:t>
      </w:r>
      <w:r>
        <w:rPr>
          <w:spacing w:val="-103"/>
        </w:rPr>
        <w:t> </w:t>
      </w:r>
      <w:r>
        <w:rPr>
          <w:spacing w:val="-103"/>
        </w:rPr>
      </w:r>
      <w:r>
        <w:rPr/>
        <w:t>一定竞争力，能吸引到更多的外部人才为公司发展服务。</w:t>
      </w:r>
    </w:p>
    <w:p>
      <w:pPr>
        <w:pStyle w:val="Heading3"/>
        <w:spacing w:line="240" w:lineRule="auto" w:before="214"/>
        <w:ind w:left="137" w:right="0"/>
        <w:jc w:val="both"/>
        <w:rPr>
          <w:b w:val="0"/>
          <w:bCs w:val="0"/>
        </w:rPr>
      </w:pPr>
      <w:r>
        <w:rPr/>
        <w:t>六、公司“五分开”情况及独立性</w:t>
      </w:r>
      <w:r>
        <w:rPr>
          <w:b w:val="0"/>
          <w:bCs w:val="0"/>
        </w:rPr>
      </w:r>
    </w:p>
    <w:p>
      <w:pPr>
        <w:spacing w:after="0" w:line="240" w:lineRule="auto"/>
        <w:jc w:val="both"/>
        <w:sectPr>
          <w:pgSz w:w="11910" w:h="16840"/>
          <w:pgMar w:header="850" w:footer="979" w:top="1380" w:bottom="1160" w:left="1660" w:right="16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93" w:firstLine="480"/>
        <w:jc w:val="both"/>
      </w:pPr>
      <w:r>
        <w:rPr>
          <w:spacing w:val="-3"/>
        </w:rPr>
        <w:t>报告期内，公司严格按照《公司法》、《证券法》等有关法律、法规和《公</w:t>
      </w:r>
      <w:r>
        <w:rPr/>
        <w:t> </w:t>
      </w:r>
      <w:r>
        <w:rPr>
          <w:spacing w:val="-3"/>
        </w:rPr>
        <w:t>司章程》的要求规范运作，在业务、人员、资产、机构、财务等方面与公司股东</w:t>
      </w:r>
      <w:r>
        <w:rPr>
          <w:spacing w:val="-105"/>
        </w:rPr>
        <w:t> </w:t>
      </w:r>
      <w:r>
        <w:rPr>
          <w:spacing w:val="-105"/>
        </w:rPr>
      </w:r>
      <w:r>
        <w:rPr/>
        <w:t>完全分开，具有独立、完整的资产和业务及面向市场、自主经营的能力。</w:t>
      </w:r>
    </w:p>
    <w:p>
      <w:pPr>
        <w:pStyle w:val="Heading3"/>
        <w:spacing w:line="240" w:lineRule="auto" w:before="199"/>
        <w:ind w:right="179"/>
        <w:jc w:val="left"/>
        <w:rPr>
          <w:b w:val="0"/>
          <w:bCs w:val="0"/>
        </w:rPr>
      </w:pPr>
      <w:r>
        <w:rPr>
          <w:rFonts w:ascii="宋体" w:hAnsi="宋体" w:cs="宋体" w:eastAsia="宋体" w:hint="default"/>
        </w:rPr>
        <w:t>(</w:t>
      </w:r>
      <w:r>
        <w:rPr/>
        <w:t>一</w:t>
      </w:r>
      <w:r>
        <w:rPr>
          <w:rFonts w:ascii="宋体" w:hAnsi="宋体" w:cs="宋体" w:eastAsia="宋体" w:hint="default"/>
        </w:rPr>
        <w:t>)</w:t>
      </w:r>
      <w:r>
        <w:rPr/>
        <w:t>业务独立情况</w:t>
      </w:r>
      <w:r>
        <w:rPr>
          <w:b w:val="0"/>
          <w:bCs w:val="0"/>
        </w:rPr>
      </w:r>
    </w:p>
    <w:p>
      <w:pPr>
        <w:spacing w:line="240" w:lineRule="auto" w:before="0"/>
        <w:rPr>
          <w:rFonts w:ascii="宋体" w:hAnsi="宋体" w:cs="宋体" w:eastAsia="宋体" w:hint="default"/>
          <w:b/>
          <w:bCs/>
          <w:sz w:val="31"/>
          <w:szCs w:val="31"/>
        </w:rPr>
      </w:pPr>
    </w:p>
    <w:p>
      <w:pPr>
        <w:pStyle w:val="BodyText"/>
        <w:spacing w:line="374" w:lineRule="auto"/>
        <w:ind w:right="89" w:firstLine="480"/>
        <w:jc w:val="left"/>
      </w:pPr>
      <w:r>
        <w:rPr>
          <w:spacing w:val="-3"/>
        </w:rPr>
        <w:t>公司控股股东为自然人，公司业务独立于公司控股股东。作为北京市认证的</w:t>
      </w:r>
      <w:r>
        <w:rPr/>
        <w:t> 高新技术企业和拥有多项自主知识产权的软件企业，公司拥有完整独立的研发、 </w:t>
      </w:r>
      <w:r>
        <w:rPr>
          <w:spacing w:val="-3"/>
        </w:rPr>
        <w:t>运营和销售系统，具有独立完整的业务体系及面向市场独立经营的能力，不依赖</w:t>
      </w:r>
      <w:r>
        <w:rPr>
          <w:spacing w:val="-103"/>
        </w:rPr>
        <w:t> </w:t>
      </w:r>
      <w:r>
        <w:rPr>
          <w:spacing w:val="-103"/>
        </w:rPr>
      </w:r>
      <w:r>
        <w:rPr/>
        <w:t>于股东或其他任何关联方。</w:t>
      </w:r>
    </w:p>
    <w:p>
      <w:pPr>
        <w:spacing w:line="429" w:lineRule="auto" w:before="204"/>
        <w:ind w:left="617" w:right="18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 </w:t>
      </w:r>
      <w:r>
        <w:rPr>
          <w:rFonts w:ascii="宋体" w:hAnsi="宋体" w:cs="宋体" w:eastAsia="宋体" w:hint="default"/>
          <w:b/>
          <w:bCs/>
          <w:sz w:val="24"/>
          <w:szCs w:val="24"/>
        </w:rPr>
        <w:t>人员独立情况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公司人员、劳动、人事及工资完全独立。公司的董事、监事均严格按照《公</w:t>
      </w:r>
    </w:p>
    <w:p>
      <w:pPr>
        <w:pStyle w:val="BodyText"/>
        <w:spacing w:line="276" w:lineRule="exact"/>
        <w:ind w:right="0"/>
        <w:jc w:val="both"/>
      </w:pPr>
      <w:r>
        <w:rPr/>
        <w:t>司法》、《公司章程》的有关规定选举，</w:t>
      </w:r>
      <w:r>
        <w:rPr>
          <w:spacing w:val="25"/>
        </w:rPr>
        <w:t> </w:t>
      </w:r>
      <w:r>
        <w:rPr/>
        <w:t>履行了合法程序。公司总裁、常务副</w:t>
      </w:r>
    </w:p>
    <w:p>
      <w:pPr>
        <w:pStyle w:val="BodyText"/>
        <w:spacing w:line="357" w:lineRule="auto" w:before="154"/>
        <w:ind w:right="193"/>
        <w:jc w:val="both"/>
      </w:pPr>
      <w:r>
        <w:rPr>
          <w:spacing w:val="-3"/>
        </w:rPr>
        <w:t>总裁、副总裁、董事会秘书、财务负责人等高级管理人员均在公司工作并领取薪</w:t>
      </w:r>
      <w:r>
        <w:rPr>
          <w:spacing w:val="-102"/>
        </w:rPr>
        <w:t> </w:t>
      </w:r>
      <w:r>
        <w:rPr>
          <w:spacing w:val="-102"/>
        </w:rPr>
      </w:r>
      <w:r>
        <w:rPr>
          <w:spacing w:val="-3"/>
        </w:rPr>
        <w:t>酬，未在控股股东、实际控制人及其控制的其他企业中担任除董事、监事以外的</w:t>
      </w:r>
      <w:r>
        <w:rPr>
          <w:spacing w:val="-102"/>
        </w:rPr>
        <w:t> </w:t>
      </w:r>
      <w:r>
        <w:rPr>
          <w:spacing w:val="-102"/>
        </w:rPr>
      </w:r>
      <w:r>
        <w:rPr>
          <w:spacing w:val="-3"/>
        </w:rPr>
        <w:t>其他职务或领薪；公司财务人员均只在公司任职并领薪，财务人员没有在控股股</w:t>
      </w:r>
      <w:r>
        <w:rPr>
          <w:spacing w:val="-103"/>
        </w:rPr>
        <w:t> </w:t>
      </w:r>
      <w:r>
        <w:rPr>
          <w:spacing w:val="-103"/>
        </w:rPr>
      </w:r>
      <w:r>
        <w:rPr/>
        <w:t>东、实际控制人及其控制的其他企业中兼职。</w:t>
      </w:r>
    </w:p>
    <w:p>
      <w:pPr>
        <w:pStyle w:val="Heading3"/>
        <w:spacing w:line="240" w:lineRule="auto" w:before="199"/>
        <w:ind w:right="179"/>
        <w:jc w:val="left"/>
        <w:rPr>
          <w:b w:val="0"/>
          <w:bCs w:val="0"/>
        </w:rPr>
      </w:pPr>
      <w:r>
        <w:rPr>
          <w:rFonts w:ascii="宋体" w:hAnsi="宋体" w:cs="宋体" w:eastAsia="宋体" w:hint="default"/>
        </w:rPr>
        <w:t>(</w:t>
      </w:r>
      <w:r>
        <w:rPr/>
        <w:t>三</w:t>
      </w:r>
      <w:r>
        <w:rPr>
          <w:rFonts w:ascii="宋体" w:hAnsi="宋体" w:cs="宋体" w:eastAsia="宋体" w:hint="default"/>
        </w:rPr>
        <w:t>) </w:t>
      </w:r>
      <w:r>
        <w:rPr/>
        <w:t>资产独立情况</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106" w:firstLine="480"/>
        <w:jc w:val="both"/>
      </w:pPr>
      <w:r>
        <w:rPr/>
        <w:t>公司资产完整独立，拥有独立的采购、销售、研发、服务体系及配套设施， 公司股东与公司的资产产权界定明确。公司拥有的房屋所有权证、商标注册证、 软件著作权其他产权证明的取得手续完备，资产完整、权属清晰。</w:t>
      </w:r>
    </w:p>
    <w:p>
      <w:pPr>
        <w:pStyle w:val="Heading3"/>
        <w:spacing w:line="240" w:lineRule="auto" w:before="199"/>
        <w:ind w:right="179"/>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机构独立情况</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193" w:firstLine="480"/>
        <w:jc w:val="both"/>
      </w:pPr>
      <w:r>
        <w:rPr>
          <w:spacing w:val="-3"/>
        </w:rPr>
        <w:t>公司健全了股东大会、董事会、监事会等法人治理机构，各组织机构依法行</w:t>
      </w:r>
      <w:r>
        <w:rPr/>
        <w:t> </w:t>
      </w:r>
      <w:r>
        <w:rPr>
          <w:spacing w:val="-3"/>
        </w:rPr>
        <w:t>使各自的职权；公司建立了独立的、适应自身发展需要的组织机构，制订了完善</w:t>
      </w:r>
      <w:r>
        <w:rPr>
          <w:spacing w:val="-102"/>
        </w:rPr>
        <w:t> </w:t>
      </w:r>
      <w:r>
        <w:rPr>
          <w:spacing w:val="-102"/>
        </w:rPr>
      </w:r>
      <w:r>
        <w:rPr/>
        <w:t>的岗位职责和管理制度，各部门按照规定的职责独立运作。</w:t>
      </w:r>
    </w:p>
    <w:p>
      <w:pPr>
        <w:pStyle w:val="Heading3"/>
        <w:spacing w:line="240" w:lineRule="auto" w:before="199"/>
        <w:ind w:right="179"/>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财务独立情况</w:t>
      </w:r>
      <w:r>
        <w:rPr>
          <w:b w:val="0"/>
          <w:bCs w:val="0"/>
        </w:rPr>
      </w:r>
    </w:p>
    <w:p>
      <w:pPr>
        <w:spacing w:line="240" w:lineRule="auto" w:before="1"/>
        <w:rPr>
          <w:rFonts w:ascii="宋体" w:hAnsi="宋体" w:cs="宋体" w:eastAsia="宋体" w:hint="default"/>
          <w:b/>
          <w:bCs/>
          <w:sz w:val="24"/>
          <w:szCs w:val="24"/>
        </w:rPr>
      </w:pPr>
    </w:p>
    <w:p>
      <w:pPr>
        <w:pStyle w:val="BodyText"/>
        <w:spacing w:line="357" w:lineRule="auto"/>
        <w:ind w:right="89" w:firstLine="480"/>
        <w:jc w:val="left"/>
      </w:pPr>
      <w:r>
        <w:rPr/>
        <w:t>公司设有独立的财务会计部门、财务负责人，建立了独立的财务规章制度， 有完整独立的财务核算体系，能够独立形成财务决策，开设了独立的银行账户，</w:t>
      </w:r>
    </w:p>
    <w:p>
      <w:pPr>
        <w:spacing w:after="0" w:line="357" w:lineRule="auto"/>
        <w:jc w:val="left"/>
        <w:sectPr>
          <w:pgSz w:w="11910" w:h="16840"/>
          <w:pgMar w:header="850" w:footer="979" w:top="1380" w:bottom="1160" w:left="1660" w:right="160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11"/>
        <w:jc w:val="left"/>
      </w:pPr>
      <w:r>
        <w:rPr>
          <w:spacing w:val="-3"/>
        </w:rPr>
        <w:t>并依法独立纳税，公司不存在与股东单位及其关联方共用银行账户的情况，也不</w:t>
      </w:r>
      <w:r>
        <w:rPr>
          <w:spacing w:val="-103"/>
        </w:rPr>
        <w:t> </w:t>
      </w:r>
      <w:r>
        <w:rPr>
          <w:spacing w:val="-103"/>
        </w:rPr>
      </w:r>
      <w:r>
        <w:rPr/>
        <w:t>存在资金、资产被股东单位及其关联方非法占用的情况。</w:t>
      </w:r>
    </w:p>
    <w:p>
      <w:pPr>
        <w:pStyle w:val="Heading3"/>
        <w:spacing w:line="240" w:lineRule="auto" w:before="197"/>
        <w:ind w:left="137" w:right="111"/>
        <w:jc w:val="left"/>
        <w:rPr>
          <w:b w:val="0"/>
          <w:bCs w:val="0"/>
        </w:rPr>
      </w:pPr>
      <w:r>
        <w:rPr/>
        <w:t>七、公司内部控制制度的建立和健全情况</w:t>
      </w:r>
      <w:r>
        <w:rPr>
          <w:b w:val="0"/>
          <w:bCs w:val="0"/>
        </w:rPr>
      </w:r>
    </w:p>
    <w:p>
      <w:pPr>
        <w:spacing w:line="632" w:lineRule="exact" w:before="89"/>
        <w:ind w:left="617" w:right="111"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 </w:t>
      </w:r>
      <w:r>
        <w:rPr>
          <w:rFonts w:ascii="宋体" w:hAnsi="宋体" w:cs="宋体" w:eastAsia="宋体" w:hint="default"/>
          <w:b/>
          <w:bCs/>
          <w:sz w:val="24"/>
          <w:szCs w:val="24"/>
        </w:rPr>
        <w:t>内部控制制度的建立和执行情况</w:t>
      </w:r>
      <w:r>
        <w:rPr>
          <w:rFonts w:ascii="宋体" w:hAnsi="宋体" w:cs="宋体" w:eastAsia="宋体" w:hint="default"/>
          <w:b/>
          <w:bCs/>
          <w:w w:val="99"/>
          <w:sz w:val="24"/>
          <w:szCs w:val="24"/>
        </w:rPr>
        <w:t> </w:t>
      </w:r>
      <w:r>
        <w:rPr>
          <w:rFonts w:ascii="宋体" w:hAnsi="宋体" w:cs="宋体" w:eastAsia="宋体" w:hint="default"/>
          <w:spacing w:val="-7"/>
          <w:sz w:val="24"/>
          <w:szCs w:val="24"/>
        </w:rPr>
        <w:t>公司根据《公司法》等有关法律法规的规定，制定了《股东大会议事规则》、</w:t>
      </w:r>
    </w:p>
    <w:p>
      <w:pPr>
        <w:pStyle w:val="BodyText"/>
        <w:spacing w:line="357" w:lineRule="auto" w:before="59"/>
        <w:ind w:right="105"/>
        <w:jc w:val="left"/>
      </w:pPr>
      <w:r>
        <w:rPr>
          <w:spacing w:val="-3"/>
        </w:rPr>
        <w:t>《董事会议事规则》、《监事会议事规则》、《总经理工作细则》、《信息披露</w:t>
      </w:r>
      <w:r>
        <w:rPr>
          <w:spacing w:val="-105"/>
        </w:rPr>
        <w:t> </w:t>
      </w:r>
      <w:r>
        <w:rPr>
          <w:spacing w:val="-105"/>
        </w:rPr>
      </w:r>
      <w:r>
        <w:rPr/>
        <w:t>管理制度》、《关联交易控制制度》、《对外担保控制制度》等重大规章制度， </w:t>
      </w:r>
      <w:r>
        <w:rPr>
          <w:spacing w:val="-6"/>
        </w:rPr>
        <w:t>确保公司股东大会、董事会、监事会的召开、重大决策等行为合法、合规、真实、</w:t>
      </w:r>
      <w:r>
        <w:rPr>
          <w:spacing w:val="-112"/>
        </w:rPr>
        <w:t> </w:t>
      </w:r>
      <w:r>
        <w:rPr>
          <w:spacing w:val="-112"/>
        </w:rPr>
      </w:r>
      <w:r>
        <w:rPr>
          <w:spacing w:val="-3"/>
        </w:rPr>
        <w:t>有效。公司制定的内部管理与控制制度以公司的基本控制制度为基础，涵盖了财</w:t>
      </w:r>
      <w:r>
        <w:rPr>
          <w:spacing w:val="-103"/>
        </w:rPr>
        <w:t> </w:t>
      </w:r>
      <w:r>
        <w:rPr>
          <w:spacing w:val="-103"/>
        </w:rPr>
      </w:r>
      <w:r>
        <w:rPr>
          <w:spacing w:val="-3"/>
        </w:rPr>
        <w:t>务管理、信息安全管理、技术开发管理、业务流程管理、质量控制管理、对外投</w:t>
      </w:r>
      <w:r>
        <w:rPr>
          <w:spacing w:val="-103"/>
        </w:rPr>
        <w:t> </w:t>
      </w:r>
      <w:r>
        <w:rPr>
          <w:spacing w:val="-103"/>
        </w:rPr>
      </w:r>
      <w:r>
        <w:rPr>
          <w:spacing w:val="-3"/>
        </w:rPr>
        <w:t>资管理、行政管理等整个生产经营过程，确保各项工作都有章可循，形成规范的</w:t>
      </w:r>
      <w:r>
        <w:rPr>
          <w:spacing w:val="-102"/>
        </w:rPr>
        <w:t> </w:t>
      </w:r>
      <w:r>
        <w:rPr>
          <w:spacing w:val="-102"/>
        </w:rPr>
      </w:r>
      <w:r>
        <w:rPr/>
        <w:t>管理体系：</w:t>
      </w:r>
    </w:p>
    <w:p>
      <w:pPr>
        <w:pStyle w:val="BodyText"/>
        <w:spacing w:line="240" w:lineRule="auto" w:before="34"/>
        <w:ind w:left="617" w:right="111"/>
        <w:jc w:val="left"/>
      </w:pPr>
      <w:r>
        <w:rPr>
          <w:rFonts w:ascii="Times New Roman" w:hAnsi="Times New Roman" w:cs="Times New Roman" w:eastAsia="Times New Roman" w:hint="default"/>
        </w:rPr>
        <w:t>1</w:t>
      </w:r>
      <w:r>
        <w:rPr/>
        <w:t>、股东大会是公司的最高权利机构，通过董事会对公司进行管理和监督；</w:t>
      </w:r>
    </w:p>
    <w:p>
      <w:pPr>
        <w:pStyle w:val="BodyText"/>
        <w:spacing w:line="336" w:lineRule="auto" w:before="135"/>
        <w:ind w:right="111" w:firstLine="480"/>
        <w:jc w:val="left"/>
      </w:pPr>
      <w:r>
        <w:rPr>
          <w:rFonts w:ascii="Times New Roman" w:hAnsi="Times New Roman" w:cs="Times New Roman" w:eastAsia="Times New Roman" w:hint="default"/>
        </w:rPr>
        <w:t>2</w:t>
      </w:r>
      <w:r>
        <w:rPr/>
        <w:t>、董事会是公司的常设决策机构，向股东大会负责，对公司经营活动中的 重大决策问题进行审议并做出决定，或提交股东大会审议；</w:t>
      </w:r>
    </w:p>
    <w:p>
      <w:pPr>
        <w:pStyle w:val="BodyText"/>
        <w:spacing w:line="336" w:lineRule="auto" w:before="58"/>
        <w:ind w:right="111" w:firstLine="480"/>
        <w:jc w:val="left"/>
      </w:pPr>
      <w:r>
        <w:rPr>
          <w:rFonts w:ascii="Times New Roman" w:hAnsi="Times New Roman" w:cs="Times New Roman" w:eastAsia="Times New Roman" w:hint="default"/>
        </w:rPr>
        <w:t>3</w:t>
      </w:r>
      <w:r>
        <w:rPr/>
        <w:t>、监事会是公司的监督机构，负责对公司董事、高级管理人员的行为及公 司财务进行监督。</w:t>
      </w:r>
    </w:p>
    <w:p>
      <w:pPr>
        <w:pStyle w:val="BodyText"/>
        <w:spacing w:line="348" w:lineRule="auto" w:before="58"/>
        <w:ind w:right="233" w:firstLine="480"/>
        <w:jc w:val="both"/>
      </w:pPr>
      <w:r>
        <w:rPr>
          <w:rFonts w:ascii="Times New Roman" w:hAnsi="Times New Roman" w:cs="Times New Roman" w:eastAsia="Times New Roman" w:hint="default"/>
        </w:rPr>
        <w:t>4</w:t>
      </w:r>
      <w:r>
        <w:rPr/>
        <w:t>、审计委员会负责审查公司内部控制，监督内部控制的有效实施和内部控 </w:t>
      </w:r>
      <w:r>
        <w:rPr>
          <w:spacing w:val="-3"/>
        </w:rPr>
        <w:t>制自我评价情况，协调内部控制、审计及其他相关事宜。内审部和内审人员独立</w:t>
      </w:r>
      <w:r>
        <w:rPr>
          <w:spacing w:val="-102"/>
        </w:rPr>
        <w:t> </w:t>
      </w:r>
      <w:r>
        <w:rPr>
          <w:spacing w:val="-102"/>
        </w:rPr>
      </w:r>
      <w:r>
        <w:rPr/>
        <w:t>行使职权，不受其他部门或个人的干涉。</w:t>
      </w:r>
    </w:p>
    <w:p>
      <w:pPr>
        <w:pStyle w:val="BodyText"/>
        <w:spacing w:line="338" w:lineRule="auto" w:before="43"/>
        <w:ind w:right="111" w:firstLine="480"/>
        <w:jc w:val="left"/>
      </w:pPr>
      <w:r>
        <w:rPr>
          <w:rFonts w:ascii="Times New Roman" w:hAnsi="Times New Roman" w:cs="Times New Roman" w:eastAsia="Times New Roman" w:hint="default"/>
        </w:rPr>
        <w:t>5</w:t>
      </w:r>
      <w:r>
        <w:rPr/>
        <w:t>、公司总经理由董事会聘任，在董事会的领导下，全面负责公司的日常经 营管理活动，组织并实施董事会决议。</w:t>
      </w:r>
    </w:p>
    <w:p>
      <w:pPr>
        <w:spacing w:line="240" w:lineRule="auto" w:before="7"/>
        <w:rPr>
          <w:rFonts w:ascii="宋体" w:hAnsi="宋体" w:cs="宋体" w:eastAsia="宋体" w:hint="default"/>
          <w:sz w:val="16"/>
          <w:szCs w:val="16"/>
        </w:rPr>
      </w:pPr>
    </w:p>
    <w:p>
      <w:pPr>
        <w:pStyle w:val="Heading3"/>
        <w:spacing w:line="240" w:lineRule="auto" w:before="0"/>
        <w:ind w:left="610" w:right="111"/>
        <w:jc w:val="left"/>
        <w:rPr>
          <w:b w:val="0"/>
          <w:bCs w:val="0"/>
        </w:rPr>
      </w:pPr>
      <w:r>
        <w:rPr/>
        <w:t>（二）重点实施的内部控制活动</w:t>
      </w:r>
      <w:r>
        <w:rPr>
          <w:b w:val="0"/>
          <w:bCs w:val="0"/>
        </w:rPr>
      </w:r>
    </w:p>
    <w:p>
      <w:pPr>
        <w:spacing w:line="240" w:lineRule="auto" w:before="3"/>
        <w:rPr>
          <w:rFonts w:ascii="宋体" w:hAnsi="宋体" w:cs="宋体" w:eastAsia="宋体" w:hint="default"/>
          <w:b/>
          <w:bCs/>
          <w:sz w:val="24"/>
          <w:szCs w:val="24"/>
        </w:rPr>
      </w:pPr>
    </w:p>
    <w:p>
      <w:pPr>
        <w:pStyle w:val="BodyText"/>
        <w:spacing w:line="343" w:lineRule="auto"/>
        <w:ind w:right="111" w:firstLine="480"/>
        <w:jc w:val="left"/>
      </w:pPr>
      <w:r>
        <w:rPr>
          <w:rFonts w:ascii="Times New Roman" w:hAnsi="Times New Roman" w:cs="Times New Roman" w:eastAsia="Times New Roman" w:hint="default"/>
          <w:spacing w:val="-10"/>
        </w:rPr>
        <w:t>1</w:t>
      </w:r>
      <w:r>
        <w:rPr>
          <w:spacing w:val="-10"/>
        </w:rPr>
        <w:t>、关联交易的内部控制：公司制定了《公司章程》、《关联交易控制制度》，</w:t>
      </w:r>
      <w:r>
        <w:rPr/>
        <w:t> </w:t>
      </w:r>
      <w:r>
        <w:rPr>
          <w:spacing w:val="-3"/>
        </w:rPr>
        <w:t>在制度中对关联交易需遵循的原则、关联交易的审批权限以及关联交易认定、审</w:t>
      </w:r>
      <w:r>
        <w:rPr>
          <w:spacing w:val="-103"/>
        </w:rPr>
        <w:t> </w:t>
      </w:r>
      <w:r>
        <w:rPr>
          <w:spacing w:val="-103"/>
        </w:rPr>
      </w:r>
      <w:r>
        <w:rPr>
          <w:spacing w:val="-4"/>
        </w:rPr>
        <w:t>查和决策程序、回避表决等作了明确规定。</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7"/>
        </w:rPr>
        <w:t> </w:t>
      </w:r>
      <w:r>
        <w:rPr/>
        <w:t>年度公司不存在应提交董事会、 股东大会审议的关联交易事项。</w:t>
      </w:r>
    </w:p>
    <w:p>
      <w:pPr>
        <w:pStyle w:val="BodyText"/>
        <w:spacing w:line="240" w:lineRule="auto" w:before="50"/>
        <w:ind w:left="617" w:right="111"/>
        <w:jc w:val="left"/>
      </w:pPr>
      <w:r>
        <w:rPr>
          <w:rFonts w:ascii="Times New Roman" w:hAnsi="Times New Roman" w:cs="Times New Roman" w:eastAsia="Times New Roman" w:hint="default"/>
        </w:rPr>
        <w:t>2</w:t>
      </w:r>
      <w:r>
        <w:rPr/>
        <w:t>、对外投资、收购资产的内部控制</w:t>
      </w:r>
      <w:r>
        <w:rPr>
          <w:rFonts w:ascii="Times New Roman" w:hAnsi="Times New Roman" w:cs="Times New Roman" w:eastAsia="Times New Roman" w:hint="default"/>
        </w:rPr>
        <w:t>:</w:t>
      </w:r>
      <w:r>
        <w:rPr/>
        <w:t>公司在《公司章程》、《对外投资控制</w:t>
      </w:r>
    </w:p>
    <w:p>
      <w:pPr>
        <w:spacing w:after="0" w:line="240" w:lineRule="auto"/>
        <w:jc w:val="left"/>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ind w:right="230"/>
        <w:jc w:val="both"/>
      </w:pPr>
      <w:r>
        <w:rPr>
          <w:spacing w:val="-3"/>
        </w:rPr>
        <w:t>制度》、《总经理工作细则》中明确规定了总经理、董事会对于对外投资、收购</w:t>
      </w:r>
      <w:r>
        <w:rPr>
          <w:spacing w:val="-104"/>
        </w:rPr>
        <w:t> </w:t>
      </w:r>
      <w:r>
        <w:rPr>
          <w:spacing w:val="-104"/>
        </w:rPr>
      </w:r>
      <w:r>
        <w:rPr>
          <w:spacing w:val="5"/>
        </w:rPr>
        <w:t>资产的审批权限，</w:t>
      </w:r>
      <w:r>
        <w:rPr>
          <w:rFonts w:ascii="Times New Roman" w:hAnsi="Times New Roman" w:cs="Times New Roman" w:eastAsia="Times New Roman" w:hint="default"/>
          <w:spacing w:val="5"/>
        </w:rPr>
        <w:t>2010 </w:t>
      </w:r>
      <w:r>
        <w:rPr>
          <w:spacing w:val="8"/>
        </w:rPr>
        <w:t>年度的对外投资及审批情况请参见</w:t>
      </w:r>
      <w:r>
        <w:rPr>
          <w:rFonts w:ascii="Times New Roman" w:hAnsi="Times New Roman" w:cs="Times New Roman" w:eastAsia="Times New Roman" w:hint="default"/>
          <w:spacing w:val="8"/>
        </w:rPr>
        <w:t>“</w:t>
      </w:r>
      <w:r>
        <w:rPr>
          <w:spacing w:val="8"/>
        </w:rPr>
        <w:t>第三节</w:t>
      </w:r>
      <w:r>
        <w:rPr>
          <w:spacing w:val="25"/>
        </w:rPr>
        <w:t> </w:t>
      </w:r>
      <w:r>
        <w:rPr>
          <w:spacing w:val="6"/>
        </w:rPr>
        <w:t>董事会报</w:t>
      </w:r>
      <w:r>
        <w:rPr/>
        <w:t> 告</w:t>
      </w:r>
      <w:r>
        <w:rPr>
          <w:rFonts w:ascii="Times New Roman" w:hAnsi="Times New Roman" w:cs="Times New Roman" w:eastAsia="Times New Roman" w:hint="default"/>
        </w:rPr>
        <w:t>”</w:t>
      </w:r>
      <w:r>
        <w:rPr/>
        <w:t>。</w:t>
      </w:r>
    </w:p>
    <w:p>
      <w:pPr>
        <w:pStyle w:val="BodyText"/>
        <w:spacing w:line="338" w:lineRule="auto" w:before="16"/>
        <w:ind w:right="239" w:firstLine="480"/>
        <w:jc w:val="both"/>
      </w:pPr>
      <w:r>
        <w:rPr>
          <w:rFonts w:ascii="Times New Roman" w:hAnsi="Times New Roman" w:cs="Times New Roman" w:eastAsia="Times New Roman" w:hint="default"/>
        </w:rPr>
        <w:t>3</w:t>
      </w:r>
      <w:r>
        <w:rPr/>
        <w:t>、对外担保的内部控制：公司在《公司章程》、《对外担保控制制度》中 规定了对外担保的审批权限。</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年度不存在提交董事会、股东大会审议的对 外担保事项；</w:t>
      </w:r>
    </w:p>
    <w:p>
      <w:pPr>
        <w:pStyle w:val="BodyText"/>
        <w:spacing w:line="348" w:lineRule="auto" w:before="53"/>
        <w:ind w:right="129" w:firstLine="480"/>
        <w:jc w:val="left"/>
      </w:pPr>
      <w:r>
        <w:rPr>
          <w:rFonts w:ascii="Times New Roman" w:hAnsi="Times New Roman" w:cs="Times New Roman" w:eastAsia="Times New Roman" w:hint="default"/>
        </w:rPr>
        <w:t>4</w:t>
      </w:r>
      <w:r>
        <w:rPr/>
        <w:t>、募集资金存放与使用的内部控制：公司依照《公司法》、《深圳证券交 易所创业板股票上市规则》、《深圳证券交易所创业板上市公司规范运作指引》 </w:t>
      </w:r>
      <w:r>
        <w:rPr>
          <w:spacing w:val="-3"/>
        </w:rPr>
        <w:t>的有关规定，结合公司实际情况，制定了《募集资金管理制度》。公司严格按照</w:t>
      </w:r>
    </w:p>
    <w:p>
      <w:pPr>
        <w:pStyle w:val="BodyText"/>
        <w:spacing w:line="355" w:lineRule="auto" w:before="46"/>
        <w:ind w:right="233"/>
        <w:jc w:val="both"/>
      </w:pPr>
      <w:r>
        <w:rPr>
          <w:spacing w:val="-3"/>
        </w:rPr>
        <w:t>《募集资金管理制度》的规定和要求，对募集资金采用专户存储，对募集资金的</w:t>
      </w:r>
      <w:r>
        <w:rPr>
          <w:spacing w:val="-102"/>
        </w:rPr>
        <w:t> </w:t>
      </w:r>
      <w:r>
        <w:rPr>
          <w:spacing w:val="-102"/>
        </w:rPr>
      </w:r>
      <w:r>
        <w:rPr/>
        <w:t>使用实行专项审批，以保证专款专用。</w:t>
      </w:r>
    </w:p>
    <w:p>
      <w:pPr>
        <w:pStyle w:val="BodyText"/>
        <w:spacing w:line="352" w:lineRule="auto" w:before="38"/>
        <w:ind w:right="105" w:firstLine="480"/>
        <w:jc w:val="left"/>
      </w:pPr>
      <w:r>
        <w:rPr>
          <w:rFonts w:ascii="Times New Roman" w:hAnsi="Times New Roman" w:cs="Times New Roman" w:eastAsia="Times New Roman" w:hint="default"/>
        </w:rPr>
        <w:t>5</w:t>
      </w:r>
      <w:r>
        <w:rPr/>
        <w:t>、信息披露的内部控制：公司制定了《信息披露管理制度》、《内部重大 </w:t>
      </w:r>
      <w:r>
        <w:rPr>
          <w:spacing w:val="-6"/>
        </w:rPr>
        <w:t>信息报告制度》明确规定了重大信息的范围和内容，以及重大信息的传递、审核、</w:t>
      </w:r>
      <w:r>
        <w:rPr>
          <w:spacing w:val="-114"/>
        </w:rPr>
        <w:t> </w:t>
      </w:r>
      <w:r>
        <w:rPr>
          <w:spacing w:val="-114"/>
        </w:rPr>
      </w:r>
      <w:r>
        <w:rPr>
          <w:spacing w:val="-3"/>
        </w:rPr>
        <w:t>披露流程；并拟定了《内幕信息知情人登记制度》，明确内幕信息知情人的范围</w:t>
      </w:r>
      <w:r>
        <w:rPr>
          <w:spacing w:val="-103"/>
        </w:rPr>
        <w:t> </w:t>
      </w:r>
      <w:r>
        <w:rPr>
          <w:spacing w:val="-103"/>
        </w:rPr>
      </w:r>
      <w:r>
        <w:rPr>
          <w:spacing w:val="-3"/>
        </w:rPr>
        <w:t>和保密责任；明确规定公司及其董事、监事、高级管理人员、股东、实际控制人</w:t>
      </w:r>
      <w:r>
        <w:rPr>
          <w:spacing w:val="-106"/>
        </w:rPr>
        <w:t> </w:t>
      </w:r>
      <w:r>
        <w:rPr>
          <w:spacing w:val="-106"/>
        </w:rPr>
      </w:r>
      <w:r>
        <w:rPr>
          <w:spacing w:val="-3"/>
        </w:rPr>
        <w:t>等相关信息披露义务人在信息披露事务中的权利和义务、信息披露义务人在信息</w:t>
      </w:r>
      <w:r>
        <w:rPr>
          <w:spacing w:val="-104"/>
        </w:rPr>
        <w:t> </w:t>
      </w:r>
      <w:r>
        <w:rPr>
          <w:spacing w:val="-104"/>
        </w:rPr>
      </w:r>
      <w:r>
        <w:rPr/>
        <w:t>披露事务中的权利、义务和责任。</w:t>
      </w:r>
    </w:p>
    <w:p>
      <w:pPr>
        <w:pStyle w:val="BodyText"/>
        <w:spacing w:line="348" w:lineRule="auto" w:before="38"/>
        <w:ind w:right="235"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年度内，公司披露公告</w:t>
      </w:r>
      <w:r>
        <w:rPr>
          <w:rFonts w:ascii="Times New Roman" w:hAnsi="Times New Roman" w:cs="Times New Roman" w:eastAsia="Times New Roman" w:hint="default"/>
        </w:rPr>
        <w:t>72</w:t>
      </w:r>
      <w:r>
        <w:rPr/>
        <w:t>份，详情请参见</w:t>
      </w:r>
      <w:r>
        <w:rPr>
          <w:rFonts w:ascii="宋体" w:hAnsi="宋体" w:cs="宋体" w:eastAsia="宋体" w:hint="default"/>
        </w:rPr>
        <w:t>“</w:t>
      </w:r>
      <w:r>
        <w:rPr/>
        <w:t>第四节、重大事项</w:t>
      </w:r>
      <w:r>
        <w:rPr>
          <w:rFonts w:ascii="宋体" w:hAnsi="宋体" w:cs="宋体" w:eastAsia="宋体" w:hint="default"/>
        </w:rPr>
        <w:t>”</w:t>
      </w:r>
      <w:r>
        <w:rPr/>
        <w:t>，信</w:t>
      </w:r>
      <w:r>
        <w:rPr>
          <w:spacing w:val="-3"/>
        </w:rPr>
        <w:t> 息披露真实、准确、及时、完整，没有出现重大信息的提前泄露，有效保障了公</w:t>
      </w:r>
      <w:r>
        <w:rPr>
          <w:spacing w:val="-106"/>
        </w:rPr>
        <w:t> </w:t>
      </w:r>
      <w:r>
        <w:rPr>
          <w:spacing w:val="-106"/>
        </w:rPr>
      </w:r>
      <w:r>
        <w:rPr/>
        <w:t>司的信息披露质量。</w:t>
      </w:r>
    </w:p>
    <w:p>
      <w:pPr>
        <w:pStyle w:val="BodyText"/>
        <w:spacing w:line="350" w:lineRule="auto" w:before="46"/>
        <w:ind w:right="233" w:firstLine="480"/>
        <w:jc w:val="both"/>
      </w:pPr>
      <w:r>
        <w:rPr>
          <w:rFonts w:ascii="Times New Roman" w:hAnsi="Times New Roman" w:cs="Times New Roman" w:eastAsia="Times New Roman" w:hint="default"/>
        </w:rPr>
        <w:t>6</w:t>
      </w:r>
      <w:r>
        <w:rPr/>
        <w:t>、对控股子公司的控制：</w:t>
      </w:r>
      <w:r>
        <w:rPr>
          <w:spacing w:val="-27"/>
        </w:rPr>
        <w:t> </w:t>
      </w:r>
      <w:r>
        <w:rPr>
          <w:spacing w:val="-3"/>
        </w:rPr>
        <w:t>公司制定了《子公司管理制度》，对子公司进行</w:t>
      </w:r>
      <w:r>
        <w:rPr/>
        <w:t> </w:t>
      </w:r>
      <w:r>
        <w:rPr>
          <w:spacing w:val="-3"/>
        </w:rPr>
        <w:t>管理和控制。财务方面实行垂直管理，实行重大事项报备制度、公司内审部定期</w:t>
      </w:r>
      <w:r>
        <w:rPr>
          <w:spacing w:val="-102"/>
        </w:rPr>
        <w:t> </w:t>
      </w:r>
      <w:r>
        <w:rPr>
          <w:spacing w:val="-102"/>
        </w:rPr>
      </w:r>
      <w:r>
        <w:rPr>
          <w:spacing w:val="-3"/>
        </w:rPr>
        <w:t>或不定期对子公司进行内部审计，以上措施的实施使公司及时掌握子公司最新动</w:t>
      </w:r>
      <w:r>
        <w:rPr>
          <w:spacing w:val="-104"/>
        </w:rPr>
        <w:t> </w:t>
      </w:r>
      <w:r>
        <w:rPr>
          <w:spacing w:val="-104"/>
        </w:rPr>
      </w:r>
      <w:r>
        <w:rPr/>
        <w:t>态，并对存在的风险进行有效控制</w:t>
      </w:r>
    </w:p>
    <w:p>
      <w:pPr>
        <w:pStyle w:val="BodyText"/>
        <w:spacing w:line="352" w:lineRule="auto" w:before="43"/>
        <w:ind w:right="233" w:firstLine="480"/>
        <w:jc w:val="both"/>
      </w:pPr>
      <w:r>
        <w:rPr>
          <w:rFonts w:ascii="Times New Roman" w:hAnsi="Times New Roman" w:cs="Times New Roman" w:eastAsia="Times New Roman" w:hint="default"/>
        </w:rPr>
        <w:t>7</w:t>
      </w:r>
      <w:r>
        <w:rPr/>
        <w:t>、货币资金的管理：为规范公司资金管理，保证资金安全，公司根据《现 </w:t>
      </w:r>
      <w:r>
        <w:rPr>
          <w:spacing w:val="-3"/>
        </w:rPr>
        <w:t>金管理暂行条例》和《银行结算办法》制定了货币资金管理办法，对货币资金的</w:t>
      </w:r>
      <w:r>
        <w:rPr>
          <w:spacing w:val="-103"/>
        </w:rPr>
        <w:t> </w:t>
      </w:r>
      <w:r>
        <w:rPr>
          <w:spacing w:val="-103"/>
        </w:rPr>
      </w:r>
      <w:r>
        <w:rPr>
          <w:spacing w:val="-3"/>
        </w:rPr>
        <w:t>收支和保管业务建立了较为严格的授权批准程序。办理货币资金业务的不相容岗</w:t>
      </w:r>
      <w:r>
        <w:rPr>
          <w:spacing w:val="-104"/>
        </w:rPr>
        <w:t> </w:t>
      </w:r>
      <w:r>
        <w:rPr>
          <w:spacing w:val="-104"/>
        </w:rPr>
      </w:r>
      <w:r>
        <w:rPr>
          <w:spacing w:val="-3"/>
        </w:rPr>
        <w:t>位已作分离，相关机构和人员存在相互制约关系。公司没有影响货币资金安全的</w:t>
      </w:r>
      <w:r>
        <w:rPr>
          <w:spacing w:val="-103"/>
        </w:rPr>
        <w:t> </w:t>
      </w:r>
      <w:r>
        <w:rPr>
          <w:spacing w:val="-103"/>
        </w:rPr>
      </w:r>
      <w:r>
        <w:rPr/>
        <w:t>重大不适当之处。</w:t>
      </w:r>
    </w:p>
    <w:p>
      <w:pPr>
        <w:pStyle w:val="BodyText"/>
        <w:spacing w:line="240" w:lineRule="auto" w:before="38"/>
        <w:ind w:left="617" w:right="0"/>
        <w:jc w:val="left"/>
      </w:pPr>
      <w:r>
        <w:rPr>
          <w:rFonts w:ascii="Times New Roman" w:hAnsi="Times New Roman" w:cs="Times New Roman" w:eastAsia="Times New Roman" w:hint="default"/>
          <w:spacing w:val="-3"/>
        </w:rPr>
        <w:t>8</w:t>
      </w:r>
      <w:r>
        <w:rPr>
          <w:spacing w:val="-3"/>
        </w:rPr>
        <w:t>、采购管理：公司已较合理地规划和设立了采购与付款业务的机构和岗位。</w:t>
      </w:r>
    </w:p>
    <w:p>
      <w:pPr>
        <w:spacing w:after="0" w:line="240" w:lineRule="auto"/>
        <w:jc w:val="left"/>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ind w:right="129"/>
        <w:jc w:val="left"/>
      </w:pPr>
      <w:r>
        <w:rPr/>
        <w:t>明确了存货的请购、审批、采购、验收程序，特别对委托加工物资加强了管理。 </w:t>
      </w:r>
      <w:r>
        <w:rPr>
          <w:spacing w:val="-3"/>
        </w:rPr>
        <w:t>应付账款和预付账款的支付必须在相关手续齐备后才能办理。公司在采购与付款</w:t>
      </w:r>
      <w:r>
        <w:rPr>
          <w:spacing w:val="-104"/>
        </w:rPr>
        <w:t> </w:t>
      </w:r>
      <w:r>
        <w:rPr>
          <w:spacing w:val="-104"/>
        </w:rPr>
      </w:r>
      <w:r>
        <w:rPr/>
        <w:t>的控制方面没有重大漏洞。</w:t>
      </w:r>
    </w:p>
    <w:p>
      <w:pPr>
        <w:pStyle w:val="BodyText"/>
        <w:spacing w:line="352" w:lineRule="auto" w:before="36"/>
        <w:ind w:right="129" w:firstLine="480"/>
        <w:jc w:val="left"/>
      </w:pPr>
      <w:r>
        <w:rPr>
          <w:rFonts w:ascii="Times New Roman" w:hAnsi="Times New Roman" w:cs="Times New Roman" w:eastAsia="Times New Roman" w:hint="default"/>
        </w:rPr>
        <w:t>9</w:t>
      </w:r>
      <w:r>
        <w:rPr/>
        <w:t>、长期资产管理：公司为规范长期资产管理，保证资产核算的真实性，保 </w:t>
      </w:r>
      <w:r>
        <w:rPr>
          <w:spacing w:val="-3"/>
        </w:rPr>
        <w:t>护公司财产的安全与完整，制定了设备资产管理制度。管理制度规定了资产的范</w:t>
      </w:r>
      <w:r>
        <w:rPr>
          <w:spacing w:val="-103"/>
        </w:rPr>
        <w:t> </w:t>
      </w:r>
      <w:r>
        <w:rPr>
          <w:spacing w:val="-103"/>
        </w:rPr>
      </w:r>
      <w:r>
        <w:rPr/>
        <w:t>围、计价方法；明确了资产的审批权限；明确了资产管理部门；对资产的购置、 </w:t>
      </w:r>
      <w:r>
        <w:rPr>
          <w:spacing w:val="-3"/>
        </w:rPr>
        <w:t>验收、使用、维修、保养、内部转移、处置、报废、损毁以及盘点等日常管理工</w:t>
      </w:r>
      <w:r>
        <w:rPr>
          <w:spacing w:val="-105"/>
        </w:rPr>
        <w:t> </w:t>
      </w:r>
      <w:r>
        <w:rPr>
          <w:spacing w:val="-105"/>
        </w:rPr>
      </w:r>
      <w:r>
        <w:rPr/>
        <w:t>作均有详细规定。日常执行中能遵循有关制度和程序的要求。</w:t>
      </w:r>
    </w:p>
    <w:p>
      <w:pPr>
        <w:pStyle w:val="BodyText"/>
        <w:spacing w:line="338" w:lineRule="auto" w:before="38"/>
        <w:ind w:right="233" w:firstLine="480"/>
        <w:jc w:val="both"/>
      </w:pPr>
      <w:r>
        <w:rPr>
          <w:rFonts w:ascii="Times New Roman" w:hAnsi="Times New Roman" w:cs="Times New Roman" w:eastAsia="Times New Roman" w:hint="default"/>
          <w:spacing w:val="-3"/>
        </w:rPr>
        <w:t>10</w:t>
      </w:r>
      <w:r>
        <w:rPr>
          <w:spacing w:val="-3"/>
        </w:rPr>
        <w:t>、档案（知识产权）管理：为了规范各类公司档案在日常工作管理活动中</w:t>
      </w:r>
      <w:r>
        <w:rPr/>
        <w:t> 的分类、保存场所、保存期限、档案保密及岗位职责，制定了</w:t>
      </w:r>
      <w:r>
        <w:rPr>
          <w:rFonts w:ascii="Times New Roman" w:hAnsi="Times New Roman" w:cs="Times New Roman" w:eastAsia="Times New Roman" w:hint="default"/>
        </w:rPr>
        <w:t>1</w:t>
      </w:r>
      <w:r>
        <w:rPr/>
        <w:t>个相应制度。日</w:t>
      </w:r>
      <w:r>
        <w:rPr>
          <w:spacing w:val="-95"/>
        </w:rPr>
        <w:t> </w:t>
      </w:r>
      <w:r>
        <w:rPr>
          <w:spacing w:val="-95"/>
        </w:rPr>
      </w:r>
      <w:r>
        <w:rPr/>
        <w:t>常执行中能遵循有关制度和程序的要求。</w:t>
      </w:r>
    </w:p>
    <w:p>
      <w:pPr>
        <w:pStyle w:val="BodyText"/>
        <w:spacing w:line="338" w:lineRule="auto" w:before="55"/>
        <w:ind w:right="99" w:firstLine="480"/>
        <w:jc w:val="left"/>
      </w:pPr>
      <w:r>
        <w:rPr>
          <w:rFonts w:ascii="Times New Roman" w:hAnsi="Times New Roman" w:cs="Times New Roman" w:eastAsia="Times New Roman" w:hint="default"/>
          <w:spacing w:val="-6"/>
        </w:rPr>
        <w:t>11</w:t>
      </w:r>
      <w:r>
        <w:rPr>
          <w:spacing w:val="-6"/>
        </w:rPr>
        <w:t>、生产经营管理：为了规范公司设计合同评审、业务分配、研发项目管理、</w:t>
      </w:r>
      <w:r>
        <w:rPr/>
        <w:t> 质量控制等诸多业务流程，并对其进行有效控制，制定了</w:t>
      </w:r>
      <w:r>
        <w:rPr>
          <w:rFonts w:ascii="Times New Roman" w:hAnsi="Times New Roman" w:cs="Times New Roman" w:eastAsia="Times New Roman" w:hint="default"/>
        </w:rPr>
        <w:t>1</w:t>
      </w:r>
      <w:r>
        <w:rPr/>
        <w:t>个相应制度。日常执</w:t>
      </w:r>
      <w:r>
        <w:rPr>
          <w:spacing w:val="-95"/>
        </w:rPr>
        <w:t> </w:t>
      </w:r>
      <w:r>
        <w:rPr>
          <w:spacing w:val="-95"/>
        </w:rPr>
      </w:r>
      <w:r>
        <w:rPr/>
        <w:t>行中能遵循有关制度和程序的要求。</w:t>
      </w:r>
    </w:p>
    <w:p>
      <w:pPr>
        <w:spacing w:after="0" w:line="338" w:lineRule="auto"/>
        <w:jc w:val="left"/>
        <w:sectPr>
          <w:pgSz w:w="11910" w:h="16840"/>
          <w:pgMar w:header="850" w:footer="979" w:top="1380" w:bottom="1160" w:left="1660" w:right="15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0"/>
          <w:szCs w:val="10"/>
        </w:rPr>
      </w:pPr>
    </w:p>
    <w:p>
      <w:pPr>
        <w:pStyle w:val="Heading2"/>
        <w:spacing w:line="240" w:lineRule="auto"/>
        <w:ind w:left="3078" w:right="3138"/>
        <w:jc w:val="center"/>
        <w:rPr>
          <w:b w:val="0"/>
          <w:bCs w:val="0"/>
        </w:rPr>
      </w:pPr>
      <w:bookmarkStart w:name="第八节 监事会报告" w:id="15"/>
      <w:bookmarkEnd w:id="15"/>
      <w:r>
        <w:rPr>
          <w:b w:val="0"/>
          <w:bCs w:val="0"/>
        </w:rPr>
      </w:r>
      <w:bookmarkStart w:name="_bookmark7" w:id="16"/>
      <w:bookmarkEnd w:id="16"/>
      <w:r>
        <w:rPr>
          <w:b w:val="0"/>
          <w:bCs w:val="0"/>
        </w:rPr>
      </w:r>
      <w:r>
        <w:rPr/>
        <w:t>第八节</w:t>
      </w:r>
      <w:r>
        <w:rPr>
          <w:spacing w:val="-1"/>
        </w:rPr>
        <w:t> </w:t>
      </w:r>
      <w:r>
        <w:rPr/>
        <w:t>监事会报告</w:t>
      </w:r>
      <w:r>
        <w:rPr>
          <w:b w:val="0"/>
          <w:bCs w:val="0"/>
        </w:rPr>
      </w:r>
    </w:p>
    <w:p>
      <w:pPr>
        <w:spacing w:line="240" w:lineRule="auto" w:before="9"/>
        <w:rPr>
          <w:rFonts w:ascii="宋体" w:hAnsi="宋体" w:cs="宋体" w:eastAsia="宋体" w:hint="default"/>
          <w:b/>
          <w:bCs/>
          <w:sz w:val="33"/>
          <w:szCs w:val="33"/>
        </w:rPr>
      </w:pPr>
    </w:p>
    <w:p>
      <w:pPr>
        <w:spacing w:line="496" w:lineRule="auto" w:before="0"/>
        <w:ind w:left="617" w:right="1529" w:hanging="480"/>
        <w:jc w:val="left"/>
        <w:rPr>
          <w:rFonts w:ascii="宋体" w:hAnsi="宋体" w:cs="宋体" w:eastAsia="宋体" w:hint="default"/>
          <w:sz w:val="24"/>
          <w:szCs w:val="24"/>
        </w:rPr>
      </w:pPr>
      <w:r>
        <w:rPr/>
        <w:pict>
          <v:shape style="position:absolute;margin-left:100.559998pt;margin-top:54.455612pt;width:394.45pt;height:150.2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4133"/>
                    <w:gridCol w:w="2842"/>
                  </w:tblGrid>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会议名称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宋体" w:hAnsi="宋体" w:cs="宋体" w:eastAsia="宋体" w:hint="default"/>
                            <w:sz w:val="24"/>
                            <w:szCs w:val="24"/>
                          </w:rPr>
                          <w:t>召开时间</w:t>
                        </w:r>
                      </w:p>
                    </w:tc>
                  </w:tr>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1</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第一届监事会第三次会议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w:t>
                        </w:r>
                      </w:p>
                    </w:tc>
                  </w:tr>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2</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第一届监事会第四次会议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r>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3</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第一届监事会第五次会议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4</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第一届监事会第六次会议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w:t>
                        </w:r>
                      </w:p>
                    </w:tc>
                  </w:tr>
                  <w:tr>
                    <w:trPr>
                      <w:trHeight w:val="49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4"/>
                            <w:szCs w:val="24"/>
                          </w:rPr>
                        </w:pPr>
                        <w:r>
                          <w:rPr>
                            <w:rFonts w:ascii="Times New Roman"/>
                            <w:sz w:val="24"/>
                          </w:rPr>
                          <w:t>5</w:t>
                        </w:r>
                      </w:p>
                    </w:tc>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第一届监事会第七次会议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r>
                </w:tbl>
                <w:p>
                  <w:pPr/>
                </w:p>
              </w:txbxContent>
            </v:textbox>
            <w10:wrap type="none"/>
          </v:shape>
        </w:pict>
      </w:r>
      <w:r>
        <w:rPr>
          <w:rFonts w:ascii="宋体" w:hAnsi="宋体" w:cs="宋体" w:eastAsia="宋体" w:hint="default"/>
          <w:b/>
          <w:bCs/>
          <w:sz w:val="24"/>
          <w:szCs w:val="24"/>
        </w:rPr>
        <w:t>一、</w:t>
      </w:r>
      <w:r>
        <w:rPr>
          <w:rFonts w:ascii="宋体" w:hAnsi="宋体" w:cs="宋体" w:eastAsia="宋体" w:hint="default"/>
          <w:b/>
          <w:bCs/>
          <w:spacing w:val="-1"/>
          <w:sz w:val="24"/>
          <w:szCs w:val="24"/>
        </w:rPr>
        <w:t> </w:t>
      </w:r>
      <w:r>
        <w:rPr>
          <w:rFonts w:ascii="宋体" w:hAnsi="宋体" w:cs="宋体" w:eastAsia="宋体" w:hint="default"/>
          <w:b/>
          <w:bCs/>
          <w:sz w:val="24"/>
          <w:szCs w:val="24"/>
        </w:rPr>
        <w:t>报告期内监事会工作情况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报告期内，公司监事会共召开了五次监事会，具体内容如下：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38" w:lineRule="auto" w:before="157"/>
        <w:ind w:right="195" w:firstLine="480"/>
        <w:jc w:val="both"/>
      </w:pPr>
      <w:r>
        <w:rPr>
          <w:spacing w:val="-3"/>
        </w:rPr>
        <w:t>（一）第一届监事会第三次会议于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8</w:t>
      </w:r>
      <w:r>
        <w:rPr>
          <w:spacing w:val="-3"/>
        </w:rPr>
        <w:t>日在公司会议室以现场方式召</w:t>
      </w:r>
      <w:r>
        <w:rPr/>
        <w:t> 开。会议审议通过了：《关于公司</w:t>
      </w:r>
      <w:r>
        <w:rPr>
          <w:rFonts w:ascii="Times New Roman" w:hAnsi="Times New Roman" w:cs="Times New Roman" w:eastAsia="Times New Roman" w:hint="default"/>
        </w:rPr>
        <w:t>2009</w:t>
      </w:r>
      <w:r>
        <w:rPr/>
        <w:t>年度利润分配预案》。</w:t>
      </w:r>
    </w:p>
    <w:p>
      <w:pPr>
        <w:pStyle w:val="BodyText"/>
        <w:spacing w:line="338" w:lineRule="auto" w:before="24"/>
        <w:ind w:right="128" w:firstLine="480"/>
        <w:jc w:val="both"/>
      </w:pPr>
      <w:r>
        <w:rPr/>
        <w:t>（一）第一届监事会第四次会议于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日在公司会议室以现场方式 </w:t>
      </w:r>
      <w:r>
        <w:rPr>
          <w:spacing w:val="-8"/>
        </w:rPr>
        <w:t>召开。会议审议通过了：《关于公司用闲置募集资金补充临时流动资金的议案》。</w:t>
      </w:r>
      <w:r>
        <w:rPr/>
      </w:r>
    </w:p>
    <w:p>
      <w:pPr>
        <w:pStyle w:val="BodyText"/>
        <w:spacing w:line="336" w:lineRule="auto" w:before="55"/>
        <w:ind w:right="193" w:firstLine="480"/>
        <w:jc w:val="both"/>
      </w:pPr>
      <w:r>
        <w:rPr/>
        <w:t>（二）第一届监事会第五次会议于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日在公司会议室以现场方式 </w:t>
      </w:r>
      <w:r>
        <w:rPr>
          <w:spacing w:val="-3"/>
        </w:rPr>
        <w:t>召开。会议审议通过了：《</w:t>
      </w:r>
      <w:r>
        <w:rPr>
          <w:rFonts w:ascii="Times New Roman" w:hAnsi="Times New Roman" w:cs="Times New Roman" w:eastAsia="Times New Roman" w:hint="default"/>
          <w:spacing w:val="-3"/>
        </w:rPr>
        <w:t>2009</w:t>
      </w:r>
      <w:r>
        <w:rPr>
          <w:spacing w:val="-3"/>
        </w:rPr>
        <w:t>年度监事会工作报告》、《关于</w:t>
      </w:r>
      <w:r>
        <w:rPr>
          <w:rFonts w:ascii="Times New Roman" w:hAnsi="Times New Roman" w:cs="Times New Roman" w:eastAsia="Times New Roman" w:hint="default"/>
          <w:spacing w:val="-3"/>
        </w:rPr>
        <w:t>2009</w:t>
      </w:r>
      <w:r>
        <w:rPr>
          <w:spacing w:val="-3"/>
        </w:rPr>
        <w:t>年度财务决</w:t>
      </w:r>
      <w:r>
        <w:rPr>
          <w:spacing w:val="-91"/>
        </w:rPr>
        <w:t> </w:t>
      </w:r>
      <w:r>
        <w:rPr/>
        <w:t>算报告的议案》、《关于续聘公司</w:t>
      </w:r>
      <w:r>
        <w:rPr>
          <w:rFonts w:ascii="Times New Roman" w:hAnsi="Times New Roman" w:cs="Times New Roman" w:eastAsia="Times New Roman" w:hint="default"/>
        </w:rPr>
        <w:t>2010</w:t>
      </w:r>
      <w:r>
        <w:rPr/>
        <w:t>年度审计机构的议案》、《关于</w:t>
      </w:r>
      <w:r>
        <w:rPr>
          <w:rFonts w:ascii="Times New Roman" w:hAnsi="Times New Roman" w:cs="Times New Roman" w:eastAsia="Times New Roman" w:hint="default"/>
        </w:rPr>
        <w:t>2009 </w:t>
      </w:r>
      <w:r>
        <w:rPr/>
        <w:t>年 度财务报告及其摘要的议案》。</w:t>
      </w:r>
    </w:p>
    <w:p>
      <w:pPr>
        <w:pStyle w:val="BodyText"/>
        <w:spacing w:line="348" w:lineRule="auto" w:before="58"/>
        <w:ind w:right="106" w:firstLine="480"/>
        <w:jc w:val="both"/>
      </w:pPr>
      <w:r>
        <w:rPr/>
        <w:t>（三）第一届监事会第六次会议于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日在公司会议室以现场方式 </w:t>
      </w:r>
      <w:r>
        <w:rPr>
          <w:spacing w:val="-3"/>
        </w:rPr>
        <w:t>召开。会议审议通过了：《关于公司以募集资金置换预先已投入募集资金投资项</w:t>
      </w:r>
      <w:r>
        <w:rPr>
          <w:spacing w:val="-102"/>
        </w:rPr>
        <w:t> </w:t>
      </w:r>
      <w:r>
        <w:rPr>
          <w:spacing w:val="-102"/>
        </w:rPr>
      </w:r>
      <w:r>
        <w:rPr/>
        <w:t>目的自筹资金的议案》、《</w:t>
      </w:r>
      <w:r>
        <w:rPr>
          <w:rFonts w:ascii="Times New Roman" w:hAnsi="Times New Roman" w:cs="Times New Roman" w:eastAsia="Times New Roman" w:hint="default"/>
        </w:rPr>
        <w:t>2010</w:t>
      </w:r>
      <w:r>
        <w:rPr/>
        <w:t>年半年度报告》及《</w:t>
      </w:r>
      <w:r>
        <w:rPr>
          <w:rFonts w:ascii="Times New Roman" w:hAnsi="Times New Roman" w:cs="Times New Roman" w:eastAsia="Times New Roman" w:hint="default"/>
        </w:rPr>
        <w:t>2010</w:t>
      </w:r>
      <w:r>
        <w:rPr/>
        <w:t>年半年度报告摘要》。</w:t>
      </w:r>
    </w:p>
    <w:p>
      <w:pPr>
        <w:pStyle w:val="BodyText"/>
        <w:spacing w:line="338" w:lineRule="auto" w:before="13"/>
        <w:ind w:right="195" w:firstLine="480"/>
        <w:jc w:val="both"/>
      </w:pPr>
      <w:r>
        <w:rPr>
          <w:spacing w:val="-3"/>
        </w:rPr>
        <w:t>（四）第一届监事会第七次会议于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日在公司会议室以现场方式</w:t>
      </w:r>
      <w:r>
        <w:rPr/>
        <w:t> 召开。会议审议通过了《</w:t>
      </w:r>
      <w:r>
        <w:rPr>
          <w:rFonts w:ascii="Times New Roman" w:hAnsi="Times New Roman" w:cs="Times New Roman" w:eastAsia="Times New Roman" w:hint="default"/>
        </w:rPr>
        <w:t>2010  </w:t>
      </w:r>
      <w:r>
        <w:rPr/>
        <w:t>年第三季度报告全文及其正文》。</w:t>
      </w:r>
    </w:p>
    <w:p>
      <w:pPr>
        <w:spacing w:line="652" w:lineRule="exact" w:before="37"/>
        <w:ind w:left="617" w:right="188" w:hanging="480"/>
        <w:jc w:val="left"/>
        <w:rPr>
          <w:rFonts w:ascii="宋体" w:hAnsi="宋体" w:cs="宋体" w:eastAsia="宋体" w:hint="default"/>
          <w:sz w:val="24"/>
          <w:szCs w:val="24"/>
        </w:rPr>
      </w:pPr>
      <w:r>
        <w:rPr>
          <w:rFonts w:ascii="宋体" w:hAnsi="宋体" w:cs="宋体" w:eastAsia="宋体" w:hint="default"/>
          <w:b/>
          <w:bCs/>
          <w:sz w:val="24"/>
          <w:szCs w:val="24"/>
        </w:rPr>
        <w:t>二、监事会对公司</w:t>
      </w: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年度有关事项的独立意见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报告期内，公司监事会严格按照有关法律、法规及公司章程的规定，对公司</w:t>
      </w:r>
    </w:p>
    <w:p>
      <w:pPr>
        <w:pStyle w:val="BodyText"/>
        <w:spacing w:line="372" w:lineRule="auto" w:before="79"/>
        <w:ind w:right="179"/>
        <w:jc w:val="left"/>
      </w:pPr>
      <w:r>
        <w:rPr>
          <w:spacing w:val="-3"/>
        </w:rPr>
        <w:t>依法运作情况、公司财务情况、关联交易等事项进行了认真监督检查，根据检查</w:t>
      </w:r>
      <w:r>
        <w:rPr>
          <w:spacing w:val="-102"/>
        </w:rPr>
        <w:t> </w:t>
      </w:r>
      <w:r>
        <w:rPr>
          <w:spacing w:val="-102"/>
        </w:rPr>
      </w:r>
      <w:r>
        <w:rPr/>
        <w:t>结果，对报告期内公司有关情况发表如下独立意见：</w:t>
      </w:r>
    </w:p>
    <w:p>
      <w:pPr>
        <w:spacing w:after="0" w:line="372" w:lineRule="auto"/>
        <w:jc w:val="left"/>
        <w:sectPr>
          <w:footerReference w:type="default" r:id="rId25"/>
          <w:pgSz w:w="11910" w:h="16840"/>
          <w:pgMar w:footer="979" w:header="850" w:top="1380" w:bottom="1160" w:left="1660" w:right="1600"/>
        </w:sectPr>
      </w:pPr>
    </w:p>
    <w:p>
      <w:pPr>
        <w:pStyle w:val="Heading3"/>
        <w:spacing w:line="240" w:lineRule="auto" w:before="105"/>
        <w:ind w:right="111"/>
        <w:jc w:val="left"/>
        <w:rPr>
          <w:b w:val="0"/>
          <w:bCs w:val="0"/>
        </w:rPr>
      </w:pPr>
      <w:r>
        <w:rPr/>
        <w:t>（一）公司依法运作情况</w:t>
      </w:r>
      <w:r>
        <w:rPr>
          <w:b w:val="0"/>
          <w:bCs w:val="0"/>
        </w:rPr>
      </w:r>
    </w:p>
    <w:p>
      <w:pPr>
        <w:spacing w:line="240" w:lineRule="auto" w:before="12"/>
        <w:rPr>
          <w:rFonts w:ascii="宋体" w:hAnsi="宋体" w:cs="宋体" w:eastAsia="宋体" w:hint="default"/>
          <w:b/>
          <w:bCs/>
          <w:sz w:val="25"/>
          <w:szCs w:val="25"/>
        </w:rPr>
      </w:pPr>
    </w:p>
    <w:p>
      <w:pPr>
        <w:pStyle w:val="BodyText"/>
        <w:spacing w:line="369" w:lineRule="auto"/>
        <w:ind w:right="111" w:firstLine="480"/>
        <w:jc w:val="left"/>
      </w:pPr>
      <w:r>
        <w:rPr>
          <w:rFonts w:ascii="Times New Roman" w:hAnsi="Times New Roman" w:cs="Times New Roman" w:eastAsia="Times New Roman" w:hint="default"/>
        </w:rPr>
        <w:t>2010</w:t>
      </w:r>
      <w:r>
        <w:rPr/>
        <w:t>年，监事会全体成员依法列席了公司所有的董事会会议和股东大会会 </w:t>
      </w:r>
      <w:r>
        <w:rPr>
          <w:spacing w:val="-3"/>
        </w:rPr>
        <w:t>议，对公司的决策程序、董事会对股东大会决议的执行情况以及公司董事、高管</w:t>
      </w:r>
      <w:r>
        <w:rPr>
          <w:spacing w:val="-102"/>
        </w:rPr>
        <w:t> </w:t>
      </w:r>
      <w:r>
        <w:rPr>
          <w:spacing w:val="-102"/>
        </w:rPr>
      </w:r>
      <w:r>
        <w:rPr>
          <w:spacing w:val="-3"/>
        </w:rPr>
        <w:t>履行职务情况进行了严格的监督。监事会认为：公司的决策程序严格遵循了《公</w:t>
      </w:r>
      <w:r>
        <w:rPr>
          <w:spacing w:val="-102"/>
        </w:rPr>
        <w:t> </w:t>
      </w:r>
      <w:r>
        <w:rPr>
          <w:spacing w:val="-102"/>
        </w:rPr>
      </w:r>
      <w:r>
        <w:rPr>
          <w:spacing w:val="-3"/>
        </w:rPr>
        <w:t>司法》、《证券法》等法律法规和中国证监会以及《公司章程》所作出的各项规</w:t>
      </w:r>
      <w:r>
        <w:rPr>
          <w:spacing w:val="-104"/>
        </w:rPr>
        <w:t> </w:t>
      </w:r>
      <w:r>
        <w:rPr>
          <w:spacing w:val="-104"/>
        </w:rPr>
      </w:r>
      <w:r>
        <w:rPr>
          <w:spacing w:val="-3"/>
        </w:rPr>
        <w:t>定，建立了较为完善的内部控制制度并在不断健全完善中；股东大会、董事会决</w:t>
      </w:r>
      <w:r>
        <w:rPr>
          <w:spacing w:val="-102"/>
        </w:rPr>
        <w:t> </w:t>
      </w:r>
      <w:r>
        <w:rPr>
          <w:spacing w:val="-102"/>
        </w:rPr>
      </w:r>
      <w:r>
        <w:rPr>
          <w:spacing w:val="-3"/>
        </w:rPr>
        <w:t>议能够得到很好的落实；公司董事、高级管理人员严格遵守国家有关法律、法规</w:t>
      </w:r>
      <w:r>
        <w:rPr>
          <w:spacing w:val="-102"/>
        </w:rPr>
        <w:t> </w:t>
      </w:r>
      <w:r>
        <w:rPr>
          <w:spacing w:val="-102"/>
        </w:rPr>
      </w:r>
      <w:r>
        <w:rPr>
          <w:spacing w:val="-3"/>
        </w:rPr>
        <w:t>及公司的规章制度，努力为公司的发展尽职尽责，不存在违反法律、法规、《公</w:t>
      </w:r>
      <w:r>
        <w:rPr>
          <w:spacing w:val="-103"/>
        </w:rPr>
        <w:t> </w:t>
      </w:r>
      <w:r>
        <w:rPr>
          <w:spacing w:val="-103"/>
        </w:rPr>
      </w:r>
      <w:r>
        <w:rPr/>
        <w:t>司章程》或有损于公司和股东利益的行为。</w:t>
      </w:r>
    </w:p>
    <w:p>
      <w:pPr>
        <w:pStyle w:val="Heading3"/>
        <w:spacing w:line="240" w:lineRule="auto" w:before="209"/>
        <w:ind w:right="111"/>
        <w:jc w:val="left"/>
        <w:rPr>
          <w:b w:val="0"/>
          <w:bCs w:val="0"/>
        </w:rPr>
      </w:pPr>
      <w:r>
        <w:rPr/>
        <w:t>（二）检查公司财务的情况</w:t>
      </w:r>
      <w:r>
        <w:rPr>
          <w:b w:val="0"/>
          <w:bCs w:val="0"/>
        </w:rPr>
      </w:r>
    </w:p>
    <w:p>
      <w:pPr>
        <w:spacing w:line="240" w:lineRule="auto" w:before="9"/>
        <w:rPr>
          <w:rFonts w:ascii="宋体" w:hAnsi="宋体" w:cs="宋体" w:eastAsia="宋体" w:hint="default"/>
          <w:b/>
          <w:bCs/>
          <w:sz w:val="25"/>
          <w:szCs w:val="25"/>
        </w:rPr>
      </w:pPr>
    </w:p>
    <w:p>
      <w:pPr>
        <w:pStyle w:val="BodyText"/>
        <w:spacing w:line="364" w:lineRule="auto"/>
        <w:ind w:right="233" w:firstLine="480"/>
        <w:jc w:val="both"/>
      </w:pPr>
      <w:r>
        <w:rPr>
          <w:spacing w:val="-3"/>
        </w:rPr>
        <w:t>报告期内，监事会及时了解公司经营及财务状况，认真核查了公司季度、半</w:t>
      </w:r>
      <w:r>
        <w:rPr/>
        <w:t> </w:t>
      </w:r>
      <w:r>
        <w:rPr>
          <w:spacing w:val="-3"/>
        </w:rPr>
        <w:t>年度报告及有关文件，并对公司</w:t>
      </w:r>
      <w:r>
        <w:rPr>
          <w:rFonts w:ascii="Times New Roman" w:hAnsi="Times New Roman" w:cs="Times New Roman" w:eastAsia="Times New Roman" w:hint="default"/>
          <w:spacing w:val="-3"/>
        </w:rPr>
        <w:t>2010</w:t>
      </w:r>
      <w:r>
        <w:rPr>
          <w:spacing w:val="-3"/>
        </w:rPr>
        <w:t>年年度财务报告及中瑞岳华会计师事务所有</w:t>
      </w:r>
      <w:r>
        <w:rPr>
          <w:spacing w:val="-98"/>
        </w:rPr>
        <w:t> </w:t>
      </w:r>
      <w:r>
        <w:rPr>
          <w:spacing w:val="-3"/>
        </w:rPr>
        <w:t>限公司出具的标准无保留意见的审计报告进行了仔细检查。监事会认为：本年度</w:t>
      </w:r>
      <w:r>
        <w:rPr>
          <w:spacing w:val="-103"/>
        </w:rPr>
        <w:t> </w:t>
      </w:r>
      <w:r>
        <w:rPr>
          <w:spacing w:val="-103"/>
        </w:rPr>
      </w:r>
      <w:r>
        <w:rPr>
          <w:spacing w:val="-3"/>
        </w:rPr>
        <w:t>公司财务制度健全，各项费用提取合理。董事会编制和审核公司</w:t>
      </w:r>
      <w:r>
        <w:rPr>
          <w:rFonts w:ascii="Times New Roman" w:hAnsi="Times New Roman" w:cs="Times New Roman" w:eastAsia="Times New Roman" w:hint="default"/>
          <w:spacing w:val="-3"/>
        </w:rPr>
        <w:t>2010</w:t>
      </w:r>
      <w:r>
        <w:rPr>
          <w:spacing w:val="-3"/>
        </w:rPr>
        <w:t>年年度报告</w:t>
      </w:r>
      <w:r>
        <w:rPr>
          <w:spacing w:val="-97"/>
        </w:rPr>
        <w:t> </w:t>
      </w:r>
      <w:r>
        <w:rPr>
          <w:spacing w:val="-3"/>
        </w:rPr>
        <w:t>的程序符合法律、行政法规和中国证监会的规定，报告内容真实、准确、完整地</w:t>
      </w:r>
      <w:r>
        <w:rPr>
          <w:spacing w:val="-103"/>
        </w:rPr>
        <w:t> </w:t>
      </w:r>
      <w:r>
        <w:rPr>
          <w:spacing w:val="-103"/>
        </w:rPr>
      </w:r>
      <w:r>
        <w:rPr/>
        <w:t>反映了公司的实际情况，不存在任何虚假记载、误导性陈述或者重大遗漏。</w:t>
      </w:r>
    </w:p>
    <w:p>
      <w:pPr>
        <w:pStyle w:val="Heading3"/>
        <w:spacing w:line="240" w:lineRule="auto" w:before="214"/>
        <w:ind w:right="111"/>
        <w:jc w:val="left"/>
        <w:rPr>
          <w:b w:val="0"/>
          <w:bCs w:val="0"/>
        </w:rPr>
      </w:pPr>
      <w:r>
        <w:rPr/>
        <w:t>（三）对募集资金的使用和管理的监督</w:t>
      </w:r>
      <w:r>
        <w:rPr>
          <w:b w:val="0"/>
          <w:bCs w:val="0"/>
        </w:rPr>
      </w:r>
    </w:p>
    <w:p>
      <w:pPr>
        <w:spacing w:line="240" w:lineRule="auto" w:before="9"/>
        <w:rPr>
          <w:rFonts w:ascii="宋体" w:hAnsi="宋体" w:cs="宋体" w:eastAsia="宋体" w:hint="default"/>
          <w:b/>
          <w:bCs/>
          <w:sz w:val="25"/>
          <w:szCs w:val="25"/>
        </w:rPr>
      </w:pPr>
    </w:p>
    <w:p>
      <w:pPr>
        <w:pStyle w:val="BodyText"/>
        <w:spacing w:line="374" w:lineRule="auto"/>
        <w:ind w:right="113" w:firstLine="480"/>
        <w:jc w:val="both"/>
      </w:pPr>
      <w:r>
        <w:rPr>
          <w:spacing w:val="-3"/>
        </w:rPr>
        <w:t>经核查，公司严格按照《深圳证券交易所创业板股票上市规则》、《公司章</w:t>
      </w:r>
      <w:r>
        <w:rPr/>
        <w:t> </w:t>
      </w:r>
      <w:r>
        <w:rPr>
          <w:spacing w:val="-3"/>
        </w:rPr>
        <w:t>程》、《募集资金管理制度》对募集资金进行使用和管理，不存在违规使用募集</w:t>
      </w:r>
      <w:r>
        <w:rPr>
          <w:spacing w:val="-103"/>
        </w:rPr>
        <w:t> </w:t>
      </w:r>
      <w:r>
        <w:rPr>
          <w:spacing w:val="-103"/>
        </w:rPr>
      </w:r>
      <w:r>
        <w:rPr>
          <w:spacing w:val="-6"/>
        </w:rPr>
        <w:t>资金的行为，募集资金实际投入项目与承诺投入项目一致，没有变更投向和用途。</w:t>
      </w:r>
    </w:p>
    <w:p>
      <w:pPr>
        <w:pStyle w:val="Heading3"/>
        <w:spacing w:line="240" w:lineRule="auto" w:before="204"/>
        <w:ind w:right="111"/>
        <w:jc w:val="left"/>
        <w:rPr>
          <w:b w:val="0"/>
          <w:bCs w:val="0"/>
        </w:rPr>
      </w:pPr>
      <w:r>
        <w:rPr/>
        <w:t>（四）对公司收购、出售资产的监督</w:t>
      </w:r>
      <w:r>
        <w:rPr>
          <w:b w:val="0"/>
          <w:bCs w:val="0"/>
        </w:rPr>
      </w:r>
    </w:p>
    <w:p>
      <w:pPr>
        <w:spacing w:line="240" w:lineRule="auto" w:before="9"/>
        <w:rPr>
          <w:rFonts w:ascii="宋体" w:hAnsi="宋体" w:cs="宋体" w:eastAsia="宋体" w:hint="default"/>
          <w:b/>
          <w:bCs/>
          <w:sz w:val="25"/>
          <w:szCs w:val="25"/>
        </w:rPr>
      </w:pPr>
    </w:p>
    <w:p>
      <w:pPr>
        <w:pStyle w:val="BodyText"/>
        <w:spacing w:line="374" w:lineRule="auto"/>
        <w:ind w:right="233" w:firstLine="480"/>
        <w:jc w:val="both"/>
      </w:pPr>
      <w:r>
        <w:rPr/>
        <w:t>报告期内，公司购买位于北京市海淀区西直门北大街</w:t>
      </w:r>
      <w:r>
        <w:rPr>
          <w:rFonts w:ascii="宋体" w:hAnsi="宋体" w:cs="宋体" w:eastAsia="宋体" w:hint="default"/>
        </w:rPr>
        <w:t>32</w:t>
      </w:r>
      <w:r>
        <w:rPr/>
        <w:t>号枫蓝国际中心</w:t>
      </w:r>
      <w:r>
        <w:rPr>
          <w:rFonts w:ascii="宋体" w:hAnsi="宋体" w:cs="宋体" w:eastAsia="宋体" w:hint="default"/>
        </w:rPr>
        <w:t>1</w:t>
      </w:r>
      <w:r>
        <w:rPr/>
        <w:t>号 </w:t>
      </w:r>
      <w:r>
        <w:rPr>
          <w:spacing w:val="-3"/>
        </w:rPr>
        <w:t>楼</w:t>
      </w:r>
      <w:r>
        <w:rPr>
          <w:rFonts w:ascii="宋体" w:hAnsi="宋体" w:cs="宋体" w:eastAsia="宋体" w:hint="default"/>
          <w:spacing w:val="-3"/>
        </w:rPr>
        <w:t>18</w:t>
      </w:r>
      <w:r>
        <w:rPr>
          <w:spacing w:val="-3"/>
        </w:rPr>
        <w:t>层的部分办公楼及地下车位。公司购买的资产权属清晰，交易价格公允，资</w:t>
      </w:r>
      <w:r>
        <w:rPr>
          <w:spacing w:val="-99"/>
        </w:rPr>
        <w:t> </w:t>
      </w:r>
      <w:r>
        <w:rPr>
          <w:spacing w:val="-99"/>
        </w:rPr>
      </w:r>
      <w:r>
        <w:rPr>
          <w:spacing w:val="-3"/>
        </w:rPr>
        <w:t>产过户手续已合法完成。该收购行为未发生内幕交易、关联交易以及其他损害公</w:t>
      </w:r>
      <w:r>
        <w:rPr>
          <w:spacing w:val="-103"/>
        </w:rPr>
        <w:t> </w:t>
      </w:r>
      <w:r>
        <w:rPr>
          <w:spacing w:val="-103"/>
        </w:rPr>
      </w:r>
      <w:r>
        <w:rPr/>
        <w:t>司股东利益或造成公司资产流失的情况。</w:t>
      </w:r>
    </w:p>
    <w:p>
      <w:pPr>
        <w:pStyle w:val="Heading3"/>
        <w:spacing w:line="240" w:lineRule="auto" w:before="204"/>
        <w:ind w:right="111"/>
        <w:jc w:val="left"/>
        <w:rPr>
          <w:b w:val="0"/>
          <w:bCs w:val="0"/>
        </w:rPr>
      </w:pPr>
      <w:r>
        <w:rPr/>
        <w:t>（五）对公司关联交易的监督</w:t>
      </w:r>
      <w:r>
        <w:rPr>
          <w:b w:val="0"/>
          <w:bCs w:val="0"/>
        </w:rPr>
      </w:r>
    </w:p>
    <w:p>
      <w:pPr>
        <w:spacing w:after="0" w:line="240" w:lineRule="auto"/>
        <w:jc w:val="left"/>
        <w:sectPr>
          <w:footerReference w:type="default" r:id="rId26"/>
          <w:pgSz w:w="11910" w:h="16840"/>
          <w:pgMar w:footer="979" w:header="850" w:top="1380" w:bottom="1160" w:left="1660" w:right="1560"/>
          <w:pgNumType w:start="61"/>
        </w:sectPr>
      </w:pPr>
    </w:p>
    <w:p>
      <w:pPr>
        <w:pStyle w:val="BodyText"/>
        <w:spacing w:line="240" w:lineRule="auto" w:before="105"/>
        <w:ind w:left="617" w:right="0"/>
        <w:jc w:val="left"/>
      </w:pPr>
      <w:r>
        <w:rPr/>
        <w:t>报告期内，公司未发生任何关联交易行为。</w:t>
      </w:r>
    </w:p>
    <w:p>
      <w:pPr>
        <w:spacing w:line="650" w:lineRule="atLeast" w:before="3"/>
        <w:ind w:left="617" w:right="128" w:firstLine="2"/>
        <w:jc w:val="left"/>
        <w:rPr>
          <w:rFonts w:ascii="宋体" w:hAnsi="宋体" w:cs="宋体" w:eastAsia="宋体" w:hint="default"/>
          <w:sz w:val="24"/>
          <w:szCs w:val="24"/>
        </w:rPr>
      </w:pPr>
      <w:r>
        <w:rPr>
          <w:rFonts w:ascii="宋体" w:hAnsi="宋体" w:cs="宋体" w:eastAsia="宋体" w:hint="default"/>
          <w:b/>
          <w:bCs/>
          <w:sz w:val="24"/>
          <w:szCs w:val="24"/>
        </w:rPr>
        <w:t>（六）对公司内部控制情况的监督</w:t>
      </w:r>
      <w:r>
        <w:rPr>
          <w:rFonts w:ascii="宋体" w:hAnsi="宋体" w:cs="宋体" w:eastAsia="宋体" w:hint="default"/>
          <w:b/>
          <w:bCs/>
          <w:w w:val="99"/>
          <w:sz w:val="24"/>
          <w:szCs w:val="24"/>
        </w:rPr>
        <w:t> </w:t>
      </w:r>
      <w:r>
        <w:rPr>
          <w:rFonts w:ascii="宋体" w:hAnsi="宋体" w:cs="宋体" w:eastAsia="宋体" w:hint="default"/>
          <w:spacing w:val="-3"/>
          <w:sz w:val="24"/>
          <w:szCs w:val="24"/>
        </w:rPr>
        <w:t>监事会认为公司现已建立了较完善的内部控制体系，符合国家相关法律法规</w:t>
      </w:r>
    </w:p>
    <w:p>
      <w:pPr>
        <w:pStyle w:val="BodyText"/>
        <w:spacing w:line="374" w:lineRule="auto" w:before="175"/>
        <w:ind w:right="133"/>
        <w:jc w:val="both"/>
      </w:pPr>
      <w:r>
        <w:rPr>
          <w:spacing w:val="-3"/>
        </w:rPr>
        <w:t>要求以及公司生产经营管理实际需要，并能得到有效执行，内部控制体系的建立</w:t>
      </w:r>
      <w:r>
        <w:rPr>
          <w:spacing w:val="-103"/>
        </w:rPr>
        <w:t> </w:t>
      </w:r>
      <w:r>
        <w:rPr>
          <w:spacing w:val="-103"/>
        </w:rPr>
      </w:r>
      <w:r>
        <w:rPr>
          <w:spacing w:val="-6"/>
        </w:rPr>
        <w:t>对公司生产经营管理的各环节起到了较好的风险防范和控制作用，《公司</w:t>
      </w:r>
      <w:r>
        <w:rPr>
          <w:rFonts w:ascii="宋体" w:hAnsi="宋体" w:cs="宋体" w:eastAsia="宋体" w:hint="default"/>
          <w:spacing w:val="-6"/>
        </w:rPr>
        <w:t>2010</w:t>
      </w:r>
      <w:r>
        <w:rPr>
          <w:rFonts w:ascii="宋体" w:hAnsi="宋体" w:cs="宋体" w:eastAsia="宋体" w:hint="default"/>
          <w:spacing w:val="5"/>
        </w:rPr>
        <w:t> </w:t>
      </w:r>
      <w:r>
        <w:rPr/>
        <w:t>年 </w:t>
      </w:r>
      <w:r>
        <w:rPr>
          <w:spacing w:val="-3"/>
        </w:rPr>
        <w:t>度内部控制自我评价报告》真实、客观地反映了公司内部控制制度的建设及运行</w:t>
      </w:r>
      <w:r>
        <w:rPr>
          <w:spacing w:val="-106"/>
        </w:rPr>
        <w:t> </w:t>
      </w:r>
      <w:r>
        <w:rPr>
          <w:spacing w:val="-106"/>
        </w:rPr>
      </w:r>
      <w:r>
        <w:rPr/>
        <w:t>情况。</w:t>
      </w:r>
    </w:p>
    <w:p>
      <w:pPr>
        <w:pStyle w:val="Heading3"/>
        <w:spacing w:line="240" w:lineRule="auto" w:before="204"/>
        <w:ind w:right="0"/>
        <w:jc w:val="left"/>
        <w:rPr>
          <w:b w:val="0"/>
          <w:bCs w:val="0"/>
        </w:rPr>
      </w:pPr>
      <w:r>
        <w:rPr/>
        <w:t>（七）对公司对外担保及股权、资产置换情况的监督</w:t>
      </w:r>
      <w:r>
        <w:rPr>
          <w:b w:val="0"/>
          <w:bCs w:val="0"/>
        </w:rPr>
      </w:r>
    </w:p>
    <w:p>
      <w:pPr>
        <w:spacing w:line="240" w:lineRule="auto" w:before="12"/>
        <w:rPr>
          <w:rFonts w:ascii="宋体" w:hAnsi="宋体" w:cs="宋体" w:eastAsia="宋体" w:hint="default"/>
          <w:b/>
          <w:bCs/>
          <w:sz w:val="25"/>
          <w:szCs w:val="25"/>
        </w:rPr>
      </w:pPr>
    </w:p>
    <w:p>
      <w:pPr>
        <w:pStyle w:val="BodyText"/>
        <w:spacing w:line="372" w:lineRule="auto"/>
        <w:ind w:right="128" w:firstLine="480"/>
        <w:jc w:val="left"/>
      </w:pPr>
      <w:r>
        <w:rPr>
          <w:spacing w:val="-3"/>
        </w:rPr>
        <w:t>报告期内，公司未发生对外担保，未发生债务重组、非货币性交易事项及资</w:t>
      </w:r>
      <w:r>
        <w:rPr/>
        <w:t> 产置换，也未发生其他损害公司股东利益或造成公司资产流失的情况。</w:t>
      </w:r>
    </w:p>
    <w:p>
      <w:pPr>
        <w:spacing w:after="0" w:line="372" w:lineRule="auto"/>
        <w:jc w:val="left"/>
        <w:sectPr>
          <w:pgSz w:w="11910" w:h="16840"/>
          <w:pgMar w:header="850" w:footer="979" w:top="1380" w:bottom="1160" w:left="1660" w:right="1660"/>
        </w:sectPr>
      </w:pPr>
    </w:p>
    <w:p>
      <w:pPr>
        <w:spacing w:line="240" w:lineRule="auto" w:before="11"/>
        <w:rPr>
          <w:rFonts w:ascii="宋体" w:hAnsi="宋体" w:cs="宋体" w:eastAsia="宋体" w:hint="default"/>
          <w:sz w:val="11"/>
          <w:szCs w:val="11"/>
        </w:rPr>
      </w:pPr>
    </w:p>
    <w:p>
      <w:pPr>
        <w:pStyle w:val="Heading2"/>
        <w:spacing w:line="240" w:lineRule="auto"/>
        <w:ind w:right="2195"/>
        <w:jc w:val="center"/>
        <w:rPr>
          <w:b w:val="0"/>
          <w:bCs w:val="0"/>
        </w:rPr>
      </w:pPr>
      <w:bookmarkStart w:name="第九节 财务报告" w:id="17"/>
      <w:bookmarkEnd w:id="17"/>
      <w:r>
        <w:rPr>
          <w:b w:val="0"/>
          <w:bCs w:val="0"/>
        </w:rPr>
      </w:r>
      <w:bookmarkStart w:name="_bookmark8" w:id="18"/>
      <w:bookmarkEnd w:id="18"/>
      <w:r>
        <w:rPr>
          <w:b w:val="0"/>
          <w:bCs w:val="0"/>
        </w:rPr>
      </w:r>
      <w:r>
        <w:rPr/>
        <w:t>第九节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79"/>
        <w:ind w:left="137" w:right="111"/>
        <w:jc w:val="left"/>
        <w:rPr>
          <w:b w:val="0"/>
          <w:bCs w:val="0"/>
        </w:rPr>
      </w:pPr>
      <w:r>
        <w:rPr/>
        <w:t>一、审计报告</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26"/>
        <w:ind w:left="5088" w:right="111"/>
        <w:jc w:val="left"/>
      </w:pPr>
      <w:r>
        <w:rPr/>
        <w:t>中瑞岳华审字</w:t>
      </w:r>
      <w:r>
        <w:rPr>
          <w:rFonts w:ascii="宋体" w:hAnsi="宋体" w:cs="宋体" w:eastAsia="宋体" w:hint="default"/>
        </w:rPr>
        <w:t>[2011]</w:t>
      </w:r>
      <w:r>
        <w:rPr/>
        <w:t>第</w:t>
      </w:r>
      <w:r>
        <w:rPr>
          <w:spacing w:val="-60"/>
        </w:rPr>
        <w:t> </w:t>
      </w:r>
      <w:r>
        <w:rPr>
          <w:rFonts w:ascii="宋体" w:hAnsi="宋体" w:cs="宋体" w:eastAsia="宋体" w:hint="default"/>
        </w:rPr>
        <w:t>05605</w:t>
      </w:r>
      <w:r>
        <w:rPr>
          <w:rFonts w:ascii="宋体" w:hAnsi="宋体" w:cs="宋体" w:eastAsia="宋体" w:hint="default"/>
          <w:spacing w:val="-60"/>
        </w:rPr>
        <w:t> </w:t>
      </w:r>
      <w:r>
        <w:rPr/>
        <w:t>号</w:t>
      </w:r>
    </w:p>
    <w:p>
      <w:pPr>
        <w:spacing w:line="240" w:lineRule="auto" w:before="6"/>
        <w:rPr>
          <w:rFonts w:ascii="宋体" w:hAnsi="宋体" w:cs="宋体" w:eastAsia="宋体" w:hint="default"/>
          <w:sz w:val="11"/>
          <w:szCs w:val="11"/>
        </w:rPr>
      </w:pPr>
    </w:p>
    <w:p>
      <w:pPr>
        <w:spacing w:line="374" w:lineRule="auto" w:before="26"/>
        <w:ind w:left="617" w:right="129" w:hanging="480"/>
        <w:jc w:val="left"/>
        <w:rPr>
          <w:rFonts w:ascii="宋体" w:hAnsi="宋体" w:cs="宋体" w:eastAsia="宋体" w:hint="default"/>
          <w:sz w:val="24"/>
          <w:szCs w:val="24"/>
        </w:rPr>
      </w:pPr>
      <w:r>
        <w:rPr>
          <w:rFonts w:ascii="宋体" w:hAnsi="宋体" w:cs="宋体" w:eastAsia="宋体" w:hint="default"/>
          <w:b/>
          <w:bCs/>
          <w:sz w:val="24"/>
          <w:szCs w:val="24"/>
        </w:rPr>
        <w:t>北京数字政通科技股份有限公司全体股东：</w:t>
      </w:r>
      <w:r>
        <w:rPr>
          <w:rFonts w:ascii="宋体" w:hAnsi="宋体" w:cs="宋体" w:eastAsia="宋体" w:hint="default"/>
          <w:b/>
          <w:bCs/>
          <w:w w:val="99"/>
          <w:sz w:val="24"/>
          <w:szCs w:val="24"/>
        </w:rPr>
        <w:t> </w:t>
      </w:r>
      <w:r>
        <w:rPr>
          <w:rFonts w:ascii="宋体" w:hAnsi="宋体" w:cs="宋体" w:eastAsia="宋体" w:hint="default"/>
          <w:sz w:val="24"/>
          <w:szCs w:val="24"/>
        </w:rPr>
        <w:t>我们审计了后附的北京数字政通科技股份有限公司</w:t>
      </w:r>
      <w:r>
        <w:rPr>
          <w:rFonts w:ascii="宋体" w:hAnsi="宋体" w:cs="宋体" w:eastAsia="宋体" w:hint="default"/>
          <w:sz w:val="24"/>
          <w:szCs w:val="24"/>
        </w:rPr>
        <w:t>(“</w:t>
      </w:r>
      <w:r>
        <w:rPr>
          <w:rFonts w:ascii="宋体" w:hAnsi="宋体" w:cs="宋体" w:eastAsia="宋体" w:hint="default"/>
          <w:sz w:val="24"/>
          <w:szCs w:val="24"/>
        </w:rPr>
        <w:t>贵公司</w:t>
      </w:r>
      <w:r>
        <w:rPr>
          <w:rFonts w:ascii="宋体" w:hAnsi="宋体" w:cs="宋体" w:eastAsia="宋体" w:hint="default"/>
          <w:sz w:val="24"/>
          <w:szCs w:val="24"/>
        </w:rPr>
        <w:t>”)</w:t>
      </w:r>
      <w:r>
        <w:rPr>
          <w:rFonts w:ascii="宋体" w:hAnsi="宋体" w:cs="宋体" w:eastAsia="宋体" w:hint="default"/>
          <w:sz w:val="24"/>
          <w:szCs w:val="24"/>
        </w:rPr>
        <w:t>财务报表，</w:t>
      </w:r>
    </w:p>
    <w:p>
      <w:pPr>
        <w:pStyle w:val="BodyText"/>
        <w:spacing w:line="374" w:lineRule="auto" w:before="41"/>
        <w:ind w:right="235"/>
        <w:jc w:val="both"/>
      </w:pPr>
      <w:r>
        <w:rPr/>
        <w:t>包括</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日的合并及公司的资产负债表，</w:t>
      </w:r>
      <w:r>
        <w:rPr>
          <w:rFonts w:ascii="宋体" w:hAnsi="宋体" w:cs="宋体" w:eastAsia="宋体" w:hint="default"/>
        </w:rPr>
        <w:t>2010</w:t>
      </w:r>
      <w:r>
        <w:rPr>
          <w:rFonts w:ascii="宋体" w:hAnsi="宋体" w:cs="宋体" w:eastAsia="宋体" w:hint="default"/>
          <w:spacing w:val="-65"/>
        </w:rPr>
        <w:t> </w:t>
      </w:r>
      <w:r>
        <w:rPr/>
        <w:t>年度合并及公司的利 </w:t>
      </w:r>
      <w:r>
        <w:rPr>
          <w:spacing w:val="-3"/>
        </w:rPr>
        <w:t>润表、合并及公司的现金流量表和合并及公司的所有者权益变动表以及财务报表</w:t>
      </w:r>
      <w:r>
        <w:rPr>
          <w:spacing w:val="-104"/>
        </w:rPr>
        <w:t> </w:t>
      </w:r>
      <w:r>
        <w:rPr>
          <w:spacing w:val="-104"/>
        </w:rPr>
      </w:r>
      <w:r>
        <w:rPr/>
        <w:t>附注。</w:t>
      </w:r>
    </w:p>
    <w:p>
      <w:pPr>
        <w:spacing w:line="240" w:lineRule="auto" w:before="7"/>
        <w:rPr>
          <w:rFonts w:ascii="宋体" w:hAnsi="宋体" w:cs="宋体" w:eastAsia="宋体" w:hint="default"/>
          <w:sz w:val="27"/>
          <w:szCs w:val="27"/>
        </w:rPr>
      </w:pPr>
    </w:p>
    <w:p>
      <w:pPr>
        <w:spacing w:line="374" w:lineRule="auto" w:before="0"/>
        <w:ind w:left="617" w:right="228"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按照企业会计准则的规定编制财务报表是贵公司管理层的责任。这种责任包</w:t>
      </w:r>
    </w:p>
    <w:p>
      <w:pPr>
        <w:pStyle w:val="BodyText"/>
        <w:spacing w:line="374" w:lineRule="auto" w:before="41"/>
        <w:ind w:right="111"/>
        <w:jc w:val="left"/>
      </w:pPr>
      <w:r>
        <w:rPr/>
        <w:t>括：（</w:t>
      </w:r>
      <w:r>
        <w:rPr>
          <w:rFonts w:ascii="宋体" w:hAnsi="宋体" w:cs="宋体" w:eastAsia="宋体" w:hint="default"/>
        </w:rPr>
        <w:t>1</w:t>
      </w:r>
      <w:r>
        <w:rPr/>
        <w:t>）设计、实施和维护与财务报表编制相关的内部控制，以使财务报表不 </w:t>
      </w:r>
      <w:r>
        <w:rPr>
          <w:spacing w:val="-6"/>
        </w:rPr>
        <w:t>存在由于舞弊或错误而导致的重大错报；（</w:t>
      </w:r>
      <w:r>
        <w:rPr>
          <w:rFonts w:ascii="宋体" w:hAnsi="宋体" w:cs="宋体" w:eastAsia="宋体" w:hint="default"/>
          <w:spacing w:val="-6"/>
        </w:rPr>
        <w:t>2</w:t>
      </w:r>
      <w:r>
        <w:rPr>
          <w:spacing w:val="-6"/>
        </w:rPr>
        <w:t>）选择和运用恰当的会计政策；（</w:t>
      </w:r>
      <w:r>
        <w:rPr>
          <w:rFonts w:ascii="宋体" w:hAnsi="宋体" w:cs="宋体" w:eastAsia="宋体" w:hint="default"/>
          <w:spacing w:val="-6"/>
        </w:rPr>
        <w:t>3</w:t>
      </w:r>
      <w:r>
        <w:rPr>
          <w:spacing w:val="-6"/>
        </w:rPr>
        <w:t>）</w:t>
      </w:r>
      <w:r>
        <w:rPr>
          <w:spacing w:val="-106"/>
        </w:rPr>
        <w:t> </w:t>
      </w:r>
      <w:r>
        <w:rPr/>
        <w:t>作出合理的会计估计。</w:t>
      </w:r>
    </w:p>
    <w:p>
      <w:pPr>
        <w:spacing w:line="240" w:lineRule="auto" w:before="7"/>
        <w:rPr>
          <w:rFonts w:ascii="宋体" w:hAnsi="宋体" w:cs="宋体" w:eastAsia="宋体" w:hint="default"/>
          <w:sz w:val="27"/>
          <w:szCs w:val="27"/>
        </w:rPr>
      </w:pPr>
    </w:p>
    <w:p>
      <w:pPr>
        <w:spacing w:line="374" w:lineRule="auto" w:before="0"/>
        <w:ind w:left="617" w:right="228"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3"/>
          <w:sz w:val="24"/>
          <w:szCs w:val="24"/>
        </w:rPr>
        <w:t>我们的责任是在实施审计工作的基础上对财务报表发表审计意见。我们按照</w:t>
      </w:r>
    </w:p>
    <w:p>
      <w:pPr>
        <w:pStyle w:val="BodyText"/>
        <w:spacing w:line="374" w:lineRule="auto" w:before="41"/>
        <w:ind w:right="235"/>
        <w:jc w:val="both"/>
      </w:pPr>
      <w:r>
        <w:rPr>
          <w:spacing w:val="-3"/>
        </w:rPr>
        <w:t>中国注册会计师审计准则的规定执行了审计工作。中国注册会计师审计准则要求</w:t>
      </w:r>
      <w:r>
        <w:rPr>
          <w:spacing w:val="-104"/>
        </w:rPr>
        <w:t> </w:t>
      </w:r>
      <w:r>
        <w:rPr>
          <w:spacing w:val="-104"/>
        </w:rPr>
      </w:r>
      <w:r>
        <w:rPr>
          <w:spacing w:val="-3"/>
        </w:rPr>
        <w:t>我们遵守职业道德规范，计划和实施审计工作以对财务报表是否不存在重大错报</w:t>
      </w:r>
      <w:r>
        <w:rPr>
          <w:spacing w:val="-104"/>
        </w:rPr>
        <w:t> </w:t>
      </w:r>
      <w:r>
        <w:rPr>
          <w:spacing w:val="-104"/>
        </w:rPr>
      </w:r>
      <w:r>
        <w:rPr/>
        <w:t>获取合理保证。</w:t>
      </w:r>
    </w:p>
    <w:p>
      <w:pPr>
        <w:pStyle w:val="BodyText"/>
        <w:spacing w:line="374" w:lineRule="auto" w:before="41"/>
        <w:ind w:right="129"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4"/>
        </w:rPr>
        <w:t> </w:t>
      </w:r>
      <w:r>
        <w:rPr>
          <w:spacing w:val="-104"/>
        </w:rPr>
      </w:r>
      <w:r>
        <w:rPr/>
        <w:t>评价财务报表的总体列报。</w:t>
      </w:r>
    </w:p>
    <w:p>
      <w:pPr>
        <w:pStyle w:val="BodyText"/>
        <w:spacing w:line="372" w:lineRule="auto" w:before="41"/>
        <w:ind w:right="228" w:firstLine="480"/>
        <w:jc w:val="left"/>
      </w:pPr>
      <w:r>
        <w:rPr>
          <w:spacing w:val="-3"/>
        </w:rPr>
        <w:t>我们相信，我们获取的审计证据是充分、适当的，为发表审计意见提供了基</w:t>
      </w:r>
      <w:r>
        <w:rPr/>
        <w:t> 础。</w:t>
      </w:r>
    </w:p>
    <w:p>
      <w:pPr>
        <w:spacing w:after="0" w:line="372" w:lineRule="auto"/>
        <w:jc w:val="left"/>
        <w:sectPr>
          <w:pgSz w:w="11910" w:h="16840"/>
          <w:pgMar w:header="850" w:footer="979" w:top="1380" w:bottom="1160" w:left="166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372" w:lineRule="auto" w:before="26"/>
        <w:ind w:left="617" w:right="128"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我们认为，上述财务报表已经按照企业会计准则的规定编制，在所有重大方</w:t>
      </w:r>
    </w:p>
    <w:p>
      <w:pPr>
        <w:pStyle w:val="BodyText"/>
        <w:spacing w:line="374" w:lineRule="auto" w:before="43"/>
        <w:ind w:right="123"/>
        <w:jc w:val="left"/>
      </w:pPr>
      <w:r>
        <w:rPr/>
        <w:t>面公允反映了贵公司</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0"/>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日的财务状况以及</w:t>
      </w:r>
      <w:r>
        <w:rPr>
          <w:spacing w:val="-72"/>
        </w:rPr>
        <w:t> </w:t>
      </w:r>
      <w:r>
        <w:rPr>
          <w:rFonts w:ascii="宋体" w:hAnsi="宋体" w:cs="宋体" w:eastAsia="宋体" w:hint="default"/>
        </w:rPr>
        <w:t>2010</w:t>
      </w:r>
      <w:r>
        <w:rPr>
          <w:rFonts w:ascii="宋体" w:hAnsi="宋体" w:cs="宋体" w:eastAsia="宋体" w:hint="default"/>
          <w:spacing w:val="-72"/>
        </w:rPr>
        <w:t> </w:t>
      </w:r>
      <w:r>
        <w:rPr/>
        <w:t>年度的经营成果和 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237" w:type="dxa"/>
        <w:tblLayout w:type="fixed"/>
        <w:tblCellMar>
          <w:top w:w="0" w:type="dxa"/>
          <w:left w:w="0" w:type="dxa"/>
          <w:bottom w:w="0" w:type="dxa"/>
          <w:right w:w="0" w:type="dxa"/>
        </w:tblCellMar>
        <w:tblLook w:val="01E0"/>
      </w:tblPr>
      <w:tblGrid>
        <w:gridCol w:w="4264"/>
        <w:gridCol w:w="3544"/>
      </w:tblGrid>
      <w:tr>
        <w:trPr>
          <w:trHeight w:val="80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exact"/>
              <w:ind w:right="502"/>
              <w:jc w:val="center"/>
              <w:rPr>
                <w:rFonts w:ascii="宋体" w:hAnsi="宋体" w:cs="宋体" w:eastAsia="宋体" w:hint="default"/>
                <w:sz w:val="24"/>
                <w:szCs w:val="24"/>
              </w:rPr>
            </w:pPr>
            <w:r>
              <w:rPr>
                <w:rFonts w:ascii="宋体" w:hAnsi="宋体" w:cs="宋体" w:eastAsia="宋体" w:hint="default"/>
                <w:sz w:val="24"/>
                <w:szCs w:val="24"/>
              </w:rPr>
              <w:t>中瑞岳华会计师事务所有限公司</w:t>
            </w:r>
          </w:p>
        </w:tc>
        <w:tc>
          <w:tcPr>
            <w:tcW w:w="3544" w:type="dxa"/>
            <w:tcBorders>
              <w:top w:val="nil" w:sz="6" w:space="0" w:color="auto"/>
              <w:left w:val="nil" w:sz="6" w:space="0" w:color="auto"/>
              <w:bottom w:val="nil" w:sz="6" w:space="0" w:color="auto"/>
              <w:right w:val="nil" w:sz="6" w:space="0" w:color="auto"/>
            </w:tcBorders>
          </w:tcPr>
          <w:p>
            <w:pPr>
              <w:pStyle w:val="TableParagraph"/>
              <w:spacing w:line="240" w:lineRule="exact"/>
              <w:ind w:left="504" w:right="0"/>
              <w:jc w:val="center"/>
              <w:rPr>
                <w:rFonts w:ascii="宋体" w:hAnsi="宋体" w:cs="宋体" w:eastAsia="宋体" w:hint="default"/>
                <w:sz w:val="24"/>
                <w:szCs w:val="24"/>
              </w:rPr>
            </w:pPr>
            <w:r>
              <w:rPr>
                <w:rFonts w:ascii="宋体" w:hAnsi="宋体" w:cs="宋体" w:eastAsia="宋体" w:hint="default"/>
                <w:sz w:val="24"/>
                <w:szCs w:val="24"/>
              </w:rPr>
              <w:t>中国注册会计师：张富根</w:t>
            </w:r>
          </w:p>
        </w:tc>
      </w:tr>
      <w:tr>
        <w:trPr>
          <w:trHeight w:val="134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right="502"/>
              <w:jc w:val="center"/>
              <w:rPr>
                <w:rFonts w:ascii="宋体" w:hAnsi="宋体" w:cs="宋体" w:eastAsia="宋体" w:hint="default"/>
                <w:sz w:val="24"/>
                <w:szCs w:val="24"/>
              </w:rPr>
            </w:pPr>
            <w:r>
              <w:rPr>
                <w:rFonts w:ascii="宋体" w:hAnsi="宋体" w:cs="宋体" w:eastAsia="宋体" w:hint="default"/>
                <w:sz w:val="24"/>
                <w:szCs w:val="24"/>
              </w:rPr>
              <w:t>中国·北京</w:t>
            </w:r>
          </w:p>
        </w:tc>
        <w:tc>
          <w:tcPr>
            <w:tcW w:w="35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left="504" w:right="0"/>
              <w:jc w:val="center"/>
              <w:rPr>
                <w:rFonts w:ascii="宋体" w:hAnsi="宋体" w:cs="宋体" w:eastAsia="宋体" w:hint="default"/>
                <w:sz w:val="24"/>
                <w:szCs w:val="24"/>
              </w:rPr>
            </w:pPr>
            <w:r>
              <w:rPr>
                <w:rFonts w:ascii="宋体" w:hAnsi="宋体" w:cs="宋体" w:eastAsia="宋体" w:hint="default"/>
                <w:sz w:val="24"/>
                <w:szCs w:val="24"/>
              </w:rPr>
              <w:t>中国注册会计师：苗策</w:t>
            </w:r>
          </w:p>
        </w:tc>
      </w:tr>
      <w:tr>
        <w:trPr>
          <w:trHeight w:val="780" w:hRule="exact"/>
        </w:trPr>
        <w:tc>
          <w:tcPr>
            <w:tcW w:w="4264"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left="506"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2"/>
        <w:ind w:left="137" w:right="0"/>
        <w:jc w:val="left"/>
        <w:rPr>
          <w:b w:val="0"/>
          <w:bCs w:val="0"/>
        </w:rPr>
      </w:pPr>
      <w:r>
        <w:rPr/>
        <w:t>二、财务报表</w:t>
      </w:r>
      <w:r>
        <w:rPr>
          <w:b w:val="0"/>
          <w:bCs w:val="0"/>
        </w:rPr>
      </w:r>
    </w:p>
    <w:p>
      <w:pPr>
        <w:spacing w:line="240" w:lineRule="auto" w:before="12"/>
        <w:rPr>
          <w:rFonts w:ascii="宋体" w:hAnsi="宋体" w:cs="宋体" w:eastAsia="宋体" w:hint="default"/>
          <w:b/>
          <w:bCs/>
          <w:sz w:val="25"/>
          <w:szCs w:val="25"/>
        </w:rPr>
      </w:pPr>
    </w:p>
    <w:p>
      <w:pPr>
        <w:spacing w:before="0"/>
        <w:ind w:left="603" w:right="0" w:firstLine="0"/>
        <w:jc w:val="left"/>
        <w:rPr>
          <w:rFonts w:ascii="宋体" w:hAnsi="宋体" w:cs="宋体" w:eastAsia="宋体" w:hint="default"/>
          <w:sz w:val="24"/>
          <w:szCs w:val="24"/>
        </w:rPr>
      </w:pPr>
      <w:r>
        <w:rPr>
          <w:rFonts w:ascii="宋体" w:hAnsi="宋体" w:cs="宋体" w:eastAsia="宋体" w:hint="default"/>
          <w:b/>
          <w:bCs/>
          <w:sz w:val="24"/>
          <w:szCs w:val="24"/>
        </w:rPr>
        <w:t>（一）资产负债表</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tabs>
          <w:tab w:pos="4839" w:val="left" w:leader="none"/>
          <w:tab w:pos="7635" w:val="left" w:leader="none"/>
        </w:tabs>
        <w:spacing w:before="0"/>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编制单位：北京数字政通科技股份有限公司</w:t>
        <w:tab/>
      </w: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tab/>
      </w:r>
      <w:r>
        <w:rPr>
          <w:rFonts w:ascii="宋体" w:hAnsi="宋体" w:cs="宋体" w:eastAsia="宋体" w:hint="default"/>
          <w:spacing w:val="-8"/>
          <w:sz w:val="21"/>
          <w:szCs w:val="21"/>
        </w:rPr>
        <w:t>单位：元</w:t>
      </w:r>
    </w:p>
    <w:p>
      <w:pPr>
        <w:spacing w:after="0"/>
        <w:jc w:val="left"/>
        <w:rPr>
          <w:rFonts w:ascii="宋体" w:hAnsi="宋体" w:cs="宋体" w:eastAsia="宋体" w:hint="default"/>
          <w:sz w:val="21"/>
          <w:szCs w:val="21"/>
        </w:rPr>
        <w:sectPr>
          <w:pgSz w:w="11910" w:h="16840"/>
          <w:pgMar w:header="850" w:footer="979" w:top="1380" w:bottom="1160" w:left="1660" w:right="1660"/>
        </w:sect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173" w:hRule="exact"/>
        </w:trPr>
        <w:tc>
          <w:tcPr>
            <w:tcW w:w="2525" w:type="dxa"/>
            <w:tcBorders>
              <w:top w:val="single" w:sz="4" w:space="0" w:color="000000"/>
              <w:left w:val="single" w:sz="4" w:space="0" w:color="000000"/>
              <w:bottom w:val="nil" w:sz="6" w:space="0" w:color="auto"/>
              <w:right w:val="single" w:sz="4" w:space="0" w:color="000000"/>
            </w:tcBorders>
            <w:shd w:val="clear" w:color="auto" w:fill="DDDDDD"/>
          </w:tcPr>
          <w:p>
            <w:pPr/>
          </w:p>
        </w:tc>
        <w:tc>
          <w:tcPr>
            <w:tcW w:w="3653"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638"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年初余额</w:t>
            </w:r>
          </w:p>
        </w:tc>
      </w:tr>
      <w:tr>
        <w:trPr>
          <w:trHeight w:val="158" w:hRule="exact"/>
        </w:trPr>
        <w:tc>
          <w:tcPr>
            <w:tcW w:w="2525" w:type="dxa"/>
            <w:vMerge w:val="restart"/>
            <w:tcBorders>
              <w:top w:val="nil" w:sz="6" w:space="0" w:color="auto"/>
              <w:left w:val="single" w:sz="4" w:space="0" w:color="000000"/>
              <w:right w:val="single" w:sz="4" w:space="0" w:color="000000"/>
            </w:tcBorders>
            <w:shd w:val="clear" w:color="auto" w:fill="DDDDDD"/>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53" w:type="dxa"/>
            <w:gridSpan w:val="2"/>
            <w:vMerge/>
            <w:tcBorders>
              <w:left w:val="single" w:sz="4" w:space="0" w:color="000000"/>
              <w:bottom w:val="single" w:sz="4" w:space="0" w:color="000000"/>
              <w:right w:val="single" w:sz="4" w:space="0" w:color="000000"/>
            </w:tcBorders>
            <w:shd w:val="clear" w:color="auto" w:fill="DDDDDD"/>
          </w:tcPr>
          <w:p>
            <w:pPr/>
          </w:p>
        </w:tc>
        <w:tc>
          <w:tcPr>
            <w:tcW w:w="3638" w:type="dxa"/>
            <w:gridSpan w:val="2"/>
            <w:vMerge/>
            <w:tcBorders>
              <w:left w:val="single" w:sz="4" w:space="0" w:color="000000"/>
              <w:bottom w:val="single" w:sz="4" w:space="0" w:color="000000"/>
              <w:right w:val="single" w:sz="4" w:space="0" w:color="000000"/>
            </w:tcBorders>
            <w:shd w:val="clear" w:color="auto" w:fill="DDDDDD"/>
          </w:tcPr>
          <w:p>
            <w:pPr/>
          </w:p>
        </w:tc>
      </w:tr>
      <w:tr>
        <w:trPr>
          <w:trHeight w:val="168" w:hRule="exact"/>
        </w:trPr>
        <w:tc>
          <w:tcPr>
            <w:tcW w:w="2525" w:type="dxa"/>
            <w:vMerge/>
            <w:tcBorders>
              <w:left w:val="single" w:sz="4" w:space="0" w:color="000000"/>
              <w:bottom w:val="nil" w:sz="6" w:space="0" w:color="auto"/>
              <w:right w:val="single" w:sz="4" w:space="0" w:color="000000"/>
            </w:tcBorders>
            <w:shd w:val="clear" w:color="auto" w:fill="DDDDDD"/>
          </w:tcPr>
          <w:p>
            <w:pPr/>
          </w:p>
        </w:tc>
        <w:tc>
          <w:tcPr>
            <w:tcW w:w="1831" w:type="dxa"/>
            <w:vMerge w:val="restart"/>
            <w:tcBorders>
              <w:top w:val="single" w:sz="4" w:space="0" w:color="000000"/>
              <w:left w:val="single" w:sz="4" w:space="0" w:color="000000"/>
              <w:right w:val="single" w:sz="4" w:space="0" w:color="000000"/>
            </w:tcBorders>
            <w:shd w:val="clear" w:color="auto" w:fill="DDDDDD"/>
          </w:tcPr>
          <w:p>
            <w:pPr>
              <w:pStyle w:val="TableParagraph"/>
              <w:spacing w:line="279" w:lineRule="exact"/>
              <w:ind w:left="7"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vMerge w:val="restart"/>
            <w:tcBorders>
              <w:top w:val="single" w:sz="4" w:space="0" w:color="000000"/>
              <w:left w:val="single" w:sz="4" w:space="0" w:color="000000"/>
              <w:right w:val="single" w:sz="4" w:space="0" w:color="000000"/>
            </w:tcBorders>
            <w:shd w:val="clear" w:color="auto" w:fill="DDDDDD"/>
          </w:tcPr>
          <w:p>
            <w:pPr>
              <w:pStyle w:val="TableParagraph"/>
              <w:spacing w:line="279"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vMerge w:val="restart"/>
            <w:tcBorders>
              <w:top w:val="single" w:sz="4" w:space="0" w:color="000000"/>
              <w:left w:val="single" w:sz="4" w:space="0" w:color="000000"/>
              <w:right w:val="single" w:sz="4" w:space="0" w:color="000000"/>
            </w:tcBorders>
            <w:shd w:val="clear" w:color="auto" w:fill="DDDDDD"/>
          </w:tcPr>
          <w:p>
            <w:pPr>
              <w:pStyle w:val="TableParagraph"/>
              <w:spacing w:line="279"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DDDDD"/>
          </w:tcPr>
          <w:p>
            <w:pPr>
              <w:pStyle w:val="TableParagraph"/>
              <w:spacing w:line="279"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DDDDD"/>
          </w:tcPr>
          <w:p>
            <w:pPr/>
          </w:p>
        </w:tc>
        <w:tc>
          <w:tcPr>
            <w:tcW w:w="1831" w:type="dxa"/>
            <w:vMerge/>
            <w:tcBorders>
              <w:left w:val="single" w:sz="4" w:space="0" w:color="000000"/>
              <w:bottom w:val="single" w:sz="4" w:space="0" w:color="000000"/>
              <w:right w:val="single" w:sz="4" w:space="0" w:color="000000"/>
            </w:tcBorders>
            <w:shd w:val="clear" w:color="auto" w:fill="DDDDDD"/>
          </w:tcPr>
          <w:p>
            <w:pPr/>
          </w:p>
        </w:tc>
        <w:tc>
          <w:tcPr>
            <w:tcW w:w="1822" w:type="dxa"/>
            <w:vMerge/>
            <w:tcBorders>
              <w:left w:val="single" w:sz="4" w:space="0" w:color="000000"/>
              <w:bottom w:val="single" w:sz="4" w:space="0" w:color="000000"/>
              <w:right w:val="single" w:sz="4" w:space="0" w:color="000000"/>
            </w:tcBorders>
            <w:shd w:val="clear" w:color="auto" w:fill="DDDDDD"/>
          </w:tcPr>
          <w:p>
            <w:pPr/>
          </w:p>
        </w:tc>
        <w:tc>
          <w:tcPr>
            <w:tcW w:w="1819" w:type="dxa"/>
            <w:vMerge/>
            <w:tcBorders>
              <w:left w:val="single" w:sz="4" w:space="0" w:color="000000"/>
              <w:bottom w:val="single" w:sz="4" w:space="0" w:color="000000"/>
              <w:right w:val="single" w:sz="4" w:space="0" w:color="000000"/>
            </w:tcBorders>
            <w:shd w:val="clear" w:color="auto" w:fill="DDDDDD"/>
          </w:tcPr>
          <w:p>
            <w:pPr/>
          </w:p>
        </w:tc>
        <w:tc>
          <w:tcPr>
            <w:tcW w:w="1819" w:type="dxa"/>
            <w:vMerge/>
            <w:tcBorders>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774,570,706.59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772,358,395.19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96,073,116.01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93,867,177.11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600,000.00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600,000.00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36,569,213.82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36,569,213.82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7,955,190.00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7,955,190.00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14,139,882.12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14,139,882.12</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6,544,160.93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6,544,160.93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4,153,809.11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4,153,809.11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2,586,252.43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2,586,252.43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1,466,492.47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1,466,492.47</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820,870,333.77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818,658,022.37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123,788,489.71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121,582,550.81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发放委托贷款及垫款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2,000,000.00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2,000,000.00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38,809,152.35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38,809,152.35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1,932,544.89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1,932,544.89</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450,032.52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450,032.52</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1,057,500.00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1,057,500.00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1,339,500.00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1,339,500.00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14,153,714.74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14,153,714.74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4,258,786.61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4,258,786.61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375,935.45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375,935.45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83,739.00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83,739.00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79" w:top="1440" w:bottom="1160" w:left="940" w:right="920"/>
        </w:sect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54,846,335.06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56,846,335.06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7,614,570.50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9,614,570.50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875,716,668.83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875,504,357.43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131,403,060.21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131,197,121.31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825,069.85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825,069.85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2,181,564.80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2,181,564.80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1,857,749.07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1,857,749.07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2,154,791.82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2,154,791.82</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8,173,378.12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8,173,378.12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8,490,251.46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8,490,251.46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414,916.78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414,916.78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327,635.36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327,635.36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一年内到期的非流动</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负债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1,339,500.00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1,339,500.00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11,271,113.82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11,271,113.82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14,493,743.44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14,493,743.44</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4,273,727.36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4,076,115.36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3,197,612.00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3,000,000.00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1,057,500.00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1,057,500.00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5,331,227.36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5,133,615.36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3,197,612.00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3,000,000.00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16,602,341.18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16,404,729.18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17,691,355.44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17,493,743.44</w:t>
            </w:r>
          </w:p>
        </w:tc>
      </w:tr>
      <w:tr>
        <w:trPr>
          <w:trHeight w:val="168" w:hRule="exact"/>
        </w:trPr>
        <w:tc>
          <w:tcPr>
            <w:tcW w:w="2525" w:type="dxa"/>
            <w:vMerge w:val="restart"/>
            <w:tcBorders>
              <w:top w:val="single" w:sz="4" w:space="0" w:color="000000"/>
              <w:left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所有者权益（或股东权</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31" w:type="dxa"/>
            <w:tcBorders>
              <w:top w:val="single" w:sz="4" w:space="0" w:color="000000"/>
              <w:left w:val="single" w:sz="4" w:space="0" w:color="000000"/>
              <w:bottom w:val="nil" w:sz="6" w:space="0" w:color="auto"/>
              <w:right w:val="single" w:sz="4" w:space="0" w:color="000000"/>
            </w:tcBorders>
            <w:shd w:val="clear" w:color="auto" w:fill="DDDDDD"/>
          </w:tcPr>
          <w:p>
            <w:pPr/>
          </w:p>
        </w:tc>
        <w:tc>
          <w:tcPr>
            <w:tcW w:w="182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26" w:hRule="exact"/>
        </w:trPr>
        <w:tc>
          <w:tcPr>
            <w:tcW w:w="2525" w:type="dxa"/>
            <w:vMerge/>
            <w:tcBorders>
              <w:left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nil" w:sz="6" w:space="0" w:color="auto"/>
              <w:right w:val="single" w:sz="4" w:space="0" w:color="000000"/>
            </w:tcBorders>
            <w:shd w:val="clear" w:color="auto" w:fill="DDDDDD"/>
          </w:tcPr>
          <w:p>
            <w:pPr/>
          </w:p>
        </w:tc>
        <w:tc>
          <w:tcPr>
            <w:tcW w:w="1822"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r>
      <w:tr>
        <w:trPr>
          <w:trHeight w:val="168" w:hRule="exact"/>
        </w:trPr>
        <w:tc>
          <w:tcPr>
            <w:tcW w:w="2525" w:type="dxa"/>
            <w:vMerge/>
            <w:tcBorders>
              <w:left w:val="single" w:sz="4" w:space="0" w:color="000000"/>
              <w:bottom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single" w:sz="4" w:space="0" w:color="000000"/>
              <w:right w:val="single" w:sz="4" w:space="0" w:color="000000"/>
            </w:tcBorders>
            <w:shd w:val="clear" w:color="auto" w:fill="DDDDDD"/>
          </w:tcPr>
          <w:p>
            <w:pPr/>
          </w:p>
        </w:tc>
        <w:tc>
          <w:tcPr>
            <w:tcW w:w="182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实收资本（或股本）</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56,000,000.00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56,000,000.00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42,000,000.00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42,000,000.00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722,083,309.68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722,082,943.46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29,110,309.68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29,109,943.46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79" w:top="1440" w:bottom="1160" w:left="940" w:right="920"/>
        </w:sectPr>
      </w:pPr>
    </w:p>
    <w:p>
      <w:pPr>
        <w:spacing w:line="240" w:lineRule="auto" w:before="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64"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64"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9,403,668.48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9,403,668.48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4,259,343.44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4,259,343.44</w:t>
            </w: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64"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64"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71,627,349.49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71,613,016.31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38,342,051.65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38,334,090.97</w:t>
            </w: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64" w:right="0"/>
              <w:jc w:val="left"/>
              <w:rPr>
                <w:rFonts w:ascii="宋体" w:hAnsi="宋体" w:cs="宋体" w:eastAsia="宋体" w:hint="default"/>
                <w:sz w:val="24"/>
                <w:szCs w:val="24"/>
              </w:rPr>
            </w:pPr>
            <w:r>
              <w:rPr>
                <w:rFonts w:ascii="宋体" w:hAnsi="宋体" w:cs="宋体" w:eastAsia="宋体" w:hint="default"/>
                <w:sz w:val="24"/>
                <w:szCs w:val="24"/>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归属于母公司所有者权</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859,114,327.65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859,099,628.25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113,711,704.77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113,703,377.87</w:t>
            </w: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859,114,327.65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859,099,628.25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113,711,704.77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113,703,377.87</w:t>
            </w:r>
          </w:p>
        </w:tc>
      </w:tr>
      <w:tr>
        <w:trPr>
          <w:trHeight w:val="33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875,716,668.83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875,504,357.43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131,403,060.21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131,197,121.31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0"/>
        <w:ind w:left="1343" w:right="745"/>
        <w:jc w:val="left"/>
        <w:rPr>
          <w:b w:val="0"/>
          <w:bCs w:val="0"/>
        </w:rPr>
      </w:pPr>
      <w:r>
        <w:rPr/>
        <w:t>（二）利润表</w:t>
      </w:r>
      <w:r>
        <w:rPr>
          <w:b w:val="0"/>
          <w:bCs w:val="0"/>
        </w:rPr>
      </w:r>
    </w:p>
    <w:p>
      <w:pPr>
        <w:spacing w:line="240" w:lineRule="auto" w:before="5"/>
        <w:rPr>
          <w:rFonts w:ascii="宋体" w:hAnsi="宋体" w:cs="宋体" w:eastAsia="宋体" w:hint="default"/>
          <w:b/>
          <w:bCs/>
          <w:sz w:val="21"/>
          <w:szCs w:val="21"/>
        </w:rPr>
      </w:pPr>
    </w:p>
    <w:p>
      <w:pPr>
        <w:tabs>
          <w:tab w:pos="5706" w:val="left" w:leader="none"/>
          <w:tab w:pos="8353" w:val="left" w:leader="none"/>
        </w:tabs>
        <w:spacing w:before="0"/>
        <w:ind w:left="877" w:right="745"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编制单位：北京数字政通科技股份有限公司</w:t>
        <w:tab/>
      </w:r>
      <w:r>
        <w:rPr>
          <w:rFonts w:ascii="Calibri" w:hAnsi="Calibri" w:cs="Calibri" w:eastAsia="Calibri" w:hint="default"/>
          <w:spacing w:val="-1"/>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pacing w:val="-2"/>
          <w:sz w:val="21"/>
          <w:szCs w:val="21"/>
        </w:rPr>
        <w:t>1-12</w:t>
      </w:r>
      <w:r>
        <w:rPr>
          <w:rFonts w:ascii="Calibri" w:hAnsi="Calibri" w:cs="Calibri" w:eastAsia="Calibri" w:hint="default"/>
          <w:spacing w:val="9"/>
          <w:sz w:val="21"/>
          <w:szCs w:val="21"/>
        </w:rPr>
        <w:t> </w:t>
      </w:r>
      <w:r>
        <w:rPr>
          <w:rFonts w:ascii="宋体" w:hAnsi="宋体" w:cs="宋体" w:eastAsia="宋体" w:hint="default"/>
          <w:sz w:val="21"/>
          <w:szCs w:val="21"/>
        </w:rPr>
        <w:t>月</w:t>
        <w:tab/>
      </w:r>
      <w:r>
        <w:rPr>
          <w:rFonts w:ascii="宋体" w:hAnsi="宋体" w:cs="宋体" w:eastAsia="宋体" w:hint="default"/>
          <w:spacing w:val="-2"/>
          <w:sz w:val="21"/>
          <w:szCs w:val="21"/>
        </w:rPr>
        <w:t>单位：元</w:t>
      </w: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173" w:hRule="exact"/>
        </w:trPr>
        <w:tc>
          <w:tcPr>
            <w:tcW w:w="2525" w:type="dxa"/>
            <w:tcBorders>
              <w:top w:val="single" w:sz="4" w:space="0" w:color="000000"/>
              <w:left w:val="single" w:sz="4" w:space="0" w:color="000000"/>
              <w:bottom w:val="nil" w:sz="6" w:space="0" w:color="auto"/>
              <w:right w:val="single" w:sz="4" w:space="0" w:color="000000"/>
            </w:tcBorders>
            <w:shd w:val="clear" w:color="auto" w:fill="DDDDDD"/>
          </w:tcPr>
          <w:p>
            <w:pPr/>
          </w:p>
        </w:tc>
        <w:tc>
          <w:tcPr>
            <w:tcW w:w="3653"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83" w:lineRule="exact"/>
              <w:ind w:left="4" w:right="0"/>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3638" w:type="dxa"/>
            <w:gridSpan w:val="2"/>
            <w:vMerge w:val="restart"/>
            <w:tcBorders>
              <w:top w:val="single" w:sz="4" w:space="0" w:color="000000"/>
              <w:left w:val="single" w:sz="4" w:space="0" w:color="000000"/>
              <w:right w:val="single" w:sz="4" w:space="0" w:color="000000"/>
            </w:tcBorders>
            <w:shd w:val="clear" w:color="auto" w:fill="DDDDDD"/>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上期金额</w:t>
            </w:r>
          </w:p>
        </w:tc>
      </w:tr>
      <w:tr>
        <w:trPr>
          <w:trHeight w:val="158" w:hRule="exact"/>
        </w:trPr>
        <w:tc>
          <w:tcPr>
            <w:tcW w:w="2525" w:type="dxa"/>
            <w:vMerge w:val="restart"/>
            <w:tcBorders>
              <w:top w:val="nil" w:sz="6" w:space="0" w:color="auto"/>
              <w:left w:val="single" w:sz="4" w:space="0" w:color="000000"/>
              <w:right w:val="single" w:sz="4" w:space="0" w:color="000000"/>
            </w:tcBorders>
            <w:shd w:val="clear" w:color="auto" w:fill="DDDDDD"/>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53" w:type="dxa"/>
            <w:gridSpan w:val="2"/>
            <w:vMerge/>
            <w:tcBorders>
              <w:left w:val="single" w:sz="4" w:space="0" w:color="000000"/>
              <w:bottom w:val="single" w:sz="4" w:space="0" w:color="000000"/>
              <w:right w:val="single" w:sz="4" w:space="0" w:color="000000"/>
            </w:tcBorders>
            <w:shd w:val="clear" w:color="auto" w:fill="DDDDDD"/>
          </w:tcPr>
          <w:p>
            <w:pPr/>
          </w:p>
        </w:tc>
        <w:tc>
          <w:tcPr>
            <w:tcW w:w="3638" w:type="dxa"/>
            <w:gridSpan w:val="2"/>
            <w:vMerge/>
            <w:tcBorders>
              <w:left w:val="single" w:sz="4" w:space="0" w:color="000000"/>
              <w:bottom w:val="single" w:sz="4" w:space="0" w:color="000000"/>
              <w:right w:val="single" w:sz="4" w:space="0" w:color="000000"/>
            </w:tcBorders>
            <w:shd w:val="clear" w:color="auto" w:fill="DDDDDD"/>
          </w:tcPr>
          <w:p>
            <w:pPr/>
          </w:p>
        </w:tc>
      </w:tr>
      <w:tr>
        <w:trPr>
          <w:trHeight w:val="168" w:hRule="exact"/>
        </w:trPr>
        <w:tc>
          <w:tcPr>
            <w:tcW w:w="2525" w:type="dxa"/>
            <w:vMerge/>
            <w:tcBorders>
              <w:left w:val="single" w:sz="4" w:space="0" w:color="000000"/>
              <w:bottom w:val="nil" w:sz="6" w:space="0" w:color="auto"/>
              <w:right w:val="single" w:sz="4" w:space="0" w:color="000000"/>
            </w:tcBorders>
            <w:shd w:val="clear" w:color="auto" w:fill="DDDDDD"/>
          </w:tcPr>
          <w:p>
            <w:pPr/>
          </w:p>
        </w:tc>
        <w:tc>
          <w:tcPr>
            <w:tcW w:w="1831" w:type="dxa"/>
            <w:vMerge w:val="restart"/>
            <w:tcBorders>
              <w:top w:val="single" w:sz="4" w:space="0" w:color="000000"/>
              <w:left w:val="single" w:sz="4" w:space="0" w:color="000000"/>
              <w:right w:val="single" w:sz="4" w:space="0" w:color="000000"/>
            </w:tcBorders>
            <w:shd w:val="clear" w:color="auto" w:fill="DDDDDD"/>
          </w:tcPr>
          <w:p>
            <w:pPr>
              <w:pStyle w:val="TableParagraph"/>
              <w:spacing w:line="288" w:lineRule="exact"/>
              <w:ind w:left="7" w:right="0"/>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vMerge w:val="restart"/>
            <w:tcBorders>
              <w:top w:val="single" w:sz="4" w:space="0" w:color="000000"/>
              <w:left w:val="single" w:sz="4" w:space="0" w:color="000000"/>
              <w:right w:val="single" w:sz="4" w:space="0" w:color="000000"/>
            </w:tcBorders>
            <w:shd w:val="clear" w:color="auto" w:fill="DDDDDD"/>
          </w:tcPr>
          <w:p>
            <w:pPr>
              <w:pStyle w:val="TableParagraph"/>
              <w:spacing w:line="288"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vMerge w:val="restart"/>
            <w:tcBorders>
              <w:top w:val="single" w:sz="4" w:space="0" w:color="000000"/>
              <w:left w:val="single" w:sz="4" w:space="0" w:color="000000"/>
              <w:right w:val="single" w:sz="4" w:space="0" w:color="000000"/>
            </w:tcBorders>
            <w:shd w:val="clear" w:color="auto" w:fill="DDDDDD"/>
          </w:tcPr>
          <w:p>
            <w:pPr>
              <w:pStyle w:val="TableParagraph"/>
              <w:spacing w:line="288"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vMerge w:val="restart"/>
            <w:tcBorders>
              <w:top w:val="single" w:sz="4" w:space="0" w:color="000000"/>
              <w:left w:val="single" w:sz="4" w:space="0" w:color="000000"/>
              <w:right w:val="single" w:sz="4" w:space="0" w:color="000000"/>
            </w:tcBorders>
            <w:shd w:val="clear" w:color="auto" w:fill="DDDDDD"/>
          </w:tcPr>
          <w:p>
            <w:pPr>
              <w:pStyle w:val="TableParagraph"/>
              <w:spacing w:line="288"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r>
        <w:trPr>
          <w:trHeight w:val="173" w:hRule="exact"/>
        </w:trPr>
        <w:tc>
          <w:tcPr>
            <w:tcW w:w="2525" w:type="dxa"/>
            <w:tcBorders>
              <w:top w:val="nil" w:sz="6" w:space="0" w:color="auto"/>
              <w:left w:val="single" w:sz="4" w:space="0" w:color="000000"/>
              <w:bottom w:val="single" w:sz="4" w:space="0" w:color="000000"/>
              <w:right w:val="single" w:sz="4" w:space="0" w:color="000000"/>
            </w:tcBorders>
            <w:shd w:val="clear" w:color="auto" w:fill="DDDDDD"/>
          </w:tcPr>
          <w:p>
            <w:pPr/>
          </w:p>
        </w:tc>
        <w:tc>
          <w:tcPr>
            <w:tcW w:w="1831" w:type="dxa"/>
            <w:vMerge/>
            <w:tcBorders>
              <w:left w:val="single" w:sz="4" w:space="0" w:color="000000"/>
              <w:bottom w:val="single" w:sz="4" w:space="0" w:color="000000"/>
              <w:right w:val="single" w:sz="4" w:space="0" w:color="000000"/>
            </w:tcBorders>
            <w:shd w:val="clear" w:color="auto" w:fill="DDDDDD"/>
          </w:tcPr>
          <w:p>
            <w:pPr/>
          </w:p>
        </w:tc>
        <w:tc>
          <w:tcPr>
            <w:tcW w:w="1822" w:type="dxa"/>
            <w:vMerge/>
            <w:tcBorders>
              <w:left w:val="single" w:sz="4" w:space="0" w:color="000000"/>
              <w:bottom w:val="single" w:sz="4" w:space="0" w:color="000000"/>
              <w:right w:val="single" w:sz="4" w:space="0" w:color="000000"/>
            </w:tcBorders>
            <w:shd w:val="clear" w:color="auto" w:fill="DDDDDD"/>
          </w:tcPr>
          <w:p>
            <w:pPr/>
          </w:p>
        </w:tc>
        <w:tc>
          <w:tcPr>
            <w:tcW w:w="1819" w:type="dxa"/>
            <w:vMerge/>
            <w:tcBorders>
              <w:left w:val="single" w:sz="4" w:space="0" w:color="000000"/>
              <w:bottom w:val="single" w:sz="4" w:space="0" w:color="000000"/>
              <w:right w:val="single" w:sz="4" w:space="0" w:color="000000"/>
            </w:tcBorders>
            <w:shd w:val="clear" w:color="auto" w:fill="DDDDDD"/>
          </w:tcPr>
          <w:p>
            <w:pPr/>
          </w:p>
        </w:tc>
        <w:tc>
          <w:tcPr>
            <w:tcW w:w="1819" w:type="dxa"/>
            <w:vMerge/>
            <w:tcBorders>
              <w:left w:val="single" w:sz="4" w:space="0" w:color="000000"/>
              <w:bottom w:val="single" w:sz="4" w:space="0" w:color="000000"/>
              <w:right w:val="single" w:sz="4" w:space="0" w:color="000000"/>
            </w:tcBorders>
            <w:shd w:val="clear" w:color="auto" w:fill="DDDDDD"/>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95,741,632.41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95,741,632.41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72,181,239.76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72,181,239.76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其中：营业收入</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95,741,632.41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95,741,632.41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72,181,239.76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72,181,239.76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手续费及佣金收</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入</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50,026,223.18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50,032,595.68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35,733,560.16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35,737,223.26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28,722,546.85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28,722,546.85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14,622,529.26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14,622,529.26</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手续费及佣金支</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退保金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提取保险合同准</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备金净额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1,307,664.27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1,307,664.27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1,228,228.54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1,228,228.54</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12,458,997.88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12,458,997.88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7,693,559.13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7,693,559.13</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15,514,154.64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15,514,154.64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12,768,514.01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12,768,514.01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pacing w:val="-1"/>
                <w:sz w:val="24"/>
              </w:rPr>
              <w:t>-9,618,268.03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pacing w:val="-1"/>
                <w:sz w:val="24"/>
              </w:rPr>
              <w:t>-9,611,895.53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pacing w:val="-1"/>
                <w:sz w:val="24"/>
              </w:rPr>
              <w:t>-792,092.77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pacing w:val="-1"/>
                <w:sz w:val="24"/>
              </w:rPr>
              <w:t>-788,429.67</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32"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1,641,127.57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1,641,127.57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212,821.99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4"/>
                <w:szCs w:val="24"/>
              </w:rPr>
            </w:pPr>
            <w:r>
              <w:rPr>
                <w:rFonts w:ascii="Times New Roman"/>
                <w:sz w:val="24"/>
              </w:rPr>
              <w:t>212,821.99</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12" w:right="0" w:firstLine="240"/>
              <w:jc w:val="left"/>
              <w:rPr>
                <w:rFonts w:ascii="宋体" w:hAnsi="宋体" w:cs="宋体" w:eastAsia="宋体" w:hint="default"/>
                <w:sz w:val="24"/>
                <w:szCs w:val="24"/>
              </w:rPr>
            </w:pPr>
            <w:r>
              <w:rPr>
                <w:rFonts w:ascii="宋体" w:hAnsi="宋体" w:cs="宋体" w:eastAsia="宋体" w:hint="default"/>
                <w:sz w:val="24"/>
                <w:szCs w:val="24"/>
              </w:rPr>
              <w:t>加：公允价值变动收</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益（损失以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979" w:top="1380" w:bottom="1160" w:left="920" w:right="920"/>
        </w:sectPr>
      </w:pPr>
    </w:p>
    <w:tbl>
      <w:tblPr>
        <w:tblW w:w="0" w:type="auto"/>
        <w:jc w:val="left"/>
        <w:tblInd w:w="12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投资收益（损失</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firstLine="960"/>
              <w:jc w:val="left"/>
              <w:rPr>
                <w:rFonts w:ascii="宋体" w:hAnsi="宋体" w:cs="宋体" w:eastAsia="宋体" w:hint="default"/>
                <w:sz w:val="24"/>
                <w:szCs w:val="24"/>
              </w:rPr>
            </w:pPr>
            <w:r>
              <w:rPr>
                <w:rFonts w:ascii="宋体" w:hAnsi="宋体" w:cs="宋体" w:eastAsia="宋体" w:hint="default"/>
                <w:sz w:val="24"/>
                <w:szCs w:val="24"/>
              </w:rPr>
              <w:t>其中：对联营</w:t>
            </w:r>
          </w:p>
          <w:p>
            <w:pPr>
              <w:pStyle w:val="TableParagraph"/>
              <w:spacing w:line="249" w:lineRule="auto" w:before="12"/>
              <w:ind w:left="12" w:right="101"/>
              <w:jc w:val="left"/>
              <w:rPr>
                <w:rFonts w:ascii="宋体" w:hAnsi="宋体" w:cs="宋体" w:eastAsia="宋体" w:hint="default"/>
                <w:sz w:val="24"/>
                <w:szCs w:val="24"/>
              </w:rPr>
            </w:pPr>
            <w:r>
              <w:rPr>
                <w:rFonts w:ascii="宋体" w:hAnsi="宋体" w:cs="宋体" w:eastAsia="宋体" w:hint="default"/>
                <w:sz w:val="24"/>
                <w:szCs w:val="24"/>
              </w:rPr>
              <w:t>企业和合营企业的投资 收益</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汇兑收益（损失以</w:t>
            </w:r>
          </w:p>
          <w:p>
            <w:pPr>
              <w:pStyle w:val="TableParagraph"/>
              <w:spacing w:line="240" w:lineRule="auto" w:before="10"/>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三</w:t>
            </w:r>
            <w:r>
              <w:rPr>
                <w:rFonts w:ascii="宋体" w:hAnsi="宋体" w:cs="宋体" w:eastAsia="宋体" w:hint="default"/>
                <w:spacing w:val="-101"/>
                <w:sz w:val="24"/>
                <w:szCs w:val="24"/>
              </w:rPr>
              <w:t>、</w:t>
            </w:r>
            <w:r>
              <w:rPr>
                <w:rFonts w:ascii="宋体" w:hAnsi="宋体" w:cs="宋体" w:eastAsia="宋体" w:hint="default"/>
                <w:sz w:val="24"/>
                <w:szCs w:val="24"/>
              </w:rPr>
              <w:t>营业利</w:t>
            </w:r>
            <w:r>
              <w:rPr>
                <w:rFonts w:ascii="宋体" w:hAnsi="宋体" w:cs="宋体" w:eastAsia="宋体" w:hint="default"/>
                <w:spacing w:val="-101"/>
                <w:sz w:val="24"/>
                <w:szCs w:val="24"/>
              </w:rPr>
              <w:t>润</w:t>
            </w:r>
            <w:r>
              <w:rPr>
                <w:rFonts w:ascii="宋体" w:hAnsi="宋体" w:cs="宋体" w:eastAsia="宋体" w:hint="default"/>
                <w:sz w:val="24"/>
                <w:szCs w:val="24"/>
              </w:rPr>
              <w:t>（亏损以</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z w:val="24"/>
                <w:szCs w:val="24"/>
              </w:rPr>
              <w:t>”</w:t>
            </w:r>
          </w:p>
          <w:p>
            <w:pPr>
              <w:pStyle w:val="TableParagraph"/>
              <w:spacing w:line="311" w:lineRule="exact"/>
              <w:ind w:left="12"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45,715,409.23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45,709,036.73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36,447,679.60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36,444,016.50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581"/>
              <w:jc w:val="right"/>
              <w:rPr>
                <w:rFonts w:ascii="宋体" w:hAnsi="宋体" w:cs="宋体" w:eastAsia="宋体" w:hint="default"/>
                <w:sz w:val="24"/>
                <w:szCs w:val="24"/>
              </w:rPr>
            </w:pPr>
            <w:r>
              <w:rPr>
                <w:rFonts w:ascii="宋体" w:hAnsi="宋体" w:cs="宋体" w:eastAsia="宋体" w:hint="default"/>
                <w:sz w:val="24"/>
                <w:szCs w:val="24"/>
              </w:rPr>
              <w:t>加：营业外收入</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17,457,096.78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17,457,096.78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9,854,191.22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9,854,191.22</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581"/>
              <w:jc w:val="right"/>
              <w:rPr>
                <w:rFonts w:ascii="宋体" w:hAnsi="宋体" w:cs="宋体" w:eastAsia="宋体" w:hint="default"/>
                <w:sz w:val="24"/>
                <w:szCs w:val="24"/>
              </w:rPr>
            </w:pPr>
            <w:r>
              <w:rPr>
                <w:rFonts w:ascii="宋体" w:hAnsi="宋体" w:cs="宋体" w:eastAsia="宋体" w:hint="default"/>
                <w:sz w:val="24"/>
                <w:szCs w:val="24"/>
              </w:rPr>
              <w:t>减：营业外支出</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4,433,606.98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4,433,606.98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5,361.21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5,361.21</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其中：非流动资产</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处置损失</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四、利润总额（亏损总</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额以</w:t>
            </w:r>
            <w:r>
              <w:rPr>
                <w:rFonts w:ascii="Times New Roman" w:hAnsi="Times New Roman" w:cs="Times New Roman" w:eastAsia="Times New Roman" w:hint="default"/>
                <w:sz w:val="24"/>
                <w:szCs w:val="24"/>
              </w:rPr>
              <w:t>“-”</w:t>
            </w: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58,738,899.03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58,732,526.53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46,296,509.61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46,292,846.51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581"/>
              <w:jc w:val="right"/>
              <w:rPr>
                <w:rFonts w:ascii="宋体" w:hAnsi="宋体" w:cs="宋体" w:eastAsia="宋体" w:hint="default"/>
                <w:sz w:val="24"/>
                <w:szCs w:val="24"/>
              </w:rPr>
            </w:pPr>
            <w:r>
              <w:rPr>
                <w:rFonts w:ascii="宋体" w:hAnsi="宋体" w:cs="宋体" w:eastAsia="宋体" w:hint="default"/>
                <w:sz w:val="24"/>
                <w:szCs w:val="24"/>
              </w:rPr>
              <w:t>减：所得税费用</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7,289,276.15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7,289,276.15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5,045,356.66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5,045,356.66</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9" w:lineRule="exact"/>
              <w:ind w:left="12"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五</w:t>
            </w:r>
            <w:r>
              <w:rPr>
                <w:rFonts w:ascii="宋体" w:hAnsi="宋体" w:cs="宋体" w:eastAsia="宋体" w:hint="default"/>
                <w:spacing w:val="-101"/>
                <w:sz w:val="24"/>
                <w:szCs w:val="24"/>
              </w:rPr>
              <w:t>、</w:t>
            </w:r>
            <w:r>
              <w:rPr>
                <w:rFonts w:ascii="宋体" w:hAnsi="宋体" w:cs="宋体" w:eastAsia="宋体" w:hint="default"/>
                <w:sz w:val="24"/>
                <w:szCs w:val="24"/>
              </w:rPr>
              <w:t>净利</w:t>
            </w:r>
            <w:r>
              <w:rPr>
                <w:rFonts w:ascii="宋体" w:hAnsi="宋体" w:cs="宋体" w:eastAsia="宋体" w:hint="default"/>
                <w:spacing w:val="-101"/>
                <w:sz w:val="24"/>
                <w:szCs w:val="24"/>
              </w:rPr>
              <w:t>润</w:t>
            </w:r>
            <w:r>
              <w:rPr>
                <w:rFonts w:ascii="宋体" w:hAnsi="宋体" w:cs="宋体" w:eastAsia="宋体" w:hint="default"/>
                <w:sz w:val="24"/>
                <w:szCs w:val="24"/>
              </w:rPr>
              <w:t>（净亏损以</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z w:val="24"/>
                <w:szCs w:val="24"/>
              </w:rPr>
              <w:t>”</w:t>
            </w:r>
          </w:p>
          <w:p>
            <w:pPr>
              <w:pStyle w:val="TableParagraph"/>
              <w:spacing w:line="311" w:lineRule="exact"/>
              <w:ind w:left="12"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51,449,622.88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51,443,250.38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41,251,152.95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41,247,489.85</w:t>
            </w:r>
          </w:p>
        </w:tc>
      </w:tr>
      <w:tr>
        <w:trPr>
          <w:trHeight w:val="6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归属于母公司所有</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者的净利润</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51,449,622.88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51,443,250.38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41,251,019.92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41,247,489.85</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right="581"/>
              <w:jc w:val="right"/>
              <w:rPr>
                <w:rFonts w:ascii="宋体" w:hAnsi="宋体" w:cs="宋体" w:eastAsia="宋体" w:hint="default"/>
                <w:sz w:val="24"/>
                <w:szCs w:val="24"/>
              </w:rPr>
            </w:pPr>
            <w:r>
              <w:rPr>
                <w:rFonts w:ascii="宋体" w:hAnsi="宋体" w:cs="宋体" w:eastAsia="宋体" w:hint="default"/>
                <w:sz w:val="24"/>
                <w:szCs w:val="24"/>
              </w:rPr>
              <w:t>少数股东损益</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133.03</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12" w:right="0"/>
              <w:jc w:val="left"/>
              <w:rPr>
                <w:rFonts w:ascii="宋体" w:hAnsi="宋体" w:cs="宋体" w:eastAsia="宋体" w:hint="default"/>
                <w:sz w:val="24"/>
                <w:szCs w:val="24"/>
              </w:rPr>
            </w:pPr>
            <w:r>
              <w:rPr>
                <w:rFonts w:ascii="宋体" w:hAnsi="宋体" w:cs="宋体" w:eastAsia="宋体" w:hint="default"/>
                <w:sz w:val="24"/>
                <w:szCs w:val="24"/>
              </w:rPr>
              <w:t>六、每股收益：</w:t>
            </w:r>
          </w:p>
        </w:tc>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（一）基本每股收</w:t>
            </w:r>
          </w:p>
          <w:p>
            <w:pPr>
              <w:pStyle w:val="TableParagraph"/>
              <w:spacing w:line="240" w:lineRule="auto" w:before="10"/>
              <w:ind w:left="12"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9"/>
              <w:ind w:right="23"/>
              <w:jc w:val="right"/>
              <w:rPr>
                <w:rFonts w:ascii="Times New Roman" w:hAnsi="Times New Roman" w:cs="Times New Roman" w:eastAsia="Times New Roman" w:hint="default"/>
                <w:sz w:val="24"/>
                <w:szCs w:val="24"/>
              </w:rPr>
            </w:pPr>
            <w:r>
              <w:rPr>
                <w:rFonts w:ascii="Times New Roman"/>
                <w:sz w:val="24"/>
              </w:rPr>
              <w:t>1.00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3"/>
              <w:jc w:val="right"/>
              <w:rPr>
                <w:rFonts w:ascii="Times New Roman" w:hAnsi="Times New Roman" w:cs="Times New Roman" w:eastAsia="Times New Roman" w:hint="default"/>
                <w:sz w:val="24"/>
                <w:szCs w:val="24"/>
              </w:rPr>
            </w:pPr>
            <w:r>
              <w:rPr>
                <w:rFonts w:ascii="Times New Roman"/>
                <w:sz w:val="24"/>
              </w:rPr>
              <w:t>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3"/>
              <w:jc w:val="right"/>
              <w:rPr>
                <w:rFonts w:ascii="Times New Roman" w:hAnsi="Times New Roman" w:cs="Times New Roman" w:eastAsia="Times New Roman" w:hint="default"/>
                <w:sz w:val="24"/>
                <w:szCs w:val="24"/>
              </w:rPr>
            </w:pPr>
            <w:r>
              <w:rPr>
                <w:rFonts w:ascii="Times New Roman"/>
                <w:sz w:val="24"/>
              </w:rPr>
              <w:t>0.98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3"/>
              <w:jc w:val="right"/>
              <w:rPr>
                <w:rFonts w:ascii="Times New Roman" w:hAnsi="Times New Roman" w:cs="Times New Roman" w:eastAsia="Times New Roman" w:hint="default"/>
                <w:sz w:val="24"/>
                <w:szCs w:val="24"/>
              </w:rPr>
            </w:pPr>
            <w:r>
              <w:rPr>
                <w:rFonts w:ascii="Times New Roman"/>
                <w:sz w:val="24"/>
              </w:rPr>
              <w:t>0.98</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（二）稀释每股收</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0.98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0.98</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七、其他综合收益</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八、综合收益总额</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51,449,622.88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51,443,250.38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41,251,152.95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41,247,489.85</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归属于母公司所有</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者的综合收益总额</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51,449,622.88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51,443,250.38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41,251,152.95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41,247,489.85</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归属于少数股东的</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1"/>
        <w:ind w:left="1343" w:right="745"/>
        <w:jc w:val="left"/>
      </w:pPr>
      <w:r>
        <w:rPr/>
        <w:t>本期发生同一控制下企业合并的，被合并方在合并前实现的净利润为：</w:t>
      </w:r>
    </w:p>
    <w:p>
      <w:pPr>
        <w:pStyle w:val="BodyText"/>
        <w:spacing w:line="240" w:lineRule="auto" w:before="175"/>
        <w:ind w:left="877" w:right="745"/>
        <w:jc w:val="left"/>
      </w:pPr>
      <w:r>
        <w:rPr>
          <w:rFonts w:ascii="Times New Roman" w:hAnsi="Times New Roman" w:cs="Times New Roman" w:eastAsia="Times New Roman" w:hint="default"/>
        </w:rPr>
        <w:t>6,372.50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79"/>
        <w:ind w:left="1343" w:right="745"/>
        <w:jc w:val="left"/>
        <w:rPr>
          <w:b w:val="0"/>
          <w:bCs w:val="0"/>
        </w:rPr>
      </w:pPr>
      <w:r>
        <w:rPr/>
        <w:t>（三）现金流量表</w:t>
      </w:r>
      <w:r>
        <w:rPr>
          <w:b w:val="0"/>
          <w:bCs w:val="0"/>
        </w:rPr>
      </w:r>
    </w:p>
    <w:p>
      <w:pPr>
        <w:spacing w:line="240" w:lineRule="auto" w:before="8"/>
        <w:rPr>
          <w:rFonts w:ascii="宋体" w:hAnsi="宋体" w:cs="宋体" w:eastAsia="宋体" w:hint="default"/>
          <w:b/>
          <w:bCs/>
          <w:sz w:val="21"/>
          <w:szCs w:val="21"/>
        </w:rPr>
      </w:pPr>
    </w:p>
    <w:p>
      <w:pPr>
        <w:tabs>
          <w:tab w:pos="5811" w:val="left" w:leader="none"/>
          <w:tab w:pos="8353" w:val="left" w:leader="none"/>
        </w:tabs>
        <w:spacing w:before="0"/>
        <w:ind w:left="877" w:right="745"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编制单位：北京数字政通科技股份有限公司</w:t>
        <w:tab/>
      </w:r>
      <w:r>
        <w:rPr>
          <w:rFonts w:ascii="Calibri" w:hAnsi="Calibri" w:cs="Calibri" w:eastAsia="Calibri" w:hint="default"/>
          <w:spacing w:val="-1"/>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pacing w:val="-1"/>
          <w:sz w:val="21"/>
          <w:szCs w:val="21"/>
        </w:rPr>
        <w:t>1-12</w:t>
      </w:r>
      <w:r>
        <w:rPr>
          <w:rFonts w:ascii="Calibri" w:hAnsi="Calibri" w:cs="Calibri" w:eastAsia="Calibri" w:hint="default"/>
          <w:spacing w:val="5"/>
          <w:sz w:val="21"/>
          <w:szCs w:val="21"/>
        </w:rPr>
        <w:t> </w:t>
      </w:r>
      <w:r>
        <w:rPr>
          <w:rFonts w:ascii="宋体" w:hAnsi="宋体" w:cs="宋体" w:eastAsia="宋体" w:hint="default"/>
          <w:sz w:val="21"/>
          <w:szCs w:val="21"/>
        </w:rPr>
        <w:t>月</w:t>
        <w:tab/>
      </w:r>
      <w:r>
        <w:rPr>
          <w:rFonts w:ascii="宋体" w:hAnsi="宋体" w:cs="宋体" w:eastAsia="宋体" w:hint="default"/>
          <w:spacing w:val="-2"/>
          <w:sz w:val="21"/>
          <w:szCs w:val="21"/>
        </w:rPr>
        <w:t>单位：元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336" w:hRule="exact"/>
        </w:trPr>
        <w:tc>
          <w:tcPr>
            <w:tcW w:w="254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37"/>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641"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right="5"/>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上期金额</w:t>
            </w:r>
          </w:p>
        </w:tc>
      </w:tr>
      <w:tr>
        <w:trPr>
          <w:trHeight w:val="336" w:hRule="exact"/>
        </w:trPr>
        <w:tc>
          <w:tcPr>
            <w:tcW w:w="2549" w:type="dxa"/>
            <w:vMerge/>
            <w:tcBorders>
              <w:left w:val="single" w:sz="4" w:space="0" w:color="000000"/>
              <w:bottom w:val="single" w:sz="4" w:space="0" w:color="000000"/>
              <w:right w:val="single" w:sz="4" w:space="0" w:color="000000"/>
            </w:tcBorders>
            <w:shd w:val="clear" w:color="auto" w:fill="DDDDDD"/>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44" w:right="0"/>
              <w:jc w:val="left"/>
              <w:rPr>
                <w:rFonts w:ascii="宋体" w:hAnsi="宋体" w:cs="宋体" w:eastAsia="宋体" w:hint="default"/>
                <w:sz w:val="24"/>
                <w:szCs w:val="24"/>
              </w:rPr>
            </w:pPr>
            <w:r>
              <w:rPr>
                <w:rFonts w:ascii="宋体" w:hAnsi="宋体" w:cs="宋体" w:eastAsia="宋体" w:hint="default"/>
                <w:sz w:val="24"/>
                <w:szCs w:val="24"/>
              </w:rPr>
              <w:t>母公司</w:t>
            </w: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sz w:val="24"/>
                <w:szCs w:val="24"/>
              </w:rPr>
              <w:t>合并</w:t>
            </w:r>
          </w:p>
        </w:tc>
        <w:tc>
          <w:tcPr>
            <w:tcW w:w="18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42" w:right="0"/>
              <w:jc w:val="left"/>
              <w:rPr>
                <w:rFonts w:ascii="宋体" w:hAnsi="宋体" w:cs="宋体" w:eastAsia="宋体" w:hint="default"/>
                <w:sz w:val="24"/>
                <w:szCs w:val="24"/>
              </w:rPr>
            </w:pPr>
            <w:r>
              <w:rPr>
                <w:rFonts w:ascii="宋体" w:hAnsi="宋体" w:cs="宋体" w:eastAsia="宋体" w:hint="default"/>
                <w:sz w:val="24"/>
                <w:szCs w:val="24"/>
              </w:rPr>
              <w:t>母公司</w:t>
            </w:r>
          </w:p>
        </w:tc>
      </w:tr>
    </w:tbl>
    <w:p>
      <w:pPr>
        <w:spacing w:after="0" w:line="283" w:lineRule="exact"/>
        <w:jc w:val="left"/>
        <w:rPr>
          <w:rFonts w:ascii="宋体" w:hAnsi="宋体" w:cs="宋体" w:eastAsia="宋体" w:hint="default"/>
          <w:sz w:val="24"/>
          <w:szCs w:val="24"/>
        </w:rPr>
        <w:sectPr>
          <w:pgSz w:w="11910" w:h="16840"/>
          <w:pgMar w:header="850" w:footer="979" w:top="1440" w:bottom="1160" w:left="920" w:right="920"/>
        </w:sect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168" w:hRule="exact"/>
        </w:trPr>
        <w:tc>
          <w:tcPr>
            <w:tcW w:w="2525" w:type="dxa"/>
            <w:vMerge w:val="restart"/>
            <w:tcBorders>
              <w:top w:val="single" w:sz="4" w:space="0" w:color="000000"/>
              <w:left w:val="single" w:sz="4" w:space="0" w:color="000000"/>
              <w:right w:val="single" w:sz="4" w:space="0" w:color="000000"/>
            </w:tcBorders>
            <w:shd w:val="clear" w:color="auto" w:fill="DDDDDD"/>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一、经营活动产生的现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金流量：</w:t>
            </w:r>
          </w:p>
        </w:tc>
        <w:tc>
          <w:tcPr>
            <w:tcW w:w="1831" w:type="dxa"/>
            <w:tcBorders>
              <w:top w:val="single" w:sz="4" w:space="0" w:color="000000"/>
              <w:left w:val="single" w:sz="4" w:space="0" w:color="000000"/>
              <w:bottom w:val="nil" w:sz="6" w:space="0" w:color="auto"/>
              <w:right w:val="single" w:sz="4" w:space="0" w:color="000000"/>
            </w:tcBorders>
            <w:shd w:val="clear" w:color="auto" w:fill="DDDDDD"/>
          </w:tcPr>
          <w:p>
            <w:pPr/>
          </w:p>
        </w:tc>
        <w:tc>
          <w:tcPr>
            <w:tcW w:w="182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26" w:hRule="exact"/>
        </w:trPr>
        <w:tc>
          <w:tcPr>
            <w:tcW w:w="2525" w:type="dxa"/>
            <w:vMerge/>
            <w:tcBorders>
              <w:left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nil" w:sz="6" w:space="0" w:color="auto"/>
              <w:right w:val="single" w:sz="4" w:space="0" w:color="000000"/>
            </w:tcBorders>
            <w:shd w:val="clear" w:color="auto" w:fill="DDDDDD"/>
          </w:tcPr>
          <w:p>
            <w:pPr/>
          </w:p>
        </w:tc>
        <w:tc>
          <w:tcPr>
            <w:tcW w:w="1822"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r>
      <w:tr>
        <w:trPr>
          <w:trHeight w:val="168" w:hRule="exact"/>
        </w:trPr>
        <w:tc>
          <w:tcPr>
            <w:tcW w:w="2525" w:type="dxa"/>
            <w:vMerge/>
            <w:tcBorders>
              <w:left w:val="single" w:sz="4" w:space="0" w:color="000000"/>
              <w:bottom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single" w:sz="4" w:space="0" w:color="000000"/>
              <w:right w:val="single" w:sz="4" w:space="0" w:color="000000"/>
            </w:tcBorders>
            <w:shd w:val="clear" w:color="auto" w:fill="DDDDDD"/>
          </w:tcPr>
          <w:p>
            <w:pPr/>
          </w:p>
        </w:tc>
        <w:tc>
          <w:tcPr>
            <w:tcW w:w="182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销售商品、提供劳</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务收到的现金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76,762,633.75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76,762,633.75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81,262,282.80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81,262,282.80</w:t>
            </w:r>
          </w:p>
        </w:tc>
      </w:tr>
      <w:tr>
        <w:trPr>
          <w:trHeight w:val="6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客户存款和同业存</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放款项净增加额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向中央银行借款净</w:t>
            </w:r>
          </w:p>
          <w:p>
            <w:pPr>
              <w:pStyle w:val="TableParagraph"/>
              <w:spacing w:line="240" w:lineRule="auto" w:before="10"/>
              <w:ind w:left="12" w:right="0"/>
              <w:jc w:val="left"/>
              <w:rPr>
                <w:rFonts w:ascii="宋体" w:hAnsi="宋体" w:cs="宋体" w:eastAsia="宋体" w:hint="default"/>
                <w:sz w:val="24"/>
                <w:szCs w:val="24"/>
              </w:rPr>
            </w:pPr>
            <w:r>
              <w:rPr>
                <w:rFonts w:ascii="宋体" w:hAnsi="宋体" w:cs="宋体" w:eastAsia="宋体" w:hint="default"/>
                <w:sz w:val="24"/>
                <w:szCs w:val="24"/>
              </w:rPr>
              <w:t>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向其他金融机构拆</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入资金净增加额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收到原保险合同保</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费取得的现金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收到再保险业务现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金净额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保户储金及投资款</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处置交易性金融资</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产净增加额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收取利息、手续费</w:t>
            </w:r>
          </w:p>
          <w:p>
            <w:pPr>
              <w:pStyle w:val="TableParagraph"/>
              <w:spacing w:line="240" w:lineRule="auto" w:before="10"/>
              <w:ind w:left="12" w:right="0"/>
              <w:jc w:val="left"/>
              <w:rPr>
                <w:rFonts w:ascii="宋体" w:hAnsi="宋体" w:cs="宋体" w:eastAsia="宋体" w:hint="default"/>
                <w:sz w:val="24"/>
                <w:szCs w:val="24"/>
              </w:rPr>
            </w:pPr>
            <w:r>
              <w:rPr>
                <w:rFonts w:ascii="宋体" w:hAnsi="宋体" w:cs="宋体" w:eastAsia="宋体" w:hint="default"/>
                <w:sz w:val="24"/>
                <w:szCs w:val="24"/>
              </w:rPr>
              <w:t>及佣金的现金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回购业务资金净增</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10,126,212.14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10,126,212.14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9,533,691.22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9,533,691.22</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收到其他与经营活</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20,627,958.22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20,620,445.72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6,377,057.59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6,173,722.46</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107,516,804.11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107,509,291.61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97,173,031.61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96,969,696.48</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购买商品、接受劳</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务支付的现金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20,497,537.61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20,497,537.61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5,685,708.56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5,685,708.56</w:t>
            </w:r>
          </w:p>
        </w:tc>
      </w:tr>
      <w:tr>
        <w:trPr>
          <w:trHeight w:val="6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客户贷款及垫款净</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存放中央银行和同</w:t>
            </w:r>
          </w:p>
          <w:p>
            <w:pPr>
              <w:pStyle w:val="TableParagraph"/>
              <w:spacing w:line="240" w:lineRule="auto" w:before="10"/>
              <w:ind w:left="12" w:right="0"/>
              <w:jc w:val="left"/>
              <w:rPr>
                <w:rFonts w:ascii="宋体" w:hAnsi="宋体" w:cs="宋体" w:eastAsia="宋体" w:hint="default"/>
                <w:sz w:val="24"/>
                <w:szCs w:val="24"/>
              </w:rPr>
            </w:pPr>
            <w:r>
              <w:rPr>
                <w:rFonts w:ascii="宋体" w:hAnsi="宋体" w:cs="宋体" w:eastAsia="宋体" w:hint="default"/>
                <w:sz w:val="24"/>
                <w:szCs w:val="24"/>
              </w:rPr>
              <w:t>业款项净增加额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支付原保险合同赔</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付款项的现金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支付利息、手续费</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及佣金的现金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支付保单红利的现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支付给职工以及为</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职工支付的现金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20,606,459.50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20,606,459.50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14,768,662.47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14,768,662.47</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79" w:top="1440" w:bottom="1160" w:left="940" w:right="920"/>
        </w:sect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2"/>
        <w:gridCol w:w="1819"/>
        <w:gridCol w:w="1819"/>
      </w:tblGrid>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19,867,046.44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19,867,046.44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17,197,315.61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17,197,315.61</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支付其他与经营活</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31,782,526.69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31,781,386.69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14,108,705.51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14,106,645.48</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经营活动现金流</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92,753,570.24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92,752,430.24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51,760,392.15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51,758,332.12</w:t>
            </w:r>
          </w:p>
        </w:tc>
      </w:tr>
      <w:tr>
        <w:trPr>
          <w:trHeight w:val="661"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972" w:right="0"/>
              <w:jc w:val="left"/>
              <w:rPr>
                <w:rFonts w:ascii="宋体" w:hAnsi="宋体" w:cs="宋体" w:eastAsia="宋体" w:hint="default"/>
                <w:sz w:val="24"/>
                <w:szCs w:val="24"/>
              </w:rPr>
            </w:pPr>
            <w:r>
              <w:rPr>
                <w:rFonts w:ascii="宋体" w:hAnsi="宋体" w:cs="宋体" w:eastAsia="宋体" w:hint="default"/>
                <w:sz w:val="24"/>
                <w:szCs w:val="24"/>
              </w:rPr>
              <w:t>经营活动产生</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14,763,233.87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14,756,861.37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45,412,639.46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45,211,364.36</w:t>
            </w:r>
          </w:p>
        </w:tc>
      </w:tr>
      <w:tr>
        <w:trPr>
          <w:trHeight w:val="169" w:hRule="exact"/>
        </w:trPr>
        <w:tc>
          <w:tcPr>
            <w:tcW w:w="2525" w:type="dxa"/>
            <w:vMerge w:val="restart"/>
            <w:tcBorders>
              <w:top w:val="single" w:sz="4" w:space="0" w:color="000000"/>
              <w:left w:val="single" w:sz="4" w:space="0" w:color="000000"/>
              <w:right w:val="single" w:sz="4" w:space="0" w:color="000000"/>
            </w:tcBorders>
            <w:shd w:val="clear" w:color="auto" w:fill="DDDDDD"/>
          </w:tcPr>
          <w:p>
            <w:pPr>
              <w:pStyle w:val="TableParagraph"/>
              <w:spacing w:line="275" w:lineRule="exact"/>
              <w:ind w:left="12" w:right="0"/>
              <w:jc w:val="left"/>
              <w:rPr>
                <w:rFonts w:ascii="宋体" w:hAnsi="宋体" w:cs="宋体" w:eastAsia="宋体" w:hint="default"/>
                <w:sz w:val="24"/>
                <w:szCs w:val="24"/>
              </w:rPr>
            </w:pPr>
            <w:r>
              <w:rPr>
                <w:rFonts w:ascii="宋体" w:hAnsi="宋体" w:cs="宋体" w:eastAsia="宋体" w:hint="default"/>
                <w:sz w:val="24"/>
                <w:szCs w:val="24"/>
              </w:rPr>
              <w:t>二、投资活动产生的现</w:t>
            </w:r>
          </w:p>
          <w:p>
            <w:pPr>
              <w:pStyle w:val="TableParagraph"/>
              <w:spacing w:line="240" w:lineRule="auto" w:before="10"/>
              <w:ind w:left="12" w:right="0"/>
              <w:jc w:val="left"/>
              <w:rPr>
                <w:rFonts w:ascii="宋体" w:hAnsi="宋体" w:cs="宋体" w:eastAsia="宋体" w:hint="default"/>
                <w:sz w:val="24"/>
                <w:szCs w:val="24"/>
              </w:rPr>
            </w:pPr>
            <w:r>
              <w:rPr>
                <w:rFonts w:ascii="宋体" w:hAnsi="宋体" w:cs="宋体" w:eastAsia="宋体" w:hint="default"/>
                <w:sz w:val="24"/>
                <w:szCs w:val="24"/>
              </w:rPr>
              <w:t>金流量：</w:t>
            </w:r>
          </w:p>
        </w:tc>
        <w:tc>
          <w:tcPr>
            <w:tcW w:w="1831" w:type="dxa"/>
            <w:tcBorders>
              <w:top w:val="single" w:sz="4" w:space="0" w:color="000000"/>
              <w:left w:val="single" w:sz="4" w:space="0" w:color="000000"/>
              <w:bottom w:val="nil" w:sz="6" w:space="0" w:color="auto"/>
              <w:right w:val="single" w:sz="4" w:space="0" w:color="000000"/>
            </w:tcBorders>
            <w:shd w:val="clear" w:color="auto" w:fill="DDDDDD"/>
          </w:tcPr>
          <w:p>
            <w:pPr/>
          </w:p>
        </w:tc>
        <w:tc>
          <w:tcPr>
            <w:tcW w:w="182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24" w:hRule="exact"/>
        </w:trPr>
        <w:tc>
          <w:tcPr>
            <w:tcW w:w="2525" w:type="dxa"/>
            <w:vMerge/>
            <w:tcBorders>
              <w:left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nil" w:sz="6" w:space="0" w:color="auto"/>
              <w:right w:val="single" w:sz="4" w:space="0" w:color="000000"/>
            </w:tcBorders>
            <w:shd w:val="clear" w:color="auto" w:fill="DDDDDD"/>
          </w:tcPr>
          <w:p>
            <w:pPr/>
          </w:p>
        </w:tc>
        <w:tc>
          <w:tcPr>
            <w:tcW w:w="1822"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r>
      <w:tr>
        <w:trPr>
          <w:trHeight w:val="168" w:hRule="exact"/>
        </w:trPr>
        <w:tc>
          <w:tcPr>
            <w:tcW w:w="2525" w:type="dxa"/>
            <w:vMerge/>
            <w:tcBorders>
              <w:left w:val="single" w:sz="4" w:space="0" w:color="000000"/>
              <w:bottom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single" w:sz="4" w:space="0" w:color="000000"/>
              <w:right w:val="single" w:sz="4" w:space="0" w:color="000000"/>
            </w:tcBorders>
            <w:shd w:val="clear" w:color="auto" w:fill="DDDDDD"/>
          </w:tcPr>
          <w:p>
            <w:pPr/>
          </w:p>
        </w:tc>
        <w:tc>
          <w:tcPr>
            <w:tcW w:w="182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收回投资收到的现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取得投资收益收到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firstLine="480"/>
              <w:jc w:val="left"/>
              <w:rPr>
                <w:rFonts w:ascii="宋体" w:hAnsi="宋体" w:cs="宋体" w:eastAsia="宋体" w:hint="default"/>
                <w:sz w:val="24"/>
                <w:szCs w:val="24"/>
              </w:rPr>
            </w:pPr>
            <w:r>
              <w:rPr>
                <w:rFonts w:ascii="宋体" w:hAnsi="宋体" w:cs="宋体" w:eastAsia="宋体" w:hint="default"/>
                <w:sz w:val="24"/>
                <w:szCs w:val="24"/>
              </w:rPr>
              <w:t>处置固定资产、无</w:t>
            </w:r>
          </w:p>
          <w:p>
            <w:pPr>
              <w:pStyle w:val="TableParagraph"/>
              <w:spacing w:line="249" w:lineRule="auto" w:before="12"/>
              <w:ind w:left="12" w:right="101"/>
              <w:jc w:val="left"/>
              <w:rPr>
                <w:rFonts w:ascii="宋体" w:hAnsi="宋体" w:cs="宋体" w:eastAsia="宋体" w:hint="default"/>
                <w:sz w:val="24"/>
                <w:szCs w:val="24"/>
              </w:rPr>
            </w:pPr>
            <w:r>
              <w:rPr>
                <w:rFonts w:ascii="宋体" w:hAnsi="宋体" w:cs="宋体" w:eastAsia="宋体" w:hint="default"/>
                <w:sz w:val="24"/>
                <w:szCs w:val="24"/>
              </w:rPr>
              <w:t>形资产和其他长期资产 收回的现金净额</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1,320.00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1,320.00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6,053.93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6,053.93</w:t>
            </w:r>
          </w:p>
        </w:tc>
      </w:tr>
      <w:tr>
        <w:trPr>
          <w:trHeight w:val="98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firstLine="480"/>
              <w:jc w:val="left"/>
              <w:rPr>
                <w:rFonts w:ascii="宋体" w:hAnsi="宋体" w:cs="宋体" w:eastAsia="宋体" w:hint="default"/>
                <w:sz w:val="24"/>
                <w:szCs w:val="24"/>
              </w:rPr>
            </w:pPr>
            <w:r>
              <w:rPr>
                <w:rFonts w:ascii="宋体" w:hAnsi="宋体" w:cs="宋体" w:eastAsia="宋体" w:hint="default"/>
                <w:sz w:val="24"/>
                <w:szCs w:val="24"/>
              </w:rPr>
              <w:t>处置子公司及其他</w:t>
            </w:r>
          </w:p>
          <w:p>
            <w:pPr>
              <w:pStyle w:val="TableParagraph"/>
              <w:spacing w:line="247" w:lineRule="auto" w:before="12"/>
              <w:ind w:left="12" w:right="101"/>
              <w:jc w:val="left"/>
              <w:rPr>
                <w:rFonts w:ascii="宋体" w:hAnsi="宋体" w:cs="宋体" w:eastAsia="宋体" w:hint="default"/>
                <w:sz w:val="24"/>
                <w:szCs w:val="24"/>
              </w:rPr>
            </w:pPr>
            <w:r>
              <w:rPr>
                <w:rFonts w:ascii="宋体" w:hAnsi="宋体" w:cs="宋体" w:eastAsia="宋体" w:hint="default"/>
                <w:sz w:val="24"/>
                <w:szCs w:val="24"/>
              </w:rPr>
              <w:t>营业单位收到的现金净 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收到其他与投资活</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1,320.00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1,320.00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6,053.93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6,053.93</w:t>
            </w:r>
          </w:p>
        </w:tc>
      </w:tr>
      <w:tr>
        <w:trPr>
          <w:trHeight w:val="9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firstLine="480"/>
              <w:jc w:val="left"/>
              <w:rPr>
                <w:rFonts w:ascii="宋体" w:hAnsi="宋体" w:cs="宋体" w:eastAsia="宋体" w:hint="default"/>
                <w:sz w:val="24"/>
                <w:szCs w:val="24"/>
              </w:rPr>
            </w:pPr>
            <w:r>
              <w:rPr>
                <w:rFonts w:ascii="宋体" w:hAnsi="宋体" w:cs="宋体" w:eastAsia="宋体" w:hint="default"/>
                <w:sz w:val="24"/>
                <w:szCs w:val="24"/>
              </w:rPr>
              <w:t>购建固定资产、无</w:t>
            </w:r>
          </w:p>
          <w:p>
            <w:pPr>
              <w:pStyle w:val="TableParagraph"/>
              <w:spacing w:line="249" w:lineRule="auto" w:before="12"/>
              <w:ind w:left="12" w:right="101"/>
              <w:jc w:val="left"/>
              <w:rPr>
                <w:rFonts w:ascii="宋体" w:hAnsi="宋体" w:cs="宋体" w:eastAsia="宋体" w:hint="default"/>
                <w:sz w:val="24"/>
                <w:szCs w:val="24"/>
              </w:rPr>
            </w:pPr>
            <w:r>
              <w:rPr>
                <w:rFonts w:ascii="宋体" w:hAnsi="宋体" w:cs="宋体" w:eastAsia="宋体" w:hint="default"/>
                <w:sz w:val="24"/>
                <w:szCs w:val="24"/>
              </w:rPr>
              <w:t>形资产和其他长期资产 支付的现金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32,317,963.29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32,317,963.29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16,893,516.11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16,893,516.11</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Times New Roman" w:hAnsi="Times New Roman" w:cs="Times New Roman" w:eastAsia="Times New Roman" w:hint="default"/>
                <w:sz w:val="24"/>
                <w:szCs w:val="24"/>
              </w:rPr>
            </w:pPr>
            <w:r>
              <w:rPr>
                <w:rFonts w:ascii="Times New Roman"/>
                <w:sz w:val="24"/>
              </w:rPr>
              <w:t>1,620,000.00</w:t>
            </w:r>
          </w:p>
        </w:tc>
      </w:tr>
      <w:tr>
        <w:trPr>
          <w:trHeight w:val="3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2" w:right="0" w:firstLine="480"/>
              <w:jc w:val="left"/>
              <w:rPr>
                <w:rFonts w:ascii="宋体" w:hAnsi="宋体" w:cs="宋体" w:eastAsia="宋体" w:hint="default"/>
                <w:sz w:val="24"/>
                <w:szCs w:val="24"/>
              </w:rPr>
            </w:pPr>
            <w:r>
              <w:rPr>
                <w:rFonts w:ascii="宋体" w:hAnsi="宋体" w:cs="宋体" w:eastAsia="宋体" w:hint="default"/>
                <w:sz w:val="24"/>
                <w:szCs w:val="24"/>
              </w:rPr>
              <w:t>取得子公司及其他</w:t>
            </w:r>
          </w:p>
          <w:p>
            <w:pPr>
              <w:pStyle w:val="TableParagraph"/>
              <w:spacing w:line="247" w:lineRule="auto" w:before="12"/>
              <w:ind w:left="12" w:right="101"/>
              <w:jc w:val="left"/>
              <w:rPr>
                <w:rFonts w:ascii="宋体" w:hAnsi="宋体" w:cs="宋体" w:eastAsia="宋体" w:hint="default"/>
                <w:sz w:val="24"/>
                <w:szCs w:val="24"/>
              </w:rPr>
            </w:pPr>
            <w:r>
              <w:rPr>
                <w:rFonts w:ascii="宋体" w:hAnsi="宋体" w:cs="宋体" w:eastAsia="宋体" w:hint="default"/>
                <w:sz w:val="24"/>
                <w:szCs w:val="24"/>
              </w:rPr>
              <w:t>营业单位支付的现金净 额</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支付其他与投资活</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732" w:right="0"/>
              <w:jc w:val="left"/>
              <w:rPr>
                <w:rFonts w:ascii="宋体" w:hAnsi="宋体" w:cs="宋体" w:eastAsia="宋体" w:hint="default"/>
                <w:sz w:val="24"/>
                <w:szCs w:val="24"/>
              </w:rPr>
            </w:pPr>
            <w:r>
              <w:rPr>
                <w:rFonts w:ascii="宋体" w:hAnsi="宋体" w:cs="宋体" w:eastAsia="宋体" w:hint="default"/>
                <w:sz w:val="24"/>
                <w:szCs w:val="24"/>
              </w:rPr>
              <w:t>投资活动现金流</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32,317,963.29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32,317,963.29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16,993,516.11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18,513,516.11</w:t>
            </w:r>
          </w:p>
        </w:tc>
      </w:tr>
      <w:tr>
        <w:trPr>
          <w:trHeight w:val="662"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972" w:right="0"/>
              <w:jc w:val="left"/>
              <w:rPr>
                <w:rFonts w:ascii="宋体" w:hAnsi="宋体" w:cs="宋体" w:eastAsia="宋体" w:hint="default"/>
                <w:sz w:val="24"/>
                <w:szCs w:val="24"/>
              </w:rPr>
            </w:pPr>
            <w:r>
              <w:rPr>
                <w:rFonts w:ascii="宋体" w:hAnsi="宋体" w:cs="宋体" w:eastAsia="宋体" w:hint="default"/>
                <w:sz w:val="24"/>
                <w:szCs w:val="24"/>
              </w:rPr>
              <w:t>投资活动产生</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pacing w:val="-1"/>
                <w:sz w:val="24"/>
              </w:rPr>
              <w:t>-32,316,643.29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pacing w:val="-1"/>
                <w:sz w:val="24"/>
              </w:rPr>
              <w:t>-32,316,643.29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pacing w:val="-1"/>
                <w:sz w:val="24"/>
              </w:rPr>
              <w:t>-16,987,462.18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pacing w:val="-1"/>
                <w:sz w:val="24"/>
              </w:rPr>
              <w:t>-18,507,462.18</w:t>
            </w:r>
          </w:p>
        </w:tc>
      </w:tr>
      <w:tr>
        <w:trPr>
          <w:trHeight w:val="168" w:hRule="exact"/>
        </w:trPr>
        <w:tc>
          <w:tcPr>
            <w:tcW w:w="2525" w:type="dxa"/>
            <w:vMerge w:val="restart"/>
            <w:tcBorders>
              <w:top w:val="single" w:sz="4" w:space="0" w:color="000000"/>
              <w:left w:val="single" w:sz="4" w:space="0" w:color="000000"/>
              <w:right w:val="single" w:sz="4" w:space="0" w:color="000000"/>
            </w:tcBorders>
            <w:shd w:val="clear" w:color="auto" w:fill="DDDDDD"/>
          </w:tcPr>
          <w:p>
            <w:pPr>
              <w:pStyle w:val="TableParagraph"/>
              <w:spacing w:line="274" w:lineRule="exact"/>
              <w:ind w:left="252" w:right="0"/>
              <w:jc w:val="left"/>
              <w:rPr>
                <w:rFonts w:ascii="宋体" w:hAnsi="宋体" w:cs="宋体" w:eastAsia="宋体" w:hint="default"/>
                <w:sz w:val="24"/>
                <w:szCs w:val="24"/>
              </w:rPr>
            </w:pPr>
            <w:r>
              <w:rPr>
                <w:rFonts w:ascii="宋体" w:hAnsi="宋体" w:cs="宋体" w:eastAsia="宋体" w:hint="default"/>
                <w:sz w:val="24"/>
                <w:szCs w:val="24"/>
              </w:rPr>
              <w:t>三、筹资活动产生的</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现金流量：</w:t>
            </w:r>
          </w:p>
        </w:tc>
        <w:tc>
          <w:tcPr>
            <w:tcW w:w="1831" w:type="dxa"/>
            <w:tcBorders>
              <w:top w:val="single" w:sz="4" w:space="0" w:color="000000"/>
              <w:left w:val="single" w:sz="4" w:space="0" w:color="000000"/>
              <w:bottom w:val="nil" w:sz="6" w:space="0" w:color="auto"/>
              <w:right w:val="single" w:sz="4" w:space="0" w:color="000000"/>
            </w:tcBorders>
            <w:shd w:val="clear" w:color="auto" w:fill="DDDDDD"/>
          </w:tcPr>
          <w:p>
            <w:pPr/>
          </w:p>
        </w:tc>
        <w:tc>
          <w:tcPr>
            <w:tcW w:w="182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c>
          <w:tcPr>
            <w:tcW w:w="1819"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326" w:hRule="exact"/>
        </w:trPr>
        <w:tc>
          <w:tcPr>
            <w:tcW w:w="2525" w:type="dxa"/>
            <w:vMerge/>
            <w:tcBorders>
              <w:left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nil" w:sz="6" w:space="0" w:color="auto"/>
              <w:right w:val="single" w:sz="4" w:space="0" w:color="000000"/>
            </w:tcBorders>
            <w:shd w:val="clear" w:color="auto" w:fill="DDDDDD"/>
          </w:tcPr>
          <w:p>
            <w:pPr/>
          </w:p>
        </w:tc>
        <w:tc>
          <w:tcPr>
            <w:tcW w:w="1822"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c>
          <w:tcPr>
            <w:tcW w:w="1819" w:type="dxa"/>
            <w:tcBorders>
              <w:top w:val="nil" w:sz="6" w:space="0" w:color="auto"/>
              <w:left w:val="single" w:sz="4" w:space="0" w:color="000000"/>
              <w:bottom w:val="nil" w:sz="6" w:space="0" w:color="auto"/>
              <w:right w:val="single" w:sz="4" w:space="0" w:color="000000"/>
            </w:tcBorders>
            <w:shd w:val="clear" w:color="auto" w:fill="DDDDDD"/>
          </w:tcPr>
          <w:p>
            <w:pPr/>
          </w:p>
        </w:tc>
      </w:tr>
      <w:tr>
        <w:trPr>
          <w:trHeight w:val="168" w:hRule="exact"/>
        </w:trPr>
        <w:tc>
          <w:tcPr>
            <w:tcW w:w="2525" w:type="dxa"/>
            <w:vMerge/>
            <w:tcBorders>
              <w:left w:val="single" w:sz="4" w:space="0" w:color="000000"/>
              <w:bottom w:val="single" w:sz="4" w:space="0" w:color="000000"/>
              <w:right w:val="single" w:sz="4" w:space="0" w:color="000000"/>
            </w:tcBorders>
            <w:shd w:val="clear" w:color="auto" w:fill="DDDDDD"/>
          </w:tcPr>
          <w:p>
            <w:pPr/>
          </w:p>
        </w:tc>
        <w:tc>
          <w:tcPr>
            <w:tcW w:w="1831" w:type="dxa"/>
            <w:tcBorders>
              <w:top w:val="nil" w:sz="6" w:space="0" w:color="auto"/>
              <w:left w:val="single" w:sz="4" w:space="0" w:color="000000"/>
              <w:bottom w:val="single" w:sz="4" w:space="0" w:color="000000"/>
              <w:right w:val="single" w:sz="4" w:space="0" w:color="000000"/>
            </w:tcBorders>
            <w:shd w:val="clear" w:color="auto" w:fill="DDDDDD"/>
          </w:tcPr>
          <w:p>
            <w:pPr/>
          </w:p>
        </w:tc>
        <w:tc>
          <w:tcPr>
            <w:tcW w:w="182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c>
          <w:tcPr>
            <w:tcW w:w="1819"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660"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492" w:right="0"/>
              <w:jc w:val="left"/>
              <w:rPr>
                <w:rFonts w:ascii="宋体" w:hAnsi="宋体" w:cs="宋体" w:eastAsia="宋体" w:hint="default"/>
                <w:sz w:val="24"/>
                <w:szCs w:val="24"/>
              </w:rPr>
            </w:pPr>
            <w:r>
              <w:rPr>
                <w:rFonts w:ascii="宋体" w:hAnsi="宋体" w:cs="宋体" w:eastAsia="宋体" w:hint="default"/>
                <w:sz w:val="24"/>
                <w:szCs w:val="24"/>
              </w:rPr>
              <w:t>吸收投资收到的现</w:t>
            </w:r>
          </w:p>
          <w:p>
            <w:pPr>
              <w:pStyle w:val="TableParagraph"/>
              <w:spacing w:line="240" w:lineRule="auto" w:before="12"/>
              <w:ind w:left="12"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31"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712,780,000.00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706,973,000.00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10,080,000.00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23"/>
              <w:jc w:val="right"/>
              <w:rPr>
                <w:rFonts w:ascii="Times New Roman" w:hAnsi="Times New Roman" w:cs="Times New Roman" w:eastAsia="Times New Roman" w:hint="default"/>
                <w:sz w:val="24"/>
                <w:szCs w:val="24"/>
              </w:rPr>
            </w:pPr>
            <w:r>
              <w:rPr>
                <w:rFonts w:ascii="Times New Roman"/>
                <w:sz w:val="24"/>
              </w:rPr>
              <w:t>10,000,000.00</w:t>
            </w:r>
          </w:p>
        </w:tc>
      </w:tr>
      <w:tr>
        <w:trPr>
          <w:trHeight w:val="338" w:hRule="exact"/>
        </w:trPr>
        <w:tc>
          <w:tcPr>
            <w:tcW w:w="25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left="492" w:right="0"/>
              <w:jc w:val="left"/>
              <w:rPr>
                <w:rFonts w:ascii="宋体" w:hAnsi="宋体" w:cs="宋体" w:eastAsia="宋体" w:hint="default"/>
                <w:sz w:val="24"/>
                <w:szCs w:val="24"/>
              </w:rPr>
            </w:pPr>
            <w:r>
              <w:rPr>
                <w:rFonts w:ascii="宋体" w:hAnsi="宋体" w:cs="宋体" w:eastAsia="宋体" w:hint="default"/>
                <w:sz w:val="24"/>
                <w:szCs w:val="24"/>
              </w:rPr>
              <w:t>其中：子公司吸收</w:t>
            </w:r>
          </w:p>
        </w:tc>
        <w:tc>
          <w:tcPr>
            <w:tcW w:w="1831" w:type="dxa"/>
            <w:tcBorders>
              <w:top w:val="single" w:sz="4" w:space="0" w:color="000000"/>
              <w:left w:val="single" w:sz="10" w:space="0" w:color="DDDDDD"/>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Times New Roman" w:hAnsi="Times New Roman" w:cs="Times New Roman" w:eastAsia="Times New Roman" w:hint="default"/>
                <w:sz w:val="24"/>
                <w:szCs w:val="24"/>
              </w:rPr>
            </w:pPr>
            <w:r>
              <w:rPr>
                <w:rFonts w:ascii="Times New Roman"/>
                <w:sz w:val="24"/>
              </w:rPr>
              <w:t>80,000.00</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979" w:header="850" w:top="1440" w:bottom="1160" w:left="940" w:right="920"/>
          <w:pgNumType w:start="70"/>
        </w:sect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2"/>
        <w:gridCol w:w="1819"/>
        <w:gridCol w:w="1819"/>
      </w:tblGrid>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少数股东投资收到的现</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04" w:right="0"/>
              <w:jc w:val="left"/>
              <w:rPr>
                <w:rFonts w:ascii="宋体" w:hAnsi="宋体" w:cs="宋体" w:eastAsia="宋体" w:hint="default"/>
                <w:sz w:val="24"/>
                <w:szCs w:val="24"/>
              </w:rPr>
            </w:pPr>
            <w:r>
              <w:rPr>
                <w:rFonts w:ascii="宋体" w:hAnsi="宋体" w:cs="宋体" w:eastAsia="宋体" w:hint="default"/>
                <w:sz w:val="24"/>
                <w:szCs w:val="24"/>
              </w:rPr>
              <w:t>取得借款收到的现</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04" w:right="0"/>
              <w:jc w:val="left"/>
              <w:rPr>
                <w:rFonts w:ascii="宋体" w:hAnsi="宋体" w:cs="宋体" w:eastAsia="宋体" w:hint="default"/>
                <w:sz w:val="24"/>
                <w:szCs w:val="24"/>
              </w:rPr>
            </w:pPr>
            <w:r>
              <w:rPr>
                <w:rFonts w:ascii="宋体" w:hAnsi="宋体" w:cs="宋体" w:eastAsia="宋体" w:hint="default"/>
                <w:sz w:val="24"/>
                <w:szCs w:val="24"/>
              </w:rPr>
              <w:t>发行债券收到的现</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6" w:lineRule="exact"/>
              <w:ind w:left="504" w:right="0"/>
              <w:jc w:val="left"/>
              <w:rPr>
                <w:rFonts w:ascii="宋体" w:hAnsi="宋体" w:cs="宋体" w:eastAsia="宋体" w:hint="default"/>
                <w:sz w:val="24"/>
                <w:szCs w:val="24"/>
              </w:rPr>
            </w:pPr>
            <w:r>
              <w:rPr>
                <w:rFonts w:ascii="宋体" w:hAnsi="宋体" w:cs="宋体" w:eastAsia="宋体" w:hint="default"/>
                <w:sz w:val="24"/>
                <w:szCs w:val="24"/>
              </w:rPr>
              <w:t>收到其他与筹资活</w:t>
            </w:r>
          </w:p>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5,807,000.00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73.02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73.02</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44"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入小计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712,780,000.00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712,780,000.00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10,080,073.02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10,000,073.02</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04" w:right="0"/>
              <w:jc w:val="left"/>
              <w:rPr>
                <w:rFonts w:ascii="宋体" w:hAnsi="宋体" w:cs="宋体" w:eastAsia="宋体" w:hint="default"/>
                <w:sz w:val="24"/>
                <w:szCs w:val="24"/>
              </w:rPr>
            </w:pPr>
            <w:r>
              <w:rPr>
                <w:rFonts w:ascii="宋体" w:hAnsi="宋体" w:cs="宋体" w:eastAsia="宋体" w:hint="default"/>
                <w:sz w:val="24"/>
                <w:szCs w:val="24"/>
              </w:rPr>
              <w:t>偿还债务支付的现</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04" w:right="0"/>
              <w:jc w:val="left"/>
              <w:rPr>
                <w:rFonts w:ascii="宋体" w:hAnsi="宋体" w:cs="宋体" w:eastAsia="宋体" w:hint="default"/>
                <w:sz w:val="24"/>
                <w:szCs w:val="24"/>
              </w:rPr>
            </w:pPr>
            <w:r>
              <w:rPr>
                <w:rFonts w:ascii="宋体" w:hAnsi="宋体" w:cs="宋体" w:eastAsia="宋体" w:hint="default"/>
                <w:sz w:val="24"/>
                <w:szCs w:val="24"/>
              </w:rPr>
              <w:t>分配股利、利润或</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偿付利息支付的现金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13,020,000.00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13,020,000.00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16,600,000.00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16,600,000.00</w:t>
            </w:r>
          </w:p>
        </w:tc>
      </w:tr>
      <w:tr>
        <w:trPr>
          <w:trHeight w:val="986"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firstLine="480"/>
              <w:jc w:val="left"/>
              <w:rPr>
                <w:rFonts w:ascii="宋体" w:hAnsi="宋体" w:cs="宋体" w:eastAsia="宋体" w:hint="default"/>
                <w:sz w:val="24"/>
                <w:szCs w:val="24"/>
              </w:rPr>
            </w:pPr>
            <w:r>
              <w:rPr>
                <w:rFonts w:ascii="宋体" w:hAnsi="宋体" w:cs="宋体" w:eastAsia="宋体" w:hint="default"/>
                <w:sz w:val="24"/>
                <w:szCs w:val="24"/>
              </w:rPr>
              <w:t>其中：子公司支付</w:t>
            </w:r>
          </w:p>
          <w:p>
            <w:pPr>
              <w:pStyle w:val="TableParagraph"/>
              <w:spacing w:line="249" w:lineRule="auto" w:before="12"/>
              <w:ind w:left="24" w:right="113"/>
              <w:jc w:val="left"/>
              <w:rPr>
                <w:rFonts w:ascii="宋体" w:hAnsi="宋体" w:cs="宋体" w:eastAsia="宋体" w:hint="default"/>
                <w:sz w:val="24"/>
                <w:szCs w:val="24"/>
              </w:rPr>
            </w:pPr>
            <w:r>
              <w:rPr>
                <w:rFonts w:ascii="宋体" w:hAnsi="宋体" w:cs="宋体" w:eastAsia="宋体" w:hint="default"/>
                <w:sz w:val="24"/>
                <w:szCs w:val="24"/>
              </w:rPr>
              <w:t>给少数股东的股利、利 润</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6" w:lineRule="exact"/>
              <w:ind w:left="504" w:right="0"/>
              <w:jc w:val="left"/>
              <w:rPr>
                <w:rFonts w:ascii="宋体" w:hAnsi="宋体" w:cs="宋体" w:eastAsia="宋体" w:hint="default"/>
                <w:sz w:val="24"/>
                <w:szCs w:val="24"/>
              </w:rPr>
            </w:pPr>
            <w:r>
              <w:rPr>
                <w:rFonts w:ascii="宋体" w:hAnsi="宋体" w:cs="宋体" w:eastAsia="宋体" w:hint="default"/>
                <w:sz w:val="24"/>
                <w:szCs w:val="24"/>
              </w:rPr>
              <w:t>支付其他与筹资活</w:t>
            </w:r>
          </w:p>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动有关的现金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3,709,000.00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3,709,000.00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1,957,997.74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1,957,997.74</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744" w:right="0"/>
              <w:jc w:val="left"/>
              <w:rPr>
                <w:rFonts w:ascii="宋体" w:hAnsi="宋体" w:cs="宋体" w:eastAsia="宋体" w:hint="default"/>
                <w:sz w:val="24"/>
                <w:szCs w:val="24"/>
              </w:rPr>
            </w:pPr>
            <w:r>
              <w:rPr>
                <w:rFonts w:ascii="宋体" w:hAnsi="宋体" w:cs="宋体" w:eastAsia="宋体" w:hint="default"/>
                <w:sz w:val="24"/>
                <w:szCs w:val="24"/>
              </w:rPr>
              <w:t>筹资活动现金流</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出小计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16,729,000.00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16,729,000.00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18,557,997.74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18,557,997.74</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984" w:right="0"/>
              <w:jc w:val="left"/>
              <w:rPr>
                <w:rFonts w:ascii="宋体" w:hAnsi="宋体" w:cs="宋体" w:eastAsia="宋体" w:hint="default"/>
                <w:sz w:val="24"/>
                <w:szCs w:val="24"/>
              </w:rPr>
            </w:pPr>
            <w:r>
              <w:rPr>
                <w:rFonts w:ascii="宋体" w:hAnsi="宋体" w:cs="宋体" w:eastAsia="宋体" w:hint="default"/>
                <w:sz w:val="24"/>
                <w:szCs w:val="24"/>
              </w:rPr>
              <w:t>筹资活动产生</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的现金流量净额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696,051,000.00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696,051,000.00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pacing w:val="-1"/>
                <w:sz w:val="24"/>
              </w:rPr>
              <w:t>-8,477,924.72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pacing w:val="-1"/>
                <w:sz w:val="24"/>
              </w:rPr>
              <w:t>-8,557,924.72</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四、汇率变动对现金及</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现金等价物的影响</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五、现金及现金等价物</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净增加额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678,497,590.58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678,491,218.08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19,947,252.56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18,145,977.46</w:t>
            </w:r>
          </w:p>
        </w:tc>
      </w:tr>
      <w:tr>
        <w:trPr>
          <w:trHeight w:val="660"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3" w:lineRule="exact"/>
              <w:ind w:left="504" w:right="0"/>
              <w:jc w:val="left"/>
              <w:rPr>
                <w:rFonts w:ascii="宋体" w:hAnsi="宋体" w:cs="宋体" w:eastAsia="宋体" w:hint="default"/>
                <w:sz w:val="24"/>
                <w:szCs w:val="24"/>
              </w:rPr>
            </w:pPr>
            <w:r>
              <w:rPr>
                <w:rFonts w:ascii="宋体" w:hAnsi="宋体" w:cs="宋体" w:eastAsia="宋体" w:hint="default"/>
                <w:sz w:val="24"/>
                <w:szCs w:val="24"/>
              </w:rPr>
              <w:t>加：期初现金及现</w:t>
            </w:r>
          </w:p>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金等价物余额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96,073,116.01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93,867,177.11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76,125,863.45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3"/>
              <w:jc w:val="right"/>
              <w:rPr>
                <w:rFonts w:ascii="Times New Roman" w:hAnsi="Times New Roman" w:cs="Times New Roman" w:eastAsia="Times New Roman" w:hint="default"/>
                <w:sz w:val="24"/>
                <w:szCs w:val="24"/>
              </w:rPr>
            </w:pPr>
            <w:r>
              <w:rPr>
                <w:rFonts w:ascii="Times New Roman"/>
                <w:sz w:val="24"/>
              </w:rPr>
              <w:t>75,721,199.65</w:t>
            </w:r>
          </w:p>
        </w:tc>
      </w:tr>
      <w:tr>
        <w:trPr>
          <w:trHeight w:val="662" w:hRule="exact"/>
        </w:trPr>
        <w:tc>
          <w:tcPr>
            <w:tcW w:w="25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sz w:val="24"/>
                <w:szCs w:val="24"/>
              </w:rPr>
              <w:t>六、期末现金及现金等</w:t>
            </w:r>
          </w:p>
          <w:p>
            <w:pPr>
              <w:pStyle w:val="TableParagraph"/>
              <w:spacing w:line="240" w:lineRule="auto" w:before="10"/>
              <w:ind w:left="24" w:right="0"/>
              <w:jc w:val="left"/>
              <w:rPr>
                <w:rFonts w:ascii="宋体" w:hAnsi="宋体" w:cs="宋体" w:eastAsia="宋体" w:hint="default"/>
                <w:sz w:val="24"/>
                <w:szCs w:val="24"/>
              </w:rPr>
            </w:pPr>
            <w:r>
              <w:rPr>
                <w:rFonts w:ascii="宋体" w:hAnsi="宋体" w:cs="宋体" w:eastAsia="宋体" w:hint="default"/>
                <w:sz w:val="24"/>
                <w:szCs w:val="24"/>
              </w:rPr>
              <w:t>价物余额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774,570,706.59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772,358,395.19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96,073,116.01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23"/>
              <w:jc w:val="right"/>
              <w:rPr>
                <w:rFonts w:ascii="Times New Roman" w:hAnsi="Times New Roman" w:cs="Times New Roman" w:eastAsia="Times New Roman" w:hint="default"/>
                <w:sz w:val="24"/>
                <w:szCs w:val="24"/>
              </w:rPr>
            </w:pPr>
            <w:r>
              <w:rPr>
                <w:rFonts w:ascii="Times New Roman"/>
                <w:sz w:val="24"/>
              </w:rPr>
              <w:t>93,867,177.11</w:t>
            </w:r>
          </w:p>
        </w:tc>
      </w:tr>
    </w:tbl>
    <w:p>
      <w:pPr>
        <w:spacing w:after="0" w:line="240" w:lineRule="auto"/>
        <w:jc w:val="right"/>
        <w:rPr>
          <w:rFonts w:ascii="Times New Roman" w:hAnsi="Times New Roman" w:cs="Times New Roman" w:eastAsia="Times New Roman" w:hint="default"/>
          <w:sz w:val="24"/>
          <w:szCs w:val="24"/>
        </w:rPr>
        <w:sectPr>
          <w:pgSz w:w="11910" w:h="16840"/>
          <w:pgMar w:header="850" w:footer="979" w:top="1440" w:bottom="1160" w:left="9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left="925" w:right="0"/>
        <w:jc w:val="left"/>
        <w:rPr>
          <w:b w:val="0"/>
          <w:bCs w:val="0"/>
        </w:rPr>
      </w:pPr>
      <w:r>
        <w:rPr/>
        <w:t>（四）合并所有者权益变动表</w:t>
      </w:r>
      <w:r>
        <w:rPr>
          <w:b w:val="0"/>
          <w:bCs w:val="0"/>
        </w:rPr>
      </w:r>
    </w:p>
    <w:p>
      <w:pPr>
        <w:spacing w:line="240" w:lineRule="auto" w:before="13"/>
        <w:rPr>
          <w:rFonts w:ascii="宋体" w:hAnsi="宋体" w:cs="宋体" w:eastAsia="宋体" w:hint="default"/>
          <w:b/>
          <w:bCs/>
          <w:sz w:val="22"/>
          <w:szCs w:val="22"/>
        </w:rPr>
      </w:pPr>
    </w:p>
    <w:p>
      <w:pPr>
        <w:tabs>
          <w:tab w:pos="8204" w:val="left" w:leader="none"/>
          <w:tab w:pos="13293" w:val="left" w:leader="none"/>
        </w:tabs>
        <w:spacing w:before="0"/>
        <w:ind w:left="460"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t>单位：元</w:t>
      </w:r>
    </w:p>
    <w:p>
      <w:pPr>
        <w:spacing w:line="240" w:lineRule="auto" w:before="10"/>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188"/>
        <w:gridCol w:w="635"/>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36" w:hRule="exact"/>
        </w:trPr>
        <w:tc>
          <w:tcPr>
            <w:tcW w:w="2188" w:type="dxa"/>
            <w:vMerge w:val="restart"/>
            <w:tcBorders>
              <w:top w:val="single" w:sz="4" w:space="0" w:color="000000"/>
              <w:left w:val="single" w:sz="4" w:space="0" w:color="000000"/>
              <w:right w:val="single" w:sz="4" w:space="0" w:color="000000"/>
            </w:tcBorders>
            <w:shd w:val="clear" w:color="auto" w:fill="DDDDDD"/>
          </w:tcPr>
          <w:p>
            <w:pPr/>
          </w:p>
        </w:tc>
        <w:tc>
          <w:tcPr>
            <w:tcW w:w="6251"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73" w:hRule="exact"/>
        </w:trPr>
        <w:tc>
          <w:tcPr>
            <w:tcW w:w="2188" w:type="dxa"/>
            <w:vMerge/>
            <w:tcBorders>
              <w:left w:val="single" w:sz="4" w:space="0" w:color="000000"/>
              <w:right w:val="single" w:sz="4" w:space="0" w:color="000000"/>
            </w:tcBorders>
            <w:shd w:val="clear" w:color="auto" w:fill="DDDDDD"/>
          </w:tcPr>
          <w:p>
            <w:pPr/>
          </w:p>
        </w:tc>
        <w:tc>
          <w:tcPr>
            <w:tcW w:w="5003" w:type="dxa"/>
            <w:gridSpan w:val="8"/>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5"/>
              <w:ind w:left="15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4992" w:type="dxa"/>
            <w:gridSpan w:val="8"/>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5"/>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61" w:hRule="exact"/>
        </w:trPr>
        <w:tc>
          <w:tcPr>
            <w:tcW w:w="2188" w:type="dxa"/>
            <w:vMerge/>
            <w:tcBorders>
              <w:left w:val="single" w:sz="4" w:space="0" w:color="000000"/>
              <w:bottom w:val="nil" w:sz="6" w:space="0" w:color="auto"/>
              <w:right w:val="single" w:sz="4" w:space="0" w:color="000000"/>
            </w:tcBorders>
            <w:shd w:val="clear" w:color="auto" w:fill="DDDDDD"/>
          </w:tcPr>
          <w:p>
            <w:pPr/>
          </w:p>
        </w:tc>
        <w:tc>
          <w:tcPr>
            <w:tcW w:w="5003" w:type="dxa"/>
            <w:gridSpan w:val="8"/>
            <w:vMerge/>
            <w:tcBorders>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vMerge/>
            <w:tcBorders>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70" w:hRule="exact"/>
        </w:trPr>
        <w:tc>
          <w:tcPr>
            <w:tcW w:w="2188"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5" w:type="dxa"/>
            <w:vMerge w:val="restart"/>
            <w:tcBorders>
              <w:top w:val="single" w:sz="4" w:space="0" w:color="000000"/>
              <w:left w:val="single" w:sz="4" w:space="0" w:color="000000"/>
              <w:right w:val="single" w:sz="4" w:space="0" w:color="000000"/>
            </w:tcBorders>
            <w:shd w:val="clear" w:color="auto" w:fill="DDDDDD"/>
          </w:tcPr>
          <w:p>
            <w:pPr>
              <w:pStyle w:val="TableParagraph"/>
              <w:spacing w:line="333" w:lineRule="auto" w:before="17"/>
              <w:ind w:left="49"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vMerge w:val="restart"/>
            <w:tcBorders>
              <w:top w:val="single" w:sz="4" w:space="0" w:color="000000"/>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7"/>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DDDDD"/>
          </w:tcPr>
          <w:p>
            <w:pPr/>
          </w:p>
        </w:tc>
        <w:tc>
          <w:tcPr>
            <w:tcW w:w="624" w:type="dxa"/>
            <w:vMerge w:val="restart"/>
            <w:tcBorders>
              <w:top w:val="single" w:sz="4" w:space="0" w:color="000000"/>
              <w:left w:val="single" w:sz="4" w:space="0" w:color="000000"/>
              <w:right w:val="single" w:sz="4" w:space="0" w:color="000000"/>
            </w:tcBorders>
            <w:shd w:val="clear" w:color="auto" w:fill="DDDDDD"/>
          </w:tcPr>
          <w:p>
            <w:pPr>
              <w:pStyle w:val="TableParagraph"/>
              <w:spacing w:line="333" w:lineRule="auto" w:before="17"/>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tcBorders>
              <w:top w:val="single" w:sz="4" w:space="0" w:color="000000"/>
              <w:left w:val="single" w:sz="4" w:space="0" w:color="000000"/>
              <w:bottom w:val="nil" w:sz="6" w:space="0" w:color="auto"/>
              <w:right w:val="single" w:sz="4" w:space="0" w:color="000000"/>
            </w:tcBorders>
            <w:shd w:val="clear" w:color="auto" w:fill="DDDDDD"/>
          </w:tcPr>
          <w:p>
            <w:pPr/>
          </w:p>
        </w:tc>
        <w:tc>
          <w:tcPr>
            <w:tcW w:w="624" w:type="dxa"/>
            <w:vMerge w:val="restart"/>
            <w:tcBorders>
              <w:top w:val="single" w:sz="4" w:space="0" w:color="000000"/>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7"/>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DDDDD"/>
          </w:tcPr>
          <w:p>
            <w:pPr/>
          </w:p>
        </w:tc>
      </w:tr>
      <w:tr>
        <w:trPr>
          <w:trHeight w:val="158" w:hRule="exact"/>
        </w:trPr>
        <w:tc>
          <w:tcPr>
            <w:tcW w:w="2188" w:type="dxa"/>
            <w:vMerge/>
            <w:tcBorders>
              <w:left w:val="single" w:sz="4" w:space="0" w:color="000000"/>
              <w:bottom w:val="nil" w:sz="6" w:space="0" w:color="auto"/>
              <w:right w:val="single" w:sz="4" w:space="0" w:color="000000"/>
            </w:tcBorders>
            <w:shd w:val="clear" w:color="auto" w:fill="DDDDDD"/>
          </w:tcPr>
          <w:p>
            <w:pPr/>
          </w:p>
        </w:tc>
        <w:tc>
          <w:tcPr>
            <w:tcW w:w="635" w:type="dxa"/>
            <w:vMerge/>
            <w:tcBorders>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DDDDD"/>
          </w:tcPr>
          <w:p>
            <w:pPr>
              <w:pStyle w:val="TableParagraph"/>
              <w:spacing w:line="333" w:lineRule="auto" w:before="15"/>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r>
      <w:tr>
        <w:trPr>
          <w:trHeight w:val="324" w:hRule="exact"/>
        </w:trPr>
        <w:tc>
          <w:tcPr>
            <w:tcW w:w="2188" w:type="dxa"/>
            <w:vMerge w:val="restart"/>
            <w:tcBorders>
              <w:top w:val="nil" w:sz="6" w:space="0" w:color="auto"/>
              <w:left w:val="single" w:sz="4" w:space="0" w:color="000000"/>
              <w:right w:val="single" w:sz="4" w:space="0" w:color="000000"/>
            </w:tcBorders>
            <w:shd w:val="clear" w:color="auto" w:fill="DDDDDD"/>
          </w:tcPr>
          <w:p>
            <w:pPr/>
          </w:p>
        </w:tc>
        <w:tc>
          <w:tcPr>
            <w:tcW w:w="635"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r>
      <w:tr>
        <w:trPr>
          <w:trHeight w:val="166" w:hRule="exact"/>
        </w:trPr>
        <w:tc>
          <w:tcPr>
            <w:tcW w:w="2188" w:type="dxa"/>
            <w:vMerge/>
            <w:tcBorders>
              <w:left w:val="single" w:sz="4" w:space="0" w:color="000000"/>
              <w:right w:val="single" w:sz="4" w:space="0" w:color="000000"/>
            </w:tcBorders>
            <w:shd w:val="clear" w:color="auto" w:fill="DDDDDD"/>
          </w:tcPr>
          <w:p>
            <w:pPr/>
          </w:p>
        </w:tc>
        <w:tc>
          <w:tcPr>
            <w:tcW w:w="635" w:type="dxa"/>
            <w:vMerge/>
            <w:tcBorders>
              <w:left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
        </w:tc>
        <w:tc>
          <w:tcPr>
            <w:tcW w:w="624" w:type="dxa"/>
            <w:vMerge w:val="restart"/>
            <w:tcBorders>
              <w:top w:val="nil" w:sz="6" w:space="0" w:color="auto"/>
              <w:left w:val="single" w:sz="4" w:space="0" w:color="000000"/>
              <w:right w:val="single" w:sz="4" w:space="0" w:color="000000"/>
            </w:tcBorders>
            <w:shd w:val="clear" w:color="auto" w:fill="DDDDDD"/>
          </w:tcPr>
          <w:p>
            <w:pPr/>
          </w:p>
        </w:tc>
        <w:tc>
          <w:tcPr>
            <w:tcW w:w="624" w:type="dxa"/>
            <w:vMerge/>
            <w:tcBorders>
              <w:left w:val="single" w:sz="4" w:space="0" w:color="000000"/>
              <w:bottom w:val="nil" w:sz="6" w:space="0" w:color="auto"/>
              <w:right w:val="single" w:sz="4" w:space="0" w:color="000000"/>
            </w:tcBorders>
            <w:shd w:val="clear" w:color="auto" w:fill="DDDDDD"/>
          </w:tcPr>
          <w:p>
            <w:pPr/>
          </w:p>
        </w:tc>
      </w:tr>
      <w:tr>
        <w:trPr>
          <w:trHeight w:val="171" w:hRule="exact"/>
        </w:trPr>
        <w:tc>
          <w:tcPr>
            <w:tcW w:w="2188" w:type="dxa"/>
            <w:vMerge/>
            <w:tcBorders>
              <w:left w:val="single" w:sz="4" w:space="0" w:color="000000"/>
              <w:bottom w:val="single" w:sz="4" w:space="0" w:color="000000"/>
              <w:right w:val="single" w:sz="4" w:space="0" w:color="000000"/>
            </w:tcBorders>
            <w:shd w:val="clear" w:color="auto" w:fill="DDDDDD"/>
          </w:tcPr>
          <w:p>
            <w:pPr/>
          </w:p>
        </w:tc>
        <w:tc>
          <w:tcPr>
            <w:tcW w:w="635" w:type="dxa"/>
            <w:vMerge/>
            <w:tcBorders>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single" w:sz="4" w:space="0" w:color="000000"/>
              <w:right w:val="single" w:sz="4" w:space="0" w:color="000000"/>
            </w:tcBorders>
            <w:shd w:val="clear" w:color="auto" w:fill="DDDDDD"/>
          </w:tcPr>
          <w:p>
            <w:pPr/>
          </w:p>
        </w:tc>
        <w:tc>
          <w:tcPr>
            <w:tcW w:w="624" w:type="dxa"/>
            <w:vMerge/>
            <w:tcBorders>
              <w:left w:val="single" w:sz="4" w:space="0" w:color="000000"/>
              <w:bottom w:val="single" w:sz="4" w:space="0" w:color="000000"/>
              <w:right w:val="single" w:sz="4" w:space="0" w:color="000000"/>
            </w:tcBorders>
            <w:shd w:val="clear" w:color="auto" w:fill="DDDDDD"/>
          </w:tcPr>
          <w:p>
            <w:pPr/>
          </w:p>
        </w:tc>
        <w:tc>
          <w:tcPr>
            <w:tcW w:w="624"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331" w:hRule="exact"/>
        </w:trPr>
        <w:tc>
          <w:tcPr>
            <w:tcW w:w="2188" w:type="dxa"/>
            <w:tcBorders>
              <w:top w:val="single" w:sz="4" w:space="0" w:color="000000"/>
              <w:left w:val="single" w:sz="4" w:space="0" w:color="000000"/>
              <w:bottom w:val="nil" w:sz="6" w:space="0" w:color="auto"/>
              <w:right w:val="single" w:sz="4" w:space="0" w:color="000000"/>
            </w:tcBorders>
            <w:shd w:val="clear" w:color="auto" w:fill="DDDDDD"/>
          </w:tcPr>
          <w:p>
            <w:pPr/>
          </w:p>
        </w:tc>
        <w:tc>
          <w:tcPr>
            <w:tcW w:w="635" w:type="dxa"/>
            <w:vMerge w:val="restart"/>
            <w:tcBorders>
              <w:top w:val="single" w:sz="4" w:space="0" w:color="000000"/>
              <w:left w:val="single" w:sz="9" w:space="0" w:color="DDDDDD"/>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29,110,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309.68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4,259,3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43.44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38,342,</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051.65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113,71</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1,704.7</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6,617,2</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800.00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4,535,2</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70.85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34,125,</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047.78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20,233.</w:t>
            </w: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z w:val="18"/>
              </w:rPr>
              <w:t>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69,480,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551.82</w:t>
            </w:r>
          </w:p>
        </w:tc>
      </w:tr>
      <w:tr>
        <w:trPr>
          <w:trHeight w:val="326" w:hRule="exact"/>
        </w:trPr>
        <w:tc>
          <w:tcPr>
            <w:tcW w:w="21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35" w:type="dxa"/>
            <w:vMerge/>
            <w:tcBorders>
              <w:left w:val="single" w:sz="9" w:space="0" w:color="DDDDDD"/>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29" w:hRule="exact"/>
        </w:trPr>
        <w:tc>
          <w:tcPr>
            <w:tcW w:w="2188" w:type="dxa"/>
            <w:tcBorders>
              <w:top w:val="nil" w:sz="6" w:space="0" w:color="auto"/>
              <w:left w:val="single" w:sz="4" w:space="0" w:color="000000"/>
              <w:bottom w:val="single" w:sz="4" w:space="0" w:color="000000"/>
              <w:right w:val="single" w:sz="4" w:space="0" w:color="000000"/>
            </w:tcBorders>
            <w:shd w:val="clear" w:color="auto" w:fill="DDDDDD"/>
          </w:tcPr>
          <w:p>
            <w:pPr/>
          </w:p>
        </w:tc>
        <w:tc>
          <w:tcPr>
            <w:tcW w:w="635" w:type="dxa"/>
            <w:vMerge/>
            <w:tcBorders>
              <w:left w:val="single" w:sz="9" w:space="0" w:color="DDDDDD"/>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35" w:type="dxa"/>
            <w:tcBorders>
              <w:top w:val="single" w:sz="4" w:space="0" w:color="000000"/>
              <w:left w:val="single" w:sz="9" w:space="0" w:color="DDDDDD"/>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35" w:type="dxa"/>
            <w:tcBorders>
              <w:top w:val="single" w:sz="4" w:space="0" w:color="000000"/>
              <w:left w:val="single" w:sz="9" w:space="0" w:color="DDDDDD"/>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5" w:type="dxa"/>
            <w:tcBorders>
              <w:top w:val="single" w:sz="4" w:space="0" w:color="000000"/>
              <w:left w:val="single" w:sz="9" w:space="0" w:color="DDDDDD"/>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88" w:type="dxa"/>
            <w:tcBorders>
              <w:top w:val="single" w:sz="4" w:space="0" w:color="000000"/>
              <w:left w:val="single" w:sz="4" w:space="0" w:color="000000"/>
              <w:bottom w:val="nil" w:sz="6" w:space="0" w:color="auto"/>
              <w:right w:val="single" w:sz="4" w:space="0" w:color="000000"/>
            </w:tcBorders>
            <w:shd w:val="clear" w:color="auto" w:fill="DDDDDD"/>
          </w:tcPr>
          <w:p>
            <w:pPr/>
          </w:p>
        </w:tc>
        <w:tc>
          <w:tcPr>
            <w:tcW w:w="635" w:type="dxa"/>
            <w:vMerge w:val="restart"/>
            <w:tcBorders>
              <w:top w:val="single" w:sz="4" w:space="0" w:color="000000"/>
              <w:left w:val="single" w:sz="9" w:space="0" w:color="DDDDDD"/>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29,110,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309.68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4,259,3</w:t>
            </w:r>
          </w:p>
          <w:p>
            <w:pPr>
              <w:pStyle w:val="TableParagraph"/>
              <w:spacing w:line="240" w:lineRule="auto" w:before="117"/>
              <w:ind w:left="168" w:right="0"/>
              <w:jc w:val="center"/>
              <w:rPr>
                <w:rFonts w:ascii="Times New Roman" w:hAnsi="Times New Roman" w:cs="Times New Roman" w:eastAsia="Times New Roman" w:hint="default"/>
                <w:sz w:val="18"/>
                <w:szCs w:val="18"/>
              </w:rPr>
            </w:pPr>
            <w:r>
              <w:rPr>
                <w:rFonts w:ascii="Times New Roman"/>
                <w:sz w:val="18"/>
              </w:rPr>
              <w:t>43.44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38,342,</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051.65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113,71</w:t>
            </w:r>
            <w:r>
              <w:rPr>
                <w:rFonts w:ascii="Times New Roman"/>
                <w:sz w:val="18"/>
              </w:rPr>
            </w:r>
          </w:p>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1,704.7</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7</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6,617,2</w:t>
            </w:r>
          </w:p>
          <w:p>
            <w:pPr>
              <w:pStyle w:val="TableParagraph"/>
              <w:spacing w:line="240" w:lineRule="auto" w:before="117"/>
              <w:ind w:left="168" w:right="0"/>
              <w:jc w:val="center"/>
              <w:rPr>
                <w:rFonts w:ascii="Times New Roman" w:hAnsi="Times New Roman" w:cs="Times New Roman" w:eastAsia="Times New Roman" w:hint="default"/>
                <w:sz w:val="18"/>
                <w:szCs w:val="18"/>
              </w:rPr>
            </w:pPr>
            <w:r>
              <w:rPr>
                <w:rFonts w:ascii="Times New Roman"/>
                <w:sz w:val="18"/>
              </w:rPr>
              <w:t>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800.00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4,535,2</w:t>
            </w:r>
          </w:p>
          <w:p>
            <w:pPr>
              <w:pStyle w:val="TableParagraph"/>
              <w:spacing w:line="240" w:lineRule="auto" w:before="117"/>
              <w:ind w:left="168" w:right="0"/>
              <w:jc w:val="center"/>
              <w:rPr>
                <w:rFonts w:ascii="Times New Roman" w:hAnsi="Times New Roman" w:cs="Times New Roman" w:eastAsia="Times New Roman" w:hint="default"/>
                <w:sz w:val="18"/>
                <w:szCs w:val="18"/>
              </w:rPr>
            </w:pPr>
            <w:r>
              <w:rPr>
                <w:rFonts w:ascii="Times New Roman"/>
                <w:sz w:val="18"/>
              </w:rPr>
              <w:t>70.85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34,125,</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047.78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20,233.</w:t>
            </w:r>
          </w:p>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z w:val="18"/>
              </w:rPr>
              <w:t>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69,480,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551.82</w:t>
            </w:r>
          </w:p>
        </w:tc>
      </w:tr>
      <w:tr>
        <w:trPr>
          <w:trHeight w:val="326" w:hRule="exact"/>
        </w:trPr>
        <w:tc>
          <w:tcPr>
            <w:tcW w:w="21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35" w:type="dxa"/>
            <w:vMerge/>
            <w:tcBorders>
              <w:left w:val="single" w:sz="9" w:space="0" w:color="DDDDDD"/>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31" w:hRule="exact"/>
        </w:trPr>
        <w:tc>
          <w:tcPr>
            <w:tcW w:w="2188" w:type="dxa"/>
            <w:tcBorders>
              <w:top w:val="nil" w:sz="6" w:space="0" w:color="auto"/>
              <w:left w:val="single" w:sz="4" w:space="0" w:color="000000"/>
              <w:bottom w:val="single" w:sz="4" w:space="0" w:color="000000"/>
              <w:right w:val="single" w:sz="4" w:space="0" w:color="000000"/>
            </w:tcBorders>
            <w:shd w:val="clear" w:color="auto" w:fill="DDDDDD"/>
          </w:tcPr>
          <w:p>
            <w:pPr/>
          </w:p>
        </w:tc>
        <w:tc>
          <w:tcPr>
            <w:tcW w:w="635" w:type="dxa"/>
            <w:vMerge/>
            <w:tcBorders>
              <w:left w:val="single" w:sz="9" w:space="0" w:color="DDDDDD"/>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8" w:hRule="exact"/>
        </w:trPr>
        <w:tc>
          <w:tcPr>
            <w:tcW w:w="2188" w:type="dxa"/>
            <w:tcBorders>
              <w:top w:val="single" w:sz="4" w:space="0" w:color="000000"/>
              <w:left w:val="single" w:sz="4" w:space="0" w:color="000000"/>
              <w:bottom w:val="nil" w:sz="6" w:space="0" w:color="auto"/>
              <w:right w:val="single" w:sz="4" w:space="0" w:color="000000"/>
            </w:tcBorders>
            <w:shd w:val="clear" w:color="auto" w:fill="DDDDDD"/>
          </w:tcPr>
          <w:p>
            <w:pPr/>
          </w:p>
        </w:tc>
        <w:tc>
          <w:tcPr>
            <w:tcW w:w="635" w:type="dxa"/>
            <w:vMerge w:val="restart"/>
            <w:tcBorders>
              <w:top w:val="single" w:sz="4" w:space="0" w:color="000000"/>
              <w:left w:val="single" w:sz="9" w:space="0" w:color="DDDDDD"/>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692,97</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5,144,3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25.04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33,285,</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297.84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745,40</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2,622.8</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35,382,</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800.00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4,927,5</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09.68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-275,92</w:t>
            </w:r>
          </w:p>
          <w:p>
            <w:pPr>
              <w:pStyle w:val="TableParagraph"/>
              <w:spacing w:line="240" w:lineRule="auto" w:before="119"/>
              <w:ind w:left="278" w:right="0"/>
              <w:jc w:val="left"/>
              <w:rPr>
                <w:rFonts w:ascii="Times New Roman" w:hAnsi="Times New Roman" w:cs="Times New Roman" w:eastAsia="Times New Roman" w:hint="default"/>
                <w:sz w:val="18"/>
                <w:szCs w:val="18"/>
              </w:rPr>
            </w:pPr>
            <w:r>
              <w:rPr>
                <w:rFonts w:ascii="Times New Roman"/>
                <w:sz w:val="18"/>
              </w:rPr>
              <w:t>7.41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4,217,0</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03.87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-20,233</w:t>
            </w:r>
          </w:p>
          <w:p>
            <w:pPr>
              <w:pStyle w:val="TableParagraph"/>
              <w:spacing w:line="240" w:lineRule="auto" w:before="119"/>
              <w:ind w:left="367" w:right="0"/>
              <w:jc w:val="left"/>
              <w:rPr>
                <w:rFonts w:ascii="Times New Roman" w:hAnsi="Times New Roman" w:cs="Times New Roman" w:eastAsia="Times New Roman" w:hint="default"/>
                <w:sz w:val="18"/>
                <w:szCs w:val="18"/>
              </w:rPr>
            </w:pPr>
            <w:r>
              <w:rPr>
                <w:rFonts w:ascii="Times New Roman"/>
                <w:sz w:val="18"/>
              </w:rPr>
              <w:t>.19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44,231,</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152.95</w:t>
            </w:r>
          </w:p>
        </w:tc>
      </w:tr>
      <w:tr>
        <w:trPr>
          <w:trHeight w:val="653" w:hRule="exact"/>
        </w:trPr>
        <w:tc>
          <w:tcPr>
            <w:tcW w:w="21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333" w:lineRule="auto" w:before="15"/>
              <w:ind w:left="12" w:right="8"/>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5" w:type="dxa"/>
            <w:vMerge/>
            <w:tcBorders>
              <w:left w:val="single" w:sz="9" w:space="0" w:color="DDDDDD"/>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8" w:hRule="exact"/>
        </w:trPr>
        <w:tc>
          <w:tcPr>
            <w:tcW w:w="2188" w:type="dxa"/>
            <w:tcBorders>
              <w:top w:val="nil" w:sz="6" w:space="0" w:color="auto"/>
              <w:left w:val="single" w:sz="4" w:space="0" w:color="000000"/>
              <w:bottom w:val="single" w:sz="4" w:space="0" w:color="000000"/>
              <w:right w:val="single" w:sz="4" w:space="0" w:color="000000"/>
            </w:tcBorders>
            <w:shd w:val="clear" w:color="auto" w:fill="DDDDDD"/>
          </w:tcPr>
          <w:p>
            <w:pPr/>
          </w:p>
        </w:tc>
        <w:tc>
          <w:tcPr>
            <w:tcW w:w="635" w:type="dxa"/>
            <w:vMerge/>
            <w:tcBorders>
              <w:left w:val="single" w:sz="9" w:space="0" w:color="DDDDDD"/>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8" w:hRule="exact"/>
        </w:trPr>
        <w:tc>
          <w:tcPr>
            <w:tcW w:w="2188" w:type="dxa"/>
            <w:tcBorders>
              <w:top w:val="single" w:sz="4" w:space="0" w:color="000000"/>
              <w:left w:val="single" w:sz="4" w:space="0" w:color="000000"/>
              <w:bottom w:val="nil" w:sz="6" w:space="0" w:color="auto"/>
              <w:right w:val="single" w:sz="4" w:space="0" w:color="000000"/>
            </w:tcBorders>
            <w:shd w:val="clear" w:color="auto" w:fill="DDDDDD"/>
          </w:tcPr>
          <w:p>
            <w:pPr/>
          </w:p>
        </w:tc>
        <w:tc>
          <w:tcPr>
            <w:tcW w:w="635" w:type="dxa"/>
            <w:vMerge w:val="restart"/>
            <w:tcBorders>
              <w:top w:val="single" w:sz="4" w:space="0" w:color="000000"/>
              <w:left w:val="single" w:sz="9" w:space="0" w:color="DDDDDD"/>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51,449,</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622.88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51,449,</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622.88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41,251,</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019.92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133.03</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41,251,</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152.95</w:t>
            </w:r>
          </w:p>
        </w:tc>
      </w:tr>
      <w:tr>
        <w:trPr>
          <w:trHeight w:val="326" w:hRule="exact"/>
        </w:trPr>
        <w:tc>
          <w:tcPr>
            <w:tcW w:w="21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35" w:type="dxa"/>
            <w:vMerge/>
            <w:tcBorders>
              <w:left w:val="single" w:sz="9" w:space="0" w:color="DDDDDD"/>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8" w:hRule="exact"/>
        </w:trPr>
        <w:tc>
          <w:tcPr>
            <w:tcW w:w="2188" w:type="dxa"/>
            <w:tcBorders>
              <w:top w:val="nil" w:sz="6" w:space="0" w:color="auto"/>
              <w:left w:val="single" w:sz="4" w:space="0" w:color="000000"/>
              <w:bottom w:val="single" w:sz="4" w:space="0" w:color="000000"/>
              <w:right w:val="single" w:sz="4" w:space="0" w:color="000000"/>
            </w:tcBorders>
            <w:shd w:val="clear" w:color="auto" w:fill="DDDDDD"/>
          </w:tcPr>
          <w:p>
            <w:pPr/>
          </w:p>
        </w:tc>
        <w:tc>
          <w:tcPr>
            <w:tcW w:w="635" w:type="dxa"/>
            <w:vMerge/>
            <w:tcBorders>
              <w:left w:val="single" w:sz="9" w:space="0" w:color="DDDDDD"/>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35" w:type="dxa"/>
            <w:tcBorders>
              <w:top w:val="single" w:sz="4" w:space="0" w:color="000000"/>
              <w:left w:val="single" w:sz="9" w:space="0" w:color="DDDDDD"/>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35" w:type="dxa"/>
            <w:tcBorders>
              <w:top w:val="single" w:sz="4" w:space="0" w:color="000000"/>
              <w:left w:val="single" w:sz="9" w:space="0" w:color="DDDDDD"/>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3" w:right="0"/>
              <w:jc w:val="left"/>
              <w:rPr>
                <w:rFonts w:ascii="Times New Roman" w:hAnsi="Times New Roman" w:cs="Times New Roman" w:eastAsia="Times New Roman" w:hint="default"/>
                <w:sz w:val="18"/>
                <w:szCs w:val="18"/>
              </w:rPr>
            </w:pPr>
            <w:r>
              <w:rPr>
                <w:rFonts w:ascii="Times New Roman"/>
                <w:sz w:val="18"/>
              </w:rPr>
              <w:t>51,449,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51,449,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41,251,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8"/>
                <w:szCs w:val="18"/>
              </w:rPr>
            </w:pPr>
            <w:r>
              <w:rPr>
                <w:rFonts w:ascii="Times New Roman"/>
                <w:sz w:val="18"/>
              </w:rPr>
              <w:t>133.03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41,251,</w:t>
            </w:r>
          </w:p>
        </w:tc>
      </w:tr>
    </w:tbl>
    <w:p>
      <w:pPr>
        <w:spacing w:after="0" w:line="240" w:lineRule="auto"/>
        <w:jc w:val="left"/>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850" w:footer="979" w:top="1400" w:bottom="1160" w:left="980" w:right="960"/>
          <w:pgNumType w:start="72"/>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8"/>
                <w:szCs w:val="18"/>
              </w:rPr>
            </w:pPr>
            <w:r>
              <w:rPr>
                <w:rFonts w:ascii="Times New Roman"/>
                <w:sz w:val="18"/>
              </w:rPr>
              <w:t>622.88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8"/>
                <w:szCs w:val="18"/>
              </w:rPr>
            </w:pPr>
            <w:r>
              <w:rPr>
                <w:rFonts w:ascii="Times New Roman"/>
                <w:sz w:val="18"/>
              </w:rPr>
              <w:t>622.88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8"/>
                <w:szCs w:val="18"/>
              </w:rPr>
            </w:pPr>
            <w:r>
              <w:rPr>
                <w:rFonts w:ascii="Times New Roman"/>
                <w:sz w:val="18"/>
              </w:rPr>
              <w:t>019.92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 w:right="0"/>
              <w:jc w:val="left"/>
              <w:rPr>
                <w:rFonts w:ascii="Times New Roman" w:hAnsi="Times New Roman" w:cs="Times New Roman" w:eastAsia="Times New Roman" w:hint="default"/>
                <w:sz w:val="18"/>
                <w:szCs w:val="18"/>
              </w:rPr>
            </w:pPr>
            <w:r>
              <w:rPr>
                <w:rFonts w:ascii="Times New Roman"/>
                <w:sz w:val="18"/>
              </w:rPr>
              <w:t>152.95</w:t>
            </w:r>
          </w:p>
        </w:tc>
      </w:tr>
      <w:tr>
        <w:trPr>
          <w:trHeight w:val="98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33" w:lineRule="auto"/>
              <w:ind w:left="22" w:right="19"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692,97</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706,97</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228,17</w:t>
            </w:r>
          </w:p>
          <w:p>
            <w:pPr>
              <w:pStyle w:val="TableParagraph"/>
              <w:spacing w:line="240" w:lineRule="auto" w:before="119"/>
              <w:ind w:left="256" w:right="0"/>
              <w:jc w:val="center"/>
              <w:rPr>
                <w:rFonts w:ascii="Times New Roman" w:hAnsi="Times New Roman" w:cs="Times New Roman" w:eastAsia="Times New Roman" w:hint="default"/>
                <w:sz w:val="18"/>
                <w:szCs w:val="18"/>
              </w:rPr>
            </w:pPr>
            <w:r>
              <w:rPr>
                <w:rFonts w:ascii="Times New Roman"/>
                <w:sz w:val="18"/>
              </w:rPr>
              <w:t>7.00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9,772,1</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89.22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-20,366</w:t>
            </w:r>
          </w:p>
          <w:p>
            <w:pPr>
              <w:pStyle w:val="TableParagraph"/>
              <w:spacing w:line="240" w:lineRule="auto" w:before="119"/>
              <w:ind w:left="367" w:right="0"/>
              <w:jc w:val="left"/>
              <w:rPr>
                <w:rFonts w:ascii="Times New Roman" w:hAnsi="Times New Roman" w:cs="Times New Roman" w:eastAsia="Times New Roman" w:hint="default"/>
                <w:sz w:val="18"/>
                <w:szCs w:val="18"/>
              </w:rPr>
            </w:pPr>
            <w:r>
              <w:rPr>
                <w:rFonts w:ascii="Times New Roman"/>
                <w:sz w:val="18"/>
              </w:rPr>
              <w:t>.22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9,980,0</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00.00</w:t>
            </w:r>
          </w:p>
        </w:tc>
      </w:tr>
      <w:tr>
        <w:trPr>
          <w:trHeight w:val="989"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692,97</w:t>
            </w:r>
            <w:r>
              <w:rPr>
                <w:rFonts w:ascii="Times New Roman"/>
                <w:sz w:val="18"/>
              </w:rPr>
            </w:r>
          </w:p>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706,97</w:t>
            </w:r>
            <w:r>
              <w:rPr>
                <w:rFonts w:ascii="Times New Roman"/>
                <w:sz w:val="18"/>
              </w:rPr>
            </w:r>
          </w:p>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3,000.0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228,17</w:t>
            </w:r>
          </w:p>
          <w:p>
            <w:pPr>
              <w:pStyle w:val="TableParagraph"/>
              <w:spacing w:line="240" w:lineRule="auto" w:before="119"/>
              <w:ind w:left="256" w:right="0"/>
              <w:jc w:val="center"/>
              <w:rPr>
                <w:rFonts w:ascii="Times New Roman" w:hAnsi="Times New Roman" w:cs="Times New Roman" w:eastAsia="Times New Roman" w:hint="default"/>
                <w:sz w:val="18"/>
                <w:szCs w:val="18"/>
              </w:rPr>
            </w:pPr>
            <w:r>
              <w:rPr>
                <w:rFonts w:ascii="Times New Roman"/>
                <w:sz w:val="18"/>
              </w:rPr>
              <w:t>7.00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9,771,8</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23.00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10,080,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000.00</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15"/>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366.22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-100,36</w:t>
            </w:r>
          </w:p>
          <w:p>
            <w:pPr>
              <w:pStyle w:val="TableParagraph"/>
              <w:spacing w:line="240" w:lineRule="auto" w:before="119"/>
              <w:ind w:left="278" w:right="0"/>
              <w:jc w:val="left"/>
              <w:rPr>
                <w:rFonts w:ascii="Times New Roman" w:hAnsi="Times New Roman" w:cs="Times New Roman" w:eastAsia="Times New Roman" w:hint="default"/>
                <w:sz w:val="18"/>
                <w:szCs w:val="18"/>
              </w:rPr>
            </w:pPr>
            <w:r>
              <w:rPr>
                <w:rFonts w:ascii="Times New Roman"/>
                <w:sz w:val="18"/>
              </w:rPr>
              <w:t>6.22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9"/>
              <w:ind w:left="278" w:right="0"/>
              <w:jc w:val="left"/>
              <w:rPr>
                <w:rFonts w:ascii="Times New Roman" w:hAnsi="Times New Roman" w:cs="Times New Roman" w:eastAsia="Times New Roman" w:hint="default"/>
                <w:sz w:val="18"/>
                <w:szCs w:val="18"/>
              </w:rPr>
            </w:pPr>
            <w:r>
              <w:rPr>
                <w:rFonts w:ascii="Times New Roman"/>
                <w:sz w:val="18"/>
              </w:rPr>
              <w:t>0.00</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5,144,3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25.04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-18,164</w:t>
            </w:r>
          </w:p>
          <w:p>
            <w:pPr>
              <w:pStyle w:val="TableParagraph"/>
              <w:spacing w:line="240" w:lineRule="auto" w:before="119"/>
              <w:ind w:left="52" w:right="0"/>
              <w:jc w:val="left"/>
              <w:rPr>
                <w:rFonts w:ascii="Times New Roman" w:hAnsi="Times New Roman" w:cs="Times New Roman" w:eastAsia="Times New Roman" w:hint="default"/>
                <w:sz w:val="18"/>
                <w:szCs w:val="18"/>
              </w:rPr>
            </w:pPr>
            <w:r>
              <w:rPr>
                <w:rFonts w:ascii="Times New Roman"/>
                <w:sz w:val="18"/>
              </w:rPr>
              <w:t>,325.04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-13,020</w:t>
            </w:r>
          </w:p>
          <w:p>
            <w:pPr>
              <w:pStyle w:val="TableParagraph"/>
              <w:spacing w:line="240" w:lineRule="auto" w:before="119"/>
              <w:ind w:left="52"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4,259,3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43.44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-11,259</w:t>
            </w:r>
          </w:p>
          <w:p>
            <w:pPr>
              <w:pStyle w:val="TableParagraph"/>
              <w:spacing w:line="240" w:lineRule="auto" w:before="119"/>
              <w:ind w:left="52" w:right="0"/>
              <w:jc w:val="left"/>
              <w:rPr>
                <w:rFonts w:ascii="Times New Roman" w:hAnsi="Times New Roman" w:cs="Times New Roman" w:eastAsia="Times New Roman" w:hint="default"/>
                <w:sz w:val="18"/>
                <w:szCs w:val="18"/>
              </w:rPr>
            </w:pPr>
            <w:r>
              <w:rPr>
                <w:rFonts w:ascii="Times New Roman"/>
                <w:sz w:val="18"/>
              </w:rPr>
              <w:t>,343.44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000.00</w:t>
            </w:r>
          </w:p>
        </w:tc>
      </w:tr>
      <w:tr>
        <w:trPr>
          <w:trHeight w:val="660"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5,144,3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25.04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-5,144,</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325.04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4,259,3</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43.44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-4,259,</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343.44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2" w:lineRule="auto" w:before="17"/>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-13,020</w:t>
            </w:r>
          </w:p>
          <w:p>
            <w:pPr>
              <w:pStyle w:val="TableParagraph"/>
              <w:spacing w:line="240" w:lineRule="auto" w:before="117"/>
              <w:ind w:left="52"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 w:right="0"/>
              <w:jc w:val="left"/>
              <w:rPr>
                <w:rFonts w:ascii="Times New Roman" w:hAnsi="Times New Roman" w:cs="Times New Roman" w:eastAsia="Times New Roman" w:hint="default"/>
                <w:sz w:val="18"/>
                <w:szCs w:val="18"/>
              </w:rPr>
            </w:pPr>
            <w:r>
              <w:rPr>
                <w:rFonts w:ascii="Times New Roman"/>
                <w:sz w:val="18"/>
              </w:rPr>
              <w:t>-13,020</w:t>
            </w:r>
          </w:p>
          <w:p>
            <w:pPr>
              <w:pStyle w:val="TableParagraph"/>
              <w:spacing w:line="240" w:lineRule="auto" w:before="117"/>
              <w:ind w:left="52"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3"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3"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000.00</w:t>
            </w: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35,154,</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623.00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-4,844,</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679.54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-4,535,</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270.85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-25,774</w:t>
            </w:r>
          </w:p>
          <w:p>
            <w:pPr>
              <w:pStyle w:val="TableParagraph"/>
              <w:spacing w:line="240" w:lineRule="auto" w:before="119"/>
              <w:ind w:left="52" w:right="0"/>
              <w:jc w:val="left"/>
              <w:rPr>
                <w:rFonts w:ascii="Times New Roman" w:hAnsi="Times New Roman" w:cs="Times New Roman" w:eastAsia="Times New Roman" w:hint="default"/>
                <w:sz w:val="18"/>
                <w:szCs w:val="18"/>
              </w:rPr>
            </w:pPr>
            <w:r>
              <w:rPr>
                <w:rFonts w:ascii="Times New Roman"/>
                <w:sz w:val="18"/>
              </w:rPr>
              <w:t>,672.61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4,844,6</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79.54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-4,844,</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679.54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 w:right="0"/>
              <w:jc w:val="center"/>
              <w:rPr>
                <w:rFonts w:ascii="Times New Roman" w:hAnsi="Times New Roman" w:cs="Times New Roman" w:eastAsia="Times New Roman" w:hint="default"/>
                <w:sz w:val="18"/>
                <w:szCs w:val="18"/>
              </w:rPr>
            </w:pPr>
            <w:r>
              <w:rPr>
                <w:rFonts w:ascii="Times New Roman"/>
                <w:sz w:val="18"/>
              </w:rPr>
              <w:t>4,535,2</w:t>
            </w:r>
          </w:p>
          <w:p>
            <w:pPr>
              <w:pStyle w:val="TableParagraph"/>
              <w:spacing w:line="240" w:lineRule="auto" w:before="119"/>
              <w:ind w:left="168" w:right="0"/>
              <w:jc w:val="center"/>
              <w:rPr>
                <w:rFonts w:ascii="Times New Roman" w:hAnsi="Times New Roman" w:cs="Times New Roman" w:eastAsia="Times New Roman" w:hint="default"/>
                <w:sz w:val="18"/>
                <w:szCs w:val="18"/>
              </w:rPr>
            </w:pPr>
            <w:r>
              <w:rPr>
                <w:rFonts w:ascii="Times New Roman"/>
                <w:sz w:val="18"/>
              </w:rPr>
              <w:t>70.85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-4,535,</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270.85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979" w:top="140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25,774,</w:t>
            </w:r>
          </w:p>
          <w:p>
            <w:pPr>
              <w:pStyle w:val="TableParagraph"/>
              <w:spacing w:line="240" w:lineRule="auto" w:before="119"/>
              <w:ind w:left="98" w:right="0"/>
              <w:jc w:val="left"/>
              <w:rPr>
                <w:rFonts w:ascii="Times New Roman" w:hAnsi="Times New Roman" w:cs="Times New Roman" w:eastAsia="Times New Roman" w:hint="default"/>
                <w:sz w:val="18"/>
                <w:szCs w:val="18"/>
              </w:rPr>
            </w:pPr>
            <w:r>
              <w:rPr>
                <w:rFonts w:ascii="Times New Roman"/>
                <w:sz w:val="18"/>
              </w:rPr>
              <w:t>672.61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 w:right="0"/>
              <w:jc w:val="left"/>
              <w:rPr>
                <w:rFonts w:ascii="Times New Roman" w:hAnsi="Times New Roman" w:cs="Times New Roman" w:eastAsia="Times New Roman" w:hint="default"/>
                <w:sz w:val="18"/>
                <w:szCs w:val="18"/>
              </w:rPr>
            </w:pPr>
            <w:r>
              <w:rPr>
                <w:rFonts w:ascii="Times New Roman"/>
                <w:sz w:val="18"/>
              </w:rPr>
              <w:t>-25,774</w:t>
            </w:r>
          </w:p>
          <w:p>
            <w:pPr>
              <w:pStyle w:val="TableParagraph"/>
              <w:spacing w:line="240" w:lineRule="auto" w:before="119"/>
              <w:ind w:left="52" w:right="0"/>
              <w:jc w:val="left"/>
              <w:rPr>
                <w:rFonts w:ascii="Times New Roman" w:hAnsi="Times New Roman" w:cs="Times New Roman" w:eastAsia="Times New Roman" w:hint="default"/>
                <w:sz w:val="18"/>
                <w:szCs w:val="18"/>
              </w:rPr>
            </w:pPr>
            <w:r>
              <w:rPr>
                <w:rFonts w:ascii="Times New Roman"/>
                <w:sz w:val="18"/>
              </w:rPr>
              <w:t>,672.61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722,08</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3,309.6</w:t>
            </w:r>
          </w:p>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9,403,6</w:t>
            </w:r>
          </w:p>
          <w:p>
            <w:pPr>
              <w:pStyle w:val="TableParagraph"/>
              <w:spacing w:line="240" w:lineRule="auto" w:before="117"/>
              <w:ind w:left="168" w:right="0"/>
              <w:jc w:val="center"/>
              <w:rPr>
                <w:rFonts w:ascii="Times New Roman" w:hAnsi="Times New Roman" w:cs="Times New Roman" w:eastAsia="Times New Roman" w:hint="default"/>
                <w:sz w:val="18"/>
                <w:szCs w:val="18"/>
              </w:rPr>
            </w:pPr>
            <w:r>
              <w:rPr>
                <w:rFonts w:ascii="Times New Roman"/>
                <w:sz w:val="18"/>
              </w:rPr>
              <w:t>68.48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71,627,</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349.49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859,11</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4,327.6</w:t>
            </w:r>
          </w:p>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29,110,</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309.68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4,259,3</w:t>
            </w:r>
          </w:p>
          <w:p>
            <w:pPr>
              <w:pStyle w:val="TableParagraph"/>
              <w:spacing w:line="240" w:lineRule="auto" w:before="117"/>
              <w:ind w:left="168" w:right="0"/>
              <w:jc w:val="center"/>
              <w:rPr>
                <w:rFonts w:ascii="Times New Roman" w:hAnsi="Times New Roman" w:cs="Times New Roman" w:eastAsia="Times New Roman" w:hint="default"/>
                <w:sz w:val="18"/>
                <w:szCs w:val="18"/>
              </w:rPr>
            </w:pPr>
            <w:r>
              <w:rPr>
                <w:rFonts w:ascii="Times New Roman"/>
                <w:sz w:val="18"/>
              </w:rPr>
              <w:t>43.44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38,342,</w:t>
            </w:r>
          </w:p>
          <w:p>
            <w:pPr>
              <w:pStyle w:val="TableParagraph"/>
              <w:spacing w:line="240" w:lineRule="auto" w:before="117"/>
              <w:ind w:left="98" w:right="0"/>
              <w:jc w:val="left"/>
              <w:rPr>
                <w:rFonts w:ascii="Times New Roman" w:hAnsi="Times New Roman" w:cs="Times New Roman" w:eastAsia="Times New Roman" w:hint="default"/>
                <w:sz w:val="18"/>
                <w:szCs w:val="18"/>
              </w:rPr>
            </w:pPr>
            <w:r>
              <w:rPr>
                <w:rFonts w:ascii="Times New Roman"/>
                <w:sz w:val="18"/>
              </w:rPr>
              <w:t>051.65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113,71</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1,704.7</w:t>
            </w:r>
          </w:p>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7"/>
        <w:ind w:left="945" w:right="0"/>
        <w:jc w:val="left"/>
        <w:rPr>
          <w:b w:val="0"/>
          <w:bCs w:val="0"/>
        </w:rPr>
      </w:pPr>
      <w:r>
        <w:rPr/>
        <w:t>（五）母公司所有者权益变动表</w:t>
      </w:r>
      <w:r>
        <w:rPr>
          <w:b w:val="0"/>
          <w:bCs w:val="0"/>
        </w:rPr>
      </w:r>
    </w:p>
    <w:p>
      <w:pPr>
        <w:spacing w:line="240" w:lineRule="auto" w:before="2"/>
        <w:rPr>
          <w:rFonts w:ascii="宋体" w:hAnsi="宋体" w:cs="宋体" w:eastAsia="宋体" w:hint="default"/>
          <w:b/>
          <w:bCs/>
          <w:sz w:val="23"/>
          <w:szCs w:val="23"/>
        </w:rPr>
      </w:pPr>
    </w:p>
    <w:p>
      <w:pPr>
        <w:tabs>
          <w:tab w:pos="8224" w:val="left" w:leader="none"/>
          <w:tab w:pos="13313" w:val="left" w:leader="none"/>
        </w:tabs>
        <w:spacing w:before="0"/>
        <w:ind w:left="480" w:right="0"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t>单位：元</w:t>
      </w:r>
    </w:p>
    <w:p>
      <w:pPr>
        <w:spacing w:line="240" w:lineRule="auto" w:before="7"/>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2188"/>
        <w:gridCol w:w="791"/>
        <w:gridCol w:w="780"/>
        <w:gridCol w:w="780"/>
        <w:gridCol w:w="780"/>
        <w:gridCol w:w="780"/>
        <w:gridCol w:w="780"/>
        <w:gridCol w:w="780"/>
        <w:gridCol w:w="780"/>
        <w:gridCol w:w="780"/>
        <w:gridCol w:w="780"/>
        <w:gridCol w:w="780"/>
        <w:gridCol w:w="780"/>
        <w:gridCol w:w="780"/>
        <w:gridCol w:w="780"/>
        <w:gridCol w:w="780"/>
        <w:gridCol w:w="780"/>
      </w:tblGrid>
      <w:tr>
        <w:trPr>
          <w:trHeight w:val="336" w:hRule="exact"/>
        </w:trPr>
        <w:tc>
          <w:tcPr>
            <w:tcW w:w="2188" w:type="dxa"/>
            <w:vMerge w:val="restart"/>
            <w:tcBorders>
              <w:top w:val="single" w:sz="4" w:space="0" w:color="000000"/>
              <w:left w:val="single" w:sz="4" w:space="0" w:color="000000"/>
              <w:right w:val="single" w:sz="4" w:space="0" w:color="000000"/>
            </w:tcBorders>
            <w:shd w:val="clear" w:color="auto" w:fill="DDDDDD"/>
          </w:tcPr>
          <w:p>
            <w:pPr/>
          </w:p>
        </w:tc>
        <w:tc>
          <w:tcPr>
            <w:tcW w:w="6251"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7" w:hRule="exact"/>
        </w:trPr>
        <w:tc>
          <w:tcPr>
            <w:tcW w:w="2188" w:type="dxa"/>
            <w:vMerge/>
            <w:tcBorders>
              <w:left w:val="single" w:sz="4" w:space="0" w:color="000000"/>
              <w:bottom w:val="nil" w:sz="6" w:space="0" w:color="auto"/>
              <w:right w:val="single" w:sz="4" w:space="0" w:color="000000"/>
            </w:tcBorders>
            <w:shd w:val="clear" w:color="auto" w:fill="DDDDDD"/>
          </w:tcPr>
          <w:p>
            <w:pPr/>
          </w:p>
        </w:tc>
        <w:tc>
          <w:tcPr>
            <w:tcW w:w="79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7"/>
              <w:ind w:left="3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33" w:lineRule="auto" w:before="88"/>
              <w:ind w:left="217"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7"/>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33" w:lineRule="auto" w:before="88"/>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vMerge w:val="restart"/>
            <w:tcBorders>
              <w:top w:val="single" w:sz="4" w:space="0" w:color="000000"/>
              <w:left w:val="single" w:sz="4" w:space="0" w:color="000000"/>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c>
          <w:tcPr>
            <w:tcW w:w="780"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161" w:hRule="exact"/>
        </w:trPr>
        <w:tc>
          <w:tcPr>
            <w:tcW w:w="2188"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91" w:type="dxa"/>
            <w:vMerge/>
            <w:tcBorders>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7"/>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DDDDD"/>
          </w:tcPr>
          <w:p>
            <w:pPr>
              <w:pStyle w:val="TableParagraph"/>
              <w:spacing w:line="331" w:lineRule="auto" w:before="16"/>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8" w:hRule="exact"/>
        </w:trPr>
        <w:tc>
          <w:tcPr>
            <w:tcW w:w="2188" w:type="dxa"/>
            <w:vMerge/>
            <w:tcBorders>
              <w:left w:val="single" w:sz="4" w:space="0" w:color="000000"/>
              <w:bottom w:val="nil" w:sz="6" w:space="0" w:color="auto"/>
              <w:right w:val="single" w:sz="4" w:space="0" w:color="000000"/>
            </w:tcBorders>
            <w:shd w:val="clear" w:color="auto" w:fill="DDDDDD"/>
          </w:tcPr>
          <w:p>
            <w:pPr/>
          </w:p>
        </w:tc>
        <w:tc>
          <w:tcPr>
            <w:tcW w:w="791"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资本公积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专项储备</w:t>
            </w:r>
            <w:r>
              <w:rPr>
                <w:rFonts w:ascii="宋体" w:hAnsi="宋体" w:cs="宋体" w:eastAsia="宋体" w:hint="default"/>
                <w:sz w:val="18"/>
                <w:szCs w:val="18"/>
              </w:rPr>
            </w: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盈余公积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资本公积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专项储备</w:t>
            </w:r>
            <w:r>
              <w:rPr>
                <w:rFonts w:ascii="宋体" w:hAnsi="宋体" w:cs="宋体" w:eastAsia="宋体" w:hint="default"/>
                <w:sz w:val="18"/>
                <w:szCs w:val="18"/>
              </w:rPr>
            </w:r>
          </w:p>
        </w:tc>
        <w:tc>
          <w:tcPr>
            <w:tcW w:w="780" w:type="dxa"/>
            <w:vMerge w:val="restart"/>
            <w:tcBorders>
              <w:top w:val="nil" w:sz="6" w:space="0" w:color="auto"/>
              <w:left w:val="single" w:sz="22" w:space="0" w:color="DDDDDD"/>
              <w:right w:val="single" w:sz="22" w:space="0" w:color="DDDDDD"/>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盈余公积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r>
      <w:tr>
        <w:trPr>
          <w:trHeight w:val="168" w:hRule="exact"/>
        </w:trPr>
        <w:tc>
          <w:tcPr>
            <w:tcW w:w="2188" w:type="dxa"/>
            <w:vMerge w:val="restart"/>
            <w:tcBorders>
              <w:top w:val="nil" w:sz="6" w:space="0" w:color="auto"/>
              <w:left w:val="single" w:sz="4" w:space="0" w:color="000000"/>
              <w:right w:val="single" w:sz="4" w:space="0" w:color="000000"/>
            </w:tcBorders>
            <w:shd w:val="clear" w:color="auto" w:fill="DDDDDD"/>
          </w:tcPr>
          <w:p>
            <w:pPr/>
          </w:p>
        </w:tc>
        <w:tc>
          <w:tcPr>
            <w:tcW w:w="791" w:type="dxa"/>
            <w:vMerge/>
            <w:tcBorders>
              <w:left w:val="single" w:sz="4" w:space="0" w:color="000000"/>
              <w:right w:val="single" w:sz="4" w:space="0" w:color="000000"/>
            </w:tcBorders>
            <w:shd w:val="clear" w:color="auto" w:fill="DDDDDD"/>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22" w:space="0" w:color="DDDDDD"/>
              <w:bottom w:val="nil" w:sz="6" w:space="0" w:color="auto"/>
              <w:right w:val="single" w:sz="22" w:space="0" w:color="DDDDDD"/>
            </w:tcBorders>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r>
      <w:tr>
        <w:trPr>
          <w:trHeight w:val="163" w:hRule="exact"/>
        </w:trPr>
        <w:tc>
          <w:tcPr>
            <w:tcW w:w="2188" w:type="dxa"/>
            <w:vMerge/>
            <w:tcBorders>
              <w:left w:val="single" w:sz="4" w:space="0" w:color="000000"/>
              <w:right w:val="single" w:sz="4" w:space="0" w:color="000000"/>
            </w:tcBorders>
            <w:shd w:val="clear" w:color="auto" w:fill="DDDDDD"/>
          </w:tcPr>
          <w:p>
            <w:pPr/>
          </w:p>
        </w:tc>
        <w:tc>
          <w:tcPr>
            <w:tcW w:w="791"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val="restart"/>
            <w:tcBorders>
              <w:top w:val="nil" w:sz="6" w:space="0" w:color="auto"/>
              <w:left w:val="single" w:sz="4" w:space="0" w:color="000000"/>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c>
          <w:tcPr>
            <w:tcW w:w="780" w:type="dxa"/>
            <w:vMerge/>
            <w:tcBorders>
              <w:left w:val="single" w:sz="4" w:space="0" w:color="000000"/>
              <w:bottom w:val="nil" w:sz="6" w:space="0" w:color="auto"/>
              <w:right w:val="single" w:sz="4" w:space="0" w:color="000000"/>
            </w:tcBorders>
            <w:shd w:val="clear" w:color="auto" w:fill="DDDDDD"/>
          </w:tcPr>
          <w:p>
            <w:pPr/>
          </w:p>
        </w:tc>
      </w:tr>
      <w:tr>
        <w:trPr>
          <w:trHeight w:val="168" w:hRule="exact"/>
        </w:trPr>
        <w:tc>
          <w:tcPr>
            <w:tcW w:w="2188" w:type="dxa"/>
            <w:vMerge/>
            <w:tcBorders>
              <w:left w:val="single" w:sz="4" w:space="0" w:color="000000"/>
              <w:bottom w:val="single" w:sz="4" w:space="0" w:color="000000"/>
              <w:right w:val="single" w:sz="4" w:space="0" w:color="000000"/>
            </w:tcBorders>
            <w:shd w:val="clear" w:color="auto" w:fill="DDDDDD"/>
          </w:tcPr>
          <w:p>
            <w:pPr/>
          </w:p>
        </w:tc>
        <w:tc>
          <w:tcPr>
            <w:tcW w:w="791" w:type="dxa"/>
            <w:vMerge/>
            <w:tcBorders>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vMerge/>
            <w:tcBorders>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c>
          <w:tcPr>
            <w:tcW w:w="780"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168" w:hRule="exact"/>
        </w:trPr>
        <w:tc>
          <w:tcPr>
            <w:tcW w:w="2188" w:type="dxa"/>
            <w:tcBorders>
              <w:top w:val="single" w:sz="4" w:space="0" w:color="000000"/>
              <w:left w:val="single" w:sz="4" w:space="0" w:color="000000"/>
              <w:bottom w:val="nil" w:sz="6" w:space="0" w:color="auto"/>
              <w:right w:val="single" w:sz="4" w:space="0" w:color="000000"/>
            </w:tcBorders>
            <w:shd w:val="clear" w:color="auto" w:fill="DDDDDD"/>
          </w:tcPr>
          <w:p>
            <w:pPr/>
          </w:p>
        </w:tc>
        <w:tc>
          <w:tcPr>
            <w:tcW w:w="791" w:type="dxa"/>
            <w:vMerge w:val="restart"/>
            <w:tcBorders>
              <w:top w:val="single" w:sz="4" w:space="0" w:color="000000"/>
              <w:left w:val="single" w:sz="9" w:space="0" w:color="DDDDDD"/>
              <w:right w:val="single" w:sz="4" w:space="0" w:color="000000"/>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19"/>
              <w:ind w:left="439"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29,109,94</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3.46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4,259,343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.44</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38,334,09</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0.97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113,703,3</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77.87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6,617,200</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24,182,80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4,535,270</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.85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34,120,61</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7.17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69,455,88</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8.02</w:t>
            </w:r>
          </w:p>
        </w:tc>
      </w:tr>
      <w:tr>
        <w:trPr>
          <w:trHeight w:val="326" w:hRule="exact"/>
        </w:trPr>
        <w:tc>
          <w:tcPr>
            <w:tcW w:w="2188"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91" w:type="dxa"/>
            <w:vMerge/>
            <w:tcBorders>
              <w:left w:val="single" w:sz="9" w:space="0" w:color="DDDDDD"/>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8" w:hRule="exact"/>
        </w:trPr>
        <w:tc>
          <w:tcPr>
            <w:tcW w:w="2188" w:type="dxa"/>
            <w:tcBorders>
              <w:top w:val="nil" w:sz="6" w:space="0" w:color="auto"/>
              <w:left w:val="single" w:sz="4" w:space="0" w:color="000000"/>
              <w:bottom w:val="single" w:sz="4" w:space="0" w:color="000000"/>
              <w:right w:val="single" w:sz="4" w:space="0" w:color="000000"/>
            </w:tcBorders>
            <w:shd w:val="clear" w:color="auto" w:fill="DDDDDD"/>
          </w:tcPr>
          <w:p>
            <w:pPr/>
          </w:p>
        </w:tc>
        <w:tc>
          <w:tcPr>
            <w:tcW w:w="791" w:type="dxa"/>
            <w:vMerge/>
            <w:tcBorders>
              <w:left w:val="single" w:sz="9" w:space="0" w:color="DDDDDD"/>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91" w:type="dxa"/>
            <w:tcBorders>
              <w:top w:val="single" w:sz="4" w:space="0" w:color="000000"/>
              <w:left w:val="single" w:sz="9" w:space="0" w:color="DDDDDD"/>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91" w:type="dxa"/>
            <w:tcBorders>
              <w:top w:val="single" w:sz="4" w:space="0" w:color="000000"/>
              <w:left w:val="single" w:sz="9" w:space="0" w:color="DDDDDD"/>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1" w:type="dxa"/>
            <w:tcBorders>
              <w:top w:val="single" w:sz="4" w:space="0" w:color="000000"/>
              <w:left w:val="single" w:sz="9" w:space="0" w:color="DDDDDD"/>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979" w:top="140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29,109,94</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3.46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4,259,343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38,334,09</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113,703,3</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77.87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6,617,200</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24,182,80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4,535,270</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34,120,61</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69,455,88</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8.02</w:t>
            </w:r>
          </w:p>
        </w:tc>
      </w:tr>
      <w:tr>
        <w:trPr>
          <w:trHeight w:val="660"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22"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692,973,0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5,144,325</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33,278,92</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745,396,2</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50.38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35,382,80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4,927,143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-275,927.</w:t>
            </w:r>
            <w:r>
              <w:rPr>
                <w:rFonts w:ascii="Times New Roman"/>
                <w:sz w:val="18"/>
              </w:rPr>
            </w:r>
          </w:p>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z w:val="18"/>
              </w:rPr>
              <w:t>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4,213,473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44,247,48</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9.85</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51,443,25</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51,443,25</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41,247,48</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41,247,48</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9.85</w:t>
            </w: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2"/>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51,443,25</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51,443,25</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41,247,48</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41,247,48</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9.85</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33" w:lineRule="auto" w:before="15"/>
              <w:ind w:left="22" w:right="19"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692,973,0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706,973,0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228,177.0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9,771,823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692,973,0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706,973,0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228,177.0</w:t>
            </w:r>
          </w:p>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9,771,823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15"/>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5,144,325</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 w:right="0"/>
              <w:jc w:val="left"/>
              <w:rPr>
                <w:rFonts w:ascii="Times New Roman" w:hAnsi="Times New Roman" w:cs="Times New Roman" w:eastAsia="Times New Roman" w:hint="default"/>
                <w:sz w:val="18"/>
                <w:szCs w:val="18"/>
              </w:rPr>
            </w:pPr>
            <w:r>
              <w:rPr>
                <w:rFonts w:ascii="Times New Roman"/>
                <w:sz w:val="18"/>
              </w:rPr>
              <w:t>-18,164,3</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25.04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 w:right="0"/>
              <w:jc w:val="left"/>
              <w:rPr>
                <w:rFonts w:ascii="Times New Roman" w:hAnsi="Times New Roman" w:cs="Times New Roman" w:eastAsia="Times New Roman" w:hint="default"/>
                <w:sz w:val="18"/>
                <w:szCs w:val="18"/>
              </w:rPr>
            </w:pPr>
            <w:r>
              <w:rPr>
                <w:rFonts w:ascii="Times New Roman"/>
                <w:sz w:val="18"/>
              </w:rPr>
              <w:t>-13,020,0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4,259,343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-11,259,3</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43.44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5,144,325</w:t>
            </w:r>
          </w:p>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.04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9" w:right="0"/>
              <w:jc w:val="left"/>
              <w:rPr>
                <w:rFonts w:ascii="Times New Roman" w:hAnsi="Times New Roman" w:cs="Times New Roman" w:eastAsia="Times New Roman" w:hint="default"/>
                <w:sz w:val="18"/>
                <w:szCs w:val="18"/>
              </w:rPr>
            </w:pPr>
            <w:r>
              <w:rPr>
                <w:rFonts w:ascii="Times New Roman"/>
                <w:sz w:val="18"/>
              </w:rPr>
              <w:t>-5,144,32</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5.04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4,259,343</w:t>
            </w:r>
          </w:p>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 w:right="0"/>
              <w:jc w:val="left"/>
              <w:rPr>
                <w:rFonts w:ascii="Times New Roman" w:hAnsi="Times New Roman" w:cs="Times New Roman" w:eastAsia="Times New Roman" w:hint="default"/>
                <w:sz w:val="18"/>
                <w:szCs w:val="18"/>
              </w:rPr>
            </w:pPr>
            <w:r>
              <w:rPr>
                <w:rFonts w:ascii="Times New Roman"/>
                <w:sz w:val="18"/>
              </w:rPr>
              <w:t>-4,259,34</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3.44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15"/>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 w:right="0"/>
              <w:jc w:val="left"/>
              <w:rPr>
                <w:rFonts w:ascii="Times New Roman" w:hAnsi="Times New Roman" w:cs="Times New Roman" w:eastAsia="Times New Roman" w:hint="default"/>
                <w:sz w:val="18"/>
                <w:szCs w:val="18"/>
              </w:rPr>
            </w:pPr>
            <w:r>
              <w:rPr>
                <w:rFonts w:ascii="Times New Roman"/>
                <w:sz w:val="18"/>
              </w:rPr>
              <w:t>-13,020,0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 w:right="0"/>
              <w:jc w:val="left"/>
              <w:rPr>
                <w:rFonts w:ascii="Times New Roman" w:hAnsi="Times New Roman" w:cs="Times New Roman" w:eastAsia="Times New Roman" w:hint="default"/>
                <w:sz w:val="18"/>
                <w:szCs w:val="18"/>
              </w:rPr>
            </w:pPr>
            <w:r>
              <w:rPr>
                <w:rFonts w:ascii="Times New Roman"/>
                <w:sz w:val="18"/>
              </w:rPr>
              <w:t>-13,020,0</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right="19"/>
              <w:jc w:val="right"/>
              <w:rPr>
                <w:rFonts w:ascii="宋体" w:hAnsi="宋体" w:cs="宋体" w:eastAsia="宋体" w:hint="default"/>
                <w:sz w:val="18"/>
                <w:szCs w:val="18"/>
              </w:rPr>
            </w:pPr>
            <w:r>
              <w:rPr>
                <w:rFonts w:ascii="宋体" w:hAnsi="宋体" w:cs="宋体" w:eastAsia="宋体" w:hint="default"/>
                <w:spacing w:val="-1"/>
                <w:sz w:val="18"/>
                <w:szCs w:val="18"/>
              </w:rPr>
              <w:t>（五）所有者权益内部结</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35,154,62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9" w:right="0"/>
              <w:jc w:val="left"/>
              <w:rPr>
                <w:rFonts w:ascii="Times New Roman" w:hAnsi="Times New Roman" w:cs="Times New Roman" w:eastAsia="Times New Roman" w:hint="default"/>
                <w:sz w:val="18"/>
                <w:szCs w:val="18"/>
              </w:rPr>
            </w:pPr>
            <w:r>
              <w:rPr>
                <w:rFonts w:ascii="Times New Roman"/>
                <w:sz w:val="18"/>
              </w:rPr>
              <w:t>-4,844,67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-4,535,27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-25,774,6</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979" w:top="1400" w:bottom="1160" w:left="9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18"/>
                <w:szCs w:val="18"/>
              </w:rPr>
            </w:pPr>
            <w:r>
              <w:rPr>
                <w:rFonts w:ascii="Times New Roman"/>
                <w:sz w:val="18"/>
              </w:rPr>
              <w:t>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18"/>
                <w:szCs w:val="18"/>
              </w:rPr>
            </w:pPr>
            <w:r>
              <w:rPr>
                <w:rFonts w:ascii="Times New Roman"/>
                <w:sz w:val="18"/>
              </w:rPr>
              <w:t>9.54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4" w:right="0"/>
              <w:jc w:val="left"/>
              <w:rPr>
                <w:rFonts w:ascii="Times New Roman" w:hAnsi="Times New Roman" w:cs="Times New Roman" w:eastAsia="Times New Roman" w:hint="default"/>
                <w:sz w:val="18"/>
                <w:szCs w:val="18"/>
              </w:rPr>
            </w:pPr>
            <w:r>
              <w:rPr>
                <w:rFonts w:ascii="Times New Roman"/>
                <w:sz w:val="18"/>
              </w:rPr>
              <w:t>0.85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3" w:right="0"/>
              <w:jc w:val="left"/>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4,844,679</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-4,844,67</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9.54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4,535,270</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-4,535,27</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7"/>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sz w:val="18"/>
              </w:rPr>
              <w:t>25,774,67</w:t>
            </w:r>
          </w:p>
          <w:p>
            <w:pPr>
              <w:pStyle w:val="TableParagraph"/>
              <w:spacing w:line="240" w:lineRule="auto" w:before="117"/>
              <w:ind w:left="434" w:right="0"/>
              <w:jc w:val="left"/>
              <w:rPr>
                <w:rFonts w:ascii="Times New Roman" w:hAnsi="Times New Roman" w:cs="Times New Roman" w:eastAsia="Times New Roman" w:hint="default"/>
                <w:sz w:val="18"/>
                <w:szCs w:val="18"/>
              </w:rPr>
            </w:pPr>
            <w:r>
              <w:rPr>
                <w:rFonts w:ascii="Times New Roman"/>
                <w:sz w:val="18"/>
              </w:rPr>
              <w:t>2.61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0" w:right="0"/>
              <w:jc w:val="left"/>
              <w:rPr>
                <w:rFonts w:ascii="Times New Roman" w:hAnsi="Times New Roman" w:cs="Times New Roman" w:eastAsia="Times New Roman" w:hint="default"/>
                <w:sz w:val="18"/>
                <w:szCs w:val="18"/>
              </w:rPr>
            </w:pPr>
            <w:r>
              <w:rPr>
                <w:rFonts w:ascii="Times New Roman"/>
                <w:sz w:val="18"/>
              </w:rPr>
              <w:t>-25,774,6</w:t>
            </w:r>
          </w:p>
          <w:p>
            <w:pPr>
              <w:pStyle w:val="TableParagraph"/>
              <w:spacing w:line="240" w:lineRule="auto" w:before="117"/>
              <w:ind w:left="343" w:right="0"/>
              <w:jc w:val="left"/>
              <w:rPr>
                <w:rFonts w:ascii="Times New Roman" w:hAnsi="Times New Roman" w:cs="Times New Roman" w:eastAsia="Times New Roman" w:hint="default"/>
                <w:sz w:val="18"/>
                <w:szCs w:val="18"/>
              </w:rPr>
            </w:pPr>
            <w:r>
              <w:rPr>
                <w:rFonts w:ascii="Times New Roman"/>
                <w:sz w:val="18"/>
              </w:rPr>
              <w:t>72.61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2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56,000,00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722,082,9</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43.46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9,403,668</w:t>
            </w:r>
            <w:r>
              <w:rPr>
                <w:rFonts w:ascii="Times New Roman"/>
                <w:sz w:val="18"/>
              </w:rPr>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71,613,01</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859,099,6</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28.25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29,109,94</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3.46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4,259,343</w:t>
            </w: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38,334,09</w:t>
            </w:r>
          </w:p>
          <w:p>
            <w:pPr>
              <w:pStyle w:val="TableParagraph"/>
              <w:spacing w:line="240" w:lineRule="auto" w:before="119"/>
              <w:ind w:left="434" w:right="0"/>
              <w:jc w:val="left"/>
              <w:rPr>
                <w:rFonts w:ascii="Times New Roman" w:hAnsi="Times New Roman" w:cs="Times New Roman" w:eastAsia="Times New Roman" w:hint="default"/>
                <w:sz w:val="18"/>
                <w:szCs w:val="18"/>
              </w:rPr>
            </w:pPr>
            <w:r>
              <w:rPr>
                <w:rFonts w:ascii="Times New Roman"/>
                <w:sz w:val="18"/>
              </w:rPr>
              <w:t>0.97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18"/>
                <w:szCs w:val="18"/>
              </w:rPr>
            </w:pPr>
            <w:r>
              <w:rPr>
                <w:rFonts w:ascii="Times New Roman"/>
                <w:sz w:val="18"/>
              </w:rPr>
              <w:t>113,703,3</w:t>
            </w:r>
          </w:p>
          <w:p>
            <w:pPr>
              <w:pStyle w:val="TableParagraph"/>
              <w:spacing w:line="240" w:lineRule="auto" w:before="119"/>
              <w:ind w:left="343" w:right="0"/>
              <w:jc w:val="left"/>
              <w:rPr>
                <w:rFonts w:ascii="Times New Roman" w:hAnsi="Times New Roman" w:cs="Times New Roman" w:eastAsia="Times New Roman" w:hint="default"/>
                <w:sz w:val="18"/>
                <w:szCs w:val="18"/>
              </w:rPr>
            </w:pPr>
            <w:r>
              <w:rPr>
                <w:rFonts w:ascii="Times New Roman"/>
                <w:sz w:val="18"/>
              </w:rPr>
              <w:t>77.87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0" w:footer="979" w:top="1400" w:bottom="1160" w:left="960" w:right="960"/>
        </w:sect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0"/>
        <w:ind w:left="137" w:right="111"/>
        <w:jc w:val="left"/>
        <w:rPr>
          <w:b w:val="0"/>
          <w:bCs w:val="0"/>
        </w:rPr>
      </w:pPr>
      <w:r>
        <w:rPr/>
        <w:t>三、审计报告附注</w:t>
      </w:r>
      <w:r>
        <w:rPr>
          <w:b w:val="0"/>
          <w:bCs w:val="0"/>
        </w:rPr>
      </w:r>
    </w:p>
    <w:p>
      <w:pPr>
        <w:spacing w:line="240" w:lineRule="auto" w:before="6"/>
        <w:rPr>
          <w:rFonts w:ascii="宋体" w:hAnsi="宋体" w:cs="宋体" w:eastAsia="宋体" w:hint="default"/>
          <w:b/>
          <w:bCs/>
          <w:sz w:val="25"/>
          <w:szCs w:val="25"/>
        </w:rPr>
      </w:pPr>
    </w:p>
    <w:p>
      <w:pPr>
        <w:spacing w:before="14"/>
        <w:ind w:left="2143" w:right="111" w:firstLine="0"/>
        <w:jc w:val="left"/>
        <w:rPr>
          <w:rFonts w:ascii="宋体" w:hAnsi="宋体" w:cs="宋体" w:eastAsia="宋体" w:hint="default"/>
          <w:sz w:val="28"/>
          <w:szCs w:val="28"/>
        </w:rPr>
      </w:pPr>
      <w:r>
        <w:rPr>
          <w:rFonts w:ascii="宋体" w:hAnsi="宋体" w:cs="宋体" w:eastAsia="宋体" w:hint="default"/>
          <w:b/>
          <w:bCs/>
          <w:sz w:val="28"/>
          <w:szCs w:val="28"/>
        </w:rPr>
        <w:t>北京数字政通科技股份有限公司</w:t>
      </w:r>
      <w:r>
        <w:rPr>
          <w:rFonts w:ascii="宋体" w:hAnsi="宋体" w:cs="宋体" w:eastAsia="宋体" w:hint="default"/>
          <w:sz w:val="28"/>
          <w:szCs w:val="28"/>
        </w:rPr>
      </w:r>
    </w:p>
    <w:p>
      <w:pPr>
        <w:spacing w:before="34"/>
        <w:ind w:left="2579" w:right="3037" w:firstLine="0"/>
        <w:jc w:val="center"/>
        <w:rPr>
          <w:rFonts w:ascii="宋体" w:hAnsi="宋体" w:cs="宋体" w:eastAsia="宋体" w:hint="default"/>
          <w:sz w:val="28"/>
          <w:szCs w:val="28"/>
        </w:rPr>
      </w:pPr>
      <w:r>
        <w:rPr>
          <w:rFonts w:ascii="宋体" w:hAnsi="宋体" w:cs="宋体" w:eastAsia="宋体" w:hint="default"/>
          <w:b/>
          <w:bCs/>
          <w:sz w:val="28"/>
          <w:szCs w:val="28"/>
        </w:rPr>
        <w:t>2010</w:t>
      </w:r>
      <w:r>
        <w:rPr>
          <w:rFonts w:ascii="宋体" w:hAnsi="宋体" w:cs="宋体" w:eastAsia="宋体" w:hint="default"/>
          <w:b/>
          <w:bCs/>
          <w:spacing w:val="-74"/>
          <w:sz w:val="28"/>
          <w:szCs w:val="28"/>
        </w:rPr>
        <w:t> </w:t>
      </w:r>
      <w:r>
        <w:rPr>
          <w:rFonts w:ascii="宋体" w:hAnsi="宋体" w:cs="宋体" w:eastAsia="宋体" w:hint="default"/>
          <w:b/>
          <w:bCs/>
          <w:sz w:val="28"/>
          <w:szCs w:val="28"/>
        </w:rPr>
        <w:t>年度财务报表附注</w:t>
      </w:r>
      <w:r>
        <w:rPr>
          <w:rFonts w:ascii="宋体" w:hAnsi="宋体" w:cs="宋体" w:eastAsia="宋体" w:hint="default"/>
          <w:sz w:val="28"/>
          <w:szCs w:val="28"/>
        </w:rPr>
      </w:r>
    </w:p>
    <w:p>
      <w:pPr>
        <w:spacing w:before="11"/>
        <w:ind w:left="2124" w:right="111" w:firstLine="0"/>
        <w:jc w:val="left"/>
        <w:rPr>
          <w:rFonts w:ascii="宋体" w:hAnsi="宋体" w:cs="宋体" w:eastAsia="宋体" w:hint="default"/>
          <w:sz w:val="24"/>
          <w:szCs w:val="24"/>
        </w:rPr>
      </w:pPr>
      <w:r>
        <w:rPr>
          <w:rFonts w:ascii="宋体" w:hAnsi="宋体" w:cs="宋体" w:eastAsia="宋体" w:hint="default"/>
          <w:b/>
          <w:bCs/>
          <w:sz w:val="24"/>
          <w:szCs w:val="24"/>
        </w:rPr>
        <w:t>（除特别说明外，金额单位为人民币元）</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spacing w:line="580" w:lineRule="atLeast" w:before="0"/>
        <w:ind w:left="617" w:right="224" w:firstLine="2"/>
        <w:jc w:val="left"/>
        <w:rPr>
          <w:rFonts w:ascii="宋体" w:hAnsi="宋体" w:cs="宋体" w:eastAsia="宋体" w:hint="default"/>
          <w:sz w:val="24"/>
          <w:szCs w:val="24"/>
        </w:rPr>
      </w:pPr>
      <w:r>
        <w:rPr>
          <w:rFonts w:ascii="宋体" w:hAnsi="宋体" w:cs="宋体" w:eastAsia="宋体" w:hint="default"/>
          <w:b/>
          <w:bCs/>
          <w:sz w:val="24"/>
          <w:szCs w:val="24"/>
        </w:rPr>
        <w:t>一、公司基本情况</w:t>
      </w:r>
      <w:r>
        <w:rPr>
          <w:rFonts w:ascii="宋体" w:hAnsi="宋体" w:cs="宋体" w:eastAsia="宋体" w:hint="default"/>
          <w:b/>
          <w:bCs/>
          <w:w w:val="99"/>
          <w:sz w:val="24"/>
          <w:szCs w:val="24"/>
        </w:rPr>
        <w:t> </w:t>
      </w:r>
      <w:r>
        <w:rPr>
          <w:rFonts w:ascii="宋体" w:hAnsi="宋体" w:cs="宋体" w:eastAsia="宋体" w:hint="default"/>
          <w:spacing w:val="-2"/>
          <w:sz w:val="24"/>
          <w:szCs w:val="24"/>
        </w:rPr>
        <w:t>北京数字政通科技股份有限公司（以下简称</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数字政通</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系由北京数字政通科</w:t>
      </w:r>
    </w:p>
    <w:p>
      <w:pPr>
        <w:pStyle w:val="BodyText"/>
        <w:spacing w:line="240" w:lineRule="auto" w:before="68"/>
        <w:ind w:right="111"/>
        <w:jc w:val="left"/>
      </w:pPr>
      <w:r>
        <w:rPr/>
        <w:t>技有限公司改制变更设立。数字政通公司是由</w:t>
      </w:r>
      <w:r>
        <w:rPr>
          <w:spacing w:val="-60"/>
        </w:rPr>
        <w:t> </w:t>
      </w:r>
      <w:r>
        <w:rPr>
          <w:rFonts w:ascii="Times New Roman" w:hAnsi="Times New Roman" w:cs="Times New Roman" w:eastAsia="Times New Roman" w:hint="default"/>
        </w:rPr>
        <w:t>9 </w:t>
      </w:r>
      <w:r>
        <w:rPr/>
        <w:t>位自然人股东出资</w:t>
      </w:r>
      <w:r>
        <w:rPr>
          <w:spacing w:val="-60"/>
        </w:rPr>
        <w:t> </w:t>
      </w:r>
      <w:r>
        <w:rPr>
          <w:rFonts w:ascii="Times New Roman" w:hAnsi="Times New Roman" w:cs="Times New Roman" w:eastAsia="Times New Roman" w:hint="default"/>
        </w:rPr>
        <w:t>30 </w:t>
      </w:r>
      <w:r>
        <w:rPr/>
        <w:t>万元，于</w:t>
      </w:r>
    </w:p>
    <w:p>
      <w:pPr>
        <w:pStyle w:val="BodyText"/>
        <w:spacing w:line="240" w:lineRule="auto" w:before="66"/>
        <w:ind w:right="111"/>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日经北京市工商行政管理局批准登记成立的有限责任公司。数字</w:t>
      </w:r>
    </w:p>
    <w:p>
      <w:pPr>
        <w:pStyle w:val="BodyText"/>
        <w:spacing w:line="290" w:lineRule="auto" w:before="68"/>
        <w:ind w:right="249"/>
        <w:jc w:val="left"/>
      </w:pPr>
      <w:r>
        <w:rPr/>
        <w:t>政通公司成立时注册名称为北京数字通图科技有限公司，于</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7 </w:t>
      </w:r>
      <w:r>
        <w:rPr/>
        <w:t>日更 名为北京数字政通科技有限公司。</w:t>
      </w:r>
    </w:p>
    <w:p>
      <w:pPr>
        <w:pStyle w:val="BodyText"/>
        <w:spacing w:line="240" w:lineRule="auto" w:before="197"/>
        <w:ind w:left="617" w:right="111"/>
        <w:jc w:val="left"/>
      </w:pPr>
      <w:r>
        <w:rPr/>
        <w:t>根据数字政通公司</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25 </w:t>
      </w:r>
      <w:r>
        <w:rPr>
          <w:spacing w:val="-12"/>
        </w:rPr>
        <w:t>日股东会决议，以</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31 </w:t>
      </w:r>
      <w:r>
        <w:rPr/>
        <w:t>日为基</w:t>
      </w:r>
    </w:p>
    <w:p>
      <w:pPr>
        <w:pStyle w:val="BodyText"/>
        <w:spacing w:line="288" w:lineRule="auto" w:before="68"/>
        <w:ind w:right="235"/>
        <w:jc w:val="both"/>
      </w:pPr>
      <w:r>
        <w:rPr/>
        <w:t>准日经审计后的净资产</w:t>
      </w:r>
      <w:r>
        <w:rPr>
          <w:spacing w:val="-68"/>
        </w:rPr>
        <w:t> </w:t>
      </w:r>
      <w:r>
        <w:rPr>
          <w:rFonts w:ascii="Times New Roman" w:hAnsi="Times New Roman" w:cs="Times New Roman" w:eastAsia="Times New Roman" w:hint="default"/>
        </w:rPr>
        <w:t>71,109,943.46</w:t>
      </w:r>
      <w:r>
        <w:rPr>
          <w:rFonts w:ascii="Times New Roman" w:hAnsi="Times New Roman" w:cs="Times New Roman" w:eastAsia="Times New Roman" w:hint="default"/>
          <w:spacing w:val="-8"/>
        </w:rPr>
        <w:t> </w:t>
      </w:r>
      <w:r>
        <w:rPr>
          <w:spacing w:val="-20"/>
        </w:rPr>
        <w:t>元为基数，按</w:t>
      </w:r>
      <w:r>
        <w:rPr>
          <w:spacing w:val="-68"/>
        </w:rPr>
        <w:t> </w:t>
      </w:r>
      <w:r>
        <w:rPr>
          <w:rFonts w:ascii="Times New Roman" w:hAnsi="Times New Roman" w:cs="Times New Roman" w:eastAsia="Times New Roman" w:hint="default"/>
        </w:rPr>
        <w:t>1:0.5906</w:t>
      </w:r>
      <w:r>
        <w:rPr>
          <w:rFonts w:ascii="Times New Roman" w:hAnsi="Times New Roman" w:cs="Times New Roman" w:eastAsia="Times New Roman" w:hint="default"/>
          <w:spacing w:val="-8"/>
        </w:rPr>
        <w:t> </w:t>
      </w:r>
      <w:r>
        <w:rPr/>
        <w:t>的比例折为</w:t>
      </w:r>
      <w:r>
        <w:rPr>
          <w:spacing w:val="-68"/>
        </w:rPr>
        <w:t> </w:t>
      </w:r>
      <w:r>
        <w:rPr>
          <w:rFonts w:ascii="Times New Roman" w:hAnsi="Times New Roman" w:cs="Times New Roman" w:eastAsia="Times New Roman" w:hint="default"/>
        </w:rPr>
        <w:t>4,200 </w:t>
      </w:r>
      <w:r>
        <w:rPr/>
        <w:t>万 </w:t>
      </w:r>
      <w:r>
        <w:rPr>
          <w:spacing w:val="-1"/>
        </w:rPr>
        <w:t>股，并整体变更设立股份有限公司</w:t>
      </w:r>
      <w:r>
        <w:rPr>
          <w:rFonts w:ascii="Times New Roman" w:hAnsi="Times New Roman" w:cs="Times New Roman" w:eastAsia="Times New Roman" w:hint="default"/>
          <w:spacing w:val="-1"/>
        </w:rPr>
        <w:t>--</w:t>
      </w:r>
      <w:r>
        <w:rPr>
          <w:spacing w:val="-1"/>
        </w:rPr>
        <w:t>北京数字政通科技股份有限公司。公司的法</w:t>
      </w:r>
      <w:r>
        <w:rPr>
          <w:spacing w:val="-94"/>
        </w:rPr>
        <w:t> </w:t>
      </w:r>
      <w:r>
        <w:rPr>
          <w:spacing w:val="-94"/>
        </w:rPr>
      </w:r>
      <w:r>
        <w:rPr/>
        <w:t>定代表人为吴强华，企业注册号：</w:t>
      </w:r>
      <w:r>
        <w:rPr>
          <w:rFonts w:ascii="Times New Roman" w:hAnsi="Times New Roman" w:cs="Times New Roman" w:eastAsia="Times New Roman" w:hint="default"/>
        </w:rPr>
        <w:t>110108003382370</w:t>
      </w:r>
      <w:r>
        <w:rPr/>
        <w:t>，注册地址：北京市海淀区 西直门北大街</w:t>
      </w:r>
      <w:r>
        <w:rPr>
          <w:spacing w:val="-6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号节能大厦</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层</w:t>
      </w:r>
      <w:r>
        <w:rPr>
          <w:spacing w:val="-61"/>
        </w:rPr>
        <w:t> </w:t>
      </w:r>
      <w:r>
        <w:rPr>
          <w:rFonts w:ascii="Times New Roman" w:hAnsi="Times New Roman" w:cs="Times New Roman" w:eastAsia="Times New Roman" w:hint="default"/>
        </w:rPr>
        <w:t>701-707</w:t>
      </w:r>
      <w:r>
        <w:rPr>
          <w:rFonts w:ascii="Times New Roman" w:hAnsi="Times New Roman" w:cs="Times New Roman" w:eastAsia="Times New Roman" w:hint="default"/>
          <w:spacing w:val="-1"/>
        </w:rPr>
        <w:t> </w:t>
      </w:r>
      <w:r>
        <w:rPr/>
        <w:t>室。</w:t>
      </w:r>
    </w:p>
    <w:p>
      <w:pPr>
        <w:pStyle w:val="BodyText"/>
        <w:spacing w:line="300" w:lineRule="auto" w:before="178"/>
        <w:ind w:right="233" w:firstLine="480"/>
        <w:jc w:val="both"/>
      </w:pPr>
      <w:r>
        <w:rPr>
          <w:spacing w:val="-3"/>
        </w:rPr>
        <w:t>数字政通公司经中国证券监督管理委员会《关于核准北京数字政通科技股份</w:t>
      </w:r>
      <w:r>
        <w:rPr/>
        <w:t> 有限公司首次公开发行股票并在创业板上市的批复》（证监许可</w:t>
      </w:r>
      <w:r>
        <w:rPr>
          <w:rFonts w:ascii="Times New Roman" w:hAnsi="Times New Roman" w:cs="Times New Roman" w:eastAsia="Times New Roman" w:hint="default"/>
        </w:rPr>
        <w:t>[2010]403</w:t>
      </w:r>
      <w:r>
        <w:rPr>
          <w:rFonts w:ascii="Times New Roman" w:hAnsi="Times New Roman" w:cs="Times New Roman" w:eastAsia="Times New Roman" w:hint="default"/>
          <w:spacing w:val="-1"/>
        </w:rPr>
        <w:t> </w:t>
      </w:r>
      <w:r>
        <w:rPr/>
        <w:t>号） </w:t>
      </w:r>
      <w:r>
        <w:rPr>
          <w:spacing w:val="-3"/>
        </w:rPr>
        <w:t>核准，并经深圳证券交易所同意，数字政通公司由主承销商招商证券股份有限公</w:t>
      </w:r>
      <w:r>
        <w:rPr>
          <w:spacing w:val="-103"/>
        </w:rPr>
        <w:t> </w:t>
      </w:r>
      <w:r>
        <w:rPr>
          <w:spacing w:val="-103"/>
        </w:rPr>
      </w:r>
      <w:r>
        <w:rPr/>
        <w:t>司首次公开发行</w:t>
      </w:r>
      <w:r>
        <w:rPr>
          <w:spacing w:val="-61"/>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
        </w:rPr>
        <w:t> </w:t>
      </w:r>
      <w:r>
        <w:rPr/>
        <w:t>万股人民币普通股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w:t>
      </w:r>
      <w:r>
        <w:rPr/>
        <w:t>，发行价格为</w:t>
      </w:r>
      <w:r>
        <w:rPr>
          <w:spacing w:val="-61"/>
        </w:rPr>
        <w:t> </w:t>
      </w:r>
      <w:r>
        <w:rPr>
          <w:rFonts w:ascii="Times New Roman" w:hAnsi="Times New Roman" w:cs="Times New Roman" w:eastAsia="Times New Roman" w:hint="default"/>
        </w:rPr>
        <w:t>54.00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股，募集</w:t>
      </w:r>
    </w:p>
    <w:p>
      <w:pPr>
        <w:pStyle w:val="BodyText"/>
        <w:spacing w:line="240" w:lineRule="auto" w:before="2"/>
        <w:ind w:right="111"/>
        <w:jc w:val="left"/>
      </w:pPr>
      <w:r>
        <w:rPr/>
        <w:t>资金总额人民币</w:t>
      </w:r>
      <w:r>
        <w:rPr>
          <w:spacing w:val="-75"/>
        </w:rPr>
        <w:t> </w:t>
      </w:r>
      <w:r>
        <w:rPr>
          <w:rFonts w:ascii="Times New Roman" w:hAnsi="Times New Roman" w:cs="Times New Roman" w:eastAsia="Times New Roman" w:hint="default"/>
        </w:rPr>
        <w:t>756,000,000.00</w:t>
      </w:r>
      <w:r>
        <w:rPr>
          <w:rFonts w:ascii="Times New Roman" w:hAnsi="Times New Roman" w:cs="Times New Roman" w:eastAsia="Times New Roman" w:hint="default"/>
          <w:spacing w:val="-15"/>
        </w:rPr>
        <w:t> </w:t>
      </w:r>
      <w:r>
        <w:rPr/>
        <w:t>元。以上募集资金由中瑞岳华会计师事务所有限</w:t>
      </w:r>
    </w:p>
    <w:p>
      <w:pPr>
        <w:pStyle w:val="BodyText"/>
        <w:spacing w:line="288" w:lineRule="auto" w:before="68"/>
        <w:ind w:right="225"/>
        <w:jc w:val="left"/>
      </w:pPr>
      <w:r>
        <w:rPr/>
        <w:t>公司已于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日出具的中瑞岳华验字</w:t>
      </w:r>
      <w:r>
        <w:rPr>
          <w:rFonts w:ascii="Times New Roman" w:hAnsi="Times New Roman" w:cs="Times New Roman" w:eastAsia="Times New Roman" w:hint="default"/>
        </w:rPr>
        <w:t>[2010]</w:t>
      </w:r>
      <w:r>
        <w:rPr/>
        <w:t>第</w:t>
      </w:r>
      <w:r>
        <w:rPr>
          <w:spacing w:val="-62"/>
        </w:rPr>
        <w:t> </w:t>
      </w:r>
      <w:r>
        <w:rPr>
          <w:rFonts w:ascii="Times New Roman" w:hAnsi="Times New Roman" w:cs="Times New Roman" w:eastAsia="Times New Roman" w:hint="default"/>
        </w:rPr>
        <w:t>093</w:t>
      </w:r>
      <w:r>
        <w:rPr>
          <w:rFonts w:ascii="Times New Roman" w:hAnsi="Times New Roman" w:cs="Times New Roman" w:eastAsia="Times New Roman" w:hint="default"/>
          <w:spacing w:val="-2"/>
        </w:rPr>
        <w:t> </w:t>
      </w:r>
      <w:r>
        <w:rPr/>
        <w:t>号《验资报告》验 证确认。</w:t>
      </w:r>
    </w:p>
    <w:p>
      <w:pPr>
        <w:spacing w:line="600" w:lineRule="atLeast" w:before="74"/>
        <w:ind w:left="617" w:right="129" w:firstLine="2"/>
        <w:jc w:val="left"/>
        <w:rPr>
          <w:rFonts w:ascii="宋体" w:hAnsi="宋体" w:cs="宋体" w:eastAsia="宋体" w:hint="default"/>
          <w:sz w:val="24"/>
          <w:szCs w:val="24"/>
        </w:rPr>
      </w:pPr>
      <w:r>
        <w:rPr>
          <w:rFonts w:ascii="宋体" w:hAnsi="宋体" w:cs="宋体" w:eastAsia="宋体" w:hint="default"/>
          <w:b/>
          <w:bCs/>
          <w:sz w:val="24"/>
          <w:szCs w:val="24"/>
        </w:rPr>
        <w:t>二、财务报表的编制基础</w:t>
      </w:r>
      <w:r>
        <w:rPr>
          <w:rFonts w:ascii="宋体" w:hAnsi="宋体" w:cs="宋体" w:eastAsia="宋体" w:hint="default"/>
          <w:b/>
          <w:bCs/>
          <w:w w:val="99"/>
          <w:sz w:val="24"/>
          <w:szCs w:val="24"/>
        </w:rPr>
        <w:t> </w:t>
      </w:r>
      <w:r>
        <w:rPr>
          <w:rFonts w:ascii="宋体" w:hAnsi="宋体" w:cs="宋体" w:eastAsia="宋体" w:hint="default"/>
          <w:sz w:val="24"/>
          <w:szCs w:val="24"/>
        </w:rPr>
        <w:t>本公司财务报表以持续经营假设为基础编制，根据实际发生的交易和事项，</w:t>
      </w:r>
    </w:p>
    <w:p>
      <w:pPr>
        <w:pStyle w:val="BodyText"/>
        <w:spacing w:line="292" w:lineRule="auto" w:before="86"/>
        <w:ind w:right="99"/>
        <w:jc w:val="left"/>
      </w:pPr>
      <w:r>
        <w:rPr/>
        <w:t>按照财政部于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15 </w:t>
      </w:r>
      <w:r>
        <w:rPr/>
        <w:t>日颁布的《企业会计准则</w:t>
      </w:r>
      <w:r>
        <w:rPr>
          <w:rFonts w:ascii="Times New Roman" w:hAnsi="Times New Roman" w:cs="Times New Roman" w:eastAsia="Times New Roman" w:hint="default"/>
        </w:rPr>
        <w:t>——</w:t>
      </w:r>
      <w:r>
        <w:rPr/>
        <w:t>基本准则》和</w:t>
      </w:r>
      <w:r>
        <w:rPr>
          <w:spacing w:val="-60"/>
        </w:rPr>
        <w:t> </w:t>
      </w:r>
      <w:r>
        <w:rPr>
          <w:rFonts w:ascii="Times New Roman" w:hAnsi="Times New Roman" w:cs="Times New Roman" w:eastAsia="Times New Roman" w:hint="default"/>
        </w:rPr>
        <w:t>38 </w:t>
      </w:r>
      <w:r>
        <w:rPr/>
        <w:t>项 </w:t>
      </w:r>
      <w:r>
        <w:rPr>
          <w:spacing w:val="-3"/>
        </w:rPr>
        <w:t>具体会计准则、其后颁布的企业会计准则应用指南、企业会计准则解释及其他相</w:t>
      </w:r>
      <w:r>
        <w:rPr>
          <w:spacing w:val="-103"/>
        </w:rPr>
        <w:t> </w:t>
      </w:r>
      <w:r>
        <w:rPr>
          <w:spacing w:val="-103"/>
        </w:rPr>
      </w:r>
      <w:r>
        <w:rPr/>
        <w:t>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 证券的公司信息披露编报规则第</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9"/>
        </w:rPr>
        <w:t>号</w:t>
      </w:r>
      <w:r>
        <w:rPr>
          <w:rFonts w:ascii="Times New Roman" w:hAnsi="Times New Roman" w:cs="Times New Roman" w:eastAsia="Times New Roman" w:hint="default"/>
          <w:spacing w:val="-9"/>
        </w:rPr>
        <w:t>——</w:t>
      </w:r>
      <w:r>
        <w:rPr>
          <w:spacing w:val="-9"/>
        </w:rPr>
        <w:t>财务报告的一般规定》（</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4"/>
        </w:rPr>
        <w:t> </w:t>
      </w:r>
      <w:r>
        <w:rPr/>
        <w:t>年修订） 的披露规定编制。</w:t>
      </w:r>
    </w:p>
    <w:p>
      <w:pPr>
        <w:spacing w:after="0" w:line="292" w:lineRule="auto"/>
        <w:jc w:val="left"/>
        <w:sectPr>
          <w:headerReference w:type="default" r:id="rId30"/>
          <w:footerReference w:type="default" r:id="rId31"/>
          <w:pgSz w:w="11910" w:h="16840"/>
          <w:pgMar w:header="850" w:footer="979" w:top="1380" w:bottom="1160" w:left="1660" w:right="1560"/>
          <w:pgNumType w:start="77"/>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04" w:lineRule="auto" w:before="73"/>
        <w:ind w:right="233" w:firstLine="480"/>
        <w:jc w:val="both"/>
      </w:pPr>
      <w:r>
        <w:rPr>
          <w:spacing w:val="-3"/>
        </w:rPr>
        <w:t>根据企业会计准则的相关规定，本公司会计核算以权责发生制为基础。本财</w:t>
      </w:r>
      <w:r>
        <w:rPr/>
        <w:t> </w:t>
      </w:r>
      <w:r>
        <w:rPr>
          <w:spacing w:val="-3"/>
        </w:rPr>
        <w:t>务报表均以历史成本为计量基础。资产如果发生减值，则按照相关规定计提相应</w:t>
      </w:r>
      <w:r>
        <w:rPr>
          <w:spacing w:val="-103"/>
        </w:rPr>
        <w:t> </w:t>
      </w:r>
      <w:r>
        <w:rPr>
          <w:spacing w:val="-103"/>
        </w:rPr>
      </w:r>
      <w:r>
        <w:rPr/>
        <w:t>的减值准备。</w:t>
      </w:r>
    </w:p>
    <w:p>
      <w:pPr>
        <w:spacing w:line="600" w:lineRule="atLeast" w:before="57"/>
        <w:ind w:left="617" w:right="228" w:firstLine="2"/>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本公司编制的财务报表符合企业会计准则的要求，真实、完整地反映了本公</w:t>
      </w:r>
    </w:p>
    <w:p>
      <w:pPr>
        <w:pStyle w:val="BodyText"/>
        <w:spacing w:line="240" w:lineRule="auto" w:before="84"/>
        <w:ind w:right="0"/>
        <w:jc w:val="left"/>
      </w:pPr>
      <w:r>
        <w:rPr/>
        <w:t>司</w:t>
      </w:r>
      <w:r>
        <w:rPr>
          <w:spacing w:val="-8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w:t>
      </w:r>
      <w:r>
        <w:rPr>
          <w:spacing w:val="-87"/>
        </w:rPr>
        <w:t>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w:t>
      </w:r>
      <w:r>
        <w:rPr>
          <w:spacing w:val="-87"/>
        </w:rPr>
        <w:t>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t>日的财务状况及</w:t>
      </w:r>
      <w:r>
        <w:rPr>
          <w:spacing w:val="-8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年度的经营成果和现金流量等有关信息。</w:t>
      </w:r>
    </w:p>
    <w:p>
      <w:pPr>
        <w:pStyle w:val="BodyText"/>
        <w:spacing w:line="240" w:lineRule="auto" w:before="68"/>
        <w:ind w:right="111"/>
        <w:jc w:val="left"/>
      </w:pPr>
      <w:r>
        <w:rPr/>
        <w:t>此外，本公司的财务报表在所有重大方面符合中国证券监督管理委员会</w:t>
      </w:r>
      <w:r>
        <w:rPr>
          <w:spacing w:val="-60"/>
        </w:rPr>
        <w:t> </w:t>
      </w:r>
      <w:r>
        <w:rPr>
          <w:rFonts w:ascii="Times New Roman" w:hAnsi="Times New Roman" w:cs="Times New Roman" w:eastAsia="Times New Roman" w:hint="default"/>
        </w:rPr>
        <w:t>2010 </w:t>
      </w:r>
      <w:r>
        <w:rPr/>
        <w:t>年</w:t>
      </w:r>
    </w:p>
    <w:p>
      <w:pPr>
        <w:pStyle w:val="BodyText"/>
        <w:spacing w:line="288" w:lineRule="auto" w:before="68"/>
        <w:ind w:right="100"/>
        <w:jc w:val="left"/>
      </w:pPr>
      <w:r>
        <w:rPr>
          <w:spacing w:val="-5"/>
        </w:rPr>
        <w:t>修订的《公开发行证券的公司信息披露编报规则第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号－财务报告的一般规定》 有关财务报表及其附注的披露要求。</w:t>
      </w:r>
    </w:p>
    <w:p>
      <w:pPr>
        <w:spacing w:line="240" w:lineRule="auto" w:before="7"/>
        <w:rPr>
          <w:rFonts w:ascii="宋体" w:hAnsi="宋体" w:cs="宋体" w:eastAsia="宋体" w:hint="default"/>
          <w:sz w:val="27"/>
          <w:szCs w:val="27"/>
        </w:rPr>
      </w:pPr>
    </w:p>
    <w:p>
      <w:pPr>
        <w:pStyle w:val="Heading3"/>
        <w:spacing w:line="240" w:lineRule="auto" w:before="0"/>
        <w:ind w:right="111"/>
        <w:jc w:val="left"/>
        <w:rPr>
          <w:b w:val="0"/>
          <w:bCs w:val="0"/>
        </w:rPr>
      </w:pPr>
      <w:r>
        <w:rPr/>
        <w:t>四、主要会计政策和会计估计</w:t>
      </w:r>
      <w:r>
        <w:rPr>
          <w:b w:val="0"/>
          <w:bCs w:val="0"/>
        </w:rPr>
      </w:r>
    </w:p>
    <w:p>
      <w:pPr>
        <w:pStyle w:val="BodyText"/>
        <w:spacing w:line="540" w:lineRule="atLeast" w:before="83"/>
        <w:ind w:left="617" w:right="228" w:firstLine="2"/>
        <w:jc w:val="left"/>
      </w:pPr>
      <w:r>
        <w:rPr>
          <w:rFonts w:ascii="Times New Roman" w:hAnsi="Times New Roman" w:cs="Times New Roman" w:eastAsia="Times New Roman" w:hint="default"/>
          <w:b/>
          <w:bCs/>
        </w:rPr>
        <w:t>1</w:t>
      </w:r>
      <w:r>
        <w:rPr>
          <w:rFonts w:ascii="宋体" w:hAnsi="宋体" w:cs="宋体" w:eastAsia="宋体" w:hint="default"/>
          <w:b/>
          <w:bCs/>
        </w:rPr>
        <w:t>、会计期间</w:t>
      </w:r>
      <w:r>
        <w:rPr>
          <w:rFonts w:ascii="宋体" w:hAnsi="宋体" w:cs="宋体" w:eastAsia="宋体" w:hint="default"/>
          <w:b/>
          <w:bCs/>
          <w:w w:val="99"/>
        </w:rPr>
        <w:t> </w:t>
      </w:r>
      <w:r>
        <w:rPr>
          <w:spacing w:val="-3"/>
        </w:rPr>
        <w:t>本公司的会计期间分为年度和中期，会计中期指短于一个完整的会计年度的</w:t>
      </w:r>
    </w:p>
    <w:p>
      <w:pPr>
        <w:pStyle w:val="BodyText"/>
        <w:spacing w:line="240" w:lineRule="auto" w:before="84"/>
        <w:ind w:right="0"/>
        <w:jc w:val="left"/>
      </w:pPr>
      <w:r>
        <w:rPr/>
        <w:t>报告期间</w:t>
      </w:r>
      <w:r>
        <w:rPr>
          <w:spacing w:val="-104"/>
        </w:rPr>
        <w:t>。</w:t>
      </w:r>
      <w:r>
        <w:rPr/>
        <w:t>本公司会计年度采用公历年度</w:t>
      </w:r>
      <w:r>
        <w:rPr>
          <w:spacing w:val="-104"/>
        </w:rPr>
        <w:t>，</w:t>
      </w:r>
      <w:r>
        <w:rPr/>
        <w:t>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540" w:lineRule="atLeast" w:before="24"/>
        <w:ind w:left="617" w:right="228" w:firstLine="2"/>
        <w:jc w:val="left"/>
      </w:pPr>
      <w:r>
        <w:rPr>
          <w:rFonts w:ascii="Times New Roman" w:hAnsi="Times New Roman" w:cs="Times New Roman" w:eastAsia="Times New Roman" w:hint="default"/>
          <w:b/>
          <w:bCs/>
        </w:rPr>
        <w:t>2</w:t>
      </w:r>
      <w:r>
        <w:rPr>
          <w:rFonts w:ascii="宋体" w:hAnsi="宋体" w:cs="宋体" w:eastAsia="宋体" w:hint="default"/>
          <w:b/>
          <w:bCs/>
        </w:rPr>
        <w:t>、记账本位币</w:t>
      </w:r>
      <w:r>
        <w:rPr>
          <w:rFonts w:ascii="宋体" w:hAnsi="宋体" w:cs="宋体" w:eastAsia="宋体" w:hint="default"/>
          <w:b/>
          <w:bCs/>
          <w:w w:val="99"/>
        </w:rPr>
        <w:t> </w:t>
      </w:r>
      <w:r>
        <w:rPr>
          <w:spacing w:val="-3"/>
        </w:rPr>
        <w:t>人民币为本公司及境内子公司经营所处的主要经济环境中的货币，本公司及</w:t>
      </w:r>
    </w:p>
    <w:p>
      <w:pPr>
        <w:pStyle w:val="BodyText"/>
        <w:spacing w:line="240" w:lineRule="auto" w:before="86"/>
        <w:ind w:right="111"/>
        <w:jc w:val="left"/>
      </w:pPr>
      <w:r>
        <w:rPr/>
        <w:t>境内子公司以人民币为记账本位币。</w:t>
      </w:r>
    </w:p>
    <w:p>
      <w:pPr>
        <w:spacing w:line="540" w:lineRule="atLeast" w:before="42"/>
        <w:ind w:left="497" w:right="249" w:firstLine="12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w:t>
      </w:r>
    </w:p>
    <w:p>
      <w:pPr>
        <w:pStyle w:val="BodyText"/>
        <w:spacing w:line="240" w:lineRule="auto" w:before="86"/>
        <w:ind w:left="140" w:right="111"/>
        <w:jc w:val="left"/>
      </w:pPr>
      <w:r>
        <w:rPr/>
        <w:t>或事项。企业合并分为同一控制下企业合并和非同一控制下企业合并。</w:t>
      </w:r>
    </w:p>
    <w:p>
      <w:pPr>
        <w:pStyle w:val="BodyText"/>
        <w:spacing w:line="540" w:lineRule="atLeast" w:before="42"/>
        <w:ind w:left="557" w:right="222"/>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w:t>
      </w:r>
    </w:p>
    <w:p>
      <w:pPr>
        <w:pStyle w:val="BodyText"/>
        <w:spacing w:line="304" w:lineRule="auto" w:before="86"/>
        <w:ind w:right="129"/>
        <w:jc w:val="left"/>
      </w:pPr>
      <w:r>
        <w:rPr>
          <w:spacing w:val="-3"/>
        </w:rPr>
        <w:t>非暂时性的，为同一控制下的企业合并。同一控制下的企业合并，在合并日取得</w:t>
      </w:r>
      <w:r>
        <w:rPr>
          <w:spacing w:val="-102"/>
        </w:rPr>
        <w:t> </w:t>
      </w:r>
      <w:r>
        <w:rPr>
          <w:spacing w:val="-102"/>
        </w:rPr>
      </w:r>
      <w:r>
        <w:rPr/>
        <w:t>对其他参与合并企业控制权的一方为合并方，参与合并的其他企业为被合并方。 合并日，是指合并方实际取得对被合并方控制权的日期。</w:t>
      </w:r>
    </w:p>
    <w:p>
      <w:pPr>
        <w:pStyle w:val="BodyText"/>
        <w:spacing w:line="304" w:lineRule="auto" w:before="185"/>
        <w:ind w:right="105" w:firstLine="420"/>
        <w:jc w:val="left"/>
      </w:pPr>
      <w:r>
        <w:rPr/>
        <w:t>合并方取得的资产和负债均按合并日在被合并方的账面价值计量。合并方取 </w:t>
      </w:r>
      <w:r>
        <w:rPr>
          <w:spacing w:val="-6"/>
        </w:rPr>
        <w:t>得的净资产账面价值与支付的合并对价账面价值（或发行股份面值总额）的差额，</w:t>
      </w:r>
      <w:r>
        <w:rPr>
          <w:spacing w:val="-112"/>
        </w:rPr>
        <w:t> </w:t>
      </w:r>
      <w:r>
        <w:rPr>
          <w:spacing w:val="-112"/>
        </w:rPr>
      </w:r>
      <w:r>
        <w:rPr>
          <w:spacing w:val="-3"/>
        </w:rPr>
        <w:t>调整资本公积（股本溢价）；资本公积（股本溢价）不足以冲减的，调整留存收</w:t>
      </w:r>
      <w:r>
        <w:rPr>
          <w:spacing w:val="-105"/>
        </w:rPr>
        <w:t> </w:t>
      </w:r>
      <w:r>
        <w:rPr>
          <w:spacing w:val="-105"/>
        </w:rPr>
      </w:r>
      <w:r>
        <w:rPr/>
        <w:t>益。</w:t>
      </w:r>
    </w:p>
    <w:p>
      <w:pPr>
        <w:spacing w:after="0" w:line="304" w:lineRule="auto"/>
        <w:jc w:val="left"/>
        <w:sectPr>
          <w:pgSz w:w="11910" w:h="16840"/>
          <w:pgMar w:header="850" w:footer="979" w:top="1380" w:bottom="1160" w:left="1660" w:right="1560"/>
        </w:sectPr>
      </w:pPr>
    </w:p>
    <w:p>
      <w:pPr>
        <w:pStyle w:val="BodyText"/>
        <w:spacing w:line="240" w:lineRule="auto" w:before="93"/>
        <w:ind w:left="557" w:right="0"/>
        <w:jc w:val="left"/>
      </w:pPr>
      <w:r>
        <w:rPr/>
        <w:t>合并方为进行企业合并发生的各项直接费用，于发生时计入当期损益。</w:t>
      </w:r>
    </w:p>
    <w:p>
      <w:pPr>
        <w:pStyle w:val="BodyText"/>
        <w:spacing w:line="540" w:lineRule="atLeast" w:before="42"/>
        <w:ind w:left="557" w:right="122" w:firstLine="6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w:t>
      </w:r>
    </w:p>
    <w:p>
      <w:pPr>
        <w:pStyle w:val="BodyText"/>
        <w:spacing w:line="304" w:lineRule="auto" w:before="86"/>
        <w:ind w:right="133"/>
        <w:jc w:val="both"/>
      </w:pPr>
      <w:r>
        <w:rPr>
          <w:spacing w:val="-3"/>
        </w:rPr>
        <w:t>控制下的企业合并。非同一控制下的企业合并，在购买日取得对其他参与合并企</w:t>
      </w:r>
      <w:r>
        <w:rPr>
          <w:spacing w:val="-103"/>
        </w:rPr>
        <w:t> </w:t>
      </w:r>
      <w:r>
        <w:rPr>
          <w:spacing w:val="-103"/>
        </w:rPr>
      </w:r>
      <w:r>
        <w:rPr>
          <w:spacing w:val="-3"/>
        </w:rPr>
        <w:t>业控制权的一方为购买方，参与合并的其他企业为被购买方。购买日，是指为购</w:t>
      </w:r>
      <w:r>
        <w:rPr>
          <w:spacing w:val="-102"/>
        </w:rPr>
        <w:t> </w:t>
      </w:r>
      <w:r>
        <w:rPr>
          <w:spacing w:val="-102"/>
        </w:rPr>
      </w:r>
      <w:r>
        <w:rPr/>
        <w:t>买方实际取得对被购买方控制权的日期。</w:t>
      </w:r>
    </w:p>
    <w:p>
      <w:pPr>
        <w:pStyle w:val="BodyText"/>
        <w:spacing w:line="304" w:lineRule="auto" w:before="185"/>
        <w:ind w:right="122" w:firstLine="420"/>
        <w:jc w:val="left"/>
      </w:pPr>
      <w:r>
        <w:rPr>
          <w:spacing w:val="-1"/>
        </w:rPr>
        <w:t>对于非同一控制下的企业合并，合并成本包含购买日购买方为取得对被购买</w:t>
      </w:r>
      <w:r>
        <w:rPr/>
        <w:t> 方的控制权而付出的资产、发生或承担的负债以及发行的权益性证券的公允价 </w:t>
      </w:r>
      <w:r>
        <w:rPr>
          <w:spacing w:val="-3"/>
        </w:rPr>
        <w:t>值，为企业合并发生的审计、法律服务、评估咨询等中介费用以及其他管理费用</w:t>
      </w:r>
      <w:r>
        <w:rPr>
          <w:spacing w:val="-102"/>
        </w:rPr>
        <w:t> </w:t>
      </w:r>
      <w:r>
        <w:rPr>
          <w:spacing w:val="-102"/>
        </w:rPr>
      </w:r>
      <w:r>
        <w:rPr>
          <w:spacing w:val="-3"/>
        </w:rPr>
        <w:t>于发生时计入当期损益。购买方作为合并对价发行的权益性证券或债务性证券的</w:t>
      </w:r>
      <w:r>
        <w:rPr>
          <w:spacing w:val="-104"/>
        </w:rPr>
        <w:t> </w:t>
      </w:r>
      <w:r>
        <w:rPr>
          <w:spacing w:val="-104"/>
        </w:rPr>
      </w:r>
      <w:r>
        <w:rPr>
          <w:spacing w:val="-3"/>
        </w:rPr>
        <w:t>交易费用，计入权益性证券或债务性证券的初始确认金额。对合并成本的调整很</w:t>
      </w:r>
      <w:r>
        <w:rPr>
          <w:spacing w:val="-103"/>
        </w:rPr>
        <w:t> </w:t>
      </w:r>
      <w:r>
        <w:rPr>
          <w:spacing w:val="-103"/>
        </w:rPr>
      </w:r>
      <w:r>
        <w:rPr>
          <w:spacing w:val="-3"/>
        </w:rPr>
        <w:t>可能发生且能够可靠计量的，确认或有对价，其后续计量影响商誉。在合并合同</w:t>
      </w:r>
      <w:r>
        <w:rPr>
          <w:spacing w:val="-102"/>
        </w:rPr>
        <w:t> </w:t>
      </w:r>
      <w:r>
        <w:rPr>
          <w:spacing w:val="-102"/>
        </w:rPr>
      </w:r>
      <w:r>
        <w:rPr>
          <w:spacing w:val="-3"/>
        </w:rPr>
        <w:t>中对可能影响合并成本的未来事项作出约定的，购买日如果估计未来事项很可能</w:t>
      </w:r>
      <w:r>
        <w:rPr>
          <w:spacing w:val="-104"/>
        </w:rPr>
        <w:t> </w:t>
      </w:r>
      <w:r>
        <w:rPr>
          <w:spacing w:val="-104"/>
        </w:rPr>
      </w:r>
      <w:r>
        <w:rPr/>
        <w:t>发生并且对合并成本的影响金额能够可靠计量的，也计入合并成本。</w:t>
      </w:r>
    </w:p>
    <w:p>
      <w:pPr>
        <w:pStyle w:val="BodyText"/>
        <w:spacing w:line="304" w:lineRule="auto" w:before="185"/>
        <w:ind w:right="0" w:firstLine="420"/>
        <w:jc w:val="left"/>
      </w:pPr>
      <w:r>
        <w:rPr/>
        <w:t>购买方发生的合并成本及在合并中取得的可辨认净资产按购买日的公允价 </w:t>
      </w:r>
      <w:r>
        <w:rPr>
          <w:spacing w:val="-3"/>
        </w:rPr>
        <w:t>值计量。合并成本大于合并中取得的被购买方于购买日可辨认净资产公允价值份</w:t>
      </w:r>
      <w:r>
        <w:rPr>
          <w:spacing w:val="-104"/>
        </w:rPr>
        <w:t> </w:t>
      </w:r>
      <w:r>
        <w:rPr>
          <w:spacing w:val="-104"/>
        </w:rPr>
      </w:r>
      <w:r>
        <w:rPr>
          <w:spacing w:val="-3"/>
        </w:rPr>
        <w:t>额的差额，确认为商誉。合并成本小于合并中取得的被购买方可辨认净资产公允</w:t>
      </w:r>
      <w:r>
        <w:rPr>
          <w:spacing w:val="-103"/>
        </w:rPr>
        <w:t> </w:t>
      </w:r>
      <w:r>
        <w:rPr>
          <w:spacing w:val="-103"/>
        </w:rPr>
      </w:r>
      <w:r>
        <w:rPr>
          <w:spacing w:val="-3"/>
        </w:rPr>
        <w:t>价值份额的，首先对取得的被购买方各项可辨认资产、负债及或有负债的公允价</w:t>
      </w:r>
      <w:r>
        <w:rPr>
          <w:spacing w:val="-103"/>
        </w:rPr>
        <w:t> </w:t>
      </w:r>
      <w:r>
        <w:rPr>
          <w:spacing w:val="-103"/>
        </w:rPr>
      </w:r>
      <w:r>
        <w:rPr>
          <w:spacing w:val="-3"/>
        </w:rPr>
        <w:t>值以及合并成本的计量进行复核，复核后合并成本仍小于合并中取得的被购买方</w:t>
      </w:r>
      <w:r>
        <w:rPr>
          <w:spacing w:val="-104"/>
        </w:rPr>
        <w:t> </w:t>
      </w:r>
      <w:r>
        <w:rPr>
          <w:spacing w:val="-104"/>
        </w:rPr>
      </w:r>
      <w:r>
        <w:rPr/>
        <w:t>可辨认净资产公允价值份额的，其差额计入当期损益。</w:t>
      </w:r>
    </w:p>
    <w:p>
      <w:pPr>
        <w:pStyle w:val="Heading3"/>
        <w:spacing w:line="240" w:lineRule="auto" w:before="185"/>
        <w:ind w:right="0"/>
        <w:jc w:val="left"/>
        <w:rPr>
          <w:b w:val="0"/>
          <w:bCs w:val="0"/>
        </w:rPr>
      </w:pPr>
      <w:r>
        <w:rPr>
          <w:rFonts w:ascii="Times New Roman" w:hAnsi="Times New Roman" w:cs="Times New Roman" w:eastAsia="Times New Roman" w:hint="default"/>
        </w:rPr>
        <w:t>4</w:t>
      </w:r>
      <w:r>
        <w:rPr/>
        <w:t>、合并财务报表的编制方法</w:t>
      </w:r>
      <w:r>
        <w:rPr>
          <w:b w:val="0"/>
          <w:bCs w:val="0"/>
        </w:rPr>
      </w:r>
    </w:p>
    <w:p>
      <w:pPr>
        <w:pStyle w:val="BodyText"/>
        <w:spacing w:line="540" w:lineRule="atLeast" w:before="24"/>
        <w:ind w:left="617" w:right="128"/>
        <w:jc w:val="left"/>
      </w:pPr>
      <w:r>
        <w:rPr/>
        <w:t>（</w:t>
      </w:r>
      <w:r>
        <w:rPr>
          <w:rFonts w:ascii="Times New Roman" w:hAnsi="Times New Roman" w:cs="Times New Roman" w:eastAsia="Times New Roman" w:hint="default"/>
        </w:rPr>
        <w:t>1</w:t>
      </w:r>
      <w:r>
        <w:rPr/>
        <w:t>）合并财务报表范围的确定原则 </w:t>
      </w:r>
      <w:r>
        <w:rPr>
          <w:spacing w:val="-3"/>
        </w:rPr>
        <w:t>合并财务报表的合并范围以控制为基础予以确定。控制是指本公司能够决定</w:t>
      </w:r>
    </w:p>
    <w:p>
      <w:pPr>
        <w:pStyle w:val="BodyText"/>
        <w:spacing w:line="297" w:lineRule="auto" w:before="86"/>
        <w:ind w:right="0"/>
        <w:jc w:val="left"/>
      </w:pPr>
      <w:r>
        <w:rPr/>
        <w:t>被投资单位的财务和经营政策</w:t>
      </w:r>
      <w:r>
        <w:rPr>
          <w:rFonts w:ascii="Times New Roman" w:hAnsi="Times New Roman" w:cs="Times New Roman" w:eastAsia="Times New Roman" w:hint="default"/>
        </w:rPr>
        <w:t>,</w:t>
      </w:r>
      <w:r>
        <w:rPr/>
        <w:t>并能据以从被投资单位的经营活动中获取利益的 </w:t>
      </w:r>
      <w:r>
        <w:rPr>
          <w:spacing w:val="-3"/>
        </w:rPr>
        <w:t>权力。合并范围包括本公司及全部子公司。子公司，是指被本公司控制的企业或</w:t>
      </w:r>
      <w:r>
        <w:rPr>
          <w:spacing w:val="-102"/>
        </w:rPr>
        <w:t> </w:t>
      </w:r>
      <w:r>
        <w:rPr>
          <w:spacing w:val="-102"/>
        </w:rPr>
      </w:r>
      <w:r>
        <w:rPr/>
        <w:t>主体。</w:t>
      </w:r>
    </w:p>
    <w:p>
      <w:pPr>
        <w:pStyle w:val="BodyText"/>
        <w:spacing w:line="562" w:lineRule="exact" w:before="23"/>
        <w:ind w:left="617" w:right="128"/>
        <w:jc w:val="left"/>
      </w:pPr>
      <w:r>
        <w:rPr/>
        <w:t>（</w:t>
      </w:r>
      <w:r>
        <w:rPr>
          <w:rFonts w:ascii="Times New Roman" w:hAnsi="Times New Roman" w:cs="Times New Roman" w:eastAsia="Times New Roman" w:hint="default"/>
        </w:rPr>
        <w:t>2</w:t>
      </w:r>
      <w:r>
        <w:rPr/>
        <w:t>）合并财务报表编制的方法 </w:t>
      </w:r>
      <w:r>
        <w:rPr>
          <w:spacing w:val="-3"/>
        </w:rPr>
        <w:t>从取得子公司的净资产和生产经营决策的实际控制权之日起，本公司开始将</w:t>
      </w:r>
    </w:p>
    <w:p>
      <w:pPr>
        <w:pStyle w:val="BodyText"/>
        <w:spacing w:line="304" w:lineRule="auto" w:before="8"/>
        <w:ind w:right="133"/>
        <w:jc w:val="both"/>
      </w:pPr>
      <w:r>
        <w:rPr>
          <w:spacing w:val="-3"/>
        </w:rPr>
        <w:t>其纳入合并范围；从丧失实际控制权之日起停止纳入合并范围。对于处置的子公</w:t>
      </w:r>
      <w:r>
        <w:rPr>
          <w:spacing w:val="-103"/>
        </w:rPr>
        <w:t> </w:t>
      </w:r>
      <w:r>
        <w:rPr>
          <w:spacing w:val="-103"/>
        </w:rPr>
      </w:r>
      <w:r>
        <w:rPr>
          <w:spacing w:val="-3"/>
        </w:rPr>
        <w:t>司，处置日前的经营成果和现金流量已经适当地包括在合并利润表和合并现金流</w:t>
      </w:r>
      <w:r>
        <w:rPr>
          <w:spacing w:val="-104"/>
        </w:rPr>
        <w:t> </w:t>
      </w:r>
      <w:r>
        <w:rPr>
          <w:spacing w:val="-104"/>
        </w:rPr>
      </w:r>
      <w:r>
        <w:rPr>
          <w:spacing w:val="-3"/>
        </w:rPr>
        <w:t>量表中；当期处置的子公司，不调整合并资产负债表的期初数。非同一控制下企</w:t>
      </w:r>
    </w:p>
    <w:p>
      <w:pPr>
        <w:spacing w:after="0" w:line="304" w:lineRule="auto"/>
        <w:jc w:val="both"/>
        <w:sectPr>
          <w:pgSz w:w="11910" w:h="16840"/>
          <w:pgMar w:header="850" w:footer="979" w:top="1380" w:bottom="1160" w:left="1660" w:right="1660"/>
        </w:sectPr>
      </w:pPr>
    </w:p>
    <w:p>
      <w:pPr>
        <w:pStyle w:val="BodyText"/>
        <w:spacing w:line="304" w:lineRule="auto" w:before="93"/>
        <w:ind w:right="193"/>
        <w:jc w:val="both"/>
      </w:pPr>
      <w:r>
        <w:rPr>
          <w:spacing w:val="-3"/>
        </w:rPr>
        <w:t>业合并增加的子公司，其购买日后的经营成果及现金流量已经适当地包括在合并</w:t>
      </w:r>
      <w:r>
        <w:rPr>
          <w:spacing w:val="-104"/>
        </w:rPr>
        <w:t> </w:t>
      </w:r>
      <w:r>
        <w:rPr>
          <w:spacing w:val="-104"/>
        </w:rPr>
      </w:r>
      <w:r>
        <w:rPr>
          <w:spacing w:val="-3"/>
        </w:rPr>
        <w:t>利润表和合并现金流量表中，且不调整合并财务报表的期初数和对比数。同一控</w:t>
      </w:r>
      <w:r>
        <w:rPr>
          <w:spacing w:val="-103"/>
        </w:rPr>
        <w:t> </w:t>
      </w:r>
      <w:r>
        <w:rPr>
          <w:spacing w:val="-103"/>
        </w:rPr>
      </w:r>
      <w:r>
        <w:rPr>
          <w:spacing w:val="-3"/>
        </w:rPr>
        <w:t>制下企业合并增加的子公司，其自合并当期期初至合并日的经营成果和现金流量</w:t>
      </w:r>
      <w:r>
        <w:rPr>
          <w:spacing w:val="-104"/>
        </w:rPr>
        <w:t> </w:t>
      </w:r>
      <w:r>
        <w:rPr>
          <w:spacing w:val="-104"/>
        </w:rPr>
      </w:r>
      <w:r>
        <w:rPr>
          <w:spacing w:val="-3"/>
        </w:rPr>
        <w:t>已经适当地包括在合并利润表和合并现金流量表中，并且同时调整合并财务报表</w:t>
      </w:r>
      <w:r>
        <w:rPr>
          <w:spacing w:val="-104"/>
        </w:rPr>
        <w:t> </w:t>
      </w:r>
      <w:r>
        <w:rPr>
          <w:spacing w:val="-104"/>
        </w:rPr>
      </w:r>
      <w:r>
        <w:rPr/>
        <w:t>的对比数。</w:t>
      </w:r>
    </w:p>
    <w:p>
      <w:pPr>
        <w:pStyle w:val="BodyText"/>
        <w:spacing w:line="304" w:lineRule="auto" w:before="182"/>
        <w:ind w:right="193" w:firstLine="480"/>
        <w:jc w:val="both"/>
      </w:pPr>
      <w:r>
        <w:rPr>
          <w:spacing w:val="-3"/>
        </w:rPr>
        <w:t>在编制合并财务报表时，子公司与本公司采用的会计政策或会计期间不一致</w:t>
      </w:r>
      <w:r>
        <w:rPr/>
        <w:t> </w:t>
      </w:r>
      <w:r>
        <w:rPr>
          <w:spacing w:val="-3"/>
        </w:rPr>
        <w:t>的，按照本公司的会计政策和会计期间对子公司财务报表进行必要的调整。对于</w:t>
      </w:r>
      <w:r>
        <w:rPr>
          <w:spacing w:val="-103"/>
        </w:rPr>
        <w:t> </w:t>
      </w:r>
      <w:r>
        <w:rPr>
          <w:spacing w:val="-103"/>
        </w:rPr>
      </w:r>
      <w:r>
        <w:rPr>
          <w:spacing w:val="-3"/>
        </w:rPr>
        <w:t>非同一控制下企业合并取得的子公司，以购买日可辨认净资产公允价值为基础对</w:t>
      </w:r>
      <w:r>
        <w:rPr>
          <w:spacing w:val="-104"/>
        </w:rPr>
        <w:t> </w:t>
      </w:r>
      <w:r>
        <w:rPr>
          <w:spacing w:val="-104"/>
        </w:rPr>
      </w:r>
      <w:r>
        <w:rPr/>
        <w:t>其财务报表进行调整。</w:t>
      </w:r>
    </w:p>
    <w:p>
      <w:pPr>
        <w:pStyle w:val="BodyText"/>
        <w:spacing w:line="304" w:lineRule="auto" w:before="185"/>
        <w:ind w:right="188" w:firstLine="480"/>
        <w:jc w:val="left"/>
      </w:pPr>
      <w:r>
        <w:rPr>
          <w:spacing w:val="-3"/>
        </w:rPr>
        <w:t>公司内所有重大往来余额、交易及未实现利润在合并财务报表编制时予以抵</w:t>
      </w:r>
      <w:r>
        <w:rPr/>
        <w:t> 销。</w:t>
      </w:r>
    </w:p>
    <w:p>
      <w:pPr>
        <w:pStyle w:val="BodyText"/>
        <w:spacing w:line="302" w:lineRule="auto" w:before="185"/>
        <w:ind w:right="89" w:firstLine="480"/>
        <w:jc w:val="left"/>
      </w:pPr>
      <w:r>
        <w:rPr/>
        <w:t>子公司的股东权益及当期净损益中不属于本公司所拥有的部分分别作为少 数股东权益及少数股东损益在合并财务报表中股东权益及净利润项下单独列示。 </w:t>
      </w:r>
      <w:r>
        <w:rPr>
          <w:spacing w:val="-3"/>
        </w:rPr>
        <w:t>子公司当期净损益中属于少数股东权益的份额，在合并利润表中净利润项目下以</w:t>
      </w:r>
      <w:r>
        <w:rPr>
          <w:spacing w:val="-104"/>
        </w:rPr>
        <w:t> </w:t>
      </w:r>
      <w:r>
        <w:rPr>
          <w:spacing w:val="-104"/>
        </w:rPr>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 公司期初所有者权益中所享有的份额，冲减少数股东权益。</w:t>
      </w:r>
    </w:p>
    <w:p>
      <w:pPr>
        <w:spacing w:line="564" w:lineRule="exact" w:before="14"/>
        <w:ind w:left="617" w:right="18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本公司现金及现金等价物包括库存现金、可以随时用于支付的存款以及本公</w:t>
      </w:r>
    </w:p>
    <w:p>
      <w:pPr>
        <w:pStyle w:val="BodyText"/>
        <w:spacing w:line="304" w:lineRule="auto" w:before="7"/>
        <w:ind w:right="193"/>
        <w:jc w:val="both"/>
      </w:pPr>
      <w:r>
        <w:rPr>
          <w:spacing w:val="-3"/>
        </w:rPr>
        <w:t>司持有的期限短（一般为从购买日起，三个月内到期）、流动性强、易于转换为</w:t>
      </w:r>
      <w:r>
        <w:rPr>
          <w:spacing w:val="-103"/>
        </w:rPr>
        <w:t> </w:t>
      </w:r>
      <w:r>
        <w:rPr>
          <w:spacing w:val="-103"/>
        </w:rPr>
      </w:r>
      <w:r>
        <w:rPr/>
        <w:t>已知金额的现金、价值变动风险很小的投资。</w:t>
      </w:r>
    </w:p>
    <w:p>
      <w:pPr>
        <w:pStyle w:val="Heading3"/>
        <w:spacing w:line="240" w:lineRule="auto" w:before="185"/>
        <w:ind w:right="179"/>
        <w:jc w:val="left"/>
        <w:rPr>
          <w:b w:val="0"/>
          <w:bCs w:val="0"/>
        </w:rPr>
      </w:pPr>
      <w:r>
        <w:rPr>
          <w:rFonts w:ascii="Times New Roman" w:hAnsi="Times New Roman" w:cs="Times New Roman" w:eastAsia="Times New Roman" w:hint="default"/>
        </w:rPr>
        <w:t>6</w:t>
      </w:r>
      <w:r>
        <w:rPr/>
        <w:t>、外币业务和外币报表折算</w:t>
      </w:r>
      <w:r>
        <w:rPr>
          <w:b w:val="0"/>
          <w:bCs w:val="0"/>
        </w:rPr>
      </w:r>
    </w:p>
    <w:p>
      <w:pPr>
        <w:pStyle w:val="BodyText"/>
        <w:spacing w:line="540" w:lineRule="atLeast" w:before="21"/>
        <w:ind w:left="617" w:right="188"/>
        <w:jc w:val="left"/>
      </w:pPr>
      <w:r>
        <w:rPr/>
        <w:t>（</w:t>
      </w:r>
      <w:r>
        <w:rPr>
          <w:rFonts w:ascii="Times New Roman" w:hAnsi="Times New Roman" w:cs="Times New Roman" w:eastAsia="Times New Roman" w:hint="default"/>
        </w:rPr>
        <w:t>1</w:t>
      </w:r>
      <w:r>
        <w:rPr/>
        <w:t>）外币交易的折算方法 </w:t>
      </w:r>
      <w:r>
        <w:rPr>
          <w:spacing w:val="-3"/>
        </w:rPr>
        <w:t>本公司发生的外币交易在初始确认时，按交易日的即期汇率（通常指中国人</w:t>
      </w:r>
    </w:p>
    <w:p>
      <w:pPr>
        <w:pStyle w:val="BodyText"/>
        <w:spacing w:line="304" w:lineRule="auto" w:before="86"/>
        <w:ind w:right="193"/>
        <w:jc w:val="both"/>
      </w:pPr>
      <w:r>
        <w:rPr>
          <w:spacing w:val="-3"/>
        </w:rPr>
        <w:t>民银行公布的当日外汇牌价的中间价，下同）折算为记账本位币金额，但公司发</w:t>
      </w:r>
      <w:r>
        <w:rPr>
          <w:spacing w:val="-102"/>
        </w:rPr>
        <w:t> </w:t>
      </w:r>
      <w:r>
        <w:rPr>
          <w:spacing w:val="-102"/>
        </w:rPr>
      </w:r>
      <w:r>
        <w:rPr>
          <w:spacing w:val="-3"/>
        </w:rPr>
        <w:t>生的外币兑换业务或涉及外币兑换的交易事项，按照实际采用的汇率折算为记账</w:t>
      </w:r>
      <w:r>
        <w:rPr>
          <w:spacing w:val="-104"/>
        </w:rPr>
        <w:t> </w:t>
      </w:r>
      <w:r>
        <w:rPr>
          <w:spacing w:val="-104"/>
        </w:rPr>
      </w:r>
      <w:r>
        <w:rPr/>
        <w:t>本位币金额。</w:t>
      </w:r>
    </w:p>
    <w:p>
      <w:pPr>
        <w:pStyle w:val="BodyText"/>
        <w:spacing w:line="562" w:lineRule="exact" w:before="16"/>
        <w:ind w:left="557" w:right="182" w:firstLine="6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w:t>
      </w:r>
    </w:p>
    <w:p>
      <w:pPr>
        <w:pStyle w:val="BodyText"/>
        <w:spacing w:line="288" w:lineRule="auto" w:before="8"/>
        <w:ind w:right="226"/>
        <w:jc w:val="both"/>
      </w:pPr>
      <w:r>
        <w:rPr/>
        <w:t>产生的汇兑差额，除：（</w:t>
      </w:r>
      <w:r>
        <w:rPr>
          <w:rFonts w:ascii="Times New Roman" w:hAnsi="Times New Roman" w:cs="Times New Roman" w:eastAsia="Times New Roman" w:hint="default"/>
        </w:rPr>
        <w:t>1</w:t>
      </w:r>
      <w:r>
        <w:rPr/>
        <w:t>）属于与购建符合资本化条件的资产相关的外币专门 借款产生的汇兑差额按照借款费用资本化的原则处理；（</w:t>
      </w:r>
      <w:r>
        <w:rPr>
          <w:rFonts w:ascii="Times New Roman" w:hAnsi="Times New Roman" w:cs="Times New Roman" w:eastAsia="Times New Roman" w:hint="default"/>
        </w:rPr>
        <w:t>2</w:t>
      </w:r>
      <w:r>
        <w:rPr/>
        <w:t>）可供出售的外币货</w:t>
      </w:r>
    </w:p>
    <w:p>
      <w:pPr>
        <w:spacing w:after="0" w:line="288" w:lineRule="auto"/>
        <w:jc w:val="both"/>
        <w:sectPr>
          <w:footerReference w:type="default" r:id="rId32"/>
          <w:pgSz w:w="11910" w:h="16840"/>
          <w:pgMar w:footer="979" w:header="850" w:top="1380" w:bottom="1160" w:left="1660" w:right="1600"/>
        </w:sectPr>
      </w:pPr>
    </w:p>
    <w:p>
      <w:pPr>
        <w:pStyle w:val="BodyText"/>
        <w:spacing w:line="307" w:lineRule="auto" w:before="93"/>
        <w:ind w:right="269"/>
        <w:jc w:val="left"/>
      </w:pPr>
      <w:r>
        <w:rPr/>
        <w:t>币性项目除摊余成本之外的其他账面余额变动产生的汇兑差额计入其他综合收 益之外，均计入当期损益。</w:t>
      </w:r>
    </w:p>
    <w:p>
      <w:pPr>
        <w:pStyle w:val="BodyText"/>
        <w:spacing w:line="304" w:lineRule="auto" w:before="180"/>
        <w:ind w:right="133" w:firstLine="480"/>
        <w:jc w:val="both"/>
      </w:pPr>
      <w:r>
        <w:rPr>
          <w:spacing w:val="-3"/>
        </w:rPr>
        <w:t>以历史成本计量的外币非货币性项目，仍采用交易发生日的即期汇率折算的</w:t>
      </w:r>
      <w:r>
        <w:rPr/>
        <w:t> </w:t>
      </w:r>
      <w:r>
        <w:rPr>
          <w:spacing w:val="-3"/>
        </w:rPr>
        <w:t>记账本位币金额计量。以公允价值计量的外币非货币性项目，采用公允价值确定</w:t>
      </w:r>
      <w:r>
        <w:rPr>
          <w:spacing w:val="-103"/>
        </w:rPr>
        <w:t> </w:t>
      </w:r>
      <w:r>
        <w:rPr>
          <w:spacing w:val="-103"/>
        </w:rPr>
      </w:r>
      <w:r>
        <w:rPr>
          <w:spacing w:val="-3"/>
        </w:rPr>
        <w:t>日的即期汇率折算，折算后的记账本位币金额与原记账本位币金额的差额，作为</w:t>
      </w:r>
      <w:r>
        <w:rPr>
          <w:spacing w:val="-103"/>
        </w:rPr>
        <w:t> </w:t>
      </w:r>
      <w:r>
        <w:rPr>
          <w:spacing w:val="-103"/>
        </w:rPr>
      </w:r>
      <w:r>
        <w:rPr>
          <w:spacing w:val="-3"/>
        </w:rPr>
        <w:t>公允价值变动（含汇率变动）处理，计入当期损益或确认为其他综合收益并计入</w:t>
      </w:r>
      <w:r>
        <w:rPr>
          <w:spacing w:val="-102"/>
        </w:rPr>
        <w:t> </w:t>
      </w:r>
      <w:r>
        <w:rPr>
          <w:spacing w:val="-102"/>
        </w:rPr>
      </w:r>
      <w:r>
        <w:rPr/>
        <w:t>资本公积。</w:t>
      </w:r>
    </w:p>
    <w:p>
      <w:pPr>
        <w:pStyle w:val="Heading3"/>
        <w:spacing w:line="240" w:lineRule="auto" w:before="185"/>
        <w:ind w:right="0"/>
        <w:jc w:val="left"/>
        <w:rPr>
          <w:b w:val="0"/>
          <w:bCs w:val="0"/>
        </w:rPr>
      </w:pPr>
      <w:r>
        <w:rPr>
          <w:rFonts w:ascii="Times New Roman" w:hAnsi="Times New Roman" w:cs="Times New Roman" w:eastAsia="Times New Roman" w:hint="default"/>
        </w:rPr>
        <w:t>7</w:t>
      </w:r>
      <w:r>
        <w:rPr/>
        <w:t>、金融工具</w:t>
      </w:r>
      <w:r>
        <w:rPr>
          <w:b w:val="0"/>
          <w:bCs w:val="0"/>
        </w:rPr>
      </w:r>
    </w:p>
    <w:p>
      <w:pPr>
        <w:pStyle w:val="BodyText"/>
        <w:spacing w:line="540" w:lineRule="atLeast" w:before="21"/>
        <w:ind w:left="617" w:right="128"/>
        <w:jc w:val="left"/>
      </w:pPr>
      <w:r>
        <w:rPr/>
        <w:t>（</w:t>
      </w:r>
      <w:r>
        <w:rPr>
          <w:rFonts w:ascii="Times New Roman" w:hAnsi="Times New Roman" w:cs="Times New Roman" w:eastAsia="Times New Roman" w:hint="default"/>
        </w:rPr>
        <w:t>1</w:t>
      </w:r>
      <w:r>
        <w:rPr/>
        <w:t>）金融资产和金融负债的公允价值确定方法 </w:t>
      </w:r>
      <w:r>
        <w:rPr>
          <w:spacing w:val="-3"/>
        </w:rPr>
        <w:t>公允价值，指在公平交易中，熟悉情况的交易双方自愿进行资产交换或债务</w:t>
      </w:r>
    </w:p>
    <w:p>
      <w:pPr>
        <w:pStyle w:val="BodyText"/>
        <w:spacing w:line="304" w:lineRule="auto" w:before="84"/>
        <w:ind w:right="133"/>
        <w:jc w:val="both"/>
      </w:pPr>
      <w:r>
        <w:rPr>
          <w:spacing w:val="-3"/>
        </w:rPr>
        <w:t>清偿的金额。金融工具存在活跃市场的，本公司采用活跃市场中的报价确定其公</w:t>
      </w:r>
      <w:r>
        <w:rPr>
          <w:spacing w:val="-103"/>
        </w:rPr>
        <w:t> </w:t>
      </w:r>
      <w:r>
        <w:rPr>
          <w:spacing w:val="-103"/>
        </w:rPr>
      </w:r>
      <w:r>
        <w:rPr>
          <w:spacing w:val="-3"/>
        </w:rPr>
        <w:t>允价值。活跃市场中的报价是指易于定期从交易所、经纪商、行业协会、定价服</w:t>
      </w:r>
      <w:r>
        <w:rPr>
          <w:spacing w:val="-103"/>
        </w:rPr>
        <w:t> </w:t>
      </w:r>
      <w:r>
        <w:rPr>
          <w:spacing w:val="-103"/>
        </w:rPr>
      </w:r>
      <w:r>
        <w:rPr>
          <w:spacing w:val="-3"/>
        </w:rPr>
        <w:t>务机构等获得的价格，且代表了在公平交易中实际发生的市场交易的价格。金融</w:t>
      </w:r>
      <w:r>
        <w:rPr>
          <w:spacing w:val="-103"/>
        </w:rPr>
        <w:t> </w:t>
      </w:r>
      <w:r>
        <w:rPr>
          <w:spacing w:val="-103"/>
        </w:rPr>
      </w:r>
      <w:r>
        <w:rPr>
          <w:spacing w:val="-3"/>
        </w:rPr>
        <w:t>工具不存在活跃市场的，本公司采用估值技术确定其公允价值。估值技术包括参</w:t>
      </w:r>
      <w:r>
        <w:rPr>
          <w:spacing w:val="-103"/>
        </w:rPr>
        <w:t> </w:t>
      </w:r>
      <w:r>
        <w:rPr>
          <w:spacing w:val="-103"/>
        </w:rPr>
      </w:r>
      <w:r>
        <w:rPr>
          <w:spacing w:val="-3"/>
        </w:rPr>
        <w:t>考熟悉情况并自愿交易的各方最近进行的市场交易中使用的价格、参照实质上相</w:t>
      </w:r>
      <w:r>
        <w:rPr>
          <w:spacing w:val="-104"/>
        </w:rPr>
        <w:t> </w:t>
      </w:r>
      <w:r>
        <w:rPr>
          <w:spacing w:val="-104"/>
        </w:rPr>
      </w:r>
      <w:r>
        <w:rPr/>
        <w:t>同的其他金融工具当前的公允价值、现金流量折现法和期权定价模型等。</w:t>
      </w:r>
    </w:p>
    <w:p>
      <w:pPr>
        <w:pStyle w:val="BodyText"/>
        <w:spacing w:line="564" w:lineRule="exact" w:before="12"/>
        <w:ind w:left="617" w:right="128"/>
        <w:jc w:val="left"/>
      </w:pPr>
      <w:r>
        <w:rPr/>
        <w:t>（</w:t>
      </w:r>
      <w:r>
        <w:rPr>
          <w:rFonts w:ascii="Times New Roman" w:hAnsi="Times New Roman" w:cs="Times New Roman" w:eastAsia="Times New Roman" w:hint="default"/>
        </w:rPr>
        <w:t>2</w:t>
      </w:r>
      <w:r>
        <w:rPr/>
        <w:t>）金融资产的分类、确认和计量 </w:t>
      </w:r>
      <w:r>
        <w:rPr>
          <w:spacing w:val="-3"/>
        </w:rPr>
        <w:t>以常规方式买卖金融资产，按交易日进行会计确认和终止确认。金融资产在</w:t>
      </w:r>
    </w:p>
    <w:p>
      <w:pPr>
        <w:pStyle w:val="BodyText"/>
        <w:spacing w:line="304" w:lineRule="auto" w:before="5"/>
        <w:ind w:right="133"/>
        <w:jc w:val="both"/>
      </w:pPr>
      <w:r>
        <w:rPr>
          <w:spacing w:val="-3"/>
        </w:rPr>
        <w:t>初始确认时划分为以公允价值计量且其变动计入当期损益的金融资产、持有至到</w:t>
      </w:r>
      <w:r>
        <w:rPr>
          <w:spacing w:val="-104"/>
        </w:rPr>
        <w:t> </w:t>
      </w:r>
      <w:r>
        <w:rPr>
          <w:spacing w:val="-104"/>
        </w:rPr>
      </w:r>
      <w:r>
        <w:rPr>
          <w:spacing w:val="-3"/>
        </w:rPr>
        <w:t>期投资、贷款和应收款项以及可供出售金融资产。初始确认金融资产，以公允价</w:t>
      </w:r>
      <w:r>
        <w:rPr>
          <w:spacing w:val="-102"/>
        </w:rPr>
        <w:t> </w:t>
      </w:r>
      <w:r>
        <w:rPr>
          <w:spacing w:val="-102"/>
        </w:rPr>
      </w:r>
      <w:r>
        <w:rPr>
          <w:spacing w:val="-3"/>
        </w:rPr>
        <w:t>值计量。对于以公允价值计量且其变动计入当期损益的金融资产，相关的交易费</w:t>
      </w:r>
      <w:r>
        <w:rPr>
          <w:spacing w:val="-103"/>
        </w:rPr>
        <w:t> </w:t>
      </w:r>
      <w:r>
        <w:rPr>
          <w:spacing w:val="-103"/>
        </w:rPr>
      </w:r>
      <w:r>
        <w:rPr>
          <w:spacing w:val="-3"/>
        </w:rPr>
        <w:t>用直接计入当期损益，对于其他类别的金融资产，相关交易费用计入初始确认金</w:t>
      </w:r>
      <w:r>
        <w:rPr>
          <w:spacing w:val="-103"/>
        </w:rPr>
        <w:t> </w:t>
      </w:r>
      <w:r>
        <w:rPr>
          <w:spacing w:val="-103"/>
        </w:rPr>
      </w:r>
      <w:r>
        <w:rPr/>
        <w:t>额。</w:t>
      </w:r>
    </w:p>
    <w:p>
      <w:pPr>
        <w:pStyle w:val="BodyText"/>
        <w:spacing w:line="562" w:lineRule="exact" w:before="16"/>
        <w:ind w:left="617" w:right="269"/>
        <w:jc w:val="left"/>
      </w:pPr>
      <w:r>
        <w:rPr/>
        <w:t>① 以公允价值计量且其变动计入当期损益的金融资产 包括交易性金融资产和指定为以公允价值计量且其变动计入当期损益的金</w:t>
      </w:r>
    </w:p>
    <w:p>
      <w:pPr>
        <w:pStyle w:val="BodyText"/>
        <w:spacing w:line="240" w:lineRule="auto" w:before="8"/>
        <w:ind w:right="0"/>
        <w:jc w:val="both"/>
      </w:pPr>
      <w:r>
        <w:rPr/>
        <w:t>融资产。</w:t>
      </w:r>
    </w:p>
    <w:p>
      <w:pPr>
        <w:spacing w:line="240" w:lineRule="auto" w:before="1"/>
        <w:rPr>
          <w:rFonts w:ascii="宋体" w:hAnsi="宋体" w:cs="宋体" w:eastAsia="宋体" w:hint="default"/>
          <w:sz w:val="19"/>
          <w:szCs w:val="19"/>
        </w:rPr>
      </w:pPr>
    </w:p>
    <w:p>
      <w:pPr>
        <w:pStyle w:val="BodyText"/>
        <w:spacing w:line="295" w:lineRule="auto"/>
        <w:ind w:right="149" w:firstLine="480"/>
        <w:jc w:val="left"/>
      </w:pPr>
      <w:r>
        <w:rPr/>
        <w:t>交易性金融资产是指满足下列条件之一的金融资产：（</w:t>
      </w:r>
      <w:r>
        <w:rPr>
          <w:rFonts w:ascii="Times New Roman" w:hAnsi="Times New Roman" w:cs="Times New Roman" w:eastAsia="Times New Roman" w:hint="default"/>
        </w:rPr>
        <w:t>1</w:t>
      </w:r>
      <w:r>
        <w:rPr/>
        <w:t>）取得该金融资产 的目的，主要是为了近期内出售；（</w:t>
      </w:r>
      <w:r>
        <w:rPr>
          <w:rFonts w:ascii="Times New Roman" w:hAnsi="Times New Roman" w:cs="Times New Roman" w:eastAsia="Times New Roman" w:hint="default"/>
        </w:rPr>
        <w:t>2</w:t>
      </w:r>
      <w:r>
        <w:rPr/>
        <w:t>）属于进行集中管理的可辨认金融工具组 合的一部分，且有客观证据表明本公司近期采用短期获利方式对该组合进行管 理；（</w:t>
      </w:r>
      <w:r>
        <w:rPr>
          <w:rFonts w:ascii="Times New Roman" w:hAnsi="Times New Roman" w:cs="Times New Roman" w:eastAsia="Times New Roman" w:hint="default"/>
        </w:rPr>
        <w:t>3</w:t>
      </w:r>
      <w:r>
        <w:rPr/>
        <w:t>）属于衍生工具，但是，被指定且为有效套期工具的衍生工具、属于财</w:t>
      </w:r>
    </w:p>
    <w:p>
      <w:pPr>
        <w:spacing w:after="0" w:line="295" w:lineRule="auto"/>
        <w:jc w:val="left"/>
        <w:sectPr>
          <w:footerReference w:type="default" r:id="rId33"/>
          <w:pgSz w:w="11910" w:h="16840"/>
          <w:pgMar w:footer="979" w:header="850" w:top="1380" w:bottom="1160" w:left="1660" w:right="1660"/>
          <w:pgNumType w:start="81"/>
        </w:sectPr>
      </w:pPr>
    </w:p>
    <w:p>
      <w:pPr>
        <w:pStyle w:val="BodyText"/>
        <w:spacing w:line="307" w:lineRule="auto" w:before="93"/>
        <w:ind w:right="195"/>
        <w:jc w:val="both"/>
      </w:pPr>
      <w:r>
        <w:rPr>
          <w:spacing w:val="-3"/>
        </w:rPr>
        <w:t>务担保合同的衍生工具、与在活跃市场中没有报价且其公允价值不能可靠计量的</w:t>
      </w:r>
      <w:r>
        <w:rPr>
          <w:spacing w:val="-104"/>
        </w:rPr>
        <w:t> </w:t>
      </w:r>
      <w:r>
        <w:rPr>
          <w:spacing w:val="-104"/>
        </w:rPr>
      </w:r>
      <w:r>
        <w:rPr/>
        <w:t>权益工具投资挂钩并须通过交付该权益工具结算的衍生工具除外。</w:t>
      </w:r>
    </w:p>
    <w:p>
      <w:pPr>
        <w:pStyle w:val="BodyText"/>
        <w:spacing w:line="297" w:lineRule="auto" w:before="180"/>
        <w:ind w:right="195" w:firstLine="480"/>
        <w:jc w:val="both"/>
      </w:pPr>
      <w:r>
        <w:rPr>
          <w:spacing w:val="-3"/>
        </w:rPr>
        <w:t>符合下述条件之一的金融资产，在初始确认时可指定为以公允价值计量且其</w:t>
      </w:r>
      <w:r>
        <w:rPr/>
        <w:t> 变动计入当期损益的金融资产：（</w:t>
      </w:r>
      <w:r>
        <w:rPr>
          <w:rFonts w:ascii="Times New Roman" w:hAnsi="Times New Roman" w:cs="Times New Roman" w:eastAsia="Times New Roman" w:hint="default"/>
        </w:rPr>
        <w:t>1</w:t>
      </w:r>
      <w:r>
        <w:rPr/>
        <w:t>）该指定可以消除或明显减少由于该金融资 产的计量基础不同所导致的相关利得或损失在确认或计量方面不一致的情况；</w:t>
      </w:r>
    </w:p>
    <w:p>
      <w:pPr>
        <w:pStyle w:val="BodyText"/>
        <w:spacing w:line="297" w:lineRule="auto" w:before="26"/>
        <w:ind w:right="195"/>
        <w:jc w:val="both"/>
      </w:pPr>
      <w:r>
        <w:rPr/>
        <w:t>（</w:t>
      </w:r>
      <w:r>
        <w:rPr>
          <w:rFonts w:ascii="Times New Roman" w:hAnsi="Times New Roman" w:cs="Times New Roman" w:eastAsia="Times New Roman" w:hint="default"/>
        </w:rPr>
        <w:t>2</w:t>
      </w:r>
      <w:r>
        <w:rPr/>
        <w:t>）本公司风险管理或投资策略的正式书面文件已载明，对该金融资产所在的 </w:t>
      </w:r>
      <w:r>
        <w:rPr>
          <w:spacing w:val="-3"/>
        </w:rPr>
        <w:t>金融资产组合或金融资产和金融负债组合以公允价值为基础进行管理、评价并向</w:t>
      </w:r>
      <w:r>
        <w:rPr>
          <w:spacing w:val="-104"/>
        </w:rPr>
        <w:t> </w:t>
      </w:r>
      <w:r>
        <w:rPr>
          <w:spacing w:val="-104"/>
        </w:rPr>
      </w:r>
      <w:r>
        <w:rPr/>
        <w:t>关键管理人员报告。</w:t>
      </w:r>
    </w:p>
    <w:p>
      <w:pPr>
        <w:pStyle w:val="BodyText"/>
        <w:spacing w:line="304" w:lineRule="auto" w:before="190"/>
        <w:ind w:right="194" w:firstLine="480"/>
        <w:jc w:val="left"/>
      </w:pPr>
      <w:r>
        <w:rPr/>
        <w:t>以公允价值计量且其变动计入当期损益的金融资产采用公允价值进行后续 </w:t>
      </w:r>
      <w:r>
        <w:rPr>
          <w:spacing w:val="-3"/>
        </w:rPr>
        <w:t>计量，公允价值变动形成的利得或损失以及与该等金融资产相关的股利和利息收</w:t>
      </w:r>
      <w:r>
        <w:rPr>
          <w:spacing w:val="-104"/>
        </w:rPr>
        <w:t> </w:t>
      </w:r>
      <w:r>
        <w:rPr>
          <w:spacing w:val="-104"/>
        </w:rPr>
      </w:r>
      <w:r>
        <w:rPr/>
        <w:t>入计入当期损益。</w:t>
      </w:r>
    </w:p>
    <w:p>
      <w:pPr>
        <w:pStyle w:val="BodyText"/>
        <w:spacing w:line="564" w:lineRule="exact" w:before="14"/>
        <w:ind w:left="617" w:right="188"/>
        <w:jc w:val="left"/>
      </w:pPr>
      <w:r>
        <w:rPr/>
        <w:t>② 持有至到期投资 </w:t>
      </w:r>
      <w:r>
        <w:rPr>
          <w:spacing w:val="-3"/>
        </w:rPr>
        <w:t>是指到期日固定、回收金额固定或可确定，且本公司有明确意图和能力持有</w:t>
      </w:r>
    </w:p>
    <w:p>
      <w:pPr>
        <w:pStyle w:val="BodyText"/>
        <w:spacing w:line="240" w:lineRule="auto" w:before="5"/>
        <w:ind w:right="0"/>
        <w:jc w:val="both"/>
      </w:pPr>
      <w:r>
        <w:rPr/>
        <w:t>至到期的非衍生金融资产。</w:t>
      </w:r>
    </w:p>
    <w:p>
      <w:pPr>
        <w:spacing w:line="240" w:lineRule="auto" w:before="1"/>
        <w:rPr>
          <w:rFonts w:ascii="宋体" w:hAnsi="宋体" w:cs="宋体" w:eastAsia="宋体" w:hint="default"/>
          <w:sz w:val="19"/>
          <w:szCs w:val="19"/>
        </w:rPr>
      </w:pPr>
    </w:p>
    <w:p>
      <w:pPr>
        <w:pStyle w:val="BodyText"/>
        <w:spacing w:line="307" w:lineRule="auto"/>
        <w:ind w:right="106" w:firstLine="480"/>
        <w:jc w:val="both"/>
      </w:pPr>
      <w:r>
        <w:rPr/>
        <w:t>持有至到期投资采用实际利率法，按摊余成本进行后续计量，在终止确认、 发生减值或摊销时产生的利得或损失，计入当期损益。</w:t>
      </w:r>
    </w:p>
    <w:p>
      <w:pPr>
        <w:pStyle w:val="BodyText"/>
        <w:spacing w:line="304" w:lineRule="auto" w:before="180"/>
        <w:ind w:right="193" w:firstLine="480"/>
        <w:jc w:val="both"/>
      </w:pPr>
      <w:r>
        <w:rPr>
          <w:spacing w:val="-3"/>
        </w:rPr>
        <w:t>实际利率法是指按照金融资产或金融负债（含一组金融资产或金融负债）的</w:t>
      </w:r>
      <w:r>
        <w:rPr/>
        <w:t> </w:t>
      </w:r>
      <w:r>
        <w:rPr>
          <w:spacing w:val="-3"/>
        </w:rPr>
        <w:t>实际利率计算其摊余成本及各期利息收入或支出的方法。实际利率是指将金融资</w:t>
      </w:r>
      <w:r>
        <w:rPr>
          <w:spacing w:val="-104"/>
        </w:rPr>
        <w:t> </w:t>
      </w:r>
      <w:r>
        <w:rPr>
          <w:spacing w:val="-104"/>
        </w:rPr>
      </w:r>
      <w:r>
        <w:rPr>
          <w:spacing w:val="-3"/>
        </w:rPr>
        <w:t>产或金融负债在预期存续期间或适用的更短期间内的未来现金流量，折现为该金</w:t>
      </w:r>
      <w:r>
        <w:rPr>
          <w:spacing w:val="-104"/>
        </w:rPr>
        <w:t> </w:t>
      </w:r>
      <w:r>
        <w:rPr>
          <w:spacing w:val="-104"/>
        </w:rPr>
      </w:r>
      <w:r>
        <w:rPr/>
        <w:t>融资产或金融负债当前账面价值所使用的利率。</w:t>
      </w:r>
    </w:p>
    <w:p>
      <w:pPr>
        <w:pStyle w:val="BodyText"/>
        <w:spacing w:line="304" w:lineRule="auto" w:before="185"/>
        <w:ind w:right="193" w:firstLine="480"/>
        <w:jc w:val="both"/>
      </w:pPr>
      <w:r>
        <w:rPr>
          <w:spacing w:val="-3"/>
        </w:rPr>
        <w:t>在计算实际利率时，本公司将在考虑金融资产或金融负债所有合同条款的基</w:t>
      </w:r>
      <w:r>
        <w:rPr/>
        <w:t> </w:t>
      </w:r>
      <w:r>
        <w:rPr>
          <w:spacing w:val="-3"/>
        </w:rPr>
        <w:t>础上预计未来现金流量（不考虑未来的信用损失），同时还将考虑金融资产或金</w:t>
      </w:r>
      <w:r>
        <w:rPr>
          <w:spacing w:val="-102"/>
        </w:rPr>
        <w:t> </w:t>
      </w:r>
      <w:r>
        <w:rPr>
          <w:spacing w:val="-102"/>
        </w:rPr>
      </w:r>
      <w:r>
        <w:rPr>
          <w:spacing w:val="-3"/>
        </w:rPr>
        <w:t>融负债合同各方之间支付或收取的、属于实际利率组成部分的各项收费、交易费</w:t>
      </w:r>
      <w:r>
        <w:rPr>
          <w:spacing w:val="-103"/>
        </w:rPr>
        <w:t> </w:t>
      </w:r>
      <w:r>
        <w:rPr>
          <w:spacing w:val="-103"/>
        </w:rPr>
      </w:r>
      <w:r>
        <w:rPr/>
        <w:t>用及折价或溢价等。</w:t>
      </w:r>
    </w:p>
    <w:p>
      <w:pPr>
        <w:pStyle w:val="BodyText"/>
        <w:spacing w:line="564" w:lineRule="exact" w:before="12"/>
        <w:ind w:left="617" w:right="188"/>
        <w:jc w:val="left"/>
      </w:pPr>
      <w:r>
        <w:rPr/>
        <w:t>③ 贷款和应收款项 </w:t>
      </w:r>
      <w:r>
        <w:rPr>
          <w:spacing w:val="-3"/>
        </w:rPr>
        <w:t>是指在活跃市场中没有报价、回收金额固定或可确定的非衍生金融资产。本</w:t>
      </w:r>
    </w:p>
    <w:p>
      <w:pPr>
        <w:pStyle w:val="BodyText"/>
        <w:spacing w:line="304" w:lineRule="auto" w:before="7"/>
        <w:ind w:right="193"/>
        <w:jc w:val="both"/>
      </w:pPr>
      <w:r>
        <w:rPr>
          <w:spacing w:val="-3"/>
        </w:rPr>
        <w:t>公司划分为贷款和应收款的金融资产包括应收票据、应收账款、应收利息、应收</w:t>
      </w:r>
      <w:r>
        <w:rPr>
          <w:spacing w:val="-102"/>
        </w:rPr>
        <w:t> </w:t>
      </w:r>
      <w:r>
        <w:rPr>
          <w:spacing w:val="-102"/>
        </w:rPr>
      </w:r>
      <w:r>
        <w:rPr/>
        <w:t>股利及其他应收款等。</w:t>
      </w:r>
    </w:p>
    <w:p>
      <w:pPr>
        <w:pStyle w:val="BodyText"/>
        <w:spacing w:line="304" w:lineRule="auto" w:before="185"/>
        <w:ind w:right="106" w:firstLine="480"/>
        <w:jc w:val="both"/>
      </w:pPr>
      <w:r>
        <w:rPr/>
        <w:t>贷款和应收款项采用实际利率法，按摊余成本进行后续计量，在终止确认、 发生减值或摊销时产生的利得或损失，计入当期损益。</w:t>
      </w:r>
    </w:p>
    <w:p>
      <w:pPr>
        <w:spacing w:after="0" w:line="304" w:lineRule="auto"/>
        <w:jc w:val="both"/>
        <w:sectPr>
          <w:pgSz w:w="11910" w:h="16840"/>
          <w:pgMar w:header="850" w:footer="979" w:top="1380" w:bottom="1160" w:left="1660" w:right="1600"/>
        </w:sectPr>
      </w:pPr>
    </w:p>
    <w:p>
      <w:pPr>
        <w:pStyle w:val="BodyText"/>
        <w:spacing w:line="240" w:lineRule="auto" w:before="93"/>
        <w:ind w:left="617" w:right="179"/>
        <w:jc w:val="left"/>
      </w:pPr>
      <w:r>
        <w:rPr/>
        <w:t>④ 可供出售金融资产</w:t>
      </w:r>
    </w:p>
    <w:p>
      <w:pPr>
        <w:spacing w:line="240" w:lineRule="auto" w:before="1"/>
        <w:rPr>
          <w:rFonts w:ascii="宋体" w:hAnsi="宋体" w:cs="宋体" w:eastAsia="宋体" w:hint="default"/>
          <w:sz w:val="19"/>
          <w:szCs w:val="19"/>
        </w:rPr>
      </w:pPr>
    </w:p>
    <w:p>
      <w:pPr>
        <w:pStyle w:val="BodyText"/>
        <w:spacing w:line="304" w:lineRule="auto"/>
        <w:ind w:right="193" w:firstLine="480"/>
        <w:jc w:val="both"/>
      </w:pPr>
      <w:r>
        <w:rPr>
          <w:spacing w:val="-3"/>
        </w:rPr>
        <w:t>包括初始确认时即被指定为可供出售的非衍生金融资产，以及除了以公允价</w:t>
      </w:r>
      <w:r>
        <w:rPr/>
        <w:t> </w:t>
      </w:r>
      <w:r>
        <w:rPr>
          <w:spacing w:val="-3"/>
        </w:rPr>
        <w:t>值计量且其变动计入当期损益的金融资产、贷款和应收款项、持有至到期投资以</w:t>
      </w:r>
      <w:r>
        <w:rPr>
          <w:spacing w:val="-103"/>
        </w:rPr>
        <w:t> </w:t>
      </w:r>
      <w:r>
        <w:rPr>
          <w:spacing w:val="-103"/>
        </w:rPr>
      </w:r>
      <w:r>
        <w:rPr/>
        <w:t>外的金融资产。</w:t>
      </w:r>
    </w:p>
    <w:p>
      <w:pPr>
        <w:pStyle w:val="BodyText"/>
        <w:spacing w:line="304" w:lineRule="auto" w:before="185"/>
        <w:ind w:right="193" w:firstLine="480"/>
        <w:jc w:val="both"/>
      </w:pPr>
      <w:r>
        <w:rPr>
          <w:spacing w:val="-3"/>
        </w:rPr>
        <w:t>可供出售金融资产采用公允价值进行后续计量，公允价值变动形成的利得或</w:t>
      </w:r>
      <w:r>
        <w:rPr/>
        <w:t> </w:t>
      </w:r>
      <w:r>
        <w:rPr>
          <w:spacing w:val="-3"/>
        </w:rPr>
        <w:t>损失，除减值损失和外币货币性金融资产与摊余成本相关的汇兑差额计入当期损</w:t>
      </w:r>
      <w:r>
        <w:rPr>
          <w:spacing w:val="-104"/>
        </w:rPr>
        <w:t> </w:t>
      </w:r>
      <w:r>
        <w:rPr>
          <w:spacing w:val="-104"/>
        </w:rPr>
      </w:r>
      <w:r>
        <w:rPr>
          <w:spacing w:val="-3"/>
        </w:rPr>
        <w:t>益外，确认为其他综合收益并计入资本公积，在该金融资产终止确认时转出，计</w:t>
      </w:r>
      <w:r>
        <w:rPr>
          <w:spacing w:val="-102"/>
        </w:rPr>
        <w:t> </w:t>
      </w:r>
      <w:r>
        <w:rPr>
          <w:spacing w:val="-102"/>
        </w:rPr>
      </w:r>
      <w:r>
        <w:rPr/>
        <w:t>入当期损益。</w:t>
      </w:r>
    </w:p>
    <w:p>
      <w:pPr>
        <w:pStyle w:val="BodyText"/>
        <w:spacing w:line="307" w:lineRule="auto" w:before="185"/>
        <w:ind w:right="106" w:firstLine="480"/>
        <w:jc w:val="both"/>
      </w:pPr>
      <w:r>
        <w:rPr/>
        <w:t>可供出售金融资产持有期间取得的利息及被投资单位宣告发放的现金股利， 计入投资收益。</w:t>
      </w:r>
    </w:p>
    <w:p>
      <w:pPr>
        <w:pStyle w:val="BodyText"/>
        <w:spacing w:line="564" w:lineRule="exact" w:before="9"/>
        <w:ind w:left="617" w:right="188"/>
        <w:jc w:val="left"/>
      </w:pPr>
      <w:r>
        <w:rPr/>
        <w:t>（</w:t>
      </w:r>
      <w:r>
        <w:rPr>
          <w:rFonts w:ascii="Times New Roman" w:hAnsi="Times New Roman" w:cs="Times New Roman" w:eastAsia="Times New Roman" w:hint="default"/>
        </w:rPr>
        <w:t>3</w:t>
      </w:r>
      <w:r>
        <w:rPr/>
        <w:t>）金融资产减值 </w:t>
      </w:r>
      <w:r>
        <w:rPr>
          <w:spacing w:val="-3"/>
        </w:rPr>
        <w:t>除了以公允价值计量且其变动计入当期损益的金融资产外，本公司在每个资</w:t>
      </w:r>
    </w:p>
    <w:p>
      <w:pPr>
        <w:pStyle w:val="BodyText"/>
        <w:spacing w:line="304" w:lineRule="auto" w:before="7"/>
        <w:ind w:right="194"/>
        <w:jc w:val="left"/>
      </w:pPr>
      <w:r>
        <w:rPr>
          <w:spacing w:val="-3"/>
        </w:rPr>
        <w:t>产负债表日对其他金融资产的账面价值进行检查，有客观证据表明金融资产发生</w:t>
      </w:r>
      <w:r>
        <w:rPr>
          <w:spacing w:val="-104"/>
        </w:rPr>
        <w:t> </w:t>
      </w:r>
      <w:r>
        <w:rPr>
          <w:spacing w:val="-104"/>
        </w:rPr>
      </w:r>
      <w:r>
        <w:rPr/>
        <w:t>减值的，计提减值准备。</w:t>
      </w:r>
    </w:p>
    <w:p>
      <w:pPr>
        <w:pStyle w:val="BodyText"/>
        <w:spacing w:line="304" w:lineRule="auto" w:before="185"/>
        <w:ind w:right="89" w:firstLine="480"/>
        <w:jc w:val="left"/>
      </w:pPr>
      <w:r>
        <w:rPr>
          <w:spacing w:val="-3"/>
        </w:rPr>
        <w:t>本公司对单项金额重大的金融资产单独进行减值测试；对单项金额不重大的</w:t>
      </w:r>
      <w:r>
        <w:rPr/>
        <w:t> </w:t>
      </w:r>
      <w:r>
        <w:rPr>
          <w:spacing w:val="-3"/>
        </w:rPr>
        <w:t>金融资产，单独进行减值测试或包括在具有类似信用风险特征的金融资产组合中</w:t>
      </w:r>
      <w:r>
        <w:rPr>
          <w:spacing w:val="-104"/>
        </w:rPr>
        <w:t> </w:t>
      </w:r>
      <w:r>
        <w:rPr>
          <w:spacing w:val="-104"/>
        </w:rPr>
      </w:r>
      <w:r>
        <w:rPr>
          <w:spacing w:val="-3"/>
        </w:rPr>
        <w:t>进行减值测试。单独测试未发生减值的金融资产（包括单项金额重大和不重大的</w:t>
      </w:r>
      <w:r>
        <w:rPr>
          <w:spacing w:val="-103"/>
        </w:rPr>
        <w:t> </w:t>
      </w:r>
      <w:r>
        <w:rPr>
          <w:spacing w:val="-103"/>
        </w:rPr>
      </w:r>
      <w:r>
        <w:rPr/>
        <w:t>金融资产），包括在具有类似信用风险特征的金融资产组合中再进行减值测试。 </w:t>
      </w:r>
      <w:r>
        <w:rPr>
          <w:spacing w:val="-3"/>
        </w:rPr>
        <w:t>已单项确认减值损失的金融资产，不包括在具有类似信用风险特征的金融资产组</w:t>
      </w:r>
      <w:r>
        <w:rPr>
          <w:spacing w:val="-104"/>
        </w:rPr>
        <w:t> </w:t>
      </w:r>
      <w:r>
        <w:rPr>
          <w:spacing w:val="-104"/>
        </w:rPr>
      </w:r>
      <w:r>
        <w:rPr/>
        <w:t>合中进行减值测试。</w:t>
      </w:r>
    </w:p>
    <w:p>
      <w:pPr>
        <w:pStyle w:val="BodyText"/>
        <w:spacing w:line="562" w:lineRule="exact" w:before="16"/>
        <w:ind w:left="617" w:right="329"/>
        <w:jc w:val="left"/>
      </w:pPr>
      <w:r>
        <w:rPr/>
        <w:t>① 持有至到期投资、贷款和应收款项减值 以成本或摊余成本计量的金融资产将其账面价值减记至预计未来现金流量</w:t>
      </w:r>
    </w:p>
    <w:p>
      <w:pPr>
        <w:pStyle w:val="BodyText"/>
        <w:spacing w:line="304" w:lineRule="auto" w:before="8"/>
        <w:ind w:right="89"/>
        <w:jc w:val="left"/>
      </w:pPr>
      <w:r>
        <w:rPr/>
        <w:t>现值，减记金额确认为减值损失，计入当期损益。金融资产在确认减值损失后， </w:t>
      </w:r>
      <w:r>
        <w:rPr>
          <w:spacing w:val="-3"/>
        </w:rPr>
        <w:t>如有客观证据表明该金融资产价值已恢复，且客观上与确认该损失后发生的事项</w:t>
      </w:r>
      <w:r>
        <w:rPr>
          <w:spacing w:val="-104"/>
        </w:rPr>
        <w:t> </w:t>
      </w:r>
      <w:r>
        <w:rPr>
          <w:spacing w:val="-104"/>
        </w:rPr>
      </w:r>
      <w:r>
        <w:rPr>
          <w:spacing w:val="-3"/>
        </w:rPr>
        <w:t>有关，原确认的减值损失予以转回，金融资产转回减值损失后的账面价值不超过</w:t>
      </w:r>
      <w:r>
        <w:rPr>
          <w:spacing w:val="-103"/>
        </w:rPr>
        <w:t> </w:t>
      </w:r>
      <w:r>
        <w:rPr>
          <w:spacing w:val="-103"/>
        </w:rPr>
      </w:r>
      <w:r>
        <w:rPr/>
        <w:t>假定不计提减值准备情况下该金融资产在转回日的摊余成本。</w:t>
      </w:r>
    </w:p>
    <w:p>
      <w:pPr>
        <w:pStyle w:val="BodyText"/>
        <w:spacing w:line="562" w:lineRule="exact" w:before="16"/>
        <w:ind w:left="617" w:right="188"/>
        <w:jc w:val="left"/>
      </w:pPr>
      <w:r>
        <w:rPr/>
        <w:t>② 可供出售金融资产减值 </w:t>
      </w:r>
      <w:r>
        <w:rPr>
          <w:spacing w:val="-3"/>
        </w:rPr>
        <w:t>可供出售金融资产发生减值时，将原计入资本公积的因公允价值下降形成的</w:t>
      </w:r>
    </w:p>
    <w:p>
      <w:pPr>
        <w:pStyle w:val="BodyText"/>
        <w:spacing w:line="240" w:lineRule="auto" w:before="8"/>
        <w:ind w:right="89"/>
        <w:jc w:val="left"/>
      </w:pPr>
      <w:r>
        <w:rPr>
          <w:spacing w:val="-3"/>
        </w:rPr>
        <w:t>累计损失予以转出并计入当期损益，该转出的累计损失为该资产初始取得成本扣</w:t>
      </w:r>
    </w:p>
    <w:p>
      <w:pPr>
        <w:spacing w:after="0" w:line="240" w:lineRule="auto"/>
        <w:jc w:val="left"/>
        <w:sectPr>
          <w:pgSz w:w="11910" w:h="16840"/>
          <w:pgMar w:header="850" w:footer="979" w:top="1380" w:bottom="1160" w:left="1660" w:right="1600"/>
        </w:sectPr>
      </w:pPr>
    </w:p>
    <w:p>
      <w:pPr>
        <w:pStyle w:val="BodyText"/>
        <w:spacing w:line="307" w:lineRule="auto" w:before="93"/>
        <w:ind w:right="269"/>
        <w:jc w:val="left"/>
      </w:pPr>
      <w:r>
        <w:rPr/>
        <w:t>除已收回本金和已摊销金额、当前公允价值和原已计入损益的减值损失后的余 额。</w:t>
      </w:r>
    </w:p>
    <w:p>
      <w:pPr>
        <w:pStyle w:val="BodyText"/>
        <w:spacing w:line="304" w:lineRule="auto" w:before="180"/>
        <w:ind w:right="133" w:firstLine="480"/>
        <w:jc w:val="both"/>
      </w:pPr>
      <w:r>
        <w:rPr>
          <w:spacing w:val="-3"/>
        </w:rPr>
        <w:t>在确认减值损失后，期后如有客观证据表明该金融资产价值已恢复，且客观</w:t>
      </w:r>
      <w:r>
        <w:rPr/>
        <w:t> </w:t>
      </w:r>
      <w:r>
        <w:rPr>
          <w:spacing w:val="-3"/>
        </w:rPr>
        <w:t>上与确认该损失后发生的事项有关，原确认的减值损失予以转回，可供出售权益</w:t>
      </w:r>
      <w:r>
        <w:rPr>
          <w:spacing w:val="-103"/>
        </w:rPr>
        <w:t> </w:t>
      </w:r>
      <w:r>
        <w:rPr>
          <w:spacing w:val="-103"/>
        </w:rPr>
      </w:r>
      <w:r>
        <w:rPr>
          <w:spacing w:val="-3"/>
        </w:rPr>
        <w:t>工具投资的减值损失转回确认为其他综合收益，可供出售债务工具的减值损失转</w:t>
      </w:r>
      <w:r>
        <w:rPr>
          <w:spacing w:val="-104"/>
        </w:rPr>
        <w:t> </w:t>
      </w:r>
      <w:r>
        <w:rPr>
          <w:spacing w:val="-104"/>
        </w:rPr>
      </w:r>
      <w:r>
        <w:rPr/>
        <w:t>回计入当期损益。</w:t>
      </w:r>
    </w:p>
    <w:p>
      <w:pPr>
        <w:pStyle w:val="BodyText"/>
        <w:spacing w:line="304" w:lineRule="auto" w:before="185"/>
        <w:ind w:right="135" w:firstLine="480"/>
        <w:jc w:val="both"/>
      </w:pPr>
      <w:r>
        <w:rPr>
          <w:spacing w:val="-3"/>
        </w:rPr>
        <w:t>在活跃市场中没有报价且其公允价值不能可靠计量的权益工具投资，或与该</w:t>
      </w:r>
      <w:r>
        <w:rPr/>
        <w:t> </w:t>
      </w:r>
      <w:r>
        <w:rPr>
          <w:spacing w:val="-3"/>
        </w:rPr>
        <w:t>权益工具挂钩并须通过交付该权益工具结算的衍生金融资产的减值损失，不予转</w:t>
      </w:r>
      <w:r>
        <w:rPr>
          <w:spacing w:val="-104"/>
        </w:rPr>
        <w:t> </w:t>
      </w:r>
      <w:r>
        <w:rPr>
          <w:spacing w:val="-104"/>
        </w:rPr>
      </w:r>
      <w:r>
        <w:rPr/>
        <w:t>回。</w:t>
      </w:r>
    </w:p>
    <w:p>
      <w:pPr>
        <w:pStyle w:val="BodyText"/>
        <w:spacing w:line="562" w:lineRule="exact" w:before="16"/>
        <w:ind w:left="617" w:right="149"/>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 收取该金融资产现金流</w:t>
      </w:r>
    </w:p>
    <w:p>
      <w:pPr>
        <w:pStyle w:val="BodyText"/>
        <w:spacing w:line="300" w:lineRule="auto" w:before="8"/>
        <w:ind w:right="149"/>
        <w:jc w:val="left"/>
      </w:pPr>
      <w:r>
        <w:rPr/>
        <w:t>量的合同权利终止；② 该金融资产已转移，且将金融资产所有权上几乎所有的 风险和报酬转移给转入方；（</w:t>
      </w:r>
      <w:r>
        <w:rPr>
          <w:rFonts w:ascii="Times New Roman" w:hAnsi="Times New Roman" w:cs="Times New Roman" w:eastAsia="Times New Roman" w:hint="default"/>
        </w:rPr>
        <w:t>3</w:t>
      </w:r>
      <w:r>
        <w:rPr/>
        <w:t>）该金融资产已转移，虽然企业既没有转移也没 有保留金融资产所有权上几乎所有的风险和报酬，但是放弃了对该金融资产控 制。</w:t>
      </w:r>
    </w:p>
    <w:p>
      <w:pPr>
        <w:pStyle w:val="BodyText"/>
        <w:spacing w:line="304" w:lineRule="auto" w:before="190"/>
        <w:ind w:right="133" w:firstLine="480"/>
        <w:jc w:val="both"/>
      </w:pPr>
      <w:r>
        <w:rPr>
          <w:spacing w:val="-3"/>
        </w:rPr>
        <w:t>若企业既没有转移也没有保留金融资产所有权上几乎所有的风险和报酬，且</w:t>
      </w:r>
      <w:r>
        <w:rPr/>
        <w:t> </w:t>
      </w:r>
      <w:r>
        <w:rPr>
          <w:spacing w:val="-3"/>
        </w:rPr>
        <w:t>未放弃对该金融资产的控制的，则按照继续涉入所转移金融资产的程度确认有关</w:t>
      </w:r>
      <w:r>
        <w:rPr>
          <w:spacing w:val="-104"/>
        </w:rPr>
        <w:t> </w:t>
      </w:r>
      <w:r>
        <w:rPr>
          <w:spacing w:val="-104"/>
        </w:rPr>
      </w:r>
      <w:r>
        <w:rPr>
          <w:spacing w:val="-3"/>
        </w:rPr>
        <w:t>金融资产，并相应确认有关负债。继续涉入所转移金融资产的程度，是指该金融</w:t>
      </w:r>
      <w:r>
        <w:rPr>
          <w:spacing w:val="-102"/>
        </w:rPr>
        <w:t> </w:t>
      </w:r>
      <w:r>
        <w:rPr>
          <w:spacing w:val="-102"/>
        </w:rPr>
      </w:r>
      <w:r>
        <w:rPr/>
        <w:t>资产价值变动使企业面临的风险水平。</w:t>
      </w:r>
    </w:p>
    <w:p>
      <w:pPr>
        <w:pStyle w:val="BodyText"/>
        <w:spacing w:line="304" w:lineRule="auto" w:before="182"/>
        <w:ind w:right="128" w:firstLine="480"/>
        <w:jc w:val="left"/>
      </w:pPr>
      <w:r>
        <w:rPr>
          <w:spacing w:val="-3"/>
        </w:rPr>
        <w:t>金融资产整体转移满足终止确认条件的，将所转移金融资产的账面价值及因</w:t>
      </w:r>
      <w:r>
        <w:rPr/>
        <w:t> 转移而收到的对价与原计入其他综合收益的公允价值变动累计额之和的差额计 入当期损益。</w:t>
      </w:r>
    </w:p>
    <w:p>
      <w:pPr>
        <w:pStyle w:val="BodyText"/>
        <w:spacing w:line="304" w:lineRule="auto" w:before="185"/>
        <w:ind w:right="128" w:firstLine="480"/>
        <w:jc w:val="left"/>
      </w:pPr>
      <w:r>
        <w:rPr>
          <w:spacing w:val="-3"/>
        </w:rPr>
        <w:t>金融资产部分转移满足终止确认条件的，将所转移金融资产的账面价值在终</w:t>
      </w:r>
      <w:r>
        <w:rPr/>
        <w:t> </w:t>
      </w:r>
      <w:r>
        <w:rPr>
          <w:spacing w:val="-3"/>
        </w:rPr>
        <w:t>止确认及未终止确认部分之间按其相对的公允价值进行分摊，并将因转移而收到</w:t>
      </w:r>
      <w:r>
        <w:rPr>
          <w:spacing w:val="-104"/>
        </w:rPr>
        <w:t> </w:t>
      </w:r>
      <w:r>
        <w:rPr>
          <w:spacing w:val="-104"/>
        </w:rPr>
      </w:r>
      <w:r>
        <w:rPr/>
        <w:t>的对价与应分摊至终止确认部分的原计入其他综合收益的公允价值变动累计额 之和与分摊的前述账面金额之差额计入当期损益。</w:t>
      </w:r>
    </w:p>
    <w:p>
      <w:pPr>
        <w:pStyle w:val="BodyText"/>
        <w:spacing w:line="562" w:lineRule="exact" w:before="16"/>
        <w:ind w:left="617" w:right="269"/>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w:t>
      </w:r>
    </w:p>
    <w:p>
      <w:pPr>
        <w:pStyle w:val="BodyText"/>
        <w:spacing w:line="304" w:lineRule="auto" w:before="8"/>
        <w:ind w:right="133"/>
        <w:jc w:val="both"/>
      </w:pPr>
      <w:r>
        <w:rPr>
          <w:spacing w:val="-3"/>
        </w:rPr>
        <w:t>融负债和其他金融负债。初始确认金融负债，以公允价值计量。对于以公允价值</w:t>
      </w:r>
      <w:r>
        <w:rPr>
          <w:spacing w:val="-102"/>
        </w:rPr>
        <w:t> </w:t>
      </w:r>
      <w:r>
        <w:rPr>
          <w:spacing w:val="-102"/>
        </w:rPr>
      </w:r>
      <w:r>
        <w:rPr>
          <w:spacing w:val="-3"/>
        </w:rPr>
        <w:t>计量且其变动计入当期损益的金融负债，相关的交易费用直接计入当期损益，对</w:t>
      </w:r>
      <w:r>
        <w:rPr>
          <w:spacing w:val="-103"/>
        </w:rPr>
        <w:t> </w:t>
      </w:r>
      <w:r>
        <w:rPr>
          <w:spacing w:val="-103"/>
        </w:rPr>
      </w:r>
      <w:r>
        <w:rPr/>
        <w:t>于其他金融负债，相关交易费用计入初始确认金额。</w:t>
      </w:r>
    </w:p>
    <w:p>
      <w:pPr>
        <w:spacing w:after="0" w:line="304" w:lineRule="auto"/>
        <w:jc w:val="both"/>
        <w:sectPr>
          <w:pgSz w:w="11910" w:h="16840"/>
          <w:pgMar w:header="850" w:footer="979" w:top="1380" w:bottom="1160" w:left="1660" w:right="1660"/>
        </w:sectPr>
      </w:pPr>
    </w:p>
    <w:p>
      <w:pPr>
        <w:pStyle w:val="BodyText"/>
        <w:spacing w:line="240" w:lineRule="auto" w:before="93"/>
        <w:ind w:left="617" w:right="0"/>
        <w:jc w:val="left"/>
      </w:pPr>
      <w:r>
        <w:rPr/>
        <w:t>① 以公允价值计量且其变动计入当期损益的金融负债</w:t>
      </w:r>
    </w:p>
    <w:p>
      <w:pPr>
        <w:spacing w:line="240" w:lineRule="auto" w:before="1"/>
        <w:rPr>
          <w:rFonts w:ascii="宋体" w:hAnsi="宋体" w:cs="宋体" w:eastAsia="宋体" w:hint="default"/>
          <w:sz w:val="19"/>
          <w:szCs w:val="19"/>
        </w:rPr>
      </w:pPr>
    </w:p>
    <w:p>
      <w:pPr>
        <w:pStyle w:val="BodyText"/>
        <w:spacing w:line="304" w:lineRule="auto"/>
        <w:ind w:right="286" w:firstLine="480"/>
        <w:jc w:val="both"/>
      </w:pPr>
      <w:r>
        <w:rPr/>
        <w:t>分类为交易性金融负债和在初始确认时指定为以公允价值计量且其变动计 入当期损益的金融负债的条件与分类为交易性金融资产和在初始确认时指定为 以公允价值计量且其变动计入当期损益的金融资产的条件一致。</w:t>
      </w:r>
    </w:p>
    <w:p>
      <w:pPr>
        <w:pStyle w:val="BodyText"/>
        <w:spacing w:line="304" w:lineRule="auto" w:before="185"/>
        <w:ind w:right="134" w:firstLine="480"/>
        <w:jc w:val="left"/>
      </w:pPr>
      <w:r>
        <w:rPr/>
        <w:t>以公允价值计量且其变动计入当期损益的金融负债采用公允价值进行后续 </w:t>
      </w:r>
      <w:r>
        <w:rPr>
          <w:spacing w:val="-3"/>
        </w:rPr>
        <w:t>计量，公允价值的变动形成的利得或损失以及与该等金融负债相关的股利和利息</w:t>
      </w:r>
      <w:r>
        <w:rPr>
          <w:spacing w:val="-104"/>
        </w:rPr>
        <w:t> </w:t>
      </w:r>
      <w:r>
        <w:rPr>
          <w:spacing w:val="-104"/>
        </w:rPr>
      </w:r>
      <w:r>
        <w:rPr/>
        <w:t>支出计入当期损益。</w:t>
      </w:r>
    </w:p>
    <w:p>
      <w:pPr>
        <w:pStyle w:val="BodyText"/>
        <w:spacing w:line="564" w:lineRule="exact" w:before="12"/>
        <w:ind w:left="617" w:right="128"/>
        <w:jc w:val="left"/>
      </w:pPr>
      <w:r>
        <w:rPr/>
        <w:t>② 其他金融负债 </w:t>
      </w:r>
      <w:r>
        <w:rPr>
          <w:spacing w:val="-3"/>
        </w:rPr>
        <w:t>与在活跃市场中没有报价、公允价值不能可靠计量的权益工具挂钩并须通过</w:t>
      </w:r>
    </w:p>
    <w:p>
      <w:pPr>
        <w:pStyle w:val="BodyText"/>
        <w:spacing w:line="304" w:lineRule="auto" w:before="7"/>
        <w:ind w:right="133"/>
        <w:jc w:val="both"/>
      </w:pPr>
      <w:r>
        <w:rPr>
          <w:spacing w:val="-3"/>
        </w:rPr>
        <w:t>交付该权益工具结算的衍生金融负债，按照成本进行后续计量。其他金融负债采</w:t>
      </w:r>
      <w:r>
        <w:rPr>
          <w:spacing w:val="-103"/>
        </w:rPr>
        <w:t> </w:t>
      </w:r>
      <w:r>
        <w:rPr>
          <w:spacing w:val="-103"/>
        </w:rPr>
      </w:r>
      <w:r>
        <w:rPr>
          <w:spacing w:val="-3"/>
        </w:rPr>
        <w:t>用实际利率法，按摊余成本进行后续计量，终止确认或摊销产生的利得或损失计</w:t>
      </w:r>
      <w:r>
        <w:rPr>
          <w:spacing w:val="-103"/>
        </w:rPr>
        <w:t> </w:t>
      </w:r>
      <w:r>
        <w:rPr>
          <w:spacing w:val="-103"/>
        </w:rPr>
      </w:r>
      <w:r>
        <w:rPr/>
        <w:t>入当期损益。</w:t>
      </w:r>
    </w:p>
    <w:p>
      <w:pPr>
        <w:pStyle w:val="BodyText"/>
        <w:spacing w:line="562" w:lineRule="exact" w:before="16"/>
        <w:ind w:left="617" w:right="269"/>
        <w:jc w:val="left"/>
      </w:pPr>
      <w:r>
        <w:rPr/>
        <w:t>③ 财务担保合同 不属于指定为以公允价值计量且其变动计入当期损益的金融负债的财务担</w:t>
      </w:r>
    </w:p>
    <w:p>
      <w:pPr>
        <w:pStyle w:val="BodyText"/>
        <w:spacing w:line="240" w:lineRule="auto" w:before="8"/>
        <w:ind w:right="0"/>
        <w:jc w:val="both"/>
      </w:pPr>
      <w:r>
        <w:rPr/>
        <w:t>保合同，以公允价值进行初始确认，在初始确认后按照《企业会计准则第</w:t>
      </w:r>
      <w:r>
        <w:rPr>
          <w:spacing w:val="-60"/>
        </w:rPr>
        <w:t> </w:t>
      </w:r>
      <w:r>
        <w:rPr>
          <w:rFonts w:ascii="Times New Roman" w:hAnsi="Times New Roman" w:cs="Times New Roman" w:eastAsia="Times New Roman" w:hint="default"/>
        </w:rPr>
        <w:t>13 </w:t>
      </w:r>
      <w:r>
        <w:rPr/>
        <w:t>号</w:t>
      </w:r>
    </w:p>
    <w:p>
      <w:pPr>
        <w:pStyle w:val="BodyText"/>
        <w:spacing w:line="290" w:lineRule="auto" w:before="66"/>
        <w:ind w:right="166"/>
        <w:jc w:val="both"/>
      </w:pPr>
      <w:r>
        <w:rPr>
          <w:rFonts w:ascii="Times New Roman" w:hAnsi="Times New Roman" w:cs="Times New Roman" w:eastAsia="Times New Roman" w:hint="default"/>
        </w:rPr>
        <w:t>—</w:t>
      </w:r>
      <w:r>
        <w:rPr/>
        <w:t>或有事项》确定的金额和初始确认金额扣除按照《企业会计准则第</w:t>
      </w:r>
      <w:r>
        <w:rPr>
          <w:spacing w:val="-60"/>
        </w:rPr>
        <w:t> </w:t>
      </w:r>
      <w:r>
        <w:rPr>
          <w:rFonts w:ascii="Times New Roman" w:hAnsi="Times New Roman" w:cs="Times New Roman" w:eastAsia="Times New Roman" w:hint="default"/>
        </w:rPr>
        <w:t>14 </w:t>
      </w:r>
      <w:r>
        <w:rPr/>
        <w:t>号</w:t>
      </w:r>
      <w:r>
        <w:rPr>
          <w:rFonts w:ascii="Times New Roman" w:hAnsi="Times New Roman" w:cs="Times New Roman" w:eastAsia="Times New Roman" w:hint="default"/>
        </w:rPr>
        <w:t>—</w:t>
      </w:r>
      <w:r>
        <w:rPr/>
        <w:t>收 入》的原则确定的累计摊销额后的余额之中的较高者进行后续计量。</w:t>
      </w:r>
    </w:p>
    <w:p>
      <w:pPr>
        <w:pStyle w:val="BodyText"/>
        <w:spacing w:line="562" w:lineRule="exact" w:before="30"/>
        <w:ind w:left="617" w:right="128"/>
        <w:jc w:val="left"/>
      </w:pPr>
      <w:r>
        <w:rPr/>
        <w:t>（</w:t>
      </w:r>
      <w:r>
        <w:rPr>
          <w:rFonts w:ascii="Times New Roman" w:hAnsi="Times New Roman" w:cs="Times New Roman" w:eastAsia="Times New Roman" w:hint="default"/>
        </w:rPr>
        <w:t>6</w:t>
      </w:r>
      <w:r>
        <w:rPr/>
        <w:t>）金融负债的终止确认 </w:t>
      </w:r>
      <w:r>
        <w:rPr>
          <w:spacing w:val="-3"/>
        </w:rPr>
        <w:t>金融负债的现时义务全部或部分已经解除的，才能终止确认该金融负债或其</w:t>
      </w:r>
    </w:p>
    <w:p>
      <w:pPr>
        <w:pStyle w:val="BodyText"/>
        <w:spacing w:line="304" w:lineRule="auto" w:before="8"/>
        <w:ind w:right="133"/>
        <w:jc w:val="both"/>
      </w:pPr>
      <w:r>
        <w:rPr>
          <w:spacing w:val="-3"/>
        </w:rPr>
        <w:t>一部分。本公司（债务人）与债权人之间签订协议，以承担新金融负债方式替换</w:t>
      </w:r>
      <w:r>
        <w:rPr>
          <w:spacing w:val="-103"/>
        </w:rPr>
        <w:t> </w:t>
      </w:r>
      <w:r>
        <w:rPr>
          <w:spacing w:val="-103"/>
        </w:rPr>
      </w:r>
      <w:r>
        <w:rPr>
          <w:spacing w:val="-3"/>
        </w:rPr>
        <w:t>现存金融负债，且新金融负债与现存金融负债的合同条款实质上不同的，终止确</w:t>
      </w:r>
      <w:r>
        <w:rPr>
          <w:spacing w:val="-103"/>
        </w:rPr>
        <w:t> </w:t>
      </w:r>
      <w:r>
        <w:rPr>
          <w:spacing w:val="-103"/>
        </w:rPr>
      </w:r>
      <w:r>
        <w:rPr/>
        <w:t>认现存金融负债，并同时确认新金融负债。</w:t>
      </w:r>
    </w:p>
    <w:p>
      <w:pPr>
        <w:pStyle w:val="BodyText"/>
        <w:spacing w:line="240" w:lineRule="auto" w:before="185"/>
        <w:ind w:left="617" w:right="0"/>
        <w:jc w:val="left"/>
      </w:pPr>
      <w:r>
        <w:rPr>
          <w:spacing w:val="-3"/>
        </w:rPr>
        <w:t>金融负债全部或部分终止确认的，将终止确认部分的账面价值与支付的对价</w:t>
      </w:r>
    </w:p>
    <w:p>
      <w:pPr>
        <w:pStyle w:val="BodyText"/>
        <w:spacing w:line="240" w:lineRule="auto" w:before="86"/>
        <w:ind w:right="0"/>
        <w:jc w:val="both"/>
      </w:pPr>
      <w:r>
        <w:rPr/>
        <w:t>（包括转出的非现金资产或承担的新金融负债）之间的差额，计入当期损益。</w:t>
      </w:r>
    </w:p>
    <w:p>
      <w:pPr>
        <w:pStyle w:val="BodyText"/>
        <w:spacing w:line="540" w:lineRule="atLeast" w:before="39"/>
        <w:ind w:left="617" w:right="128"/>
        <w:jc w:val="left"/>
      </w:pPr>
      <w:r>
        <w:rPr/>
        <w:t>（</w:t>
      </w:r>
      <w:r>
        <w:rPr>
          <w:rFonts w:ascii="Times New Roman" w:hAnsi="Times New Roman" w:cs="Times New Roman" w:eastAsia="Times New Roman" w:hint="default"/>
        </w:rPr>
        <w:t>7</w:t>
      </w:r>
      <w:r>
        <w:rPr/>
        <w:t>）衍生工具及嵌入衍生工具 </w:t>
      </w:r>
      <w:r>
        <w:rPr>
          <w:spacing w:val="-3"/>
        </w:rPr>
        <w:t>衍生工具于相关合同签署日以公允价值进行初始计量，并以公允价值进行后</w:t>
      </w:r>
    </w:p>
    <w:p>
      <w:pPr>
        <w:pStyle w:val="BodyText"/>
        <w:spacing w:line="240" w:lineRule="auto" w:before="84"/>
        <w:ind w:right="0"/>
        <w:jc w:val="both"/>
      </w:pPr>
      <w:r>
        <w:rPr/>
        <w:t>续计量。衍生工具的公允价值变动计入当期损益。</w:t>
      </w:r>
    </w:p>
    <w:p>
      <w:pPr>
        <w:spacing w:line="240" w:lineRule="auto" w:before="1"/>
        <w:rPr>
          <w:rFonts w:ascii="宋体" w:hAnsi="宋体" w:cs="宋体" w:eastAsia="宋体" w:hint="default"/>
          <w:sz w:val="19"/>
          <w:szCs w:val="19"/>
        </w:rPr>
      </w:pPr>
    </w:p>
    <w:p>
      <w:pPr>
        <w:pStyle w:val="BodyText"/>
        <w:spacing w:line="304" w:lineRule="auto"/>
        <w:ind w:right="133" w:firstLine="480"/>
        <w:jc w:val="both"/>
      </w:pPr>
      <w:r>
        <w:rPr>
          <w:spacing w:val="-3"/>
        </w:rPr>
        <w:t>对包含嵌入衍生工具的混合工具，如未指定为以公允价值计量且其变动计入</w:t>
      </w:r>
      <w:r>
        <w:rPr/>
        <w:t> </w:t>
      </w:r>
      <w:r>
        <w:rPr>
          <w:spacing w:val="-3"/>
        </w:rPr>
        <w:t>当期损益的金融资产或金融负债，嵌入衍生工具与该主合同在经济特征及风险方</w:t>
      </w:r>
      <w:r>
        <w:rPr>
          <w:spacing w:val="-104"/>
        </w:rPr>
        <w:t> </w:t>
      </w:r>
      <w:r>
        <w:rPr>
          <w:spacing w:val="-104"/>
        </w:rPr>
      </w:r>
      <w:r>
        <w:rPr>
          <w:spacing w:val="-3"/>
        </w:rPr>
        <w:t>面不存在紧密关系，且与嵌入衍生工具条件相同，单独存在的工具符合衍生工具</w:t>
      </w:r>
    </w:p>
    <w:p>
      <w:pPr>
        <w:spacing w:after="0" w:line="304" w:lineRule="auto"/>
        <w:jc w:val="both"/>
        <w:sectPr>
          <w:footerReference w:type="default" r:id="rId34"/>
          <w:pgSz w:w="11910" w:h="16840"/>
          <w:pgMar w:footer="979" w:header="850" w:top="1380" w:bottom="1160" w:left="1660" w:right="1660"/>
          <w:pgNumType w:start="85"/>
        </w:sectPr>
      </w:pPr>
    </w:p>
    <w:p>
      <w:pPr>
        <w:pStyle w:val="BodyText"/>
        <w:spacing w:line="304" w:lineRule="auto" w:before="93"/>
        <w:ind w:right="233"/>
        <w:jc w:val="both"/>
      </w:pPr>
      <w:r>
        <w:rPr>
          <w:spacing w:val="-3"/>
        </w:rPr>
        <w:t>定义的，嵌入衍生工具从混合工具中分拆，作为单独的衍生金融工具处理。如果</w:t>
      </w:r>
      <w:r>
        <w:rPr>
          <w:spacing w:val="-102"/>
        </w:rPr>
        <w:t> </w:t>
      </w:r>
      <w:r>
        <w:rPr>
          <w:spacing w:val="-102"/>
        </w:rPr>
      </w:r>
      <w:r>
        <w:rPr>
          <w:spacing w:val="-3"/>
        </w:rPr>
        <w:t>无法在取得时或后续的资产负债表日对嵌入衍生工具进行单独计量，则将混合工</w:t>
      </w:r>
      <w:r>
        <w:rPr>
          <w:spacing w:val="-104"/>
        </w:rPr>
        <w:t> </w:t>
      </w:r>
      <w:r>
        <w:rPr>
          <w:spacing w:val="-104"/>
        </w:rPr>
      </w:r>
      <w:r>
        <w:rPr/>
        <w:t>具整体指定为以公允价值计量且其变动计入当期损益的金融资产或金融负债。</w:t>
      </w:r>
    </w:p>
    <w:p>
      <w:pPr>
        <w:pStyle w:val="BodyText"/>
        <w:spacing w:line="564" w:lineRule="exact" w:before="14"/>
        <w:ind w:left="617" w:right="228"/>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w:t>
      </w:r>
    </w:p>
    <w:p>
      <w:pPr>
        <w:pStyle w:val="BodyText"/>
        <w:spacing w:line="304" w:lineRule="auto" w:before="5"/>
        <w:ind w:right="105"/>
        <w:jc w:val="left"/>
      </w:pPr>
      <w:r>
        <w:rPr>
          <w:spacing w:val="-3"/>
        </w:rPr>
        <w:t>种法定权利，同时本公司计划以净额结算或同时变现该金融资产和清偿该金融负</w:t>
      </w:r>
      <w:r>
        <w:rPr>
          <w:spacing w:val="-104"/>
        </w:rPr>
        <w:t> </w:t>
      </w:r>
      <w:r>
        <w:rPr>
          <w:spacing w:val="-104"/>
        </w:rPr>
      </w:r>
      <w:r>
        <w:rPr>
          <w:spacing w:val="-6"/>
        </w:rPr>
        <w:t>债时，金融资产和金融负债以相互抵销后的金额在资产负债表内列示。除此以外，</w:t>
      </w:r>
      <w:r>
        <w:rPr>
          <w:spacing w:val="-112"/>
        </w:rPr>
        <w:t> </w:t>
      </w:r>
      <w:r>
        <w:rPr>
          <w:spacing w:val="-112"/>
        </w:rPr>
      </w:r>
      <w:r>
        <w:rPr/>
        <w:t>金融资产和金融负债在资产负债表内分别列示，不予相互抵销。</w:t>
      </w:r>
    </w:p>
    <w:p>
      <w:pPr>
        <w:pStyle w:val="BodyText"/>
        <w:spacing w:line="564" w:lineRule="exact" w:before="14"/>
        <w:ind w:left="617" w:right="369"/>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w:t>
      </w:r>
    </w:p>
    <w:p>
      <w:pPr>
        <w:pStyle w:val="BodyText"/>
        <w:spacing w:line="240" w:lineRule="auto" w:before="5"/>
        <w:ind w:right="111"/>
        <w:jc w:val="left"/>
      </w:pPr>
      <w:r>
        <w:rPr/>
        <w:t>合同。权益工具，在发行时收到的对价扣除交易费用后增加所有者权益。</w:t>
      </w:r>
    </w:p>
    <w:p>
      <w:pPr>
        <w:spacing w:line="240" w:lineRule="auto" w:before="1"/>
        <w:rPr>
          <w:rFonts w:ascii="宋体" w:hAnsi="宋体" w:cs="宋体" w:eastAsia="宋体" w:hint="default"/>
          <w:sz w:val="19"/>
          <w:szCs w:val="19"/>
        </w:rPr>
      </w:pPr>
    </w:p>
    <w:p>
      <w:pPr>
        <w:pStyle w:val="BodyText"/>
        <w:spacing w:line="307" w:lineRule="auto"/>
        <w:ind w:right="111" w:firstLine="480"/>
        <w:jc w:val="left"/>
      </w:pPr>
      <w:r>
        <w:rPr>
          <w:spacing w:val="-7"/>
        </w:rPr>
        <w:t>本公司对权益工具持有方的各种分配（不包括股票股利），减少所有者权益。</w:t>
      </w:r>
      <w:r>
        <w:rPr/>
        <w:t> 本公司不确认权益工具的公允价值变动额。</w:t>
      </w:r>
    </w:p>
    <w:p>
      <w:pPr>
        <w:spacing w:line="408" w:lineRule="auto" w:before="180"/>
        <w:ind w:left="617" w:right="372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、应收款项</w:t>
      </w:r>
      <w:r>
        <w:rPr>
          <w:rFonts w:ascii="宋体" w:hAnsi="宋体" w:cs="宋体" w:eastAsia="宋体" w:hint="default"/>
          <w:b/>
          <w:bCs/>
          <w:w w:val="99"/>
          <w:sz w:val="24"/>
          <w:szCs w:val="24"/>
        </w:rPr>
        <w:t> </w:t>
      </w:r>
      <w:r>
        <w:rPr>
          <w:rFonts w:ascii="宋体" w:hAnsi="宋体" w:cs="宋体" w:eastAsia="宋体" w:hint="default"/>
          <w:sz w:val="24"/>
          <w:szCs w:val="24"/>
        </w:rPr>
        <w:t>应收款项包括应收账款、其他应收款等。</w:t>
      </w:r>
    </w:p>
    <w:p>
      <w:pPr>
        <w:pStyle w:val="BodyText"/>
        <w:spacing w:line="240" w:lineRule="auto" w:before="79"/>
        <w:ind w:left="617" w:right="111"/>
        <w:jc w:val="left"/>
      </w:pPr>
      <w:r>
        <w:rPr/>
        <w:t>（</w:t>
      </w:r>
      <w:r>
        <w:rPr>
          <w:rFonts w:ascii="Times New Roman" w:hAnsi="Times New Roman" w:cs="Times New Roman" w:eastAsia="Times New Roman" w:hint="default"/>
        </w:rPr>
        <w:t>1</w:t>
      </w:r>
      <w:r>
        <w:rPr/>
        <w:t>）坏账准备的确认标准</w:t>
      </w:r>
    </w:p>
    <w:p>
      <w:pPr>
        <w:spacing w:line="240" w:lineRule="auto" w:before="9"/>
        <w:rPr>
          <w:rFonts w:ascii="宋体" w:hAnsi="宋体" w:cs="宋体" w:eastAsia="宋体" w:hint="default"/>
          <w:sz w:val="17"/>
          <w:szCs w:val="17"/>
        </w:rPr>
      </w:pPr>
    </w:p>
    <w:p>
      <w:pPr>
        <w:pStyle w:val="BodyText"/>
        <w:spacing w:line="304" w:lineRule="auto"/>
        <w:ind w:right="233" w:firstLine="480"/>
        <w:jc w:val="both"/>
      </w:pPr>
      <w:r>
        <w:rPr>
          <w:spacing w:val="-3"/>
        </w:rPr>
        <w:t>本公司在资产负债表日对应收款项账面价值进行检查，对存在下列客观证据</w:t>
      </w:r>
      <w:r>
        <w:rPr/>
        <w:t> </w:t>
      </w:r>
      <w:r>
        <w:rPr>
          <w:spacing w:val="-3"/>
        </w:rPr>
        <w:t>表明应收款项发生减值的，计提减值准备：①债务人发生严重的财务困难；②债</w:t>
      </w:r>
      <w:r>
        <w:rPr>
          <w:spacing w:val="-102"/>
        </w:rPr>
        <w:t> </w:t>
      </w:r>
      <w:r>
        <w:rPr>
          <w:spacing w:val="-102"/>
        </w:rPr>
      </w:r>
      <w:r>
        <w:rPr/>
        <w:t>务人违反合同条款（如偿付利息或本金发生违约或逾期等）； ③债务人很可能 倒闭或进行其他财务重组； ④其他表明应收款项发生减值的客观依据。</w:t>
      </w:r>
    </w:p>
    <w:p>
      <w:pPr>
        <w:pStyle w:val="BodyText"/>
        <w:spacing w:line="240" w:lineRule="auto" w:before="185"/>
        <w:ind w:left="617" w:right="111"/>
        <w:jc w:val="left"/>
      </w:pPr>
      <w:r>
        <w:rPr/>
        <w:t>（</w:t>
      </w:r>
      <w:r>
        <w:rPr>
          <w:rFonts w:ascii="Times New Roman" w:hAnsi="Times New Roman" w:cs="Times New Roman" w:eastAsia="Times New Roman" w:hint="default"/>
        </w:rPr>
        <w:t>2</w:t>
      </w:r>
      <w:r>
        <w:rPr/>
        <w:t>）坏账准备的计提方法</w:t>
      </w:r>
    </w:p>
    <w:p>
      <w:pPr>
        <w:spacing w:line="240" w:lineRule="auto" w:before="7"/>
        <w:rPr>
          <w:rFonts w:ascii="宋体" w:hAnsi="宋体" w:cs="宋体" w:eastAsia="宋体" w:hint="default"/>
          <w:sz w:val="17"/>
          <w:szCs w:val="17"/>
        </w:rPr>
      </w:pPr>
    </w:p>
    <w:p>
      <w:pPr>
        <w:pStyle w:val="BodyText"/>
        <w:spacing w:line="307" w:lineRule="auto"/>
        <w:ind w:right="266" w:firstLine="480"/>
        <w:jc w:val="both"/>
      </w:pPr>
      <w:r>
        <w:rPr/>
        <w:t>① 单项金额重大并单项计提坏账准备的应收款项坏账准备的确认标准、计 提方法</w:t>
      </w:r>
    </w:p>
    <w:p>
      <w:pPr>
        <w:pStyle w:val="BodyText"/>
        <w:spacing w:line="290" w:lineRule="auto" w:before="180"/>
        <w:ind w:right="247" w:firstLine="480"/>
        <w:jc w:val="both"/>
      </w:pPr>
      <w:r>
        <w:rPr/>
        <w:t>本公司将金额为人民币</w:t>
      </w:r>
      <w:r>
        <w:rPr>
          <w:spacing w:val="-61"/>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万元以上、比例占应收款项账面余额</w:t>
      </w:r>
      <w:r>
        <w:rPr>
          <w:spacing w:val="-61"/>
        </w:rPr>
        <w:t> </w:t>
      </w:r>
      <w:r>
        <w:rPr>
          <w:rFonts w:ascii="Times New Roman" w:hAnsi="Times New Roman" w:cs="Times New Roman" w:eastAsia="Times New Roman" w:hint="default"/>
        </w:rPr>
        <w:t>10%</w:t>
      </w:r>
      <w:r>
        <w:rPr/>
        <w:t>以上的 应收款项确认为单项金额重大的应收款项。</w:t>
      </w:r>
    </w:p>
    <w:p>
      <w:pPr>
        <w:pStyle w:val="BodyText"/>
        <w:spacing w:line="304" w:lineRule="auto" w:before="199"/>
        <w:ind w:right="233" w:firstLine="480"/>
        <w:jc w:val="both"/>
      </w:pPr>
      <w:r>
        <w:rPr>
          <w:spacing w:val="-3"/>
        </w:rPr>
        <w:t>本公司对单项金额重大的应收款项单独进行减值测试，单独测试未发生减值</w:t>
      </w:r>
      <w:r>
        <w:rPr/>
        <w:t> </w:t>
      </w:r>
      <w:r>
        <w:rPr>
          <w:spacing w:val="-3"/>
        </w:rPr>
        <w:t>的金融资产，包括在具有类似信用风险特征的金融资产组合中进行减值测试。单</w:t>
      </w:r>
      <w:r>
        <w:rPr>
          <w:spacing w:val="-103"/>
        </w:rPr>
        <w:t> </w:t>
      </w:r>
      <w:r>
        <w:rPr>
          <w:spacing w:val="-103"/>
        </w:rPr>
      </w:r>
      <w:r>
        <w:rPr>
          <w:spacing w:val="-3"/>
        </w:rPr>
        <w:t>项测试已确认减值损失的应收款项，不再包括在具有类似信用风险特征的应收款</w:t>
      </w:r>
      <w:r>
        <w:rPr>
          <w:spacing w:val="-104"/>
        </w:rPr>
        <w:t> </w:t>
      </w:r>
      <w:r>
        <w:rPr>
          <w:spacing w:val="-104"/>
        </w:rPr>
      </w:r>
      <w:r>
        <w:rPr/>
        <w:t>项组合中进行减值测试。</w:t>
      </w:r>
    </w:p>
    <w:p>
      <w:pPr>
        <w:spacing w:after="0" w:line="304" w:lineRule="auto"/>
        <w:jc w:val="both"/>
        <w:sectPr>
          <w:pgSz w:w="11910" w:h="16840"/>
          <w:pgMar w:header="850" w:footer="979" w:top="1380" w:bottom="1160" w:left="1660" w:right="1560"/>
        </w:sectPr>
      </w:pPr>
    </w:p>
    <w:p>
      <w:pPr>
        <w:pStyle w:val="BodyText"/>
        <w:spacing w:line="307" w:lineRule="auto" w:before="93"/>
        <w:ind w:left="597" w:right="609" w:firstLine="480"/>
        <w:jc w:val="left"/>
      </w:pPr>
      <w:r>
        <w:rPr/>
        <w:t>② 单项金额不重大但按信用风险特征组合后该组合的风险较大的应收款项 坏账准备的确定依据、计提方法</w:t>
      </w:r>
    </w:p>
    <w:p>
      <w:pPr>
        <w:pStyle w:val="BodyText"/>
        <w:spacing w:line="564" w:lineRule="exact" w:before="9"/>
        <w:ind w:left="1077" w:right="489"/>
        <w:jc w:val="left"/>
      </w:pPr>
      <w:r>
        <w:rPr>
          <w:rFonts w:ascii="Times New Roman" w:hAnsi="Times New Roman" w:cs="Times New Roman" w:eastAsia="Times New Roman" w:hint="default"/>
        </w:rPr>
        <w:t>A</w:t>
      </w:r>
      <w:r>
        <w:rPr/>
        <w:t>．信用风险特征组合的确定依据 本公司对单项金额不重大以及金额重大但单项测试未发生减值的应收款项，</w:t>
      </w:r>
    </w:p>
    <w:p>
      <w:pPr>
        <w:pStyle w:val="BodyText"/>
        <w:spacing w:line="307" w:lineRule="auto" w:before="5"/>
        <w:ind w:left="597" w:right="595"/>
        <w:jc w:val="both"/>
      </w:pPr>
      <w:r>
        <w:rPr>
          <w:spacing w:val="-3"/>
        </w:rPr>
        <w:t>按信用风险特征的相似性和相关性对金融资产进行分组。这些信用风险通常反映</w:t>
      </w:r>
      <w:r>
        <w:rPr>
          <w:spacing w:val="-104"/>
        </w:rPr>
        <w:t> </w:t>
      </w:r>
      <w:r>
        <w:rPr>
          <w:spacing w:val="-104"/>
        </w:rPr>
      </w:r>
      <w:r>
        <w:rPr>
          <w:spacing w:val="-3"/>
        </w:rPr>
        <w:t>债务人按照该等资产的合同条款偿还所有到期金额的能力，并且与被检查资产的</w:t>
      </w:r>
      <w:r>
        <w:rPr>
          <w:spacing w:val="-104"/>
        </w:rPr>
        <w:t> </w:t>
      </w:r>
      <w:r>
        <w:rPr>
          <w:spacing w:val="-104"/>
        </w:rPr>
      </w:r>
      <w:r>
        <w:rPr/>
        <w:t>未来现金流量测算相关。</w:t>
      </w:r>
    </w:p>
    <w:p>
      <w:pPr>
        <w:pStyle w:val="BodyText"/>
        <w:spacing w:line="240" w:lineRule="auto" w:before="180"/>
        <w:ind w:left="1077" w:right="609"/>
        <w:jc w:val="left"/>
      </w:pPr>
      <w:r>
        <w:rPr/>
        <w:t>不同组合的确定依据：</w:t>
      </w:r>
    </w:p>
    <w:p>
      <w:pPr>
        <w:spacing w:line="240" w:lineRule="auto" w:before="6"/>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218"/>
        <w:gridCol w:w="235"/>
        <w:gridCol w:w="5832"/>
      </w:tblGrid>
      <w:tr>
        <w:trPr>
          <w:trHeight w:val="288" w:hRule="exact"/>
        </w:trPr>
        <w:tc>
          <w:tcPr>
            <w:tcW w:w="3218"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583" w:hRule="exact"/>
        </w:trPr>
        <w:tc>
          <w:tcPr>
            <w:tcW w:w="3218"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08"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下同</w:t>
            </w:r>
            <w:r>
              <w:rPr>
                <w:rFonts w:ascii="Times New Roman" w:hAnsi="Times New Roman" w:cs="Times New Roman" w:eastAsia="Times New Roman" w:hint="default"/>
                <w:sz w:val="24"/>
                <w:szCs w:val="24"/>
              </w:rPr>
              <w:t>)</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88" w:hRule="exact"/>
        </w:trPr>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88" w:hRule="exact"/>
        </w:trPr>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90" w:hRule="exact"/>
        </w:trPr>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90" w:hRule="exact"/>
        </w:trPr>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371" w:hRule="exact"/>
        </w:trPr>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235" w:type="dxa"/>
            <w:tcBorders>
              <w:top w:val="nil" w:sz="6" w:space="0" w:color="auto"/>
              <w:left w:val="nil" w:sz="6" w:space="0" w:color="auto"/>
              <w:bottom w:val="nil" w:sz="6" w:space="0" w:color="auto"/>
              <w:right w:val="nil" w:sz="6" w:space="0" w:color="auto"/>
            </w:tcBorders>
          </w:tcPr>
          <w:p>
            <w:pPr/>
          </w:p>
        </w:tc>
        <w:tc>
          <w:tcPr>
            <w:tcW w:w="58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bl>
    <w:p>
      <w:pPr>
        <w:spacing w:line="240" w:lineRule="auto" w:before="7"/>
        <w:rPr>
          <w:rFonts w:ascii="宋体" w:hAnsi="宋体" w:cs="宋体" w:eastAsia="宋体" w:hint="default"/>
          <w:sz w:val="15"/>
          <w:szCs w:val="15"/>
        </w:rPr>
      </w:pPr>
    </w:p>
    <w:p>
      <w:pPr>
        <w:pStyle w:val="BodyText"/>
        <w:spacing w:line="240" w:lineRule="auto" w:before="26"/>
        <w:ind w:left="1077" w:right="609"/>
        <w:jc w:val="left"/>
      </w:pPr>
      <w:r>
        <w:rPr>
          <w:rFonts w:ascii="Times New Roman" w:hAnsi="Times New Roman" w:cs="Times New Roman" w:eastAsia="Times New Roman" w:hint="default"/>
        </w:rPr>
        <w:t>B</w:t>
      </w:r>
      <w:r>
        <w:rPr/>
        <w:t>．根据信用风险特征组合确定的坏账准备计提方法</w:t>
      </w:r>
    </w:p>
    <w:p>
      <w:pPr>
        <w:spacing w:line="240" w:lineRule="auto" w:before="9"/>
        <w:rPr>
          <w:rFonts w:ascii="宋体" w:hAnsi="宋体" w:cs="宋体" w:eastAsia="宋体" w:hint="default"/>
          <w:sz w:val="17"/>
          <w:szCs w:val="17"/>
        </w:rPr>
      </w:pPr>
    </w:p>
    <w:p>
      <w:pPr>
        <w:pStyle w:val="BodyText"/>
        <w:spacing w:line="304" w:lineRule="auto"/>
        <w:ind w:left="597" w:right="593" w:firstLine="480"/>
        <w:jc w:val="both"/>
      </w:pPr>
      <w:r>
        <w:rPr>
          <w:spacing w:val="-3"/>
        </w:rPr>
        <w:t>按组合方式实施减值测试时，坏账准备金额系根据应收款项组合结构及类似</w:t>
      </w:r>
      <w:r>
        <w:rPr/>
        <w:t> </w:t>
      </w:r>
      <w:r>
        <w:rPr>
          <w:spacing w:val="-3"/>
        </w:rPr>
        <w:t>信用风险特征（债务人根据合同条款偿还欠款的能力）按历史损失经验及目前经</w:t>
      </w:r>
      <w:r>
        <w:rPr>
          <w:spacing w:val="-103"/>
        </w:rPr>
        <w:t> </w:t>
      </w:r>
      <w:r>
        <w:rPr>
          <w:spacing w:val="-103"/>
        </w:rPr>
      </w:r>
      <w:r>
        <w:rPr/>
        <w:t>济状况与预计应收款项组合中已经存在的损失评估确定。</w:t>
      </w:r>
    </w:p>
    <w:p>
      <w:pPr>
        <w:pStyle w:val="BodyText"/>
        <w:spacing w:line="240" w:lineRule="auto" w:before="185"/>
        <w:ind w:left="1077" w:right="609"/>
        <w:jc w:val="left"/>
      </w:pPr>
      <w:r>
        <w:rPr/>
        <w:t>不同组合计提坏账准备的计提方法：</w:t>
      </w:r>
    </w:p>
    <w:p>
      <w:pPr>
        <w:spacing w:line="240" w:lineRule="auto" w:before="6"/>
        <w:rPr>
          <w:rFonts w:ascii="宋体" w:hAnsi="宋体" w:cs="宋体" w:eastAsia="宋体" w:hint="default"/>
          <w:sz w:val="19"/>
          <w:szCs w:val="19"/>
        </w:rPr>
      </w:pPr>
    </w:p>
    <w:tbl>
      <w:tblPr>
        <w:tblW w:w="0" w:type="auto"/>
        <w:jc w:val="left"/>
        <w:tblInd w:w="271" w:type="dxa"/>
        <w:tblLayout w:type="fixed"/>
        <w:tblCellMar>
          <w:top w:w="0" w:type="dxa"/>
          <w:left w:w="0" w:type="dxa"/>
          <w:bottom w:w="0" w:type="dxa"/>
          <w:right w:w="0" w:type="dxa"/>
        </w:tblCellMar>
        <w:tblLook w:val="01E0"/>
      </w:tblPr>
      <w:tblGrid>
        <w:gridCol w:w="3216"/>
        <w:gridCol w:w="238"/>
        <w:gridCol w:w="5510"/>
      </w:tblGrid>
      <w:tr>
        <w:trPr>
          <w:trHeight w:val="285" w:hRule="exact"/>
        </w:trPr>
        <w:tc>
          <w:tcPr>
            <w:tcW w:w="3216"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583" w:hRule="exact"/>
        </w:trPr>
        <w:tc>
          <w:tcPr>
            <w:tcW w:w="321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0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下同</w:t>
            </w:r>
            <w:r>
              <w:rPr>
                <w:rFonts w:ascii="Times New Roman" w:hAnsi="Times New Roman" w:cs="Times New Roman" w:eastAsia="Times New Roman" w:hint="default"/>
                <w:sz w:val="24"/>
                <w:szCs w:val="24"/>
              </w:rPr>
              <w:t>)</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9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9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8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48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r>
        <w:trPr>
          <w:trHeight w:val="371"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238" w:type="dxa"/>
            <w:tcBorders>
              <w:top w:val="nil" w:sz="6" w:space="0" w:color="auto"/>
              <w:left w:val="nil" w:sz="6" w:space="0" w:color="auto"/>
              <w:bottom w:val="nil" w:sz="6" w:space="0" w:color="auto"/>
              <w:right w:val="nil" w:sz="6" w:space="0" w:color="auto"/>
            </w:tcBorders>
          </w:tcPr>
          <w:p>
            <w:pPr/>
          </w:p>
        </w:tc>
        <w:tc>
          <w:tcPr>
            <w:tcW w:w="5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24"/>
                <w:szCs w:val="24"/>
              </w:rPr>
            </w:pPr>
            <w:r>
              <w:rPr>
                <w:rFonts w:ascii="宋体" w:hAnsi="宋体" w:cs="宋体" w:eastAsia="宋体" w:hint="default"/>
                <w:sz w:val="24"/>
                <w:szCs w:val="24"/>
              </w:rPr>
              <w:t>根据账龄分析</w:t>
            </w:r>
          </w:p>
        </w:tc>
      </w:tr>
    </w:tbl>
    <w:p>
      <w:pPr>
        <w:spacing w:line="240" w:lineRule="auto" w:before="7"/>
        <w:rPr>
          <w:rFonts w:ascii="宋体" w:hAnsi="宋体" w:cs="宋体" w:eastAsia="宋体" w:hint="default"/>
          <w:sz w:val="13"/>
          <w:szCs w:val="13"/>
        </w:rPr>
      </w:pPr>
    </w:p>
    <w:p>
      <w:pPr>
        <w:pStyle w:val="BodyText"/>
        <w:spacing w:line="240" w:lineRule="auto" w:before="26"/>
        <w:ind w:left="1079" w:right="609"/>
        <w:jc w:val="left"/>
      </w:pPr>
      <w:r>
        <w:rPr/>
        <w:t>采用账龄分析法计提坏账准备的组合计提方法</w:t>
      </w:r>
    </w:p>
    <w:p>
      <w:pPr>
        <w:spacing w:after="0" w:line="240" w:lineRule="auto"/>
        <w:jc w:val="left"/>
        <w:sectPr>
          <w:pgSz w:w="11910" w:h="16840"/>
          <w:pgMar w:header="850" w:footer="979" w:top="1380" w:bottom="1160" w:left="1200" w:right="1200"/>
        </w:sectPr>
      </w:pPr>
    </w:p>
    <w:tbl>
      <w:tblPr>
        <w:tblW w:w="0" w:type="auto"/>
        <w:jc w:val="left"/>
        <w:tblInd w:w="111" w:type="dxa"/>
        <w:tblLayout w:type="fixed"/>
        <w:tblCellMar>
          <w:top w:w="0" w:type="dxa"/>
          <w:left w:w="0" w:type="dxa"/>
          <w:bottom w:w="0" w:type="dxa"/>
          <w:right w:w="0" w:type="dxa"/>
        </w:tblCellMar>
        <w:tblLook w:val="01E0"/>
      </w:tblPr>
      <w:tblGrid>
        <w:gridCol w:w="3216"/>
        <w:gridCol w:w="238"/>
        <w:gridCol w:w="5213"/>
        <w:gridCol w:w="298"/>
      </w:tblGrid>
      <w:tr>
        <w:trPr>
          <w:trHeight w:val="523" w:hRule="exact"/>
        </w:trPr>
        <w:tc>
          <w:tcPr>
            <w:tcW w:w="3216" w:type="dxa"/>
            <w:tcBorders>
              <w:top w:val="single" w:sz="6" w:space="0" w:color="000000"/>
              <w:left w:val="nil" w:sz="6" w:space="0" w:color="auto"/>
              <w:bottom w:val="single" w:sz="4" w:space="0" w:color="000000"/>
              <w:right w:val="nil" w:sz="6" w:space="0" w:color="auto"/>
            </w:tcBorders>
          </w:tcPr>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238" w:type="dxa"/>
            <w:tcBorders>
              <w:top w:val="single" w:sz="6" w:space="0" w:color="000000"/>
              <w:left w:val="nil" w:sz="6" w:space="0" w:color="auto"/>
              <w:bottom w:val="nil" w:sz="6" w:space="0" w:color="auto"/>
              <w:right w:val="nil" w:sz="6" w:space="0" w:color="auto"/>
            </w:tcBorders>
          </w:tcPr>
          <w:p>
            <w:pPr/>
          </w:p>
        </w:tc>
        <w:tc>
          <w:tcPr>
            <w:tcW w:w="5213" w:type="dxa"/>
            <w:tcBorders>
              <w:top w:val="single" w:sz="6" w:space="0" w:color="000000"/>
              <w:left w:val="nil" w:sz="6" w:space="0" w:color="auto"/>
              <w:bottom w:val="single" w:sz="4" w:space="0" w:color="000000"/>
              <w:right w:val="nil" w:sz="6" w:space="0" w:color="auto"/>
            </w:tcBorders>
          </w:tcPr>
          <w:p>
            <w:pPr>
              <w:pStyle w:val="TableParagraph"/>
              <w:spacing w:line="240" w:lineRule="auto" w:before="154"/>
              <w:ind w:left="297" w:right="0"/>
              <w:jc w:val="center"/>
              <w:rPr>
                <w:rFonts w:ascii="宋体" w:hAnsi="宋体" w:cs="宋体" w:eastAsia="宋体" w:hint="default"/>
                <w:sz w:val="24"/>
                <w:szCs w:val="24"/>
              </w:rPr>
            </w:pPr>
            <w:r>
              <w:rPr>
                <w:rFonts w:ascii="宋体" w:hAnsi="宋体" w:cs="宋体" w:eastAsia="宋体" w:hint="default"/>
                <w:sz w:val="24"/>
                <w:szCs w:val="24"/>
              </w:rPr>
              <w:t>计提比例</w:t>
            </w:r>
          </w:p>
        </w:tc>
        <w:tc>
          <w:tcPr>
            <w:tcW w:w="298" w:type="dxa"/>
            <w:tcBorders>
              <w:top w:val="nil" w:sz="6" w:space="0" w:color="auto"/>
              <w:left w:val="nil" w:sz="6" w:space="0" w:color="auto"/>
              <w:bottom w:val="single" w:sz="4" w:space="0" w:color="000000"/>
              <w:right w:val="nil" w:sz="6" w:space="0" w:color="auto"/>
            </w:tcBorders>
          </w:tcPr>
          <w:p>
            <w:pPr/>
          </w:p>
        </w:tc>
      </w:tr>
      <w:tr>
        <w:trPr>
          <w:trHeight w:val="583" w:hRule="exact"/>
        </w:trPr>
        <w:tc>
          <w:tcPr>
            <w:tcW w:w="321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107"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下同</w:t>
            </w:r>
            <w:r>
              <w:rPr>
                <w:rFonts w:ascii="Times New Roman" w:hAnsi="Times New Roman" w:cs="Times New Roman" w:eastAsia="Times New Roman" w:hint="default"/>
                <w:sz w:val="24"/>
                <w:szCs w:val="24"/>
              </w:rPr>
              <w:t>)</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single" w:sz="4" w:space="0" w:color="000000"/>
              <w:left w:val="nil" w:sz="6" w:space="0" w:color="auto"/>
              <w:bottom w:val="nil" w:sz="6" w:space="0" w:color="auto"/>
              <w:right w:val="nil" w:sz="6" w:space="0" w:color="auto"/>
            </w:tcBorders>
          </w:tcPr>
          <w:p>
            <w:pPr>
              <w:pStyle w:val="TableParagraph"/>
              <w:spacing w:line="240" w:lineRule="auto" w:before="186"/>
              <w:ind w:left="295" w:right="0"/>
              <w:jc w:val="center"/>
              <w:rPr>
                <w:rFonts w:ascii="Times New Roman" w:hAnsi="Times New Roman" w:cs="Times New Roman" w:eastAsia="Times New Roman" w:hint="default"/>
                <w:sz w:val="24"/>
                <w:szCs w:val="24"/>
              </w:rPr>
            </w:pPr>
            <w:r>
              <w:rPr>
                <w:rFonts w:ascii="Times New Roman"/>
                <w:sz w:val="24"/>
              </w:rPr>
              <w:t>5%</w:t>
            </w:r>
          </w:p>
        </w:tc>
        <w:tc>
          <w:tcPr>
            <w:tcW w:w="298" w:type="dxa"/>
            <w:tcBorders>
              <w:top w:val="single" w:sz="4" w:space="0" w:color="000000"/>
              <w:left w:val="nil" w:sz="6" w:space="0" w:color="auto"/>
              <w:bottom w:val="nil" w:sz="6" w:space="0" w:color="auto"/>
              <w:right w:val="nil" w:sz="6" w:space="0" w:color="auto"/>
            </w:tcBorders>
          </w:tcPr>
          <w:p>
            <w:pPr/>
          </w:p>
        </w:tc>
      </w:tr>
      <w:tr>
        <w:trPr>
          <w:trHeight w:val="48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5" w:right="0"/>
              <w:jc w:val="center"/>
              <w:rPr>
                <w:rFonts w:ascii="Times New Roman" w:hAnsi="Times New Roman" w:cs="Times New Roman" w:eastAsia="Times New Roman" w:hint="default"/>
                <w:sz w:val="24"/>
                <w:szCs w:val="24"/>
              </w:rPr>
            </w:pPr>
            <w:r>
              <w:rPr>
                <w:rFonts w:ascii="Times New Roman"/>
                <w:sz w:val="24"/>
              </w:rPr>
              <w:t>10%</w:t>
            </w:r>
          </w:p>
        </w:tc>
        <w:tc>
          <w:tcPr>
            <w:tcW w:w="298" w:type="dxa"/>
            <w:tcBorders>
              <w:top w:val="nil" w:sz="6" w:space="0" w:color="auto"/>
              <w:left w:val="nil" w:sz="6" w:space="0" w:color="auto"/>
              <w:bottom w:val="nil" w:sz="6" w:space="0" w:color="auto"/>
              <w:right w:val="nil" w:sz="6" w:space="0" w:color="auto"/>
            </w:tcBorders>
          </w:tcPr>
          <w:p>
            <w:pPr/>
          </w:p>
        </w:tc>
      </w:tr>
      <w:tr>
        <w:trPr>
          <w:trHeight w:val="48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95" w:right="0"/>
              <w:jc w:val="center"/>
              <w:rPr>
                <w:rFonts w:ascii="Times New Roman" w:hAnsi="Times New Roman" w:cs="Times New Roman" w:eastAsia="Times New Roman" w:hint="default"/>
                <w:sz w:val="24"/>
                <w:szCs w:val="24"/>
              </w:rPr>
            </w:pPr>
            <w:r>
              <w:rPr>
                <w:rFonts w:ascii="Times New Roman"/>
                <w:sz w:val="24"/>
              </w:rPr>
              <w:t>30%</w:t>
            </w:r>
          </w:p>
        </w:tc>
        <w:tc>
          <w:tcPr>
            <w:tcW w:w="298" w:type="dxa"/>
            <w:tcBorders>
              <w:top w:val="nil" w:sz="6" w:space="0" w:color="auto"/>
              <w:left w:val="nil" w:sz="6" w:space="0" w:color="auto"/>
              <w:bottom w:val="nil" w:sz="6" w:space="0" w:color="auto"/>
              <w:right w:val="nil" w:sz="6" w:space="0" w:color="auto"/>
            </w:tcBorders>
          </w:tcPr>
          <w:p>
            <w:pPr/>
          </w:p>
        </w:tc>
      </w:tr>
      <w:tr>
        <w:trPr>
          <w:trHeight w:val="49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5" w:right="0"/>
              <w:jc w:val="center"/>
              <w:rPr>
                <w:rFonts w:ascii="Times New Roman" w:hAnsi="Times New Roman" w:cs="Times New Roman" w:eastAsia="Times New Roman" w:hint="default"/>
                <w:sz w:val="24"/>
                <w:szCs w:val="24"/>
              </w:rPr>
            </w:pPr>
            <w:r>
              <w:rPr>
                <w:rFonts w:ascii="Times New Roman"/>
                <w:sz w:val="24"/>
              </w:rPr>
              <w:t>50%</w:t>
            </w:r>
          </w:p>
        </w:tc>
        <w:tc>
          <w:tcPr>
            <w:tcW w:w="298" w:type="dxa"/>
            <w:tcBorders>
              <w:top w:val="nil" w:sz="6" w:space="0" w:color="auto"/>
              <w:left w:val="nil" w:sz="6" w:space="0" w:color="auto"/>
              <w:bottom w:val="nil" w:sz="6" w:space="0" w:color="auto"/>
              <w:right w:val="nil" w:sz="6" w:space="0" w:color="auto"/>
            </w:tcBorders>
          </w:tcPr>
          <w:p>
            <w:pPr/>
          </w:p>
        </w:tc>
      </w:tr>
      <w:tr>
        <w:trPr>
          <w:trHeight w:val="49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5" w:right="0"/>
              <w:jc w:val="center"/>
              <w:rPr>
                <w:rFonts w:ascii="Times New Roman" w:hAnsi="Times New Roman" w:cs="Times New Roman" w:eastAsia="Times New Roman" w:hint="default"/>
                <w:sz w:val="24"/>
                <w:szCs w:val="24"/>
              </w:rPr>
            </w:pPr>
            <w:r>
              <w:rPr>
                <w:rFonts w:ascii="Times New Roman"/>
                <w:sz w:val="24"/>
              </w:rPr>
              <w:t>80%</w:t>
            </w:r>
          </w:p>
        </w:tc>
        <w:tc>
          <w:tcPr>
            <w:tcW w:w="298" w:type="dxa"/>
            <w:tcBorders>
              <w:top w:val="nil" w:sz="6" w:space="0" w:color="auto"/>
              <w:left w:val="nil" w:sz="6" w:space="0" w:color="auto"/>
              <w:bottom w:val="nil" w:sz="6" w:space="0" w:color="auto"/>
              <w:right w:val="nil" w:sz="6" w:space="0" w:color="auto"/>
            </w:tcBorders>
          </w:tcPr>
          <w:p>
            <w:pPr/>
          </w:p>
        </w:tc>
      </w:tr>
      <w:tr>
        <w:trPr>
          <w:trHeight w:val="371"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238" w:type="dxa"/>
            <w:tcBorders>
              <w:top w:val="nil" w:sz="6" w:space="0" w:color="auto"/>
              <w:left w:val="nil" w:sz="6" w:space="0" w:color="auto"/>
              <w:bottom w:val="nil" w:sz="6" w:space="0" w:color="auto"/>
              <w:right w:val="nil" w:sz="6" w:space="0" w:color="auto"/>
            </w:tcBorders>
          </w:tcPr>
          <w:p>
            <w:pPr/>
          </w:p>
        </w:tc>
        <w:tc>
          <w:tcPr>
            <w:tcW w:w="52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95" w:right="0"/>
              <w:jc w:val="center"/>
              <w:rPr>
                <w:rFonts w:ascii="Times New Roman" w:hAnsi="Times New Roman" w:cs="Times New Roman" w:eastAsia="Times New Roman" w:hint="default"/>
                <w:sz w:val="24"/>
                <w:szCs w:val="24"/>
              </w:rPr>
            </w:pPr>
            <w:r>
              <w:rPr>
                <w:rFonts w:ascii="Times New Roman"/>
                <w:sz w:val="24"/>
              </w:rPr>
              <w:t>100%</w:t>
            </w:r>
          </w:p>
        </w:tc>
        <w:tc>
          <w:tcPr>
            <w:tcW w:w="29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26"/>
        <w:ind w:left="984" w:right="449"/>
        <w:jc w:val="left"/>
      </w:pPr>
      <w:r>
        <w:rPr/>
        <w:t>③ 单项金额虽不重大但单项计提坏账准备的应收款项</w:t>
      </w:r>
    </w:p>
    <w:p>
      <w:pPr>
        <w:spacing w:line="240" w:lineRule="auto" w:before="11"/>
        <w:rPr>
          <w:rFonts w:ascii="宋体" w:hAnsi="宋体" w:cs="宋体" w:eastAsia="宋体" w:hint="default"/>
          <w:sz w:val="21"/>
          <w:szCs w:val="21"/>
        </w:rPr>
      </w:pPr>
    </w:p>
    <w:p>
      <w:pPr>
        <w:pStyle w:val="BodyText"/>
        <w:spacing w:line="304" w:lineRule="auto"/>
        <w:ind w:left="437" w:right="433" w:firstLine="480"/>
        <w:jc w:val="both"/>
      </w:pPr>
      <w:r>
        <w:rPr>
          <w:spacing w:val="-3"/>
        </w:rPr>
        <w:t>本公司对于单项金额虽不重大但具备以下特征的应收款项，单独进行减值测</w:t>
      </w:r>
      <w:r>
        <w:rPr/>
        <w:t> </w:t>
      </w:r>
      <w:r>
        <w:rPr>
          <w:spacing w:val="-3"/>
        </w:rPr>
        <w:t>试，有客观证据表明其发生了减值的，根据其未来现金流量现值低于其账面价值</w:t>
      </w:r>
      <w:r>
        <w:rPr>
          <w:spacing w:val="-103"/>
        </w:rPr>
        <w:t> </w:t>
      </w:r>
      <w:r>
        <w:rPr>
          <w:spacing w:val="-103"/>
        </w:rPr>
      </w:r>
      <w:r>
        <w:rPr/>
        <w:t>的差额，确认减值损失，计提坏账准备。</w:t>
      </w:r>
    </w:p>
    <w:p>
      <w:pPr>
        <w:pStyle w:val="BodyText"/>
        <w:spacing w:line="415" w:lineRule="auto" w:before="185"/>
        <w:ind w:left="917" w:right="1309"/>
        <w:jc w:val="left"/>
      </w:pPr>
      <w:r>
        <w:rPr/>
        <w:t>导致单独进行减值测试的非重大应收款项的特征包括： </w:t>
      </w:r>
      <w:r>
        <w:rPr>
          <w:rFonts w:ascii="Times New Roman" w:hAnsi="Times New Roman" w:cs="Times New Roman" w:eastAsia="Times New Roman" w:hint="default"/>
        </w:rPr>
        <w:t>A.</w:t>
      </w:r>
      <w:r>
        <w:rPr/>
        <w:t>应收关联方款项； </w:t>
      </w:r>
      <w:r>
        <w:rPr>
          <w:rFonts w:ascii="Times New Roman" w:hAnsi="Times New Roman" w:cs="Times New Roman" w:eastAsia="Times New Roman" w:hint="default"/>
        </w:rPr>
        <w:t>B.</w:t>
      </w:r>
      <w:r>
        <w:rPr/>
        <w:t>与对方存在争议或涉及诉讼、仲裁的应收款项； </w:t>
      </w:r>
      <w:r>
        <w:rPr>
          <w:rFonts w:ascii="Times New Roman" w:hAnsi="Times New Roman" w:cs="Times New Roman" w:eastAsia="Times New Roman" w:hint="default"/>
        </w:rPr>
        <w:t>C.</w:t>
      </w:r>
      <w:r>
        <w:rPr/>
        <w:t>已有明显迹象表明债务人很可能无法履行还款义务的应收款项。</w:t>
      </w:r>
    </w:p>
    <w:p>
      <w:pPr>
        <w:pStyle w:val="BodyText"/>
        <w:spacing w:line="240" w:lineRule="auto" w:before="37"/>
        <w:ind w:left="917" w:right="449"/>
        <w:jc w:val="left"/>
      </w:pPr>
      <w:r>
        <w:rPr/>
        <w:t>（</w:t>
      </w:r>
      <w:r>
        <w:rPr>
          <w:rFonts w:ascii="Times New Roman" w:hAnsi="Times New Roman" w:cs="Times New Roman" w:eastAsia="Times New Roman" w:hint="default"/>
        </w:rPr>
        <w:t>3</w:t>
      </w:r>
      <w:r>
        <w:rPr/>
        <w:t>）坏账准备的转回</w:t>
      </w:r>
    </w:p>
    <w:p>
      <w:pPr>
        <w:spacing w:line="240" w:lineRule="auto" w:before="5"/>
        <w:rPr>
          <w:rFonts w:ascii="宋体" w:hAnsi="宋体" w:cs="宋体" w:eastAsia="宋体" w:hint="default"/>
          <w:sz w:val="18"/>
          <w:szCs w:val="18"/>
        </w:rPr>
      </w:pPr>
    </w:p>
    <w:p>
      <w:pPr>
        <w:pStyle w:val="BodyText"/>
        <w:spacing w:line="300" w:lineRule="auto"/>
        <w:ind w:left="437" w:right="435" w:firstLine="496"/>
        <w:jc w:val="both"/>
      </w:pPr>
      <w:r>
        <w:rPr>
          <w:spacing w:val="3"/>
          <w:position w:val="1"/>
        </w:rPr>
        <w:t>如有客观证据表明该应收款项</w:t>
      </w:r>
      <w:r>
        <w:rPr>
          <w:spacing w:val="3"/>
        </w:rPr>
        <w:t>价值已恢复，且客观上与确认该损失后发生</w:t>
      </w:r>
      <w:r>
        <w:rPr>
          <w:spacing w:val="7"/>
        </w:rPr>
        <w:t> </w:t>
      </w:r>
      <w:r>
        <w:rPr>
          <w:spacing w:val="4"/>
        </w:rPr>
        <w:t>的事项有关，原确认的减值损失予以转回，计入当期损益。但是，该转回后的</w:t>
      </w:r>
      <w:r>
        <w:rPr>
          <w:spacing w:val="-117"/>
        </w:rPr>
        <w:t> </w:t>
      </w:r>
      <w:r>
        <w:rPr>
          <w:spacing w:val="-117"/>
        </w:rPr>
      </w:r>
      <w:r>
        <w:rPr>
          <w:spacing w:val="2"/>
        </w:rPr>
        <w:t>账面价值不超过假定不计提减值准备情况下该</w:t>
      </w:r>
      <w:r>
        <w:rPr>
          <w:spacing w:val="2"/>
          <w:position w:val="1"/>
        </w:rPr>
        <w:t>应收款项</w:t>
      </w:r>
      <w:r>
        <w:rPr>
          <w:spacing w:val="2"/>
        </w:rPr>
        <w:t>在转回日的摊余成本。</w:t>
      </w:r>
    </w:p>
    <w:p>
      <w:pPr>
        <w:pStyle w:val="Heading3"/>
        <w:spacing w:line="240" w:lineRule="auto" w:before="168"/>
        <w:ind w:left="920" w:right="449"/>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17"/>
          <w:szCs w:val="17"/>
        </w:rPr>
      </w:pPr>
    </w:p>
    <w:p>
      <w:pPr>
        <w:pStyle w:val="BodyText"/>
        <w:spacing w:line="408" w:lineRule="auto"/>
        <w:ind w:left="917" w:right="2009"/>
        <w:jc w:val="left"/>
      </w:pPr>
      <w:r>
        <w:rPr/>
        <w:t>（</w:t>
      </w:r>
      <w:r>
        <w:rPr>
          <w:rFonts w:ascii="Times New Roman" w:hAnsi="Times New Roman" w:cs="Times New Roman" w:eastAsia="Times New Roman" w:hint="default"/>
        </w:rPr>
        <w:t>1</w:t>
      </w:r>
      <w:r>
        <w:rPr/>
        <w:t>）存货的分类 存货主要包括在产品及自制半成品、周转材料、产成品等。</w:t>
      </w:r>
    </w:p>
    <w:p>
      <w:pPr>
        <w:pStyle w:val="BodyText"/>
        <w:spacing w:line="240" w:lineRule="auto" w:before="79"/>
        <w:ind w:left="917" w:right="449"/>
        <w:jc w:val="left"/>
      </w:pPr>
      <w:r>
        <w:rPr/>
        <w:t>（</w:t>
      </w:r>
      <w:r>
        <w:rPr>
          <w:rFonts w:ascii="Times New Roman" w:hAnsi="Times New Roman" w:cs="Times New Roman" w:eastAsia="Times New Roman" w:hint="default"/>
        </w:rPr>
        <w:t>2</w:t>
      </w:r>
      <w:r>
        <w:rPr/>
        <w:t>）存货取得和发出的计价方法</w:t>
      </w:r>
    </w:p>
    <w:p>
      <w:pPr>
        <w:spacing w:line="240" w:lineRule="auto" w:before="9"/>
        <w:rPr>
          <w:rFonts w:ascii="宋体" w:hAnsi="宋体" w:cs="宋体" w:eastAsia="宋体" w:hint="default"/>
          <w:sz w:val="17"/>
          <w:szCs w:val="17"/>
        </w:rPr>
      </w:pPr>
    </w:p>
    <w:p>
      <w:pPr>
        <w:pStyle w:val="BodyText"/>
        <w:spacing w:line="295" w:lineRule="auto"/>
        <w:ind w:left="437" w:right="428" w:firstLine="480"/>
        <w:jc w:val="left"/>
        <w:rPr>
          <w:rFonts w:ascii="宋体" w:hAnsi="宋体" w:cs="宋体" w:eastAsia="宋体" w:hint="default"/>
          <w:sz w:val="25"/>
          <w:szCs w:val="25"/>
        </w:rPr>
      </w:pPr>
      <w:r>
        <w:rPr>
          <w:spacing w:val="-3"/>
        </w:rPr>
        <w:t>存货在取得时按实际成本计价，存货成本包括采购成本、加工成本和其他成</w:t>
      </w:r>
      <w:r>
        <w:rPr/>
        <w:t> 本。领用和发出时按个别认定法计价</w:t>
      </w:r>
      <w:r>
        <w:rPr>
          <w:rFonts w:ascii="宋体" w:hAnsi="宋体" w:cs="宋体" w:eastAsia="宋体" w:hint="default"/>
          <w:i/>
          <w:sz w:val="25"/>
          <w:szCs w:val="25"/>
        </w:rPr>
        <w:t>。</w:t>
      </w:r>
      <w:r>
        <w:rPr>
          <w:rFonts w:ascii="宋体" w:hAnsi="宋体" w:cs="宋体" w:eastAsia="宋体" w:hint="default"/>
          <w:sz w:val="25"/>
          <w:szCs w:val="25"/>
        </w:rPr>
      </w:r>
    </w:p>
    <w:p>
      <w:pPr>
        <w:pStyle w:val="BodyText"/>
        <w:spacing w:line="240" w:lineRule="auto" w:before="191"/>
        <w:ind w:left="917" w:right="449"/>
        <w:jc w:val="left"/>
      </w:pPr>
      <w:r>
        <w:rPr/>
        <w:t>（</w:t>
      </w:r>
      <w:r>
        <w:rPr>
          <w:rFonts w:ascii="Times New Roman" w:hAnsi="Times New Roman" w:cs="Times New Roman" w:eastAsia="Times New Roman" w:hint="default"/>
        </w:rPr>
        <w:t>3</w:t>
      </w:r>
      <w:r>
        <w:rPr/>
        <w:t>）存货可变现净值的确认和跌价准备的计提方法</w:t>
      </w:r>
    </w:p>
    <w:p>
      <w:pPr>
        <w:spacing w:after="0" w:line="240" w:lineRule="auto"/>
        <w:jc w:val="left"/>
        <w:sectPr>
          <w:pgSz w:w="11910" w:h="16840"/>
          <w:pgMar w:header="850" w:footer="979" w:top="1380" w:bottom="1160" w:left="1360" w:right="13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304" w:lineRule="auto" w:before="73"/>
        <w:ind w:right="89" w:firstLine="480"/>
        <w:jc w:val="left"/>
      </w:pPr>
      <w:r>
        <w:rPr>
          <w:spacing w:val="-3"/>
        </w:rPr>
        <w:t>可变现净值是指在日常活动中，存货的估计售价减去至完工时估计将要发生</w:t>
      </w:r>
      <w:r>
        <w:rPr/>
        <w:t> 的成本、估计的销售费用以及相关税费后的金额。在确定存货的可变现净值时， </w:t>
      </w:r>
      <w:r>
        <w:rPr>
          <w:spacing w:val="-3"/>
        </w:rPr>
        <w:t>以取得的确凿证据为基础，同时考虑持有存货的目的以及资产负债表日后事项的</w:t>
      </w:r>
      <w:r>
        <w:rPr>
          <w:spacing w:val="-104"/>
        </w:rPr>
        <w:t> </w:t>
      </w:r>
      <w:r>
        <w:rPr>
          <w:spacing w:val="-104"/>
        </w:rPr>
      </w:r>
      <w:r>
        <w:rPr/>
        <w:t>影响。</w:t>
      </w:r>
    </w:p>
    <w:p>
      <w:pPr>
        <w:pStyle w:val="BodyText"/>
        <w:spacing w:line="304" w:lineRule="auto" w:before="185"/>
        <w:ind w:right="193" w:firstLine="480"/>
        <w:jc w:val="both"/>
      </w:pPr>
      <w:r>
        <w:rPr>
          <w:spacing w:val="-3"/>
        </w:rPr>
        <w:t>在资产负债表日，存货按照成本与可变现净值孰低计量。当其可变现净值低</w:t>
      </w:r>
      <w:r>
        <w:rPr/>
        <w:t> </w:t>
      </w:r>
      <w:r>
        <w:rPr>
          <w:spacing w:val="-3"/>
        </w:rPr>
        <w:t>于成本时，提取存货跌价准备。存货跌价准备按单个存货项目的成本高于其可变</w:t>
      </w:r>
      <w:r>
        <w:rPr>
          <w:spacing w:val="-103"/>
        </w:rPr>
        <w:t> </w:t>
      </w:r>
      <w:r>
        <w:rPr>
          <w:spacing w:val="-103"/>
        </w:rPr>
      </w:r>
      <w:r>
        <w:rPr/>
        <w:t>现净值的差额提取。</w:t>
      </w:r>
    </w:p>
    <w:p>
      <w:pPr>
        <w:pStyle w:val="BodyText"/>
        <w:spacing w:line="304" w:lineRule="auto" w:before="185"/>
        <w:ind w:right="188" w:firstLine="480"/>
        <w:jc w:val="left"/>
      </w:pPr>
      <w:r>
        <w:rPr>
          <w:spacing w:val="-3"/>
        </w:rPr>
        <w:t>计提存货跌价准备后，如果以前减记存货价值的影响因素已经消失，导致存</w:t>
      </w:r>
      <w:r>
        <w:rPr/>
        <w:t> 货的可变现净值高于其账面价值的，在原已计提的存货跌价准备金额内予以转 回，转回的金额计入当期损益。</w:t>
      </w:r>
    </w:p>
    <w:p>
      <w:pPr>
        <w:pStyle w:val="BodyText"/>
        <w:spacing w:line="240" w:lineRule="auto" w:before="182"/>
        <w:ind w:left="617" w:right="179"/>
        <w:jc w:val="left"/>
      </w:pPr>
      <w:r>
        <w:rPr/>
        <w:t>（</w:t>
      </w:r>
      <w:r>
        <w:rPr>
          <w:rFonts w:ascii="Times New Roman" w:hAnsi="Times New Roman" w:cs="Times New Roman" w:eastAsia="Times New Roman" w:hint="default"/>
        </w:rPr>
        <w:t>4</w:t>
      </w:r>
      <w:r>
        <w:rPr/>
        <w:t>）存货的盘存制度为永续盘存制。</w:t>
      </w:r>
    </w:p>
    <w:p>
      <w:pPr>
        <w:pStyle w:val="BodyText"/>
        <w:spacing w:line="540" w:lineRule="atLeast" w:before="24"/>
        <w:ind w:left="617" w:right="32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w:t>
      </w:r>
    </w:p>
    <w:p>
      <w:pPr>
        <w:pStyle w:val="BodyText"/>
        <w:spacing w:line="240" w:lineRule="auto" w:before="84"/>
        <w:ind w:right="179"/>
        <w:jc w:val="left"/>
      </w:pPr>
      <w:r>
        <w:rPr/>
        <w:t>销。</w:t>
      </w:r>
    </w:p>
    <w:p>
      <w:pPr>
        <w:spacing w:line="240" w:lineRule="auto" w:before="1"/>
        <w:rPr>
          <w:rFonts w:ascii="宋体" w:hAnsi="宋体" w:cs="宋体" w:eastAsia="宋体" w:hint="default"/>
          <w:sz w:val="19"/>
          <w:szCs w:val="19"/>
        </w:rPr>
      </w:pPr>
    </w:p>
    <w:p>
      <w:pPr>
        <w:pStyle w:val="Heading3"/>
        <w:spacing w:line="240" w:lineRule="auto" w:before="0"/>
        <w:ind w:right="179"/>
        <w:jc w:val="left"/>
        <w:rPr>
          <w:b w:val="0"/>
          <w:bCs w:val="0"/>
        </w:rPr>
      </w:pPr>
      <w:r>
        <w:rPr>
          <w:rFonts w:ascii="Times New Roman" w:hAnsi="Times New Roman" w:cs="Times New Roman" w:eastAsia="Times New Roman" w:hint="default"/>
        </w:rPr>
        <w:t>10</w:t>
      </w:r>
      <w:r>
        <w:rPr/>
        <w:t>、长期股权投资</w:t>
      </w:r>
      <w:r>
        <w:rPr>
          <w:b w:val="0"/>
          <w:bCs w:val="0"/>
        </w:rPr>
      </w:r>
    </w:p>
    <w:p>
      <w:pPr>
        <w:pStyle w:val="BodyText"/>
        <w:spacing w:line="540" w:lineRule="atLeast" w:before="21"/>
        <w:ind w:left="617" w:right="188"/>
        <w:jc w:val="left"/>
      </w:pPr>
      <w:r>
        <w:rPr/>
        <w:t>（</w:t>
      </w:r>
      <w:r>
        <w:rPr>
          <w:rFonts w:ascii="Times New Roman" w:hAnsi="Times New Roman" w:cs="Times New Roman" w:eastAsia="Times New Roman" w:hint="default"/>
        </w:rPr>
        <w:t>1</w:t>
      </w:r>
      <w:r>
        <w:rPr/>
        <w:t>）投资成本的确定 </w:t>
      </w:r>
      <w:r>
        <w:rPr>
          <w:spacing w:val="-3"/>
        </w:rPr>
        <w:t>对于企业合并形成的长期股权投资，如为同一控制下的企业合并取得的长期</w:t>
      </w:r>
    </w:p>
    <w:p>
      <w:pPr>
        <w:pStyle w:val="BodyText"/>
        <w:spacing w:line="304" w:lineRule="auto" w:before="86"/>
        <w:ind w:right="179"/>
        <w:jc w:val="left"/>
      </w:pPr>
      <w:r>
        <w:rPr>
          <w:spacing w:val="-3"/>
        </w:rPr>
        <w:t>股权投资，在合并日按照取得被合并方所有者权益账面价值的份额作为初始投资</w:t>
      </w:r>
      <w:r>
        <w:rPr>
          <w:spacing w:val="-104"/>
        </w:rPr>
        <w:t> </w:t>
      </w:r>
      <w:r>
        <w:rPr>
          <w:spacing w:val="-104"/>
        </w:rPr>
      </w:r>
      <w:r>
        <w:rPr>
          <w:spacing w:val="-3"/>
        </w:rPr>
        <w:t>成本；通过非同一控制下的企业合并取得的长期股权投资，按照合并成本与购买</w:t>
      </w:r>
      <w:r>
        <w:rPr>
          <w:spacing w:val="-103"/>
        </w:rPr>
        <w:t> </w:t>
      </w:r>
      <w:r>
        <w:rPr>
          <w:spacing w:val="-103"/>
        </w:rPr>
      </w:r>
      <w:r>
        <w:rPr/>
        <w:t>方为进行企业合并发生的各项直接相关费用之和作为长期股权投资的初始投资 成本。</w:t>
      </w:r>
    </w:p>
    <w:p>
      <w:pPr>
        <w:pStyle w:val="BodyText"/>
        <w:spacing w:line="304" w:lineRule="auto" w:before="182"/>
        <w:ind w:right="89" w:firstLine="480"/>
        <w:jc w:val="left"/>
      </w:pPr>
      <w:r>
        <w:rPr/>
        <w:t>除企业合并形成的长期股权投资外的其他股权投资，按成本进行初始计量， </w:t>
      </w:r>
      <w:r>
        <w:rPr>
          <w:spacing w:val="-3"/>
        </w:rPr>
        <w:t>该成本视长期股权投资取得方式的不同，分别按照本公司实际支付的现金购买价</w:t>
      </w:r>
      <w:r>
        <w:rPr>
          <w:spacing w:val="-104"/>
        </w:rPr>
        <w:t> </w:t>
      </w:r>
      <w:r>
        <w:rPr>
          <w:spacing w:val="-104"/>
        </w:rPr>
      </w:r>
      <w:r>
        <w:rPr>
          <w:spacing w:val="-3"/>
        </w:rPr>
        <w:t>款、本公司发行的权益性证券的公允价值、投资合同或协议约定的价值、非货币</w:t>
      </w:r>
      <w:r>
        <w:rPr>
          <w:spacing w:val="-102"/>
        </w:rPr>
        <w:t> </w:t>
      </w:r>
      <w:r>
        <w:rPr>
          <w:spacing w:val="-102"/>
        </w:rPr>
      </w:r>
      <w:r>
        <w:rPr>
          <w:spacing w:val="-3"/>
        </w:rPr>
        <w:t>性资产交换交易中换出资产的公允价值或原账面价值、该项长期股权投资自身的</w:t>
      </w:r>
      <w:r>
        <w:rPr>
          <w:spacing w:val="-104"/>
        </w:rPr>
        <w:t> </w:t>
      </w:r>
      <w:r>
        <w:rPr>
          <w:spacing w:val="-104"/>
        </w:rPr>
      </w:r>
      <w:r>
        <w:rPr>
          <w:spacing w:val="-3"/>
        </w:rPr>
        <w:t>公允价值等方式确定。与取得长期股权投资直接相关的费用、税金及其他必要支</w:t>
      </w:r>
      <w:r>
        <w:rPr>
          <w:spacing w:val="-103"/>
        </w:rPr>
        <w:t> </w:t>
      </w:r>
      <w:r>
        <w:rPr>
          <w:spacing w:val="-103"/>
        </w:rPr>
      </w:r>
      <w:r>
        <w:rPr/>
        <w:t>出也计入投资成本。</w:t>
      </w:r>
    </w:p>
    <w:p>
      <w:pPr>
        <w:pStyle w:val="BodyText"/>
        <w:spacing w:line="564" w:lineRule="exact" w:before="12"/>
        <w:ind w:left="617" w:right="188"/>
        <w:jc w:val="left"/>
      </w:pPr>
      <w:r>
        <w:rPr/>
        <w:t>（</w:t>
      </w:r>
      <w:r>
        <w:rPr>
          <w:rFonts w:ascii="Times New Roman" w:hAnsi="Times New Roman" w:cs="Times New Roman" w:eastAsia="Times New Roman" w:hint="default"/>
        </w:rPr>
        <w:t>2</w:t>
      </w:r>
      <w:r>
        <w:rPr/>
        <w:t>）后续计量及损益确认方法 </w:t>
      </w:r>
      <w:r>
        <w:rPr>
          <w:spacing w:val="-3"/>
        </w:rPr>
        <w:t>对被投资单位不具有共同控制或重大影响并且在活跃市场中没有报价、公允</w:t>
      </w:r>
    </w:p>
    <w:p>
      <w:pPr>
        <w:pStyle w:val="BodyText"/>
        <w:spacing w:line="240" w:lineRule="auto" w:before="5"/>
        <w:ind w:right="89"/>
        <w:jc w:val="left"/>
      </w:pPr>
      <w:r>
        <w:rPr>
          <w:spacing w:val="-3"/>
        </w:rPr>
        <w:t>价值不能可靠计量的长期股权投资，采用成本法核算；对被投资单位具有共同控</w:t>
      </w:r>
    </w:p>
    <w:p>
      <w:pPr>
        <w:spacing w:after="0" w:line="240" w:lineRule="auto"/>
        <w:jc w:val="left"/>
        <w:sectPr>
          <w:pgSz w:w="11910" w:h="16840"/>
          <w:pgMar w:header="850" w:footer="979" w:top="1380" w:bottom="1160" w:left="1660" w:right="1600"/>
        </w:sectPr>
      </w:pPr>
    </w:p>
    <w:p>
      <w:pPr>
        <w:pStyle w:val="BodyText"/>
        <w:spacing w:line="304" w:lineRule="auto" w:before="93"/>
        <w:ind w:right="133"/>
        <w:jc w:val="both"/>
      </w:pPr>
      <w:r>
        <w:rPr>
          <w:spacing w:val="-3"/>
        </w:rPr>
        <w:t>制或重大影响的长期股权投资，采用权益法核算；对被投资单位不具有控制、共</w:t>
      </w:r>
      <w:r>
        <w:rPr>
          <w:spacing w:val="-102"/>
        </w:rPr>
        <w:t> </w:t>
      </w:r>
      <w:r>
        <w:rPr>
          <w:spacing w:val="-102"/>
        </w:rPr>
      </w:r>
      <w:r>
        <w:rPr>
          <w:spacing w:val="-3"/>
        </w:rPr>
        <w:t>同控制或重大影响并且公允价值能够可靠计量的长期股权投资，作为可供出售金</w:t>
      </w:r>
      <w:r>
        <w:rPr>
          <w:spacing w:val="-104"/>
        </w:rPr>
        <w:t> </w:t>
      </w:r>
      <w:r>
        <w:rPr>
          <w:spacing w:val="-104"/>
        </w:rPr>
      </w:r>
      <w:r>
        <w:rPr/>
        <w:t>融资产核算。</w:t>
      </w:r>
    </w:p>
    <w:p>
      <w:pPr>
        <w:pStyle w:val="BodyText"/>
        <w:spacing w:line="307" w:lineRule="auto" w:before="185"/>
        <w:ind w:right="135" w:firstLine="480"/>
        <w:jc w:val="both"/>
      </w:pPr>
      <w:r>
        <w:rPr>
          <w:spacing w:val="-3"/>
        </w:rPr>
        <w:t>此外，公司财务报表采用成本法核算能够对被投资单位实施控制的长期股权</w:t>
      </w:r>
      <w:r>
        <w:rPr/>
        <w:t> 投资。</w:t>
      </w:r>
    </w:p>
    <w:p>
      <w:pPr>
        <w:pStyle w:val="BodyText"/>
        <w:spacing w:line="564" w:lineRule="exact" w:before="9"/>
        <w:ind w:left="617" w:right="128"/>
        <w:jc w:val="left"/>
      </w:pPr>
      <w:r>
        <w:rPr/>
        <w:t>① 成本法核算的长期股权投资 </w:t>
      </w:r>
      <w:r>
        <w:rPr>
          <w:spacing w:val="-3"/>
        </w:rPr>
        <w:t>采用成本法核算时，长期股权投资按初始投资成本计价，除取得投资时实际</w:t>
      </w:r>
    </w:p>
    <w:p>
      <w:pPr>
        <w:pStyle w:val="BodyText"/>
        <w:spacing w:line="307" w:lineRule="auto" w:before="5"/>
        <w:ind w:right="135"/>
        <w:jc w:val="both"/>
      </w:pPr>
      <w:r>
        <w:rPr>
          <w:spacing w:val="-3"/>
        </w:rPr>
        <w:t>支付的价款或者对价中包含的已宣告但尚未发放的现金股利或者利润外，当期投</w:t>
      </w:r>
      <w:r>
        <w:rPr>
          <w:spacing w:val="-104"/>
        </w:rPr>
        <w:t> </w:t>
      </w:r>
      <w:r>
        <w:rPr>
          <w:spacing w:val="-104"/>
        </w:rPr>
      </w:r>
      <w:r>
        <w:rPr/>
        <w:t>资收益按照享有被投资单位宣告发放的现金股利或利润确认。</w:t>
      </w:r>
    </w:p>
    <w:p>
      <w:pPr>
        <w:pStyle w:val="BodyText"/>
        <w:spacing w:line="562" w:lineRule="exact" w:before="13"/>
        <w:ind w:left="617" w:right="128"/>
        <w:jc w:val="left"/>
      </w:pPr>
      <w:r>
        <w:rPr/>
        <w:t>② 权益法核算的长期股权投资 </w:t>
      </w:r>
      <w:r>
        <w:rPr>
          <w:spacing w:val="-3"/>
        </w:rPr>
        <w:t>采用权益法核算时，长期股权投资的初始投资成本大于投资时应享有被投资</w:t>
      </w:r>
    </w:p>
    <w:p>
      <w:pPr>
        <w:pStyle w:val="BodyText"/>
        <w:spacing w:line="304" w:lineRule="auto" w:before="8"/>
        <w:ind w:right="133"/>
        <w:jc w:val="both"/>
      </w:pPr>
      <w:r>
        <w:rPr>
          <w:spacing w:val="-3"/>
        </w:rPr>
        <w:t>单位可辨认净资产公允价值份额的，不调整长期股权投资的初始投资成本；初始</w:t>
      </w:r>
      <w:r>
        <w:rPr>
          <w:spacing w:val="-103"/>
        </w:rPr>
        <w:t> </w:t>
      </w:r>
      <w:r>
        <w:rPr>
          <w:spacing w:val="-103"/>
        </w:rPr>
      </w:r>
      <w:r>
        <w:rPr>
          <w:spacing w:val="-3"/>
        </w:rPr>
        <w:t>投资成本小于投资时应享有被投资单位可辨认净资产公允价值份额的，其差额计</w:t>
      </w:r>
      <w:r>
        <w:rPr>
          <w:spacing w:val="-104"/>
        </w:rPr>
        <w:t> </w:t>
      </w:r>
      <w:r>
        <w:rPr>
          <w:spacing w:val="-104"/>
        </w:rPr>
      </w:r>
      <w:r>
        <w:rPr/>
        <w:t>入当期损益，同时调整长期股权投资的成本。</w:t>
      </w:r>
    </w:p>
    <w:p>
      <w:pPr>
        <w:pStyle w:val="BodyText"/>
        <w:spacing w:line="302" w:lineRule="auto" w:before="185"/>
        <w:ind w:right="133" w:firstLine="480"/>
        <w:jc w:val="both"/>
      </w:pPr>
      <w:r>
        <w:rPr>
          <w:spacing w:val="-3"/>
        </w:rPr>
        <w:t>采用权益法核算时，当期投资损益为应享有或应分担的被投资单位当年实现</w:t>
      </w:r>
      <w:r>
        <w:rPr/>
        <w:t> </w:t>
      </w:r>
      <w:r>
        <w:rPr>
          <w:spacing w:val="-3"/>
        </w:rPr>
        <w:t>的净损益的份额。在确认应享有被投资单位净损益的份额时，以取得投资时被投</w:t>
      </w:r>
      <w:r>
        <w:rPr>
          <w:spacing w:val="-103"/>
        </w:rPr>
        <w:t> </w:t>
      </w:r>
      <w:r>
        <w:rPr>
          <w:spacing w:val="-103"/>
        </w:rPr>
      </w:r>
      <w:r>
        <w:rPr>
          <w:spacing w:val="-3"/>
        </w:rPr>
        <w:t>资单位各项可辨认资产等的公允价值为基础，并按照本公司的会计政策及会计期</w:t>
      </w:r>
      <w:r>
        <w:rPr>
          <w:spacing w:val="-104"/>
        </w:rPr>
        <w:t> </w:t>
      </w:r>
      <w:r>
        <w:rPr>
          <w:spacing w:val="-104"/>
        </w:rPr>
      </w:r>
      <w:r>
        <w:rPr>
          <w:spacing w:val="-3"/>
        </w:rPr>
        <w:t>间，对被投资单位的净利润进行调整后确认。对于本公司与联营企业及合营之间</w:t>
      </w:r>
      <w:r>
        <w:rPr>
          <w:spacing w:val="-103"/>
        </w:rPr>
        <w:t> </w:t>
      </w:r>
      <w:r>
        <w:rPr>
          <w:spacing w:val="-103"/>
        </w:rPr>
      </w:r>
      <w:r>
        <w:rPr>
          <w:spacing w:val="-3"/>
        </w:rPr>
        <w:t>发生的未实现内部交易损益，按照持股比例计算属于本公司的部分予以抵销，在</w:t>
      </w:r>
      <w:r>
        <w:rPr>
          <w:spacing w:val="-103"/>
        </w:rPr>
        <w:t> </w:t>
      </w:r>
      <w:r>
        <w:rPr>
          <w:spacing w:val="-103"/>
        </w:rPr>
      </w:r>
      <w:r>
        <w:rPr>
          <w:spacing w:val="-3"/>
        </w:rPr>
        <w:t>此基础上确认投资损益。但本公司与被投资单位发生的未实现内部交易损失，按</w:t>
      </w:r>
      <w:r>
        <w:rPr>
          <w:spacing w:val="-103"/>
        </w:rPr>
        <w:t> </w:t>
      </w:r>
      <w:r>
        <w:rPr>
          <w:spacing w:val="-103"/>
        </w:rPr>
      </w:r>
      <w:r>
        <w:rPr>
          <w:spacing w:val="-4"/>
        </w:rPr>
        <w:t>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34"/>
        </w:rPr>
        <w:t> </w:t>
      </w:r>
      <w:r>
        <w:rPr>
          <w:spacing w:val="-3"/>
        </w:rPr>
        <w:t>号</w:t>
      </w:r>
      <w:r>
        <w:rPr>
          <w:rFonts w:ascii="Times New Roman" w:hAnsi="Times New Roman" w:cs="Times New Roman" w:eastAsia="Times New Roman" w:hint="default"/>
          <w:spacing w:val="-3"/>
        </w:rPr>
        <w:t>——</w:t>
      </w:r>
      <w:r>
        <w:rPr>
          <w:spacing w:val="-3"/>
        </w:rPr>
        <w:t>资产减值》等规定属于所转让资产减值损失的，不</w:t>
      </w:r>
      <w:r>
        <w:rPr/>
        <w:t> </w:t>
      </w:r>
      <w:r>
        <w:rPr>
          <w:spacing w:val="-3"/>
        </w:rPr>
        <w:t>予以抵销。对被投资单位的其他综合收益，相应调整长期股权投资的账面价值确</w:t>
      </w:r>
      <w:r>
        <w:rPr>
          <w:spacing w:val="-103"/>
        </w:rPr>
        <w:t> </w:t>
      </w:r>
      <w:r>
        <w:rPr>
          <w:spacing w:val="-103"/>
        </w:rPr>
      </w:r>
      <w:r>
        <w:rPr/>
        <w:t>认为其他综合收益并计入资本公积。</w:t>
      </w:r>
    </w:p>
    <w:p>
      <w:pPr>
        <w:pStyle w:val="BodyText"/>
        <w:spacing w:line="304" w:lineRule="auto" w:before="187"/>
        <w:ind w:right="133" w:firstLine="480"/>
        <w:jc w:val="both"/>
      </w:pPr>
      <w:r>
        <w:rPr>
          <w:spacing w:val="-3"/>
        </w:rPr>
        <w:t>在确认应分担被投资单位发生的净亏损时，以长期股权投资的账面价值和其</w:t>
      </w:r>
      <w:r>
        <w:rPr/>
        <w:t> </w:t>
      </w:r>
      <w:r>
        <w:rPr>
          <w:spacing w:val="-3"/>
        </w:rPr>
        <w:t>他实质上构成对被投资单位净投资的长期权益减记至零为限。此外，如本公司对</w:t>
      </w:r>
      <w:r>
        <w:rPr>
          <w:spacing w:val="-105"/>
        </w:rPr>
        <w:t> </w:t>
      </w:r>
      <w:r>
        <w:rPr>
          <w:spacing w:val="-105"/>
        </w:rPr>
      </w:r>
      <w:r>
        <w:rPr>
          <w:spacing w:val="-3"/>
        </w:rPr>
        <w:t>被投资单位负有承担额外损失的义务，则按预计承担的义务确认预计负债，计入</w:t>
      </w:r>
      <w:r>
        <w:rPr>
          <w:spacing w:val="-103"/>
        </w:rPr>
        <w:t> </w:t>
      </w:r>
      <w:r>
        <w:rPr>
          <w:spacing w:val="-103"/>
        </w:rPr>
      </w:r>
      <w:r>
        <w:rPr>
          <w:spacing w:val="-3"/>
        </w:rPr>
        <w:t>当期投资损失。被投资单位以后期间实现净利润的，本公司在收益分享额弥补未</w:t>
      </w:r>
      <w:r>
        <w:rPr>
          <w:spacing w:val="-103"/>
        </w:rPr>
        <w:t> </w:t>
      </w:r>
      <w:r>
        <w:rPr>
          <w:spacing w:val="-103"/>
        </w:rPr>
      </w:r>
      <w:r>
        <w:rPr/>
        <w:t>确认的亏损分担额后，恢复确认收益分享额。</w:t>
      </w:r>
    </w:p>
    <w:p>
      <w:pPr>
        <w:pStyle w:val="BodyText"/>
        <w:spacing w:line="240" w:lineRule="auto" w:before="185"/>
        <w:ind w:left="617" w:right="0"/>
        <w:jc w:val="left"/>
      </w:pPr>
      <w:r>
        <w:rPr/>
        <w:t>③ 收购少数股权</w:t>
      </w:r>
    </w:p>
    <w:p>
      <w:pPr>
        <w:spacing w:after="0" w:line="240" w:lineRule="auto"/>
        <w:jc w:val="left"/>
        <w:sectPr>
          <w:footerReference w:type="default" r:id="rId35"/>
          <w:pgSz w:w="11910" w:h="16840"/>
          <w:pgMar w:footer="979" w:header="850" w:top="1380" w:bottom="1160" w:left="1660" w:right="1660"/>
        </w:sectPr>
      </w:pPr>
    </w:p>
    <w:p>
      <w:pPr>
        <w:pStyle w:val="BodyText"/>
        <w:spacing w:line="304" w:lineRule="auto" w:before="93"/>
        <w:ind w:right="193" w:firstLine="480"/>
        <w:jc w:val="both"/>
      </w:pPr>
      <w:r>
        <w:rPr>
          <w:spacing w:val="-3"/>
        </w:rPr>
        <w:t>在编制合并财务报表时，因购买少数股权新增的长期股权投资与按照新增持</w:t>
      </w:r>
      <w:r>
        <w:rPr/>
        <w:t> </w:t>
      </w:r>
      <w:r>
        <w:rPr>
          <w:spacing w:val="-3"/>
        </w:rPr>
        <w:t>股比例计算应享有子公司自购买日（或合并日）开始持续计算的净资产份额之间</w:t>
      </w:r>
      <w:r>
        <w:rPr>
          <w:spacing w:val="-103"/>
        </w:rPr>
        <w:t> </w:t>
      </w:r>
      <w:r>
        <w:rPr>
          <w:spacing w:val="-103"/>
        </w:rPr>
      </w:r>
      <w:r>
        <w:rPr/>
        <w:t>的差额，调整资本公积，资本公积不足冲减的，调整留存收益。</w:t>
      </w:r>
    </w:p>
    <w:p>
      <w:pPr>
        <w:pStyle w:val="BodyText"/>
        <w:spacing w:line="564" w:lineRule="exact" w:before="14"/>
        <w:ind w:left="617" w:right="188"/>
        <w:jc w:val="left"/>
      </w:pPr>
      <w:r>
        <w:rPr/>
        <w:t>④ 处置长期股权投资 </w:t>
      </w:r>
      <w:r>
        <w:rPr>
          <w:spacing w:val="-3"/>
        </w:rPr>
        <w:t>在合并财务报表中，母公司在不丧失控制权的情况下部分处置对子公司的长</w:t>
      </w:r>
    </w:p>
    <w:p>
      <w:pPr>
        <w:pStyle w:val="BodyText"/>
        <w:spacing w:line="300" w:lineRule="auto" w:before="5"/>
        <w:ind w:right="195"/>
        <w:jc w:val="both"/>
      </w:pPr>
      <w:r>
        <w:rPr>
          <w:spacing w:val="-3"/>
        </w:rPr>
        <w:t>期股权投资，处置价款与处置长期股权投资相对应享有子公司净资产的差额计入</w:t>
      </w:r>
      <w:r>
        <w:rPr>
          <w:spacing w:val="-104"/>
        </w:rPr>
        <w:t> </w:t>
      </w:r>
      <w:r>
        <w:rPr>
          <w:spacing w:val="-104"/>
        </w:rPr>
      </w:r>
      <w:r>
        <w:rPr>
          <w:spacing w:val="-3"/>
        </w:rPr>
        <w:t>所有者权益；母公司部分处置对子公司的长期股权投资导致丧失对子公司控制权</w:t>
      </w:r>
      <w:r>
        <w:rPr>
          <w:spacing w:val="-104"/>
        </w:rPr>
        <w:t> </w:t>
      </w:r>
      <w:r>
        <w:rPr>
          <w:spacing w:val="-104"/>
        </w:rPr>
      </w:r>
      <w:r>
        <w:rPr>
          <w:spacing w:val="-2"/>
        </w:rPr>
        <w:t>的，按本附注四、</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合并财务报表编制的方法</w:t>
      </w:r>
      <w:r>
        <w:rPr>
          <w:rFonts w:ascii="Times New Roman" w:hAnsi="Times New Roman" w:cs="Times New Roman" w:eastAsia="Times New Roman" w:hint="default"/>
          <w:spacing w:val="-2"/>
        </w:rPr>
        <w:t>”</w:t>
      </w:r>
      <w:r>
        <w:rPr>
          <w:spacing w:val="-2"/>
        </w:rPr>
        <w:t>中所述的相关会计政策处</w:t>
      </w:r>
      <w:r>
        <w:rPr>
          <w:spacing w:val="-108"/>
        </w:rPr>
        <w:t> </w:t>
      </w:r>
      <w:r>
        <w:rPr/>
        <w:t>理。</w:t>
      </w:r>
    </w:p>
    <w:p>
      <w:pPr>
        <w:pStyle w:val="BodyText"/>
        <w:spacing w:line="304" w:lineRule="auto" w:before="190"/>
        <w:ind w:right="89" w:firstLine="480"/>
        <w:jc w:val="left"/>
      </w:pPr>
      <w:r>
        <w:rPr>
          <w:spacing w:val="-3"/>
        </w:rPr>
        <w:t>其他情形下的长期股权投资处置，对于处置的股权，其账面价值与实际取得</w:t>
      </w:r>
      <w:r>
        <w:rPr/>
        <w:t> </w:t>
      </w:r>
      <w:r>
        <w:rPr>
          <w:spacing w:val="-3"/>
        </w:rPr>
        <w:t>价款的差额，计入当期损益；采用权益法核算的长期股权投资，在处置时将原计</w:t>
      </w:r>
      <w:r>
        <w:rPr>
          <w:spacing w:val="-102"/>
        </w:rPr>
        <w:t> </w:t>
      </w:r>
      <w:r>
        <w:rPr>
          <w:spacing w:val="-102"/>
        </w:rPr>
      </w:r>
      <w:r>
        <w:rPr/>
        <w:t>入所有者权益的其他综合收益部分按相应的比例转入当期损益。对于剩余股权， </w:t>
      </w:r>
      <w:r>
        <w:rPr>
          <w:spacing w:val="-3"/>
        </w:rPr>
        <w:t>按其账面价值确认为长期股权投资或其他相关金融资产，并按前述长期股权投资</w:t>
      </w:r>
      <w:r>
        <w:rPr>
          <w:spacing w:val="-104"/>
        </w:rPr>
        <w:t> </w:t>
      </w:r>
      <w:r>
        <w:rPr>
          <w:spacing w:val="-104"/>
        </w:rPr>
      </w:r>
      <w:r>
        <w:rPr>
          <w:spacing w:val="-3"/>
        </w:rPr>
        <w:t>或金融资产的会计政策进行后续计量。涉及对剩余股权由成本法转为权益法核算</w:t>
      </w:r>
      <w:r>
        <w:rPr>
          <w:spacing w:val="-104"/>
        </w:rPr>
        <w:t> </w:t>
      </w:r>
      <w:r>
        <w:rPr>
          <w:spacing w:val="-104"/>
        </w:rPr>
      </w:r>
      <w:r>
        <w:rPr/>
        <w:t>的，按相关规定进行追溯调整。</w:t>
      </w:r>
    </w:p>
    <w:p>
      <w:pPr>
        <w:pStyle w:val="BodyText"/>
        <w:spacing w:line="562" w:lineRule="exact" w:before="16"/>
        <w:ind w:left="617" w:right="188"/>
        <w:jc w:val="left"/>
      </w:pPr>
      <w:r>
        <w:rPr/>
        <w:t>（</w:t>
      </w:r>
      <w:r>
        <w:rPr>
          <w:rFonts w:ascii="Times New Roman" w:hAnsi="Times New Roman" w:cs="Times New Roman" w:eastAsia="Times New Roman" w:hint="default"/>
        </w:rPr>
        <w:t>3</w:t>
      </w:r>
      <w:r>
        <w:rPr/>
        <w:t>）确定对被投资单位具有共同控制、重大影响的依据 </w:t>
      </w:r>
      <w:r>
        <w:rPr>
          <w:spacing w:val="-3"/>
        </w:rPr>
        <w:t>控制是指有权决定一个企业的财务和经营政策，并能据以从该企业的经营活</w:t>
      </w:r>
    </w:p>
    <w:p>
      <w:pPr>
        <w:pStyle w:val="BodyText"/>
        <w:spacing w:line="304" w:lineRule="auto" w:before="8"/>
        <w:ind w:right="179"/>
        <w:jc w:val="left"/>
      </w:pPr>
      <w:r>
        <w:rPr>
          <w:spacing w:val="-3"/>
        </w:rPr>
        <w:t>动中获取利益。共同控制是指按照合同约定对某项经济活动所共有的控制，仅在</w:t>
      </w:r>
      <w:r>
        <w:rPr>
          <w:spacing w:val="-103"/>
        </w:rPr>
        <w:t> </w:t>
      </w:r>
      <w:r>
        <w:rPr>
          <w:spacing w:val="-103"/>
        </w:rPr>
      </w:r>
      <w:r>
        <w:rPr/>
        <w:t>与该项经济活动相关的重要财务和经营决策需要分享控制权的投资方一致同意 </w:t>
      </w:r>
      <w:r>
        <w:rPr>
          <w:spacing w:val="-3"/>
        </w:rPr>
        <w:t>时存在。重大影响是指对一个企业的财务和经营政策有参与决策的权力，但并不</w:t>
      </w:r>
      <w:r>
        <w:rPr>
          <w:spacing w:val="-103"/>
        </w:rPr>
        <w:t> </w:t>
      </w:r>
      <w:r>
        <w:rPr>
          <w:spacing w:val="-103"/>
        </w:rPr>
      </w:r>
      <w:r>
        <w:rPr>
          <w:spacing w:val="-3"/>
        </w:rPr>
        <w:t>能够控制或者与其他方一起共同控制这些政策的制定。在确定能否对被投资单位</w:t>
      </w:r>
      <w:r>
        <w:rPr>
          <w:spacing w:val="-104"/>
        </w:rPr>
        <w:t> </w:t>
      </w:r>
      <w:r>
        <w:rPr>
          <w:spacing w:val="-104"/>
        </w:rPr>
      </w:r>
      <w:r>
        <w:rPr>
          <w:spacing w:val="-3"/>
        </w:rPr>
        <w:t>实施控制或施加重大影响时，已考虑投资企业和其他持有的被投资单位当期可转</w:t>
      </w:r>
      <w:r>
        <w:rPr>
          <w:spacing w:val="-104"/>
        </w:rPr>
        <w:t> </w:t>
      </w:r>
      <w:r>
        <w:rPr>
          <w:spacing w:val="-104"/>
        </w:rPr>
      </w:r>
      <w:r>
        <w:rPr/>
        <w:t>换公司债券、当期可执行认股权证等潜在表决权因素。</w:t>
      </w:r>
    </w:p>
    <w:p>
      <w:pPr>
        <w:pStyle w:val="BodyText"/>
        <w:spacing w:line="562" w:lineRule="exact" w:before="16"/>
        <w:ind w:left="617" w:right="329"/>
        <w:jc w:val="left"/>
      </w:pPr>
      <w:r>
        <w:rPr/>
        <w:t>（</w:t>
      </w:r>
      <w:r>
        <w:rPr>
          <w:rFonts w:ascii="Times New Roman" w:hAnsi="Times New Roman" w:cs="Times New Roman" w:eastAsia="Times New Roman" w:hint="default"/>
        </w:rPr>
        <w:t>4</w:t>
      </w:r>
      <w:r>
        <w:rPr/>
        <w:t>）减值测试方法及减值准备计提方法 本公司在每一个资产负债表日检查长期股权投资是否存在可能发生减值的</w:t>
      </w:r>
    </w:p>
    <w:p>
      <w:pPr>
        <w:pStyle w:val="BodyText"/>
        <w:spacing w:line="307" w:lineRule="auto" w:before="8"/>
        <w:ind w:right="179"/>
        <w:jc w:val="left"/>
      </w:pPr>
      <w:r>
        <w:rPr>
          <w:spacing w:val="-3"/>
        </w:rPr>
        <w:t>迹象。如果该资产存在减值迹象，则估计其可收回金额。如果资产的可收回金额</w:t>
      </w:r>
      <w:r>
        <w:rPr>
          <w:spacing w:val="-102"/>
        </w:rPr>
        <w:t> </w:t>
      </w:r>
      <w:r>
        <w:rPr>
          <w:spacing w:val="-102"/>
        </w:rPr>
      </w:r>
      <w:r>
        <w:rPr/>
        <w:t>低于其账面价值，按其差额计提资产减值准备，并计入当期损益。</w:t>
      </w:r>
    </w:p>
    <w:p>
      <w:pPr>
        <w:pStyle w:val="BodyText"/>
        <w:spacing w:line="240" w:lineRule="auto" w:before="180"/>
        <w:ind w:left="617" w:right="179"/>
        <w:jc w:val="left"/>
      </w:pPr>
      <w:r>
        <w:rPr/>
        <w:t>长期股权投资的减值损失一经确认，在以后会计期间不予转回。</w:t>
      </w:r>
    </w:p>
    <w:p>
      <w:pPr>
        <w:spacing w:line="240" w:lineRule="auto" w:before="1"/>
        <w:rPr>
          <w:rFonts w:ascii="宋体" w:hAnsi="宋体" w:cs="宋体" w:eastAsia="宋体" w:hint="default"/>
          <w:sz w:val="19"/>
          <w:szCs w:val="19"/>
        </w:rPr>
      </w:pPr>
    </w:p>
    <w:p>
      <w:pPr>
        <w:pStyle w:val="Heading3"/>
        <w:spacing w:line="240" w:lineRule="auto" w:before="0"/>
        <w:ind w:right="179"/>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617" w:right="179"/>
        <w:jc w:val="left"/>
      </w:pPr>
      <w:r>
        <w:rPr/>
        <w:t>（</w:t>
      </w:r>
      <w:r>
        <w:rPr>
          <w:rFonts w:ascii="Times New Roman" w:hAnsi="Times New Roman" w:cs="Times New Roman" w:eastAsia="Times New Roman" w:hint="default"/>
        </w:rPr>
        <w:t>1</w:t>
      </w:r>
      <w:r>
        <w:rPr/>
        <w:t>）固定资产确认条件</w:t>
      </w:r>
    </w:p>
    <w:p>
      <w:pPr>
        <w:spacing w:after="0" w:line="240" w:lineRule="auto"/>
        <w:jc w:val="left"/>
        <w:sectPr>
          <w:footerReference w:type="default" r:id="rId36"/>
          <w:pgSz w:w="11910" w:h="16840"/>
          <w:pgMar w:footer="979" w:header="850" w:top="1380" w:bottom="1160" w:left="1660" w:right="1600"/>
          <w:pgNumType w:start="91"/>
        </w:sectPr>
      </w:pPr>
    </w:p>
    <w:p>
      <w:pPr>
        <w:pStyle w:val="BodyText"/>
        <w:spacing w:line="307" w:lineRule="auto" w:before="93"/>
        <w:ind w:right="128" w:firstLine="480"/>
        <w:jc w:val="left"/>
      </w:pPr>
      <w:r>
        <w:rPr>
          <w:spacing w:val="-3"/>
        </w:rPr>
        <w:t>固定资产是指为生产商品、提供劳务、出租或经营管理而持有的，使用寿命</w:t>
      </w:r>
      <w:r>
        <w:rPr/>
        <w:t> 超过一个会计年度的有形资产。</w:t>
      </w:r>
    </w:p>
    <w:p>
      <w:pPr>
        <w:pStyle w:val="BodyText"/>
        <w:spacing w:line="564" w:lineRule="exact" w:before="9"/>
        <w:ind w:left="617" w:right="128"/>
        <w:jc w:val="left"/>
      </w:pPr>
      <w:r>
        <w:rPr/>
        <w:t>（</w:t>
      </w:r>
      <w:r>
        <w:rPr>
          <w:rFonts w:ascii="Times New Roman" w:hAnsi="Times New Roman" w:cs="Times New Roman" w:eastAsia="Times New Roman" w:hint="default"/>
        </w:rPr>
        <w:t>2</w:t>
      </w:r>
      <w:r>
        <w:rPr/>
        <w:t>）各类固定资产的折旧方法 </w:t>
      </w:r>
      <w:r>
        <w:rPr>
          <w:spacing w:val="-3"/>
        </w:rPr>
        <w:t>固定资产按成本并考虑预计弃置费用因素的影响进行初始计量。固定资产从</w:t>
      </w:r>
    </w:p>
    <w:p>
      <w:pPr>
        <w:pStyle w:val="BodyText"/>
        <w:spacing w:line="307" w:lineRule="auto" w:before="5"/>
        <w:ind w:right="0"/>
        <w:jc w:val="left"/>
      </w:pPr>
      <w:r>
        <w:rPr>
          <w:spacing w:val="-3"/>
        </w:rPr>
        <w:t>达到预定可使用状态的次月起，采用年限平均法在使用寿命内计提折旧。各类固</w:t>
      </w:r>
      <w:r>
        <w:rPr>
          <w:spacing w:val="-103"/>
        </w:rPr>
        <w:t> </w:t>
      </w:r>
      <w:r>
        <w:rPr>
          <w:spacing w:val="-103"/>
        </w:rPr>
      </w:r>
      <w:r>
        <w:rPr/>
        <w:t>定资产的使用寿命、预计净残值和年折旧率如下：</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707"/>
        <w:gridCol w:w="223"/>
        <w:gridCol w:w="1718"/>
        <w:gridCol w:w="226"/>
        <w:gridCol w:w="1610"/>
        <w:gridCol w:w="329"/>
        <w:gridCol w:w="1526"/>
      </w:tblGrid>
      <w:tr>
        <w:trPr>
          <w:trHeight w:val="274" w:hRule="exact"/>
        </w:trPr>
        <w:tc>
          <w:tcPr>
            <w:tcW w:w="2707"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类别</w:t>
            </w:r>
          </w:p>
        </w:tc>
        <w:tc>
          <w:tcPr>
            <w:tcW w:w="22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2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14" w:lineRule="exact"/>
              <w:ind w:right="3"/>
              <w:jc w:val="center"/>
              <w:rPr>
                <w:rFonts w:ascii="宋体" w:hAnsi="宋体" w:cs="宋体" w:eastAsia="宋体" w:hint="default"/>
                <w:sz w:val="20"/>
                <w:szCs w:val="20"/>
              </w:rPr>
            </w:pPr>
            <w:r>
              <w:rPr>
                <w:rFonts w:ascii="宋体" w:hAnsi="宋体" w:cs="宋体" w:eastAsia="宋体" w:hint="default"/>
                <w:sz w:val="20"/>
                <w:szCs w:val="20"/>
              </w:rPr>
              <w:t>残值率（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29"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14" w:lineRule="exact"/>
              <w:ind w:left="49" w:right="0"/>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2" w:hRule="exact"/>
        </w:trPr>
        <w:tc>
          <w:tcPr>
            <w:tcW w:w="270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23" w:type="dxa"/>
            <w:tcBorders>
              <w:top w:val="nil" w:sz="6" w:space="0" w:color="auto"/>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35</w:t>
            </w:r>
          </w:p>
        </w:tc>
        <w:tc>
          <w:tcPr>
            <w:tcW w:w="226"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29"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2.77</w:t>
            </w:r>
          </w:p>
        </w:tc>
      </w:tr>
      <w:tr>
        <w:trPr>
          <w:trHeight w:val="338"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22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20"/>
                <w:szCs w:val="20"/>
              </w:rPr>
            </w:pPr>
            <w:r>
              <w:rPr>
                <w:rFonts w:ascii="Times New Roman"/>
                <w:sz w:val="20"/>
              </w:rPr>
              <w:t>3-5</w:t>
            </w:r>
          </w:p>
        </w:tc>
        <w:tc>
          <w:tcPr>
            <w:tcW w:w="329"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Times New Roman" w:hAnsi="Times New Roman" w:cs="Times New Roman" w:eastAsia="Times New Roman" w:hint="default"/>
                <w:sz w:val="20"/>
                <w:szCs w:val="20"/>
              </w:rPr>
            </w:pPr>
            <w:r>
              <w:rPr>
                <w:rFonts w:ascii="Times New Roman"/>
                <w:sz w:val="20"/>
              </w:rPr>
              <w:t>19.00-19.40</w:t>
            </w:r>
          </w:p>
        </w:tc>
      </w:tr>
      <w:tr>
        <w:trPr>
          <w:trHeight w:val="275" w:hRule="exact"/>
        </w:trPr>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3"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20"/>
                <w:szCs w:val="20"/>
              </w:rPr>
            </w:pPr>
            <w:r>
              <w:rPr>
                <w:rFonts w:ascii="Times New Roman"/>
                <w:sz w:val="20"/>
              </w:rPr>
              <w:t>3-5</w:t>
            </w:r>
          </w:p>
        </w:tc>
        <w:tc>
          <w:tcPr>
            <w:tcW w:w="22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sz w:val="20"/>
              </w:rPr>
              <w:t>0-5</w:t>
            </w:r>
          </w:p>
        </w:tc>
        <w:tc>
          <w:tcPr>
            <w:tcW w:w="329"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20"/>
                <w:szCs w:val="20"/>
              </w:rPr>
            </w:pPr>
            <w:r>
              <w:rPr>
                <w:rFonts w:ascii="Times New Roman"/>
                <w:sz w:val="20"/>
              </w:rPr>
              <w:t>19.00-33.33</w:t>
            </w:r>
          </w:p>
        </w:tc>
      </w:tr>
    </w:tbl>
    <w:p>
      <w:pPr>
        <w:spacing w:line="240" w:lineRule="auto" w:before="0"/>
        <w:rPr>
          <w:rFonts w:ascii="宋体" w:hAnsi="宋体" w:cs="宋体" w:eastAsia="宋体" w:hint="default"/>
          <w:sz w:val="18"/>
          <w:szCs w:val="18"/>
        </w:rPr>
      </w:pPr>
    </w:p>
    <w:p>
      <w:pPr>
        <w:pStyle w:val="BodyText"/>
        <w:spacing w:line="307" w:lineRule="auto" w:before="26"/>
        <w:ind w:right="269" w:firstLine="480"/>
        <w:jc w:val="left"/>
      </w:pPr>
      <w:r>
        <w:rPr/>
        <w:t>预计净残值是指假定固定资产预计使用寿命已满并处于使用寿命终了时的 预期状态，本公司目前从该项资产处置中获得的扣除预计处置费用后的金额。</w:t>
      </w:r>
    </w:p>
    <w:p>
      <w:pPr>
        <w:pStyle w:val="BodyText"/>
        <w:spacing w:line="562" w:lineRule="exact" w:before="13"/>
        <w:ind w:left="617" w:right="162"/>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固定资产的减值测试方法和减值准备计提方法详见附注四、</w:t>
      </w:r>
      <w:r>
        <w:rPr>
          <w:rFonts w:ascii="Times New Roman" w:hAnsi="Times New Roman" w:cs="Times New Roman" w:eastAsia="Times New Roman" w:hint="default"/>
        </w:rPr>
        <w:t>15“</w:t>
      </w:r>
      <w:r>
        <w:rPr/>
        <w:t>非流动非金</w:t>
      </w:r>
    </w:p>
    <w:p>
      <w:pPr>
        <w:pStyle w:val="BodyText"/>
        <w:spacing w:line="240" w:lineRule="auto" w:before="8"/>
        <w:ind w:right="0"/>
        <w:jc w:val="left"/>
      </w:pPr>
      <w:r>
        <w:rPr/>
        <w:t>融资产减值</w:t>
      </w:r>
      <w:r>
        <w:rPr>
          <w:rFonts w:ascii="Times New Roman" w:hAnsi="Times New Roman" w:cs="Times New Roman" w:eastAsia="Times New Roman" w:hint="default"/>
        </w:rPr>
        <w:t>”</w:t>
      </w:r>
      <w:r>
        <w:rPr/>
        <w:t>。</w:t>
      </w:r>
    </w:p>
    <w:p>
      <w:pPr>
        <w:pStyle w:val="BodyText"/>
        <w:spacing w:line="540" w:lineRule="atLeast" w:before="24"/>
        <w:ind w:left="617" w:right="128"/>
        <w:jc w:val="left"/>
      </w:pPr>
      <w:r>
        <w:rPr/>
        <w:t>（</w:t>
      </w:r>
      <w:r>
        <w:rPr>
          <w:rFonts w:ascii="Times New Roman" w:hAnsi="Times New Roman" w:cs="Times New Roman" w:eastAsia="Times New Roman" w:hint="default"/>
        </w:rPr>
        <w:t>4</w:t>
      </w:r>
      <w:r>
        <w:rPr/>
        <w:t>）融资租入固定资产的认定依据及计价方法 </w:t>
      </w:r>
      <w:r>
        <w:rPr>
          <w:spacing w:val="-3"/>
        </w:rPr>
        <w:t>融资租赁为实质上转移了与资产所有权有关的全部风险和报酬的租赁，其所</w:t>
      </w:r>
    </w:p>
    <w:p>
      <w:pPr>
        <w:pStyle w:val="BodyText"/>
        <w:spacing w:line="304" w:lineRule="auto" w:before="86"/>
        <w:ind w:right="0"/>
        <w:jc w:val="left"/>
      </w:pPr>
      <w:r>
        <w:rPr>
          <w:spacing w:val="-3"/>
        </w:rPr>
        <w:t>有权最终可能转移，也可能不转移。以融资租赁方式租入的固定资产采用与自有</w:t>
      </w:r>
      <w:r>
        <w:rPr>
          <w:spacing w:val="-103"/>
        </w:rPr>
        <w:t> </w:t>
      </w:r>
      <w:r>
        <w:rPr>
          <w:spacing w:val="-103"/>
        </w:rPr>
      </w:r>
      <w:r>
        <w:rPr>
          <w:spacing w:val="-3"/>
        </w:rPr>
        <w:t>固定资产一致的政策计提租赁资产折旧。能够合理确定租赁期届满时取得租赁资</w:t>
      </w:r>
      <w:r>
        <w:rPr>
          <w:spacing w:val="-104"/>
        </w:rPr>
        <w:t> </w:t>
      </w:r>
      <w:r>
        <w:rPr>
          <w:spacing w:val="-104"/>
        </w:rPr>
      </w:r>
      <w:r>
        <w:rPr>
          <w:spacing w:val="-3"/>
        </w:rPr>
        <w:t>产所有权的在租赁资产使用寿命内计提折旧，无法合理确定租赁期届满能够取得</w:t>
      </w:r>
      <w:r>
        <w:rPr>
          <w:spacing w:val="-104"/>
        </w:rPr>
        <w:t> </w:t>
      </w:r>
      <w:r>
        <w:rPr>
          <w:spacing w:val="-104"/>
        </w:rPr>
      </w:r>
      <w:r>
        <w:rPr/>
        <w:t>租赁资产所有权的，在租赁期与租赁资产使用寿命两者中较短的期间内计提折 旧。</w:t>
      </w:r>
    </w:p>
    <w:p>
      <w:pPr>
        <w:pStyle w:val="BodyText"/>
        <w:spacing w:line="564" w:lineRule="exact" w:before="14"/>
        <w:ind w:left="617" w:right="128"/>
        <w:jc w:val="left"/>
      </w:pPr>
      <w:r>
        <w:rPr/>
        <w:t>（</w:t>
      </w:r>
      <w:r>
        <w:rPr>
          <w:rFonts w:ascii="Times New Roman" w:hAnsi="Times New Roman" w:cs="Times New Roman" w:eastAsia="Times New Roman" w:hint="default"/>
        </w:rPr>
        <w:t>5</w:t>
      </w:r>
      <w:r>
        <w:rPr/>
        <w:t>）其他说明 </w:t>
      </w:r>
      <w:r>
        <w:rPr>
          <w:spacing w:val="-3"/>
        </w:rPr>
        <w:t>与固定资产有关的后续支出，如果与该固定资产有关的经济利益很可能流入</w:t>
      </w:r>
    </w:p>
    <w:p>
      <w:pPr>
        <w:pStyle w:val="BodyText"/>
        <w:spacing w:line="307" w:lineRule="auto" w:before="5"/>
        <w:ind w:right="0"/>
        <w:jc w:val="left"/>
      </w:pPr>
      <w:r>
        <w:rPr>
          <w:spacing w:val="-3"/>
        </w:rPr>
        <w:t>且其成本能可靠地计量，则计入固定资产成本，并终止确认被替换部分的账面价</w:t>
      </w:r>
      <w:r>
        <w:rPr>
          <w:spacing w:val="-103"/>
        </w:rPr>
        <w:t> </w:t>
      </w:r>
      <w:r>
        <w:rPr>
          <w:spacing w:val="-103"/>
        </w:rPr>
      </w:r>
      <w:r>
        <w:rPr/>
        <w:t>值。除此以外的其他后续支出，在发生时计入当期损益。</w:t>
      </w:r>
    </w:p>
    <w:p>
      <w:pPr>
        <w:pStyle w:val="BodyText"/>
        <w:spacing w:line="304" w:lineRule="auto" w:before="182"/>
        <w:ind w:right="128" w:firstLine="480"/>
        <w:jc w:val="left"/>
      </w:pPr>
      <w:r>
        <w:rPr>
          <w:spacing w:val="-3"/>
        </w:rPr>
        <w:t>固定资产出售、转让、报废或毁损的处置收入扣除其账面价值和相关税费后</w:t>
      </w:r>
      <w:r>
        <w:rPr/>
        <w:t> 的差额计入当期损益。</w:t>
      </w:r>
    </w:p>
    <w:p>
      <w:pPr>
        <w:pStyle w:val="BodyText"/>
        <w:spacing w:line="304" w:lineRule="auto" w:before="185"/>
        <w:ind w:right="128" w:firstLine="480"/>
        <w:jc w:val="left"/>
      </w:pPr>
      <w:r>
        <w:rPr>
          <w:spacing w:val="-3"/>
        </w:rPr>
        <w:t>本公司至少于年度终了对固定资产的使用寿命、预计净残值和折旧方法进行</w:t>
      </w:r>
      <w:r>
        <w:rPr/>
        <w:t> 复核，如发生改变则作为会计估计变更处理。</w:t>
      </w:r>
    </w:p>
    <w:p>
      <w:pPr>
        <w:spacing w:after="0" w:line="304" w:lineRule="auto"/>
        <w:jc w:val="left"/>
        <w:sectPr>
          <w:pgSz w:w="11910" w:h="16840"/>
          <w:pgMar w:header="850" w:footer="979" w:top="1380" w:bottom="1160" w:left="1660" w:right="1660"/>
        </w:sectPr>
      </w:pPr>
    </w:p>
    <w:p>
      <w:pPr>
        <w:pStyle w:val="Heading3"/>
        <w:spacing w:line="240" w:lineRule="auto" w:before="93"/>
        <w:ind w:right="179"/>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9"/>
        <w:rPr>
          <w:rFonts w:ascii="宋体" w:hAnsi="宋体" w:cs="宋体" w:eastAsia="宋体" w:hint="default"/>
          <w:b/>
          <w:bCs/>
          <w:sz w:val="17"/>
          <w:szCs w:val="17"/>
        </w:rPr>
      </w:pPr>
    </w:p>
    <w:p>
      <w:pPr>
        <w:pStyle w:val="BodyText"/>
        <w:spacing w:line="304" w:lineRule="auto"/>
        <w:ind w:right="188" w:firstLine="480"/>
        <w:jc w:val="left"/>
      </w:pPr>
      <w:r>
        <w:rPr>
          <w:spacing w:val="-3"/>
        </w:rPr>
        <w:t>在建工程成本按实际工程支出确定，包括在建期间发生的各项工程支出、以</w:t>
      </w:r>
      <w:r>
        <w:rPr/>
        <w:t> 及其他相关费用等。在建工程在达到预定可使用状态后结转为固定资产。</w:t>
      </w:r>
    </w:p>
    <w:p>
      <w:pPr>
        <w:pStyle w:val="BodyText"/>
        <w:spacing w:line="288" w:lineRule="auto" w:before="185"/>
        <w:ind w:right="179" w:firstLine="480"/>
        <w:jc w:val="left"/>
      </w:pPr>
      <w:r>
        <w:rPr/>
        <w:t>在建工程的减值测试方法和减值准备计提方法详见附注四、</w:t>
      </w:r>
      <w:r>
        <w:rPr>
          <w:rFonts w:ascii="Times New Roman" w:hAnsi="Times New Roman" w:cs="Times New Roman" w:eastAsia="Times New Roman" w:hint="default"/>
        </w:rPr>
        <w:t>15“</w:t>
      </w:r>
      <w:r>
        <w:rPr/>
        <w:t>非流动非金</w:t>
      </w:r>
      <w:r>
        <w:rPr>
          <w:spacing w:val="2"/>
        </w:rPr>
        <w:t> </w:t>
      </w:r>
      <w:r>
        <w:rPr/>
        <w:t>融资产减值</w:t>
      </w:r>
      <w:r>
        <w:rPr>
          <w:rFonts w:ascii="Times New Roman" w:hAnsi="Times New Roman" w:cs="Times New Roman" w:eastAsia="Times New Roman" w:hint="default"/>
        </w:rPr>
        <w:t>”</w:t>
      </w:r>
      <w:r>
        <w:rPr/>
        <w:t>。</w:t>
      </w:r>
    </w:p>
    <w:p>
      <w:pPr>
        <w:pStyle w:val="Heading3"/>
        <w:spacing w:line="240" w:lineRule="auto" w:before="178"/>
        <w:ind w:right="179"/>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9"/>
        <w:rPr>
          <w:rFonts w:ascii="宋体" w:hAnsi="宋体" w:cs="宋体" w:eastAsia="宋体" w:hint="default"/>
          <w:b/>
          <w:bCs/>
          <w:sz w:val="17"/>
          <w:szCs w:val="17"/>
        </w:rPr>
      </w:pPr>
    </w:p>
    <w:p>
      <w:pPr>
        <w:pStyle w:val="BodyText"/>
        <w:spacing w:line="405" w:lineRule="auto"/>
        <w:ind w:left="617" w:right="89"/>
        <w:jc w:val="left"/>
      </w:pPr>
      <w:r>
        <w:rPr/>
        <w:t>（</w:t>
      </w:r>
      <w:r>
        <w:rPr>
          <w:rFonts w:ascii="Times New Roman" w:hAnsi="Times New Roman" w:cs="Times New Roman" w:eastAsia="Times New Roman" w:hint="default"/>
        </w:rPr>
        <w:t>1</w:t>
      </w:r>
      <w:r>
        <w:rPr/>
        <w:t>）无形资产 无形资产是指本公司拥有或者控制的没有实物形态的可辨认非货币性资产。</w:t>
      </w:r>
    </w:p>
    <w:p>
      <w:pPr>
        <w:pStyle w:val="BodyText"/>
        <w:spacing w:line="304" w:lineRule="auto" w:before="84"/>
        <w:ind w:right="193" w:firstLine="480"/>
        <w:jc w:val="both"/>
      </w:pPr>
      <w:r>
        <w:rPr>
          <w:spacing w:val="-3"/>
        </w:rPr>
        <w:t>无形资产按成本进行初始计量。与无形资产有关的支出，如果相关的经济利</w:t>
      </w:r>
      <w:r>
        <w:rPr/>
        <w:t> </w:t>
      </w:r>
      <w:r>
        <w:rPr>
          <w:spacing w:val="-3"/>
        </w:rPr>
        <w:t>益很可能流入本公司且其成本能可靠地计量，则计入无形资产成本。除此以外的</w:t>
      </w:r>
      <w:r>
        <w:rPr>
          <w:spacing w:val="-103"/>
        </w:rPr>
        <w:t> </w:t>
      </w:r>
      <w:r>
        <w:rPr>
          <w:spacing w:val="-103"/>
        </w:rPr>
      </w:r>
      <w:r>
        <w:rPr/>
        <w:t>其他项目的支出，在发生时计入当期损益。</w:t>
      </w:r>
    </w:p>
    <w:p>
      <w:pPr>
        <w:pStyle w:val="BodyText"/>
        <w:spacing w:line="304" w:lineRule="auto" w:before="185"/>
        <w:ind w:right="193" w:firstLine="480"/>
        <w:jc w:val="both"/>
      </w:pPr>
      <w:r>
        <w:rPr>
          <w:spacing w:val="-3"/>
        </w:rPr>
        <w:t>取得的土地使用权通常作为无形资产核算。自行开发建造厂房等建筑物，相</w:t>
      </w:r>
      <w:r>
        <w:rPr/>
        <w:t> </w:t>
      </w:r>
      <w:r>
        <w:rPr>
          <w:spacing w:val="-3"/>
        </w:rPr>
        <w:t>关的土地使用权支出和建筑物建造成本则分别作为无形资产和固定资产核算。如</w:t>
      </w:r>
      <w:r>
        <w:rPr>
          <w:spacing w:val="-104"/>
        </w:rPr>
        <w:t> </w:t>
      </w:r>
      <w:r>
        <w:rPr>
          <w:spacing w:val="-104"/>
        </w:rPr>
      </w:r>
      <w:r>
        <w:rPr>
          <w:spacing w:val="-3"/>
        </w:rPr>
        <w:t>为外购的房屋及建筑物，则将有关价款在土地使用权和建筑物之间进行分配，难</w:t>
      </w:r>
      <w:r>
        <w:rPr>
          <w:spacing w:val="-103"/>
        </w:rPr>
        <w:t> </w:t>
      </w:r>
      <w:r>
        <w:rPr>
          <w:spacing w:val="-103"/>
        </w:rPr>
      </w:r>
      <w:r>
        <w:rPr/>
        <w:t>以合理分配的，全部作为固定资产处理。</w:t>
      </w:r>
    </w:p>
    <w:p>
      <w:pPr>
        <w:pStyle w:val="BodyText"/>
        <w:spacing w:line="307" w:lineRule="auto" w:before="182"/>
        <w:ind w:right="188" w:firstLine="480"/>
        <w:jc w:val="left"/>
      </w:pPr>
      <w:r>
        <w:rPr>
          <w:spacing w:val="-3"/>
        </w:rPr>
        <w:t>使用寿命有限的无形资产自可供使用时起，对其原值在其预计使用寿命内采</w:t>
      </w:r>
      <w:r>
        <w:rPr/>
        <w:t> 用直线法分期平均摊销。使用寿命不确定的无形资产不予摊销。</w:t>
      </w:r>
    </w:p>
    <w:p>
      <w:pPr>
        <w:pStyle w:val="BodyText"/>
        <w:spacing w:line="304" w:lineRule="auto" w:before="182"/>
        <w:ind w:right="188" w:firstLine="480"/>
        <w:jc w:val="left"/>
      </w:pPr>
      <w:r>
        <w:rPr>
          <w:spacing w:val="-3"/>
        </w:rPr>
        <w:t>期末，对使用寿命有限的无形资产的使用寿命和摊销方法进行复核，如发生</w:t>
      </w:r>
      <w:r>
        <w:rPr/>
        <w:t> </w:t>
      </w:r>
      <w:r>
        <w:rPr>
          <w:spacing w:val="-3"/>
        </w:rPr>
        <w:t>变更则作为会计估计变更处理。此外，还对使用寿命不确定的无形资产的使用寿</w:t>
      </w:r>
      <w:r>
        <w:rPr>
          <w:spacing w:val="-106"/>
        </w:rPr>
        <w:t> </w:t>
      </w:r>
      <w:r>
        <w:rPr>
          <w:spacing w:val="-106"/>
        </w:rPr>
      </w:r>
      <w:r>
        <w:rPr/>
        <w:t>命进行复核，如果有证据表明该无形资产为企业带来经济利益的期限是可预见 的，则估计其使用寿命并按照使用寿命有限的无形资产的摊销政策进行摊销。</w:t>
      </w:r>
    </w:p>
    <w:p>
      <w:pPr>
        <w:pStyle w:val="BodyText"/>
        <w:spacing w:line="417" w:lineRule="auto" w:before="182"/>
        <w:ind w:left="617" w:right="179"/>
        <w:jc w:val="left"/>
      </w:pPr>
      <w:r>
        <w:rPr/>
        <w:t>（</w:t>
      </w:r>
      <w:r>
        <w:rPr>
          <w:rFonts w:ascii="Times New Roman" w:hAnsi="Times New Roman" w:cs="Times New Roman" w:eastAsia="Times New Roman" w:hint="default"/>
        </w:rPr>
        <w:t>2</w:t>
      </w:r>
      <w:r>
        <w:rPr/>
        <w:t>）研究与开发支出 本公司内部研究开发项目的支出分为研究阶段支出与开发阶段支出。 研究阶段的支出，于发生时计入当期损益。</w:t>
      </w:r>
    </w:p>
    <w:p>
      <w:pPr>
        <w:pStyle w:val="BodyText"/>
        <w:spacing w:line="307" w:lineRule="auto" w:before="72"/>
        <w:ind w:right="188" w:firstLine="480"/>
        <w:jc w:val="left"/>
      </w:pPr>
      <w:r>
        <w:rPr>
          <w:spacing w:val="-3"/>
        </w:rPr>
        <w:t>开发阶段的支出同时满足下列条件的，确认为无形资产，不能满足下述条件</w:t>
      </w:r>
      <w:r>
        <w:rPr/>
        <w:t> 的开发阶段的支出计入当期损益：</w:t>
      </w:r>
    </w:p>
    <w:p>
      <w:pPr>
        <w:pStyle w:val="BodyText"/>
        <w:spacing w:line="240" w:lineRule="auto" w:before="180"/>
        <w:ind w:left="617" w:right="179"/>
        <w:jc w:val="left"/>
      </w:pPr>
      <w:r>
        <w:rPr/>
        <w:t>① 完成该无形资产以使其能够使用或出售在技术上具有可行性；</w:t>
      </w:r>
    </w:p>
    <w:p>
      <w:pPr>
        <w:spacing w:line="240" w:lineRule="auto" w:before="1"/>
        <w:rPr>
          <w:rFonts w:ascii="宋体" w:hAnsi="宋体" w:cs="宋体" w:eastAsia="宋体" w:hint="default"/>
          <w:sz w:val="19"/>
          <w:szCs w:val="19"/>
        </w:rPr>
      </w:pPr>
    </w:p>
    <w:p>
      <w:pPr>
        <w:pStyle w:val="BodyText"/>
        <w:spacing w:line="240" w:lineRule="auto"/>
        <w:ind w:left="617" w:right="179"/>
        <w:jc w:val="left"/>
      </w:pPr>
      <w:r>
        <w:rPr/>
        <w:t>② 具有完成该无形资产并使用或出售的意图；</w:t>
      </w:r>
    </w:p>
    <w:p>
      <w:pPr>
        <w:spacing w:after="0" w:line="240" w:lineRule="auto"/>
        <w:jc w:val="left"/>
        <w:sectPr>
          <w:pgSz w:w="11910" w:h="16840"/>
          <w:pgMar w:header="850" w:footer="979" w:top="1380" w:bottom="1160" w:left="1660" w:right="1600"/>
        </w:sectPr>
      </w:pPr>
    </w:p>
    <w:p>
      <w:pPr>
        <w:pStyle w:val="BodyText"/>
        <w:spacing w:line="304" w:lineRule="auto" w:before="93"/>
        <w:ind w:right="133" w:firstLine="480"/>
        <w:jc w:val="both"/>
      </w:pPr>
      <w:r>
        <w:rPr/>
        <w:t>③ 无形资产产生经济利益的方式，包括能够证明运用该无形资产生产的产 </w:t>
      </w:r>
      <w:r>
        <w:rPr>
          <w:spacing w:val="-3"/>
        </w:rPr>
        <w:t>品存在市场或无形资产自身存在市场，无形资产将在内部使用的，能够证明其有</w:t>
      </w:r>
      <w:r>
        <w:rPr>
          <w:spacing w:val="-103"/>
        </w:rPr>
        <w:t> </w:t>
      </w:r>
      <w:r>
        <w:rPr>
          <w:spacing w:val="-103"/>
        </w:rPr>
      </w:r>
      <w:r>
        <w:rPr/>
        <w:t>用性；</w:t>
      </w:r>
    </w:p>
    <w:p>
      <w:pPr>
        <w:pStyle w:val="BodyText"/>
        <w:spacing w:line="307" w:lineRule="auto" w:before="185"/>
        <w:ind w:right="166" w:firstLine="480"/>
        <w:jc w:val="both"/>
      </w:pPr>
      <w:r>
        <w:rPr/>
        <w:t>④ 有足够的技术、财务资源和其他资源支持，以完成该无形资产的开发， 并有能力使用或出售该无形资产；</w:t>
      </w:r>
    </w:p>
    <w:p>
      <w:pPr>
        <w:pStyle w:val="BodyText"/>
        <w:spacing w:line="564" w:lineRule="exact" w:before="9"/>
        <w:ind w:left="617" w:right="128"/>
        <w:jc w:val="left"/>
      </w:pPr>
      <w:r>
        <w:rPr/>
        <w:t>⑤ 归属于该无形资产开发阶段的支出能够可靠地计量。 </w:t>
      </w:r>
      <w:r>
        <w:rPr>
          <w:spacing w:val="-3"/>
        </w:rPr>
        <w:t>无法区分研究阶段支出和开发阶段支出的，将发生的研发支出全部计入当期</w:t>
      </w:r>
    </w:p>
    <w:p>
      <w:pPr>
        <w:pStyle w:val="BodyText"/>
        <w:spacing w:line="240" w:lineRule="auto" w:before="5"/>
        <w:ind w:right="0"/>
        <w:jc w:val="both"/>
      </w:pPr>
      <w:r>
        <w:rPr/>
        <w:t>损益。</w:t>
      </w:r>
    </w:p>
    <w:p>
      <w:pPr>
        <w:pStyle w:val="BodyText"/>
        <w:spacing w:line="560" w:lineRule="atLeast" w:before="22"/>
        <w:ind w:left="617" w:right="162"/>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15“</w:t>
      </w:r>
      <w:r>
        <w:rPr/>
        <w:t>非流动非金</w:t>
      </w:r>
    </w:p>
    <w:p>
      <w:pPr>
        <w:pStyle w:val="BodyText"/>
        <w:spacing w:line="240" w:lineRule="auto" w:before="66"/>
        <w:ind w:right="0"/>
        <w:jc w:val="both"/>
      </w:pPr>
      <w:r>
        <w:rPr/>
        <w:t>融资产减值</w:t>
      </w:r>
      <w:r>
        <w:rPr>
          <w:rFonts w:ascii="Times New Roman" w:hAnsi="Times New Roman" w:cs="Times New Roman" w:eastAsia="Times New Roman" w:hint="default"/>
        </w:rPr>
        <w:t>”</w:t>
      </w:r>
      <w:r>
        <w:rPr/>
        <w:t>。</w:t>
      </w:r>
    </w:p>
    <w:p>
      <w:pPr>
        <w:spacing w:line="540" w:lineRule="atLeast" w:before="24"/>
        <w:ind w:left="617" w:right="26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长期待摊费用为已经发生但应由报告期和以后各期负担的分摊期限在一年</w:t>
      </w:r>
    </w:p>
    <w:p>
      <w:pPr>
        <w:pStyle w:val="BodyText"/>
        <w:spacing w:line="240" w:lineRule="auto" w:before="86"/>
        <w:ind w:right="0"/>
        <w:jc w:val="both"/>
      </w:pPr>
      <w:r>
        <w:rPr/>
        <w:t>以上的各项费用。长期待摊费用在预计受益期间按直线法摊销。</w:t>
      </w:r>
    </w:p>
    <w:p>
      <w:pPr>
        <w:spacing w:line="540" w:lineRule="atLeast" w:before="42"/>
        <w:ind w:left="617" w:right="12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、非流动非金融资产减值</w:t>
      </w:r>
      <w:r>
        <w:rPr>
          <w:rFonts w:ascii="宋体" w:hAnsi="宋体" w:cs="宋体" w:eastAsia="宋体" w:hint="default"/>
          <w:b/>
          <w:bCs/>
          <w:w w:val="99"/>
          <w:sz w:val="24"/>
          <w:szCs w:val="24"/>
        </w:rPr>
        <w:t> </w:t>
      </w:r>
      <w:r>
        <w:rPr>
          <w:rFonts w:ascii="宋体" w:hAnsi="宋体" w:cs="宋体" w:eastAsia="宋体" w:hint="default"/>
          <w:spacing w:val="-3"/>
          <w:sz w:val="24"/>
          <w:szCs w:val="24"/>
        </w:rPr>
        <w:t>对于固定资产、在建工程、使用寿命有限的无形资产、以成本模式计量的投</w:t>
      </w:r>
    </w:p>
    <w:p>
      <w:pPr>
        <w:pStyle w:val="BodyText"/>
        <w:spacing w:line="304" w:lineRule="auto" w:before="86"/>
        <w:ind w:right="133"/>
        <w:jc w:val="both"/>
      </w:pPr>
      <w:r>
        <w:rPr>
          <w:spacing w:val="-3"/>
        </w:rPr>
        <w:t>资性房地产及对子公司、合营企业、联营企业的长期股权投资等非流动非金融资</w:t>
      </w:r>
      <w:r>
        <w:rPr>
          <w:spacing w:val="-106"/>
        </w:rPr>
        <w:t> </w:t>
      </w:r>
      <w:r>
        <w:rPr>
          <w:spacing w:val="-106"/>
        </w:rPr>
      </w:r>
      <w:r>
        <w:rPr>
          <w:spacing w:val="-3"/>
        </w:rPr>
        <w:t>产，本公司于资产负债表日判断是否存在减值迹象。如存在减值迹象的，则估计</w:t>
      </w:r>
      <w:r>
        <w:rPr>
          <w:spacing w:val="-102"/>
        </w:rPr>
        <w:t> </w:t>
      </w:r>
      <w:r>
        <w:rPr>
          <w:spacing w:val="-102"/>
        </w:rPr>
      </w:r>
      <w:r>
        <w:rPr>
          <w:spacing w:val="-3"/>
        </w:rPr>
        <w:t>其可收回金额，进行减值测试。商誉、使用寿命不确定的无形资产和尚未达到可</w:t>
      </w:r>
      <w:r>
        <w:rPr>
          <w:spacing w:val="-102"/>
        </w:rPr>
        <w:t> </w:t>
      </w:r>
      <w:r>
        <w:rPr>
          <w:spacing w:val="-102"/>
        </w:rPr>
      </w:r>
      <w:r>
        <w:rPr/>
        <w:t>使用状态的无形资产，无论是否存在减值迹象，每年均进行减值测试。</w:t>
      </w:r>
    </w:p>
    <w:p>
      <w:pPr>
        <w:pStyle w:val="BodyText"/>
        <w:spacing w:line="304" w:lineRule="auto" w:before="185"/>
        <w:ind w:right="133" w:firstLine="480"/>
        <w:jc w:val="both"/>
      </w:pPr>
      <w:r>
        <w:rPr>
          <w:spacing w:val="-3"/>
        </w:rPr>
        <w:t>减值测试结果表明资产的可收回金额低于其账面价值的，按其差额计提减值</w:t>
      </w:r>
      <w:r>
        <w:rPr/>
        <w:t> </w:t>
      </w:r>
      <w:r>
        <w:rPr>
          <w:spacing w:val="-3"/>
        </w:rPr>
        <w:t>准备并计入减值损失。可收回金额为资产的公允价值减去处置费用后的净额与资</w:t>
      </w:r>
      <w:r>
        <w:rPr>
          <w:spacing w:val="-104"/>
        </w:rPr>
        <w:t> </w:t>
      </w:r>
      <w:r>
        <w:rPr>
          <w:spacing w:val="-104"/>
        </w:rPr>
      </w:r>
      <w:r>
        <w:rPr>
          <w:spacing w:val="-3"/>
        </w:rPr>
        <w:t>产预计未来现金流量的现值两者之间的较高者。资产的公允价值根据公平交易中</w:t>
      </w:r>
      <w:r>
        <w:rPr>
          <w:spacing w:val="-104"/>
        </w:rPr>
        <w:t> </w:t>
      </w:r>
      <w:r>
        <w:rPr>
          <w:spacing w:val="-104"/>
        </w:rPr>
      </w:r>
      <w:r>
        <w:rPr>
          <w:spacing w:val="-3"/>
        </w:rPr>
        <w:t>销售协议价格确定；不存在销售协议但存在资产活跃市场的，公允价值按照该资</w:t>
      </w:r>
      <w:r>
        <w:rPr>
          <w:spacing w:val="-103"/>
        </w:rPr>
        <w:t> </w:t>
      </w:r>
      <w:r>
        <w:rPr>
          <w:spacing w:val="-103"/>
        </w:rPr>
      </w:r>
      <w:r>
        <w:rPr>
          <w:spacing w:val="-3"/>
        </w:rPr>
        <w:t>产的买方出价确定；不存在销售协议和资产活跃市场的，则以可获取的最佳信息</w:t>
      </w:r>
      <w:r>
        <w:rPr>
          <w:spacing w:val="-103"/>
        </w:rPr>
        <w:t> </w:t>
      </w:r>
      <w:r>
        <w:rPr>
          <w:spacing w:val="-103"/>
        </w:rPr>
      </w:r>
      <w:r>
        <w:rPr>
          <w:spacing w:val="-3"/>
        </w:rPr>
        <w:t>为基础估计资产的公允价值。处置费用包括与资产处置有关的法律费用、相关税</w:t>
      </w:r>
      <w:r>
        <w:rPr>
          <w:spacing w:val="-103"/>
        </w:rPr>
        <w:t> </w:t>
      </w:r>
      <w:r>
        <w:rPr>
          <w:spacing w:val="-103"/>
        </w:rPr>
      </w:r>
      <w:r>
        <w:rPr>
          <w:spacing w:val="-3"/>
        </w:rPr>
        <w:t>费、搬运费以及为使资产达到可销售状态所发生的直接费用。资产预计未来现金</w:t>
      </w:r>
      <w:r>
        <w:rPr>
          <w:spacing w:val="-103"/>
        </w:rPr>
        <w:t> </w:t>
      </w:r>
      <w:r>
        <w:rPr>
          <w:spacing w:val="-103"/>
        </w:rPr>
      </w:r>
      <w:r>
        <w:rPr>
          <w:spacing w:val="-3"/>
        </w:rPr>
        <w:t>流量的现值，按照资产在持续使用过程中和最终处置时所产生的预计未来现金流</w:t>
      </w:r>
      <w:r>
        <w:rPr>
          <w:spacing w:val="-104"/>
        </w:rPr>
        <w:t> </w:t>
      </w:r>
      <w:r>
        <w:rPr>
          <w:spacing w:val="-104"/>
        </w:rPr>
      </w:r>
      <w:r>
        <w:rPr>
          <w:spacing w:val="-3"/>
        </w:rPr>
        <w:t>量，选择恰当的折现率对其进行折现后的金额加以确定。资产减值准备按单项资</w:t>
      </w:r>
      <w:r>
        <w:rPr>
          <w:spacing w:val="-103"/>
        </w:rPr>
        <w:t> </w:t>
      </w:r>
      <w:r>
        <w:rPr>
          <w:spacing w:val="-103"/>
        </w:rPr>
      </w:r>
      <w:r>
        <w:rPr>
          <w:spacing w:val="-3"/>
        </w:rPr>
        <w:t>产为基础计算并确认，如果难以对单项资产的可收回金额进行估计的，以该资产</w:t>
      </w:r>
    </w:p>
    <w:p>
      <w:pPr>
        <w:spacing w:after="0" w:line="304" w:lineRule="auto"/>
        <w:jc w:val="both"/>
        <w:sectPr>
          <w:pgSz w:w="11910" w:h="16840"/>
          <w:pgMar w:header="850" w:footer="979" w:top="1380" w:bottom="1160" w:left="1660" w:right="1660"/>
        </w:sectPr>
      </w:pPr>
    </w:p>
    <w:p>
      <w:pPr>
        <w:pStyle w:val="BodyText"/>
        <w:spacing w:line="307" w:lineRule="auto" w:before="93"/>
        <w:ind w:right="194"/>
        <w:jc w:val="left"/>
      </w:pPr>
      <w:r>
        <w:rPr>
          <w:spacing w:val="-3"/>
        </w:rPr>
        <w:t>所属的资产组确定资产组的可收回金额。资产组是能够独立产生现金流入的最小</w:t>
      </w:r>
      <w:r>
        <w:rPr>
          <w:spacing w:val="-104"/>
        </w:rPr>
        <w:t> </w:t>
      </w:r>
      <w:r>
        <w:rPr>
          <w:spacing w:val="-104"/>
        </w:rPr>
      </w:r>
      <w:r>
        <w:rPr/>
        <w:t>资产组合。</w:t>
      </w:r>
    </w:p>
    <w:p>
      <w:pPr>
        <w:pStyle w:val="BodyText"/>
        <w:spacing w:line="304" w:lineRule="auto" w:before="180"/>
        <w:ind w:right="188" w:firstLine="480"/>
        <w:jc w:val="left"/>
      </w:pPr>
      <w:r>
        <w:rPr>
          <w:spacing w:val="-3"/>
        </w:rPr>
        <w:t>在财务报表中单独列示的商誉，在进行减值测试时，将商誉的账面价值分摊</w:t>
      </w:r>
      <w:r>
        <w:rPr/>
        <w:t> </w:t>
      </w:r>
      <w:r>
        <w:rPr>
          <w:spacing w:val="-3"/>
        </w:rPr>
        <w:t>至预期从企业合并的协同效应中受益的资产组或资产组组合。测试结果表明包含</w:t>
      </w:r>
      <w:r>
        <w:rPr>
          <w:spacing w:val="-104"/>
        </w:rPr>
        <w:t> </w:t>
      </w:r>
      <w:r>
        <w:rPr>
          <w:spacing w:val="-104"/>
        </w:rPr>
      </w:r>
      <w:r>
        <w:rPr>
          <w:spacing w:val="-3"/>
        </w:rPr>
        <w:t>分摊的商誉的资产组或资产组组合的可收回金额低于其账面价值的，确认相应的</w:t>
      </w:r>
      <w:r>
        <w:rPr>
          <w:spacing w:val="-104"/>
        </w:rPr>
        <w:t> </w:t>
      </w:r>
      <w:r>
        <w:rPr>
          <w:spacing w:val="-104"/>
        </w:rPr>
      </w:r>
      <w:r>
        <w:rPr/>
        <w:t>减值损失。减值损失金额先抵减分摊至该资产组或资产组组合的商誉的账面价 </w:t>
      </w:r>
      <w:r>
        <w:rPr>
          <w:spacing w:val="-3"/>
        </w:rPr>
        <w:t>值，再根据资产组或资产组组合中除商誉以外的其他各项资产的账面价值所占比</w:t>
      </w:r>
      <w:r>
        <w:rPr>
          <w:spacing w:val="-104"/>
        </w:rPr>
        <w:t> </w:t>
      </w:r>
      <w:r>
        <w:rPr>
          <w:spacing w:val="-104"/>
        </w:rPr>
      </w:r>
      <w:r>
        <w:rPr/>
        <w:t>重，按比例抵减其他各项资产的账面价值。</w:t>
      </w:r>
    </w:p>
    <w:p>
      <w:pPr>
        <w:pStyle w:val="BodyText"/>
        <w:spacing w:line="240" w:lineRule="auto" w:before="182"/>
        <w:ind w:left="617" w:right="179"/>
        <w:jc w:val="left"/>
      </w:pPr>
      <w:r>
        <w:rPr/>
        <w:t>上述资产减值损失一经确认，以后期间不予转回价值得以恢复的部分。</w:t>
      </w:r>
    </w:p>
    <w:p>
      <w:pPr>
        <w:pStyle w:val="BodyText"/>
        <w:spacing w:line="560" w:lineRule="atLeast" w:before="22"/>
        <w:ind w:left="617" w:right="209" w:firstLine="2"/>
        <w:jc w:val="left"/>
      </w:pPr>
      <w:r>
        <w:rPr>
          <w:rFonts w:ascii="Times New Roman" w:hAnsi="Times New Roman" w:cs="Times New Roman" w:eastAsia="Times New Roman" w:hint="default"/>
          <w:b/>
          <w:bCs/>
        </w:rPr>
        <w:t>16</w:t>
      </w:r>
      <w:r>
        <w:rPr>
          <w:rFonts w:ascii="宋体" w:hAnsi="宋体" w:cs="宋体" w:eastAsia="宋体" w:hint="default"/>
          <w:b/>
          <w:bCs/>
        </w:rPr>
        <w:t>、预计负债</w:t>
      </w:r>
      <w:r>
        <w:rPr>
          <w:rFonts w:ascii="宋体" w:hAnsi="宋体" w:cs="宋体" w:eastAsia="宋体" w:hint="default"/>
          <w:b/>
          <w:bCs/>
          <w:w w:val="99"/>
        </w:rPr>
        <w:t> </w:t>
      </w:r>
      <w:r>
        <w:rPr/>
        <w:t>当与或有事项相关的义务同时符合以下条件，确认为预计负债：（</w:t>
      </w:r>
      <w:r>
        <w:rPr>
          <w:rFonts w:ascii="Times New Roman" w:hAnsi="Times New Roman" w:cs="Times New Roman" w:eastAsia="Times New Roman" w:hint="default"/>
        </w:rPr>
        <w:t>1</w:t>
      </w:r>
      <w:r>
        <w:rPr/>
        <w:t>）该义</w:t>
      </w:r>
    </w:p>
    <w:p>
      <w:pPr>
        <w:pStyle w:val="BodyText"/>
        <w:spacing w:line="290" w:lineRule="auto" w:before="68"/>
        <w:ind w:right="89"/>
        <w:jc w:val="left"/>
      </w:pPr>
      <w:r>
        <w:rPr/>
        <w:t>务是本公司承担的现时义务；（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 该义务的金额能够可靠地计量。</w:t>
      </w:r>
    </w:p>
    <w:p>
      <w:pPr>
        <w:pStyle w:val="BodyText"/>
        <w:spacing w:line="307" w:lineRule="auto" w:before="197"/>
        <w:ind w:right="188" w:firstLine="480"/>
        <w:jc w:val="left"/>
      </w:pPr>
      <w:r>
        <w:rPr>
          <w:spacing w:val="-3"/>
        </w:rPr>
        <w:t>在资产负债表日，考虑与或有事项有关的风险、不确定性和货币时间价值等</w:t>
      </w:r>
      <w:r>
        <w:rPr/>
        <w:t> 因素，按照履行相关现时义务所需支出的最佳估计数对预计负债进行计量。</w:t>
      </w:r>
    </w:p>
    <w:p>
      <w:pPr>
        <w:pStyle w:val="BodyText"/>
        <w:spacing w:line="304" w:lineRule="auto" w:before="182"/>
        <w:ind w:right="193" w:firstLine="480"/>
        <w:jc w:val="both"/>
      </w:pPr>
      <w:r>
        <w:rPr>
          <w:spacing w:val="-3"/>
        </w:rPr>
        <w:t>如果清偿预计负债所需支出全部或部分预期由第三方补偿的，补偿金额在基</w:t>
      </w:r>
      <w:r>
        <w:rPr/>
        <w:t> </w:t>
      </w:r>
      <w:r>
        <w:rPr>
          <w:spacing w:val="-3"/>
        </w:rPr>
        <w:t>本确定能够收到时，作为资产单独确认，且确认的补偿金额不超过预计负债的账</w:t>
      </w:r>
      <w:r>
        <w:rPr>
          <w:spacing w:val="-103"/>
        </w:rPr>
        <w:t> </w:t>
      </w:r>
      <w:r>
        <w:rPr>
          <w:spacing w:val="-103"/>
        </w:rPr>
      </w:r>
      <w:r>
        <w:rPr/>
        <w:t>面价值。</w:t>
      </w:r>
    </w:p>
    <w:p>
      <w:pPr>
        <w:pStyle w:val="Heading3"/>
        <w:spacing w:line="240" w:lineRule="auto" w:before="182"/>
        <w:ind w:right="179"/>
        <w:jc w:val="left"/>
        <w:rPr>
          <w:b w:val="0"/>
          <w:bCs w:val="0"/>
        </w:rPr>
      </w:pPr>
      <w:r>
        <w:rPr>
          <w:rFonts w:ascii="Times New Roman" w:hAnsi="Times New Roman" w:cs="Times New Roman" w:eastAsia="Times New Roman" w:hint="default"/>
        </w:rPr>
        <w:t>17</w:t>
      </w:r>
      <w:r>
        <w:rPr/>
        <w:t>、收入</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617" w:right="179"/>
        <w:jc w:val="left"/>
      </w:pPr>
      <w:r>
        <w:rPr/>
        <w:t>（</w:t>
      </w:r>
      <w:r>
        <w:rPr>
          <w:rFonts w:ascii="Times New Roman" w:hAnsi="Times New Roman" w:cs="Times New Roman" w:eastAsia="Times New Roman" w:hint="default"/>
        </w:rPr>
        <w:t>1</w:t>
      </w:r>
      <w:r>
        <w:rPr/>
        <w:t>）销售商品收入的确认条件</w:t>
      </w:r>
    </w:p>
    <w:p>
      <w:pPr>
        <w:spacing w:line="240" w:lineRule="auto" w:before="9"/>
        <w:rPr>
          <w:rFonts w:ascii="宋体" w:hAnsi="宋体" w:cs="宋体" w:eastAsia="宋体" w:hint="default"/>
          <w:sz w:val="17"/>
          <w:szCs w:val="17"/>
        </w:rPr>
      </w:pPr>
    </w:p>
    <w:p>
      <w:pPr>
        <w:pStyle w:val="BodyText"/>
        <w:spacing w:line="240" w:lineRule="auto"/>
        <w:ind w:left="617" w:right="179"/>
        <w:jc w:val="left"/>
      </w:pPr>
      <w:r>
        <w:rPr/>
        <w:t>①已将商品所有权上的主要风险和报酬转移给购货方；</w:t>
      </w:r>
    </w:p>
    <w:p>
      <w:pPr>
        <w:spacing w:line="240" w:lineRule="auto" w:before="12"/>
        <w:rPr>
          <w:rFonts w:ascii="宋体" w:hAnsi="宋体" w:cs="宋体" w:eastAsia="宋体" w:hint="default"/>
          <w:sz w:val="18"/>
          <w:szCs w:val="18"/>
        </w:rPr>
      </w:pPr>
    </w:p>
    <w:p>
      <w:pPr>
        <w:pStyle w:val="BodyText"/>
        <w:spacing w:line="307" w:lineRule="auto"/>
        <w:ind w:right="188" w:firstLine="480"/>
        <w:jc w:val="left"/>
      </w:pPr>
      <w:r>
        <w:rPr>
          <w:spacing w:val="-3"/>
        </w:rPr>
        <w:t>②企业既没有保留通常与所有权相联系的继续管理权，也没有对已出售的商</w:t>
      </w:r>
      <w:r>
        <w:rPr/>
        <w:t> 品实施有效控制；</w:t>
      </w:r>
    </w:p>
    <w:p>
      <w:pPr>
        <w:pStyle w:val="BodyText"/>
        <w:spacing w:line="240" w:lineRule="auto" w:before="180"/>
        <w:ind w:left="617" w:right="179"/>
        <w:jc w:val="left"/>
      </w:pPr>
      <w:r>
        <w:rPr/>
        <w:t>③收入的金额能够可靠地计量；</w:t>
      </w:r>
    </w:p>
    <w:p>
      <w:pPr>
        <w:spacing w:line="240" w:lineRule="auto" w:before="1"/>
        <w:rPr>
          <w:rFonts w:ascii="宋体" w:hAnsi="宋体" w:cs="宋体" w:eastAsia="宋体" w:hint="default"/>
          <w:sz w:val="19"/>
          <w:szCs w:val="19"/>
        </w:rPr>
      </w:pPr>
    </w:p>
    <w:p>
      <w:pPr>
        <w:pStyle w:val="BodyText"/>
        <w:spacing w:line="240" w:lineRule="auto"/>
        <w:ind w:left="617" w:right="179"/>
        <w:jc w:val="left"/>
      </w:pPr>
      <w:r>
        <w:rPr/>
        <w:t>④与交易相关的经济利益很可能流入企业；</w:t>
      </w:r>
    </w:p>
    <w:p>
      <w:pPr>
        <w:spacing w:line="240" w:lineRule="auto" w:before="1"/>
        <w:rPr>
          <w:rFonts w:ascii="宋体" w:hAnsi="宋体" w:cs="宋体" w:eastAsia="宋体" w:hint="default"/>
          <w:sz w:val="19"/>
          <w:szCs w:val="19"/>
        </w:rPr>
      </w:pPr>
    </w:p>
    <w:p>
      <w:pPr>
        <w:pStyle w:val="BodyText"/>
        <w:spacing w:line="240" w:lineRule="auto"/>
        <w:ind w:left="617" w:right="179"/>
        <w:jc w:val="left"/>
      </w:pPr>
      <w:r>
        <w:rPr/>
        <w:t>⑤相关的已发生或将发生的成本能够可靠地计量。</w:t>
      </w:r>
    </w:p>
    <w:p>
      <w:pPr>
        <w:spacing w:line="240" w:lineRule="auto" w:before="12"/>
        <w:rPr>
          <w:rFonts w:ascii="宋体" w:hAnsi="宋体" w:cs="宋体" w:eastAsia="宋体" w:hint="default"/>
          <w:sz w:val="18"/>
          <w:szCs w:val="18"/>
        </w:rPr>
      </w:pPr>
    </w:p>
    <w:p>
      <w:pPr>
        <w:pStyle w:val="BodyText"/>
        <w:spacing w:line="240" w:lineRule="auto"/>
        <w:ind w:left="610" w:right="179"/>
        <w:jc w:val="left"/>
      </w:pPr>
      <w:r>
        <w:rPr/>
        <w:t>（</w:t>
      </w:r>
      <w:r>
        <w:rPr>
          <w:rFonts w:ascii="Times New Roman" w:hAnsi="Times New Roman" w:cs="Times New Roman" w:eastAsia="Times New Roman" w:hint="default"/>
        </w:rPr>
        <w:t>2</w:t>
      </w:r>
      <w:r>
        <w:rPr/>
        <w:t>）提供劳务收入的确认和计量方法</w:t>
      </w:r>
    </w:p>
    <w:p>
      <w:pPr>
        <w:spacing w:after="0" w:line="240" w:lineRule="auto"/>
        <w:jc w:val="left"/>
        <w:sectPr>
          <w:pgSz w:w="11910" w:h="16840"/>
          <w:pgMar w:header="850" w:footer="979" w:top="1380" w:bottom="1160" w:left="1660" w:right="1600"/>
        </w:sectPr>
      </w:pPr>
    </w:p>
    <w:p>
      <w:pPr>
        <w:pStyle w:val="BodyText"/>
        <w:spacing w:line="304" w:lineRule="auto" w:before="93"/>
        <w:ind w:left="161" w:right="217" w:firstLine="480"/>
        <w:jc w:val="both"/>
      </w:pPr>
      <w:r>
        <w:rPr>
          <w:spacing w:val="-3"/>
        </w:rPr>
        <w:t>本公司在资产负债表日提供劳务交易的结果能够可靠估计的，按照完工百分</w:t>
      </w:r>
      <w:r>
        <w:rPr/>
        <w:t> </w:t>
      </w:r>
      <w:r>
        <w:rPr>
          <w:spacing w:val="-3"/>
        </w:rPr>
        <w:t>比法确认提供劳务收入。本公司在资产负债表日提供劳务交易结果不能够可靠估</w:t>
      </w:r>
      <w:r>
        <w:rPr>
          <w:spacing w:val="-90"/>
        </w:rPr>
        <w:t> </w:t>
      </w:r>
      <w:r>
        <w:rPr>
          <w:spacing w:val="-90"/>
        </w:rPr>
      </w:r>
      <w:r>
        <w:rPr>
          <w:spacing w:val="-3"/>
        </w:rPr>
        <w:t>计的，分别下列情况处理：①已发生的劳务成本预计能够得到补偿，应按已经发</w:t>
      </w:r>
      <w:r>
        <w:rPr>
          <w:spacing w:val="-90"/>
        </w:rPr>
        <w:t> </w:t>
      </w:r>
      <w:r>
        <w:rPr>
          <w:spacing w:val="-90"/>
        </w:rPr>
      </w:r>
      <w:r>
        <w:rPr>
          <w:spacing w:val="-3"/>
        </w:rPr>
        <w:t>生的劳务成本金额确认提供劳务收入，并按相同金额结转劳务成本；②已发生的</w:t>
      </w:r>
      <w:r>
        <w:rPr>
          <w:spacing w:val="-93"/>
        </w:rPr>
        <w:t> </w:t>
      </w:r>
      <w:r>
        <w:rPr>
          <w:spacing w:val="-93"/>
        </w:rPr>
      </w:r>
      <w:r>
        <w:rPr>
          <w:spacing w:val="-3"/>
        </w:rPr>
        <w:t>劳务成本预计不能够得到补偿的，将已经发生的劳务成本计入当期损益，不确认</w:t>
      </w:r>
      <w:r>
        <w:rPr>
          <w:spacing w:val="-93"/>
        </w:rPr>
        <w:t> </w:t>
      </w:r>
      <w:r>
        <w:rPr>
          <w:spacing w:val="-93"/>
        </w:rPr>
      </w:r>
      <w:r>
        <w:rPr/>
        <w:t>提供劳务收入。</w:t>
      </w:r>
    </w:p>
    <w:p>
      <w:pPr>
        <w:pStyle w:val="BodyText"/>
        <w:spacing w:line="564" w:lineRule="exact" w:before="14"/>
        <w:ind w:left="641" w:right="125" w:hanging="32"/>
        <w:jc w:val="left"/>
      </w:pPr>
      <w:r>
        <w:rPr/>
        <w:t>（</w:t>
      </w:r>
      <w:r>
        <w:rPr>
          <w:rFonts w:ascii="Times New Roman" w:hAnsi="Times New Roman" w:cs="Times New Roman" w:eastAsia="Times New Roman" w:hint="default"/>
        </w:rPr>
        <w:t>3</w:t>
      </w:r>
      <w:r>
        <w:rPr/>
        <w:t>）让渡资产使用权收入的确认和计量方法 </w:t>
      </w:r>
      <w:r>
        <w:rPr>
          <w:spacing w:val="-3"/>
        </w:rPr>
        <w:t>以相关的经济利益很可能流入公司，收入的金额能够可靠地计量时，按有关</w:t>
      </w:r>
    </w:p>
    <w:p>
      <w:pPr>
        <w:pStyle w:val="BodyText"/>
        <w:spacing w:line="240" w:lineRule="auto" w:before="5"/>
        <w:ind w:left="161" w:right="125"/>
        <w:jc w:val="left"/>
      </w:pPr>
      <w:r>
        <w:rPr/>
        <w:t>合同或协议规定的收费时间和方法计算确定。</w:t>
      </w:r>
    </w:p>
    <w:p>
      <w:pPr>
        <w:pStyle w:val="BodyText"/>
        <w:spacing w:line="540" w:lineRule="atLeast" w:before="42"/>
        <w:ind w:left="641" w:right="125"/>
        <w:jc w:val="left"/>
      </w:pPr>
      <w:r>
        <w:rPr/>
        <w:t>（</w:t>
      </w:r>
      <w:r>
        <w:rPr>
          <w:rFonts w:ascii="Times New Roman" w:hAnsi="Times New Roman" w:cs="Times New Roman" w:eastAsia="Times New Roman" w:hint="default"/>
        </w:rPr>
        <w:t>4</w:t>
      </w:r>
      <w:r>
        <w:rPr/>
        <w:t>）收入确认的具体会计政策 公司的业务包括定制软件开发业务、代购软硬件销售业务和技术服务业务。</w:t>
      </w:r>
    </w:p>
    <w:p>
      <w:pPr>
        <w:pStyle w:val="BodyText"/>
        <w:spacing w:line="307" w:lineRule="auto" w:before="86"/>
        <w:ind w:left="161" w:right="125"/>
        <w:jc w:val="left"/>
      </w:pPr>
      <w:r>
        <w:rPr>
          <w:spacing w:val="-3"/>
        </w:rPr>
        <w:t>定制软件开发业务、技术服务业务采用提供劳务收入的确认方法，代购软硬件销</w:t>
      </w:r>
      <w:r>
        <w:rPr>
          <w:spacing w:val="-93"/>
        </w:rPr>
        <w:t> </w:t>
      </w:r>
      <w:r>
        <w:rPr>
          <w:spacing w:val="-93"/>
        </w:rPr>
      </w:r>
      <w:r>
        <w:rPr/>
        <w:t>售业务采用销售商品收入的确认方法。</w:t>
      </w:r>
    </w:p>
    <w:p>
      <w:pPr>
        <w:pStyle w:val="BodyText"/>
        <w:spacing w:line="304" w:lineRule="auto" w:before="180"/>
        <w:ind w:left="161" w:right="217" w:firstLine="480"/>
        <w:jc w:val="both"/>
      </w:pPr>
      <w:r>
        <w:rPr>
          <w:spacing w:val="-3"/>
        </w:rPr>
        <w:t>公司收入来源绝大部分为定制软件开发业务，定制软件开发是指根据与客户</w:t>
      </w:r>
      <w:r>
        <w:rPr/>
        <w:t> </w:t>
      </w:r>
      <w:r>
        <w:rPr>
          <w:spacing w:val="-3"/>
        </w:rPr>
        <w:t>签订的技术开发合同，对用户的业务进行实地调查，根据用户的个性化需求进行</w:t>
      </w:r>
      <w:r>
        <w:rPr>
          <w:spacing w:val="-93"/>
        </w:rPr>
        <w:t> </w:t>
      </w:r>
      <w:r>
        <w:rPr>
          <w:spacing w:val="-93"/>
        </w:rPr>
      </w:r>
      <w:r>
        <w:rPr>
          <w:spacing w:val="-3"/>
        </w:rPr>
        <w:t>专门的软件开发与系统实施，最终形成完全符合用户本地化要求的应用系统。定</w:t>
      </w:r>
      <w:r>
        <w:rPr>
          <w:spacing w:val="-93"/>
        </w:rPr>
        <w:t> </w:t>
      </w:r>
      <w:r>
        <w:rPr>
          <w:spacing w:val="-93"/>
        </w:rPr>
      </w:r>
      <w:r>
        <w:rPr/>
        <w:t>制软件开发业务根据经客户确认的完工进度确认收入。</w:t>
      </w:r>
    </w:p>
    <w:p>
      <w:pPr>
        <w:pStyle w:val="BodyText"/>
        <w:spacing w:line="304" w:lineRule="auto" w:before="185"/>
        <w:ind w:left="161" w:right="89" w:firstLine="480"/>
        <w:jc w:val="left"/>
      </w:pPr>
      <w:r>
        <w:rPr>
          <w:spacing w:val="-6"/>
        </w:rPr>
        <w:t>公司在市场开拓过程中，也会根据客户的特殊要求，代客户购买少量软硬件，</w:t>
      </w:r>
      <w:r>
        <w:rPr/>
        <w:t> </w:t>
      </w:r>
      <w:r>
        <w:rPr>
          <w:spacing w:val="-3"/>
        </w:rPr>
        <w:t>用于公司开发软件的系统实施。代购软硬件产品与定制软件开发分别签订合同或</w:t>
      </w:r>
      <w:r>
        <w:rPr>
          <w:spacing w:val="-90"/>
        </w:rPr>
        <w:t> </w:t>
      </w:r>
      <w:r>
        <w:rPr>
          <w:spacing w:val="-90"/>
        </w:rPr>
      </w:r>
      <w:r>
        <w:rPr>
          <w:spacing w:val="-3"/>
        </w:rPr>
        <w:t>虽然签订同一合同但可以分别计量时，公司按销售商品和提供劳务分别核算并确</w:t>
      </w:r>
      <w:r>
        <w:rPr>
          <w:spacing w:val="-90"/>
        </w:rPr>
        <w:t> </w:t>
      </w:r>
      <w:r>
        <w:rPr>
          <w:spacing w:val="-90"/>
        </w:rPr>
      </w:r>
      <w:r>
        <w:rPr>
          <w:spacing w:val="-3"/>
        </w:rPr>
        <w:t>认收入；代购软硬件产品与定制软件开发签订同一合同且未分别计量时，按定制</w:t>
      </w:r>
      <w:r>
        <w:rPr>
          <w:spacing w:val="-93"/>
        </w:rPr>
        <w:t> </w:t>
      </w:r>
      <w:r>
        <w:rPr>
          <w:spacing w:val="-93"/>
        </w:rPr>
      </w:r>
      <w:r>
        <w:rPr/>
        <w:t>软件开发业务确认收入。</w:t>
      </w:r>
    </w:p>
    <w:p>
      <w:pPr>
        <w:pStyle w:val="BodyText"/>
        <w:spacing w:line="304" w:lineRule="auto" w:before="185"/>
        <w:ind w:right="253" w:firstLine="480"/>
        <w:jc w:val="both"/>
      </w:pPr>
      <w:r>
        <w:rPr>
          <w:spacing w:val="-3"/>
        </w:rPr>
        <w:t>公司技术服务业务主要是根据客户的需要，在公司提供的软件运行过程中给</w:t>
      </w:r>
      <w:r>
        <w:rPr/>
        <w:t> </w:t>
      </w:r>
      <w:r>
        <w:rPr>
          <w:spacing w:val="-3"/>
        </w:rPr>
        <w:t>予日常的维护工作，这类业务的特点是合同约定服务期限、在服务期内工作量无</w:t>
      </w:r>
      <w:r>
        <w:rPr>
          <w:spacing w:val="-103"/>
        </w:rPr>
        <w:t> </w:t>
      </w:r>
      <w:r>
        <w:rPr>
          <w:spacing w:val="-103"/>
        </w:rPr>
      </w:r>
      <w:r>
        <w:rPr>
          <w:spacing w:val="-3"/>
        </w:rPr>
        <w:t>法可靠估计。因此，公司技术服务按合同约定的金额在服务期间内用直线法确认</w:t>
      </w:r>
      <w:r>
        <w:rPr>
          <w:spacing w:val="-106"/>
        </w:rPr>
        <w:t> </w:t>
      </w:r>
      <w:r>
        <w:rPr>
          <w:spacing w:val="-106"/>
        </w:rPr>
      </w:r>
      <w:r>
        <w:rPr/>
        <w:t>收入。</w:t>
      </w:r>
    </w:p>
    <w:p>
      <w:pPr>
        <w:pStyle w:val="BodyText"/>
        <w:spacing w:line="562" w:lineRule="exact" w:before="16"/>
        <w:ind w:left="617" w:right="248" w:firstLine="2"/>
        <w:jc w:val="left"/>
      </w:pPr>
      <w:r>
        <w:rPr>
          <w:rFonts w:ascii="Times New Roman" w:hAnsi="Times New Roman" w:cs="Times New Roman" w:eastAsia="Times New Roman" w:hint="default"/>
          <w:b/>
          <w:bCs/>
        </w:rPr>
        <w:t>18</w:t>
      </w:r>
      <w:r>
        <w:rPr>
          <w:rFonts w:ascii="宋体" w:hAnsi="宋体" w:cs="宋体" w:eastAsia="宋体" w:hint="default"/>
          <w:b/>
          <w:bCs/>
        </w:rPr>
        <w:t>、政府补助</w:t>
      </w:r>
      <w:r>
        <w:rPr>
          <w:rFonts w:ascii="宋体" w:hAnsi="宋体" w:cs="宋体" w:eastAsia="宋体" w:hint="default"/>
          <w:b/>
          <w:bCs/>
          <w:w w:val="99"/>
        </w:rPr>
        <w:t> </w:t>
      </w:r>
      <w:r>
        <w:rPr>
          <w:spacing w:val="-3"/>
        </w:rPr>
        <w:t>政府补助是指本公司从政府无偿取得货币性资产和非货币性资产，不包括政</w:t>
      </w:r>
    </w:p>
    <w:p>
      <w:pPr>
        <w:pStyle w:val="BodyText"/>
        <w:spacing w:line="307" w:lineRule="auto" w:before="8"/>
        <w:ind w:right="254"/>
        <w:jc w:val="left"/>
      </w:pPr>
      <w:r>
        <w:rPr>
          <w:spacing w:val="-3"/>
        </w:rPr>
        <w:t>府作为所有者投入的资本。政府补助分为与资产相关的政府补助和与收益相关的</w:t>
      </w:r>
      <w:r>
        <w:rPr>
          <w:spacing w:val="-104"/>
        </w:rPr>
        <w:t> </w:t>
      </w:r>
      <w:r>
        <w:rPr>
          <w:spacing w:val="-104"/>
        </w:rPr>
      </w:r>
      <w:r>
        <w:rPr/>
        <w:t>政府补助。</w:t>
      </w:r>
    </w:p>
    <w:p>
      <w:pPr>
        <w:spacing w:after="0" w:line="307" w:lineRule="auto"/>
        <w:jc w:val="left"/>
        <w:sectPr>
          <w:pgSz w:w="11910" w:h="16840"/>
          <w:pgMar w:header="850" w:footer="979" w:top="1380" w:bottom="1160" w:left="1660" w:right="1540"/>
        </w:sectPr>
      </w:pPr>
    </w:p>
    <w:p>
      <w:pPr>
        <w:pStyle w:val="BodyText"/>
        <w:spacing w:line="304" w:lineRule="auto" w:before="93"/>
        <w:ind w:right="105" w:firstLine="480"/>
        <w:jc w:val="left"/>
      </w:pPr>
      <w:r>
        <w:rPr>
          <w:spacing w:val="-3"/>
        </w:rPr>
        <w:t>政府补助为货币性资产的，按照收到或应收的金额计量。政府补助为非货币</w:t>
      </w:r>
      <w:r>
        <w:rPr/>
        <w:t> </w:t>
      </w:r>
      <w:r>
        <w:rPr>
          <w:spacing w:val="-6"/>
        </w:rPr>
        <w:t>性资产的，按照公允价值计量；公允价值不能够可靠取得的，按照名义金额计量。</w:t>
      </w:r>
      <w:r>
        <w:rPr>
          <w:spacing w:val="-114"/>
        </w:rPr>
        <w:t> </w:t>
      </w:r>
      <w:r>
        <w:rPr>
          <w:spacing w:val="-114"/>
        </w:rPr>
      </w:r>
      <w:r>
        <w:rPr/>
        <w:t>按照名义金额计量的政府补助，直接计入当期损益。</w:t>
      </w:r>
    </w:p>
    <w:p>
      <w:pPr>
        <w:pStyle w:val="BodyText"/>
        <w:spacing w:line="304" w:lineRule="auto" w:before="185"/>
        <w:ind w:right="233" w:firstLine="480"/>
        <w:jc w:val="both"/>
      </w:pPr>
      <w:r>
        <w:rPr>
          <w:spacing w:val="-3"/>
        </w:rPr>
        <w:t>与资产相关的政府补助，确认为递延收益，并在相关资产的使用寿命内平均</w:t>
      </w:r>
      <w:r>
        <w:rPr/>
        <w:t> </w:t>
      </w:r>
      <w:r>
        <w:rPr>
          <w:spacing w:val="-3"/>
        </w:rPr>
        <w:t>分配计入当期损益。与收益相关的政府补助，用于补偿以后期间的相关费用和损</w:t>
      </w:r>
      <w:r>
        <w:rPr>
          <w:spacing w:val="-103"/>
        </w:rPr>
        <w:t> </w:t>
      </w:r>
      <w:r>
        <w:rPr>
          <w:spacing w:val="-103"/>
        </w:rPr>
      </w:r>
      <w:r>
        <w:rPr>
          <w:spacing w:val="-3"/>
        </w:rPr>
        <w:t>失的，确认为递延收益，并在确认相关费用的期间计入当期损益；用于补偿已经</w:t>
      </w:r>
      <w:r>
        <w:rPr>
          <w:spacing w:val="-102"/>
        </w:rPr>
        <w:t> </w:t>
      </w:r>
      <w:r>
        <w:rPr>
          <w:spacing w:val="-102"/>
        </w:rPr>
      </w:r>
      <w:r>
        <w:rPr/>
        <w:t>发生的相关费用和损失的，直接计入当期损益。</w:t>
      </w:r>
    </w:p>
    <w:p>
      <w:pPr>
        <w:pStyle w:val="BodyText"/>
        <w:spacing w:line="304" w:lineRule="auto" w:before="185"/>
        <w:ind w:right="233" w:firstLine="480"/>
        <w:jc w:val="both"/>
      </w:pPr>
      <w:r>
        <w:rPr>
          <w:spacing w:val="-3"/>
        </w:rPr>
        <w:t>已确认的政府补助需要返还时，存在相关递延收益余额的，冲减相关递延收</w:t>
      </w:r>
      <w:r>
        <w:rPr/>
        <w:t> </w:t>
      </w:r>
      <w:r>
        <w:rPr>
          <w:spacing w:val="-3"/>
        </w:rPr>
        <w:t>益账面余额，超出部分计入当期损益；不存在相关递延收益的，直接计入当期损</w:t>
      </w:r>
      <w:r>
        <w:rPr>
          <w:spacing w:val="-102"/>
        </w:rPr>
        <w:t> </w:t>
      </w:r>
      <w:r>
        <w:rPr>
          <w:spacing w:val="-102"/>
        </w:rPr>
      </w:r>
      <w:r>
        <w:rPr/>
        <w:t>益。</w:t>
      </w:r>
    </w:p>
    <w:p>
      <w:pPr>
        <w:pStyle w:val="Heading3"/>
        <w:spacing w:line="240" w:lineRule="auto" w:before="182"/>
        <w:ind w:right="111"/>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540" w:lineRule="atLeast" w:before="24"/>
        <w:ind w:left="617" w:right="228"/>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w:t>
      </w:r>
    </w:p>
    <w:p>
      <w:pPr>
        <w:pStyle w:val="BodyText"/>
        <w:spacing w:line="307" w:lineRule="auto" w:before="84"/>
        <w:ind w:right="111"/>
        <w:jc w:val="left"/>
      </w:pPr>
      <w:r>
        <w:rPr>
          <w:spacing w:val="-3"/>
        </w:rPr>
        <w:t>按照税法规定计算的预期应交纳（或返还）的所得税金额计量。计算当期所得税</w:t>
      </w:r>
      <w:r>
        <w:rPr>
          <w:spacing w:val="-102"/>
        </w:rPr>
        <w:t> </w:t>
      </w:r>
      <w:r>
        <w:rPr>
          <w:spacing w:val="-102"/>
        </w:rPr>
      </w:r>
      <w:r>
        <w:rPr/>
        <w:t>费用所依据的应纳税所得额系根据有关税法规定对本年度税前会计利润作相应 调整后计算得出。</w:t>
      </w:r>
    </w:p>
    <w:p>
      <w:pPr>
        <w:pStyle w:val="BodyText"/>
        <w:spacing w:line="564" w:lineRule="exact" w:before="9"/>
        <w:ind w:left="617" w:right="228"/>
        <w:jc w:val="left"/>
      </w:pPr>
      <w:r>
        <w:rPr/>
        <w:t>（</w:t>
      </w:r>
      <w:r>
        <w:rPr>
          <w:rFonts w:ascii="Times New Roman" w:hAnsi="Times New Roman" w:cs="Times New Roman" w:eastAsia="Times New Roman" w:hint="default"/>
        </w:rPr>
        <w:t>2</w:t>
      </w:r>
      <w:r>
        <w:rPr/>
        <w:t>）递延所得税资产及递延所得税负债 </w:t>
      </w:r>
      <w:r>
        <w:rPr>
          <w:spacing w:val="-3"/>
        </w:rPr>
        <w:t>某些资产、负债项目的账面价值与其计税基础之间的差额，以及未作为资产</w:t>
      </w:r>
    </w:p>
    <w:p>
      <w:pPr>
        <w:pStyle w:val="BodyText"/>
        <w:spacing w:line="307" w:lineRule="auto" w:before="5"/>
        <w:ind w:right="234"/>
        <w:jc w:val="left"/>
      </w:pPr>
      <w:r>
        <w:rPr/>
        <w:t>和负债确认但按照税法规定可以确定其计税基础的项目的账面价值与计税基础 </w:t>
      </w:r>
      <w:r>
        <w:rPr>
          <w:spacing w:val="-3"/>
        </w:rPr>
        <w:t>之间的差额产生的暂时性差异，采用资产负债表债务法确认递延所得税资产及递</w:t>
      </w:r>
      <w:r>
        <w:rPr>
          <w:spacing w:val="-104"/>
        </w:rPr>
        <w:t> </w:t>
      </w:r>
      <w:r>
        <w:rPr>
          <w:spacing w:val="-104"/>
        </w:rPr>
      </w:r>
      <w:r>
        <w:rPr/>
        <w:t>延所得税负债。</w:t>
      </w:r>
    </w:p>
    <w:p>
      <w:pPr>
        <w:pStyle w:val="BodyText"/>
        <w:spacing w:line="304" w:lineRule="auto" w:before="180"/>
        <w:ind w:right="233" w:firstLine="480"/>
        <w:jc w:val="both"/>
      </w:pPr>
      <w:r>
        <w:rPr>
          <w:spacing w:val="-3"/>
        </w:rPr>
        <w:t>与商誉的初始确认有关，以及与既不是企业合并、发生时也不影响会计利润</w:t>
      </w:r>
      <w:r>
        <w:rPr/>
        <w:t> </w:t>
      </w:r>
      <w:r>
        <w:rPr>
          <w:spacing w:val="-3"/>
        </w:rPr>
        <w:t>和应纳税所得额（或可抵扣亏损）的交易中产生的资产或负债的初始确认有关的</w:t>
      </w:r>
      <w:r>
        <w:rPr>
          <w:spacing w:val="-103"/>
        </w:rPr>
        <w:t> </w:t>
      </w:r>
      <w:r>
        <w:rPr>
          <w:spacing w:val="-103"/>
        </w:rPr>
      </w:r>
      <w:r>
        <w:rPr>
          <w:spacing w:val="-3"/>
        </w:rPr>
        <w:t>应纳税暂时性差异，不予确认有关的递延所得税负债。此外，对与子公司、联营</w:t>
      </w:r>
      <w:r>
        <w:rPr>
          <w:spacing w:val="-103"/>
        </w:rPr>
        <w:t> </w:t>
      </w:r>
      <w:r>
        <w:rPr>
          <w:spacing w:val="-103"/>
        </w:rPr>
      </w:r>
      <w:r>
        <w:rPr>
          <w:spacing w:val="-3"/>
        </w:rPr>
        <w:t>企业及合营企业投资相关的应纳税暂时性差异，如果本公司能够控制暂时性差异</w:t>
      </w:r>
      <w:r>
        <w:rPr>
          <w:spacing w:val="-104"/>
        </w:rPr>
        <w:t> </w:t>
      </w:r>
      <w:r>
        <w:rPr>
          <w:spacing w:val="-104"/>
        </w:rPr>
      </w:r>
      <w:r>
        <w:rPr>
          <w:spacing w:val="-3"/>
        </w:rPr>
        <w:t>转回的时间，而且该暂时性差异在可预见的未来很可能不会转回，也不予确认有</w:t>
      </w:r>
      <w:r>
        <w:rPr>
          <w:spacing w:val="-103"/>
        </w:rPr>
        <w:t> </w:t>
      </w:r>
      <w:r>
        <w:rPr>
          <w:spacing w:val="-103"/>
        </w:rPr>
      </w:r>
      <w:r>
        <w:rPr>
          <w:spacing w:val="-3"/>
        </w:rPr>
        <w:t>关的递延所得税负债。除上述例外情况，本公司确认其他所有应纳税暂时性差异</w:t>
      </w:r>
      <w:r>
        <w:rPr>
          <w:spacing w:val="-103"/>
        </w:rPr>
        <w:t> </w:t>
      </w:r>
      <w:r>
        <w:rPr>
          <w:spacing w:val="-103"/>
        </w:rPr>
      </w:r>
      <w:r>
        <w:rPr/>
        <w:t>产生的递延所得税负债。</w:t>
      </w:r>
    </w:p>
    <w:p>
      <w:pPr>
        <w:pStyle w:val="BodyText"/>
        <w:spacing w:line="304" w:lineRule="auto" w:before="185"/>
        <w:ind w:right="233" w:firstLine="480"/>
        <w:jc w:val="both"/>
      </w:pPr>
      <w:r>
        <w:rPr>
          <w:spacing w:val="-3"/>
        </w:rPr>
        <w:t>与既不是企业合并、发生时也不影响会计利润和应纳税所得额（或可抵扣亏</w:t>
      </w:r>
      <w:r>
        <w:rPr/>
        <w:t> </w:t>
      </w:r>
      <w:r>
        <w:rPr>
          <w:spacing w:val="-3"/>
        </w:rPr>
        <w:t>损）的交易中产生的资产或负债的初始确认有关的可抵扣暂时性差异，不予确认</w:t>
      </w:r>
      <w:r>
        <w:rPr>
          <w:spacing w:val="-103"/>
        </w:rPr>
        <w:t> </w:t>
      </w:r>
      <w:r>
        <w:rPr>
          <w:spacing w:val="-103"/>
        </w:rPr>
      </w:r>
      <w:r>
        <w:rPr>
          <w:spacing w:val="-3"/>
        </w:rPr>
        <w:t>有关的递延所得税资产。此外，对与子公司、联营企业及合营企业投资相关的可</w:t>
      </w:r>
    </w:p>
    <w:p>
      <w:pPr>
        <w:spacing w:after="0" w:line="304" w:lineRule="auto"/>
        <w:jc w:val="both"/>
        <w:sectPr>
          <w:pgSz w:w="11910" w:h="16840"/>
          <w:pgMar w:header="850" w:footer="979" w:top="1380" w:bottom="1160" w:left="1660" w:right="1560"/>
        </w:sectPr>
      </w:pPr>
    </w:p>
    <w:p>
      <w:pPr>
        <w:pStyle w:val="BodyText"/>
        <w:spacing w:line="304" w:lineRule="auto" w:before="93"/>
        <w:ind w:right="233"/>
        <w:jc w:val="both"/>
      </w:pPr>
      <w:r>
        <w:rPr>
          <w:spacing w:val="-3"/>
        </w:rPr>
        <w:t>抵扣暂时性差异，如果暂时性差异在可预见的未来不是很可能转回，或者未来不</w:t>
      </w:r>
      <w:r>
        <w:rPr>
          <w:spacing w:val="-103"/>
        </w:rPr>
        <w:t> </w:t>
      </w:r>
      <w:r>
        <w:rPr>
          <w:spacing w:val="-103"/>
        </w:rPr>
      </w:r>
      <w:r>
        <w:rPr>
          <w:spacing w:val="-3"/>
        </w:rPr>
        <w:t>是很可能获得用来抵扣可抵扣暂时性差异的应纳税所得额，不予确认有关的递延</w:t>
      </w:r>
      <w:r>
        <w:rPr>
          <w:spacing w:val="-104"/>
        </w:rPr>
        <w:t> </w:t>
      </w:r>
      <w:r>
        <w:rPr>
          <w:spacing w:val="-104"/>
        </w:rPr>
      </w:r>
      <w:r>
        <w:rPr>
          <w:spacing w:val="-3"/>
        </w:rPr>
        <w:t>所得税资产。除上述例外情况，本公司以很可能取得用来抵扣可抵扣暂时性差异</w:t>
      </w:r>
      <w:r>
        <w:rPr>
          <w:spacing w:val="-103"/>
        </w:rPr>
        <w:t> </w:t>
      </w:r>
      <w:r>
        <w:rPr>
          <w:spacing w:val="-103"/>
        </w:rPr>
      </w:r>
      <w:r>
        <w:rPr/>
        <w:t>的应纳税所得额为限，确认其他可抵扣暂时性差异产生的递延所得税资产。</w:t>
      </w:r>
    </w:p>
    <w:p>
      <w:pPr>
        <w:pStyle w:val="BodyText"/>
        <w:spacing w:line="304" w:lineRule="auto" w:before="185"/>
        <w:ind w:right="228" w:firstLine="480"/>
        <w:jc w:val="left"/>
      </w:pPr>
      <w:r>
        <w:rPr>
          <w:spacing w:val="-3"/>
        </w:rPr>
        <w:t>对于能够结转以后年度的可抵扣亏损和税款抵减，以很可能获得用来抵扣可</w:t>
      </w:r>
      <w:r>
        <w:rPr/>
        <w:t> 抵扣亏损和税款抵减的未来应纳税所得额为限，确认相应的递延所得税资产。</w:t>
      </w:r>
    </w:p>
    <w:p>
      <w:pPr>
        <w:pStyle w:val="BodyText"/>
        <w:spacing w:line="304" w:lineRule="auto" w:before="185"/>
        <w:ind w:right="228" w:firstLine="480"/>
        <w:jc w:val="left"/>
      </w:pPr>
      <w:r>
        <w:rPr>
          <w:spacing w:val="-3"/>
        </w:rPr>
        <w:t>资产负债表日，对于递延所得税资产和递延所得税负债，根据税法规定，按</w:t>
      </w:r>
      <w:r>
        <w:rPr/>
        <w:t> 照预期收回相关资产或清偿相关负债期间的适用税率计量。</w:t>
      </w:r>
    </w:p>
    <w:p>
      <w:pPr>
        <w:pStyle w:val="BodyText"/>
        <w:spacing w:line="304" w:lineRule="auto" w:before="185"/>
        <w:ind w:right="113" w:firstLine="480"/>
        <w:jc w:val="both"/>
      </w:pPr>
      <w:r>
        <w:rPr>
          <w:spacing w:val="-3"/>
        </w:rPr>
        <w:t>于资产负债表日，对递延所得税资产的账面价值进行复核，如果未来很可能</w:t>
      </w:r>
      <w:r>
        <w:rPr/>
        <w:t> </w:t>
      </w:r>
      <w:r>
        <w:rPr>
          <w:spacing w:val="-3"/>
        </w:rPr>
        <w:t>无法获得足够的应纳税所得额用以抵扣递延所得税资产的利益，则减记递延所得</w:t>
      </w:r>
      <w:r>
        <w:rPr>
          <w:spacing w:val="-104"/>
        </w:rPr>
        <w:t> </w:t>
      </w:r>
      <w:r>
        <w:rPr>
          <w:spacing w:val="-104"/>
        </w:rPr>
      </w:r>
      <w:r>
        <w:rPr>
          <w:spacing w:val="-6"/>
        </w:rPr>
        <w:t>税资产的账面价值。在很可能获得足够的应纳税所得额时，减记的金额予以转回。</w:t>
      </w:r>
    </w:p>
    <w:p>
      <w:pPr>
        <w:pStyle w:val="BodyText"/>
        <w:spacing w:line="408" w:lineRule="auto" w:before="185"/>
        <w:ind w:left="617" w:right="3489"/>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04" w:lineRule="auto" w:before="79"/>
        <w:ind w:right="234" w:firstLine="480"/>
        <w:jc w:val="left"/>
      </w:pPr>
      <w:r>
        <w:rPr/>
        <w:t>除确认为其他综合收益或直接计入所有者权益的交易和事项相关的当期所 </w:t>
      </w:r>
      <w:r>
        <w:rPr>
          <w:spacing w:val="-3"/>
        </w:rPr>
        <w:t>得税和递延所得税计入其他综合收益或所有者权益，以及企业合并产生的递延所</w:t>
      </w:r>
      <w:r>
        <w:rPr>
          <w:spacing w:val="-104"/>
        </w:rPr>
        <w:t> </w:t>
      </w:r>
      <w:r>
        <w:rPr>
          <w:spacing w:val="-104"/>
        </w:rPr>
      </w:r>
      <w:r>
        <w:rPr>
          <w:spacing w:val="-3"/>
        </w:rPr>
        <w:t>得税调整商誉的账面价值外，其余当期所得税和递延所得税费用或收益计入当期</w:t>
      </w:r>
      <w:r>
        <w:rPr>
          <w:spacing w:val="-104"/>
        </w:rPr>
        <w:t> </w:t>
      </w:r>
      <w:r>
        <w:rPr>
          <w:spacing w:val="-104"/>
        </w:rPr>
      </w:r>
      <w:r>
        <w:rPr/>
        <w:t>损益。</w:t>
      </w:r>
    </w:p>
    <w:p>
      <w:pPr>
        <w:pStyle w:val="BodyText"/>
        <w:spacing w:line="562" w:lineRule="exact" w:before="16"/>
        <w:ind w:left="617" w:right="228"/>
        <w:jc w:val="left"/>
      </w:pPr>
      <w:r>
        <w:rPr/>
        <w:t>（</w:t>
      </w:r>
      <w:r>
        <w:rPr>
          <w:rFonts w:ascii="Times New Roman" w:hAnsi="Times New Roman" w:cs="Times New Roman" w:eastAsia="Times New Roman" w:hint="default"/>
        </w:rPr>
        <w:t>4</w:t>
      </w:r>
      <w:r>
        <w:rPr/>
        <w:t>）所得税的抵销 </w:t>
      </w:r>
      <w:r>
        <w:rPr>
          <w:spacing w:val="-3"/>
        </w:rPr>
        <w:t>当拥有以净额结算的法定权利，且意图以净额结算或取得资产、清偿负债同</w:t>
      </w:r>
    </w:p>
    <w:p>
      <w:pPr>
        <w:pStyle w:val="BodyText"/>
        <w:spacing w:line="240" w:lineRule="auto" w:before="8"/>
        <w:ind w:right="0"/>
        <w:jc w:val="both"/>
      </w:pPr>
      <w:r>
        <w:rPr/>
        <w:t>时进行时，本公司当期所得税资产及当期所得税负债以抵销后的净额列报。</w:t>
      </w:r>
    </w:p>
    <w:p>
      <w:pPr>
        <w:spacing w:line="240" w:lineRule="auto" w:before="1"/>
        <w:rPr>
          <w:rFonts w:ascii="宋体" w:hAnsi="宋体" w:cs="宋体" w:eastAsia="宋体" w:hint="default"/>
          <w:sz w:val="19"/>
          <w:szCs w:val="19"/>
        </w:rPr>
      </w:pPr>
    </w:p>
    <w:p>
      <w:pPr>
        <w:pStyle w:val="BodyText"/>
        <w:spacing w:line="304" w:lineRule="auto"/>
        <w:ind w:right="228" w:firstLine="480"/>
        <w:jc w:val="left"/>
      </w:pPr>
      <w:r>
        <w:rPr>
          <w:spacing w:val="-3"/>
        </w:rPr>
        <w:t>当拥有以净额结算当期所得税资产及当期所得税负债的法定权利，且递延所</w:t>
      </w:r>
      <w:r>
        <w:rPr/>
        <w:t> 得税资产及递延所得税负债是与同一税收征管部门对同一纳税主体征收的所得 </w:t>
      </w:r>
      <w:r>
        <w:rPr>
          <w:spacing w:val="-3"/>
        </w:rPr>
        <w:t>税相关或者是对不同的纳税主体相关，但在未来每一具有重要性的递延所得税资</w:t>
      </w:r>
      <w:r>
        <w:rPr>
          <w:spacing w:val="-104"/>
        </w:rPr>
        <w:t> </w:t>
      </w:r>
      <w:r>
        <w:rPr>
          <w:spacing w:val="-104"/>
        </w:rPr>
      </w:r>
      <w:r>
        <w:rPr>
          <w:spacing w:val="-3"/>
        </w:rPr>
        <w:t>产及负债转回的期间内，涉及的纳税主体意图以净额结算当期所得税资产和负债</w:t>
      </w:r>
      <w:r>
        <w:rPr>
          <w:spacing w:val="-104"/>
        </w:rPr>
        <w:t> </w:t>
      </w:r>
      <w:r>
        <w:rPr>
          <w:spacing w:val="-104"/>
        </w:rPr>
      </w:r>
      <w:r>
        <w:rPr>
          <w:spacing w:val="-3"/>
        </w:rPr>
        <w:t>或是同时取得资产、清偿负债时，本公司递延所得税资产及递延所得税负债以抵</w:t>
      </w:r>
      <w:r>
        <w:rPr>
          <w:spacing w:val="-103"/>
        </w:rPr>
        <w:t> </w:t>
      </w:r>
      <w:r>
        <w:rPr>
          <w:spacing w:val="-103"/>
        </w:rPr>
      </w:r>
      <w:r>
        <w:rPr/>
        <w:t>销后的净额列报。</w:t>
      </w:r>
    </w:p>
    <w:p>
      <w:pPr>
        <w:spacing w:line="405" w:lineRule="auto" w:before="185"/>
        <w:ind w:left="617" w:right="84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、职工薪酬</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本公司在职工提供服务的会计期间，将应付的职工薪酬确认为负债。</w:t>
      </w:r>
    </w:p>
    <w:p>
      <w:pPr>
        <w:spacing w:after="0" w:line="405" w:lineRule="auto"/>
        <w:jc w:val="left"/>
        <w:rPr>
          <w:rFonts w:ascii="宋体" w:hAnsi="宋体" w:cs="宋体" w:eastAsia="宋体" w:hint="default"/>
          <w:sz w:val="24"/>
          <w:szCs w:val="24"/>
        </w:rPr>
        <w:sectPr>
          <w:pgSz w:w="11910" w:h="16840"/>
          <w:pgMar w:header="850" w:footer="979" w:top="1380" w:bottom="1160" w:left="1660" w:right="1560"/>
        </w:sectPr>
      </w:pPr>
    </w:p>
    <w:p>
      <w:pPr>
        <w:pStyle w:val="BodyText"/>
        <w:spacing w:line="304" w:lineRule="auto" w:before="93"/>
        <w:ind w:right="111" w:firstLine="480"/>
        <w:jc w:val="left"/>
      </w:pPr>
      <w:r>
        <w:rPr/>
        <w:t>本公司按规定参加由政府机构设立的职工社会保障体系，包括基本养老保 </w:t>
      </w:r>
      <w:r>
        <w:rPr>
          <w:spacing w:val="-3"/>
        </w:rPr>
        <w:t>险、医疗保险、住房公积金及其他社会保障制度，相应的支出于发生时计入相关</w:t>
      </w:r>
      <w:r>
        <w:rPr>
          <w:spacing w:val="-102"/>
        </w:rPr>
        <w:t> </w:t>
      </w:r>
      <w:r>
        <w:rPr>
          <w:spacing w:val="-102"/>
        </w:rPr>
      </w:r>
      <w:r>
        <w:rPr/>
        <w:t>资产成本或当期损益。</w:t>
      </w:r>
    </w:p>
    <w:p>
      <w:pPr>
        <w:pStyle w:val="BodyText"/>
        <w:spacing w:line="304" w:lineRule="auto" w:before="185"/>
        <w:ind w:right="113" w:firstLine="480"/>
        <w:jc w:val="both"/>
      </w:pPr>
      <w:r>
        <w:rPr>
          <w:spacing w:val="-3"/>
        </w:rPr>
        <w:t>在职工劳动合同到期之前解除与职工的劳动关系，或为鼓励职工自愿接受裁</w:t>
      </w:r>
      <w:r>
        <w:rPr/>
        <w:t> </w:t>
      </w:r>
      <w:r>
        <w:rPr>
          <w:spacing w:val="-3"/>
        </w:rPr>
        <w:t>减而提出给予补偿的建议，如果本公司已经制定正式的解除劳动关系计划或提出</w:t>
      </w:r>
      <w:r>
        <w:rPr>
          <w:spacing w:val="-104"/>
        </w:rPr>
        <w:t> </w:t>
      </w:r>
      <w:r>
        <w:rPr>
          <w:spacing w:val="-104"/>
        </w:rPr>
      </w:r>
      <w:r>
        <w:rPr>
          <w:spacing w:val="-3"/>
        </w:rPr>
        <w:t>自愿裁减建议并即将实施，同时本公司不能单方面撤回解除劳动关系计划或裁减</w:t>
      </w:r>
      <w:r>
        <w:rPr>
          <w:spacing w:val="-104"/>
        </w:rPr>
        <w:t> </w:t>
      </w:r>
      <w:r>
        <w:rPr>
          <w:spacing w:val="-104"/>
        </w:rPr>
      </w:r>
      <w:r>
        <w:rPr>
          <w:spacing w:val="-6"/>
        </w:rPr>
        <w:t>建议的，确认因解除与职工劳动关系给予补偿产生的预计负债，并计入当期损益。</w:t>
      </w:r>
    </w:p>
    <w:p>
      <w:pPr>
        <w:pStyle w:val="BodyText"/>
        <w:spacing w:line="304" w:lineRule="auto" w:before="185"/>
        <w:ind w:right="129" w:firstLine="480"/>
        <w:jc w:val="left"/>
      </w:pPr>
      <w:r>
        <w:rPr>
          <w:spacing w:val="-3"/>
        </w:rPr>
        <w:t>职工内部退休计划采用上述辞退福利相同的原则处理。本公司将自职工停止</w:t>
      </w:r>
      <w:r>
        <w:rPr/>
        <w:t> 提供服务日至正常退休日的期间拟支付的内退人员工资和缴纳的社会保险费等， 在符合预计负债确认条件时，计入当期损益（辞退福利）。</w:t>
      </w:r>
    </w:p>
    <w:p>
      <w:pPr>
        <w:spacing w:line="417" w:lineRule="auto" w:before="182"/>
        <w:ind w:left="617" w:right="2049"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、主要会计政策、会计估计的变更</w:t>
      </w:r>
      <w:r>
        <w:rPr>
          <w:rFonts w:ascii="宋体" w:hAnsi="宋体" w:cs="宋体" w:eastAsia="宋体" w:hint="default"/>
          <w:b/>
          <w:bCs/>
          <w:w w:val="99"/>
          <w:sz w:val="24"/>
          <w:szCs w:val="24"/>
        </w:rPr>
        <w:t> </w:t>
      </w:r>
      <w:r>
        <w:rPr>
          <w:rFonts w:ascii="宋体" w:hAnsi="宋体" w:cs="宋体" w:eastAsia="宋体" w:hint="default"/>
          <w:sz w:val="24"/>
          <w:szCs w:val="24"/>
        </w:rPr>
        <w:t>本集团本年度无需要披露的会计政策和会计估计的变更。 </w:t>
      </w: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sz w:val="24"/>
          <w:szCs w:val="24"/>
        </w:rPr>
        <w:t>本集团本年度无需要披露的前期会计差错更正。 </w:t>
      </w:r>
      <w:r>
        <w:rPr>
          <w:rFonts w:ascii="Times New Roman" w:hAnsi="Times New Roman" w:cs="Times New Roman" w:eastAsia="Times New Roman" w:hint="default"/>
          <w:b/>
          <w:bCs/>
          <w:sz w:val="24"/>
          <w:szCs w:val="24"/>
        </w:rPr>
        <w:t>23</w:t>
      </w:r>
      <w:r>
        <w:rPr>
          <w:rFonts w:ascii="宋体" w:hAnsi="宋体" w:cs="宋体" w:eastAsia="宋体" w:hint="default"/>
          <w:b/>
          <w:bCs/>
          <w:sz w:val="24"/>
          <w:szCs w:val="24"/>
        </w:rPr>
        <w:t>、重大会计判断和估计</w:t>
      </w:r>
      <w:r>
        <w:rPr>
          <w:rFonts w:ascii="宋体" w:hAnsi="宋体" w:cs="宋体" w:eastAsia="宋体" w:hint="default"/>
          <w:sz w:val="24"/>
          <w:szCs w:val="24"/>
        </w:rPr>
      </w:r>
    </w:p>
    <w:p>
      <w:pPr>
        <w:pStyle w:val="BodyText"/>
        <w:spacing w:line="304" w:lineRule="auto" w:before="32"/>
        <w:ind w:right="233" w:firstLine="480"/>
        <w:jc w:val="both"/>
      </w:pPr>
      <w:r>
        <w:rPr>
          <w:spacing w:val="-3"/>
        </w:rPr>
        <w:t>本公司在运用会计政策过程中，由于经营活动内在的不确定性，本公司需要</w:t>
      </w:r>
      <w:r>
        <w:rPr/>
        <w:t> </w:t>
      </w:r>
      <w:r>
        <w:rPr>
          <w:spacing w:val="-3"/>
        </w:rPr>
        <w:t>对无法准确计量的报表项目的账面价值进行判断、估计和假设。这些判断、估计</w:t>
      </w:r>
      <w:r>
        <w:rPr>
          <w:spacing w:val="-102"/>
        </w:rPr>
        <w:t> </w:t>
      </w:r>
      <w:r>
        <w:rPr>
          <w:spacing w:val="-102"/>
        </w:rPr>
      </w:r>
      <w:r>
        <w:rPr>
          <w:spacing w:val="-3"/>
        </w:rPr>
        <w:t>和假设是基于本公司管理层过去的历史经验，并在考虑其他相关因素的基础上做</w:t>
      </w:r>
      <w:r>
        <w:rPr>
          <w:spacing w:val="-104"/>
        </w:rPr>
        <w:t> </w:t>
      </w:r>
      <w:r>
        <w:rPr>
          <w:spacing w:val="-104"/>
        </w:rPr>
      </w:r>
      <w:r>
        <w:rPr>
          <w:spacing w:val="-3"/>
        </w:rPr>
        <w:t>出的。这些判断、估计和假设会影响收入、费用、资产和负债的报告金额以及资</w:t>
      </w:r>
      <w:r>
        <w:rPr>
          <w:spacing w:val="-103"/>
        </w:rPr>
        <w:t> </w:t>
      </w:r>
      <w:r>
        <w:rPr>
          <w:spacing w:val="-103"/>
        </w:rPr>
      </w:r>
      <w:r>
        <w:rPr>
          <w:spacing w:val="-3"/>
        </w:rPr>
        <w:t>产负债表日或有负债的披露。然而，这些估计的不确定性所导致的结果可能造成</w:t>
      </w:r>
      <w:r>
        <w:rPr>
          <w:spacing w:val="-106"/>
        </w:rPr>
        <w:t> </w:t>
      </w:r>
      <w:r>
        <w:rPr>
          <w:spacing w:val="-106"/>
        </w:rPr>
      </w:r>
      <w:r>
        <w:rPr/>
        <w:t>对未来受影响的资产或负债的账面金额进行重大调整。</w:t>
      </w:r>
    </w:p>
    <w:p>
      <w:pPr>
        <w:pStyle w:val="BodyText"/>
        <w:spacing w:line="307" w:lineRule="auto" w:before="182"/>
        <w:ind w:right="233" w:firstLine="480"/>
        <w:jc w:val="both"/>
      </w:pPr>
      <w:r>
        <w:rPr>
          <w:spacing w:val="-3"/>
        </w:rPr>
        <w:t>本公司对前述判断、估计和假设在持续经营的基础上进行定期复核，会计估</w:t>
      </w:r>
      <w:r>
        <w:rPr/>
        <w:t> </w:t>
      </w:r>
      <w:r>
        <w:rPr>
          <w:spacing w:val="-3"/>
        </w:rPr>
        <w:t>计的变更仅影响变更当期的，其影响数在变更当期予以确认；既影响变更当期又</w:t>
      </w:r>
      <w:r>
        <w:rPr>
          <w:spacing w:val="-103"/>
        </w:rPr>
        <w:t> </w:t>
      </w:r>
      <w:r>
        <w:rPr>
          <w:spacing w:val="-103"/>
        </w:rPr>
      </w:r>
      <w:r>
        <w:rPr/>
        <w:t>影响未来期间的，其影响数在变更当期和未来期间予以确认。</w:t>
      </w:r>
    </w:p>
    <w:p>
      <w:pPr>
        <w:pStyle w:val="BodyText"/>
        <w:spacing w:line="307" w:lineRule="auto" w:before="180"/>
        <w:ind w:right="228" w:firstLine="480"/>
        <w:jc w:val="left"/>
      </w:pPr>
      <w:r>
        <w:rPr>
          <w:spacing w:val="-3"/>
        </w:rPr>
        <w:t>于资产负债表日，本公司需对财务报表项目金额进行判断、估计和假设的重</w:t>
      </w:r>
      <w:r>
        <w:rPr/>
        <w:t> 要领域如下：</w:t>
      </w:r>
    </w:p>
    <w:p>
      <w:pPr>
        <w:pStyle w:val="BodyText"/>
        <w:spacing w:line="564" w:lineRule="exact" w:before="9"/>
        <w:ind w:left="617" w:right="228"/>
        <w:jc w:val="left"/>
      </w:pPr>
      <w:r>
        <w:rPr/>
        <w:t>（</w:t>
      </w:r>
      <w:r>
        <w:rPr>
          <w:rFonts w:ascii="Times New Roman" w:hAnsi="Times New Roman" w:cs="Times New Roman" w:eastAsia="Times New Roman" w:hint="default"/>
        </w:rPr>
        <w:t>1</w:t>
      </w:r>
      <w:r>
        <w:rPr/>
        <w:t>）坏账准备计提 </w:t>
      </w:r>
      <w:r>
        <w:rPr>
          <w:spacing w:val="-3"/>
        </w:rPr>
        <w:t>本公司根据应收款项的会计政策，采用备抵法核算坏账损失。应收账款减值</w:t>
      </w:r>
    </w:p>
    <w:p>
      <w:pPr>
        <w:pStyle w:val="BodyText"/>
        <w:spacing w:line="240" w:lineRule="auto" w:before="7"/>
        <w:ind w:right="105"/>
        <w:jc w:val="left"/>
      </w:pPr>
      <w:r>
        <w:rPr/>
        <w:t>是基于评估应收账款的可收回性。鉴定应收账款减值要求管理层的判断和估计。</w:t>
      </w:r>
    </w:p>
    <w:p>
      <w:pPr>
        <w:spacing w:after="0" w:line="240" w:lineRule="auto"/>
        <w:jc w:val="left"/>
        <w:sectPr>
          <w:pgSz w:w="11910" w:h="16840"/>
          <w:pgMar w:header="850" w:footer="979" w:top="1380" w:bottom="1160" w:left="1660" w:right="1560"/>
        </w:sectPr>
      </w:pPr>
    </w:p>
    <w:p>
      <w:pPr>
        <w:pStyle w:val="BodyText"/>
        <w:spacing w:line="307" w:lineRule="auto" w:before="93"/>
        <w:ind w:right="269"/>
        <w:jc w:val="left"/>
      </w:pPr>
      <w:r>
        <w:rPr/>
        <w:t>实际的结果与原先估计的差异将在估计被改变的期间影响应收账款的账面价值 及应收账款坏账准备的计提或转回。</w:t>
      </w:r>
    </w:p>
    <w:p>
      <w:pPr>
        <w:pStyle w:val="BodyText"/>
        <w:spacing w:line="564" w:lineRule="exact" w:before="9"/>
        <w:ind w:left="617" w:right="128"/>
        <w:jc w:val="left"/>
      </w:pPr>
      <w:r>
        <w:rPr/>
        <w:t>（</w:t>
      </w:r>
      <w:r>
        <w:rPr>
          <w:rFonts w:ascii="Times New Roman" w:hAnsi="Times New Roman" w:cs="Times New Roman" w:eastAsia="Times New Roman" w:hint="default"/>
        </w:rPr>
        <w:t>2</w:t>
      </w:r>
      <w:r>
        <w:rPr/>
        <w:t>）存货跌价准备 </w:t>
      </w:r>
      <w:r>
        <w:rPr>
          <w:spacing w:val="-3"/>
        </w:rPr>
        <w:t>本公司根据存货会计政策，按照成本与可变现净值孰低计量，对成本高于可</w:t>
      </w:r>
    </w:p>
    <w:p>
      <w:pPr>
        <w:pStyle w:val="BodyText"/>
        <w:spacing w:line="304" w:lineRule="auto" w:before="5"/>
        <w:ind w:right="0"/>
        <w:jc w:val="left"/>
      </w:pPr>
      <w:r>
        <w:rPr>
          <w:spacing w:val="-3"/>
        </w:rPr>
        <w:t>变现净值及陈旧和滞销的存货，计提存货跌价准备。存货减值至可变现净值是基</w:t>
      </w:r>
      <w:r>
        <w:rPr>
          <w:spacing w:val="-103"/>
        </w:rPr>
        <w:t> </w:t>
      </w:r>
      <w:r>
        <w:rPr>
          <w:spacing w:val="-103"/>
        </w:rPr>
      </w:r>
      <w:r>
        <w:rPr/>
        <w:t>于评估存货的可售性及其可变现净值。鉴定存货减值要求管理层在取得确凿证 </w:t>
      </w:r>
      <w:r>
        <w:rPr>
          <w:spacing w:val="-3"/>
        </w:rPr>
        <w:t>据，并且考虑持有存货的目的、资产负债表日后事项的影响等因素的基础上作出</w:t>
      </w:r>
      <w:r>
        <w:rPr>
          <w:spacing w:val="-103"/>
        </w:rPr>
        <w:t> </w:t>
      </w:r>
      <w:r>
        <w:rPr>
          <w:spacing w:val="-103"/>
        </w:rPr>
      </w:r>
      <w:r>
        <w:rPr>
          <w:spacing w:val="-3"/>
        </w:rPr>
        <w:t>判断和估计。实际的结果与原先估计的差异将在估计被改变的期间影响存货的账</w:t>
      </w:r>
      <w:r>
        <w:rPr>
          <w:spacing w:val="-104"/>
        </w:rPr>
        <w:t> </w:t>
      </w:r>
      <w:r>
        <w:rPr>
          <w:spacing w:val="-104"/>
        </w:rPr>
      </w:r>
      <w:r>
        <w:rPr/>
        <w:t>面价值及存货跌价准备的计提或转回。</w:t>
      </w:r>
    </w:p>
    <w:p>
      <w:pPr>
        <w:pStyle w:val="BodyText"/>
        <w:spacing w:line="562" w:lineRule="exact" w:before="16"/>
        <w:ind w:left="617" w:right="128"/>
        <w:jc w:val="left"/>
      </w:pPr>
      <w:r>
        <w:rPr/>
        <w:t>（</w:t>
      </w:r>
      <w:r>
        <w:rPr>
          <w:rFonts w:ascii="Times New Roman" w:hAnsi="Times New Roman" w:cs="Times New Roman" w:eastAsia="Times New Roman" w:hint="default"/>
        </w:rPr>
        <w:t>3</w:t>
      </w:r>
      <w:r>
        <w:rPr/>
        <w:t>）折旧和摊销 </w:t>
      </w:r>
      <w:r>
        <w:rPr>
          <w:spacing w:val="-3"/>
        </w:rPr>
        <w:t>本公司对投资性房地产、固定资产和无形资产在考虑其残值后，在使用寿命</w:t>
      </w:r>
    </w:p>
    <w:p>
      <w:pPr>
        <w:pStyle w:val="BodyText"/>
        <w:spacing w:line="304" w:lineRule="auto" w:before="8"/>
        <w:ind w:right="133"/>
        <w:jc w:val="both"/>
      </w:pPr>
      <w:r>
        <w:rPr>
          <w:spacing w:val="-3"/>
        </w:rPr>
        <w:t>内按直线法计提折旧和摊销。本公司定期复核使用寿命，以决定将计入每个报告</w:t>
      </w:r>
      <w:r>
        <w:rPr>
          <w:spacing w:val="-103"/>
        </w:rPr>
        <w:t> </w:t>
      </w:r>
      <w:r>
        <w:rPr>
          <w:spacing w:val="-103"/>
        </w:rPr>
      </w:r>
      <w:r>
        <w:rPr>
          <w:spacing w:val="-3"/>
        </w:rPr>
        <w:t>期的折旧和摊销费用数额。使用寿命是本公司根据对同类资产的已往经验并结合</w:t>
      </w:r>
      <w:r>
        <w:rPr>
          <w:spacing w:val="-104"/>
        </w:rPr>
        <w:t> </w:t>
      </w:r>
      <w:r>
        <w:rPr>
          <w:spacing w:val="-104"/>
        </w:rPr>
      </w:r>
      <w:r>
        <w:rPr>
          <w:spacing w:val="-3"/>
        </w:rPr>
        <w:t>预期的技术更新而确定的。如果以前的估计发生重大变化，则会在未来期间对折</w:t>
      </w:r>
      <w:r>
        <w:rPr>
          <w:spacing w:val="-103"/>
        </w:rPr>
        <w:t> </w:t>
      </w:r>
      <w:r>
        <w:rPr>
          <w:spacing w:val="-103"/>
        </w:rPr>
      </w:r>
      <w:r>
        <w:rPr/>
        <w:t>旧和摊销费用进行调整。</w:t>
      </w:r>
    </w:p>
    <w:p>
      <w:pPr>
        <w:pStyle w:val="BodyText"/>
        <w:spacing w:line="562" w:lineRule="exact" w:before="16"/>
        <w:ind w:left="617" w:right="269"/>
        <w:jc w:val="left"/>
      </w:pPr>
      <w:r>
        <w:rPr/>
        <w:t>（</w:t>
      </w:r>
      <w:r>
        <w:rPr>
          <w:rFonts w:ascii="Times New Roman" w:hAnsi="Times New Roman" w:cs="Times New Roman" w:eastAsia="Times New Roman" w:hint="default"/>
        </w:rPr>
        <w:t>4</w:t>
      </w:r>
      <w:r>
        <w:rPr/>
        <w:t>）开发支出 确定资本化的金额时，本公司管理层需要作出有关资产的预计未来现金流</w:t>
      </w:r>
    </w:p>
    <w:p>
      <w:pPr>
        <w:pStyle w:val="BodyText"/>
        <w:spacing w:line="240" w:lineRule="auto" w:before="8"/>
        <w:ind w:right="0"/>
        <w:jc w:val="both"/>
      </w:pPr>
      <w:r>
        <w:rPr/>
        <w:t>量、适用的折现率以及预计受益期间的假设。</w:t>
      </w:r>
    </w:p>
    <w:p>
      <w:pPr>
        <w:pStyle w:val="BodyText"/>
        <w:spacing w:line="540" w:lineRule="atLeast" w:before="39"/>
        <w:ind w:left="617" w:right="128"/>
        <w:jc w:val="left"/>
      </w:pPr>
      <w:r>
        <w:rPr/>
        <w:t>（</w:t>
      </w:r>
      <w:r>
        <w:rPr>
          <w:rFonts w:ascii="Times New Roman" w:hAnsi="Times New Roman" w:cs="Times New Roman" w:eastAsia="Times New Roman" w:hint="default"/>
        </w:rPr>
        <w:t>5</w:t>
      </w:r>
      <w:r>
        <w:rPr/>
        <w:t>）递延所得税资产 </w:t>
      </w:r>
      <w:r>
        <w:rPr>
          <w:spacing w:val="-3"/>
        </w:rPr>
        <w:t>在很有可能有足够的应纳税利润来抵扣亏损的限度内，本公司就所有未利用</w:t>
      </w:r>
    </w:p>
    <w:p>
      <w:pPr>
        <w:pStyle w:val="BodyText"/>
        <w:spacing w:line="304" w:lineRule="auto" w:before="86"/>
        <w:ind w:right="133"/>
        <w:jc w:val="both"/>
      </w:pPr>
      <w:r>
        <w:rPr>
          <w:spacing w:val="-3"/>
        </w:rPr>
        <w:t>的税务亏损确认递延所得税资产。这需要本公司管理层运用大量的判断来估计未</w:t>
      </w:r>
      <w:r>
        <w:rPr>
          <w:spacing w:val="-104"/>
        </w:rPr>
        <w:t> </w:t>
      </w:r>
      <w:r>
        <w:rPr>
          <w:spacing w:val="-104"/>
        </w:rPr>
      </w:r>
      <w:r>
        <w:rPr>
          <w:spacing w:val="-3"/>
        </w:rPr>
        <w:t>来应纳税利润发生的时间和金额，结合纳税筹划策略，以决定应确认的递延所得</w:t>
      </w:r>
      <w:r>
        <w:rPr>
          <w:spacing w:val="-103"/>
        </w:rPr>
        <w:t> </w:t>
      </w:r>
      <w:r>
        <w:rPr>
          <w:spacing w:val="-103"/>
        </w:rPr>
      </w:r>
      <w:r>
        <w:rPr/>
        <w:t>税资产的金额。</w:t>
      </w:r>
    </w:p>
    <w:p>
      <w:pPr>
        <w:pStyle w:val="BodyText"/>
        <w:spacing w:line="562" w:lineRule="exact" w:before="16"/>
        <w:ind w:left="617" w:right="128"/>
        <w:jc w:val="left"/>
      </w:pPr>
      <w:r>
        <w:rPr/>
        <w:t>（</w:t>
      </w:r>
      <w:r>
        <w:rPr>
          <w:rFonts w:ascii="Times New Roman" w:hAnsi="Times New Roman" w:cs="Times New Roman" w:eastAsia="Times New Roman" w:hint="default"/>
        </w:rPr>
        <w:t>6</w:t>
      </w:r>
      <w:r>
        <w:rPr/>
        <w:t>）所得税 </w:t>
      </w:r>
      <w:r>
        <w:rPr>
          <w:spacing w:val="-3"/>
        </w:rPr>
        <w:t>本公司在正常的经营活动中，有部分交易其最终的税务处理和计算存在一定</w:t>
      </w:r>
    </w:p>
    <w:p>
      <w:pPr>
        <w:pStyle w:val="BodyText"/>
        <w:spacing w:line="304" w:lineRule="auto" w:before="8"/>
        <w:ind w:right="133"/>
        <w:jc w:val="both"/>
      </w:pPr>
      <w:r>
        <w:rPr>
          <w:spacing w:val="-3"/>
        </w:rPr>
        <w:t>的不确定性。部分项目是否能够在税前列支需要税收主管机关的审批。如果这些</w:t>
      </w:r>
      <w:r>
        <w:rPr>
          <w:spacing w:val="-103"/>
        </w:rPr>
        <w:t> </w:t>
      </w:r>
      <w:r>
        <w:rPr>
          <w:spacing w:val="-103"/>
        </w:rPr>
      </w:r>
      <w:r>
        <w:rPr>
          <w:spacing w:val="-3"/>
        </w:rPr>
        <w:t>税务事项的最终认定结果同最初估计的金额存在差异，则该差异将对其最终认定</w:t>
      </w:r>
      <w:r>
        <w:rPr>
          <w:spacing w:val="-104"/>
        </w:rPr>
        <w:t> </w:t>
      </w:r>
      <w:r>
        <w:rPr>
          <w:spacing w:val="-104"/>
        </w:rPr>
      </w:r>
      <w:r>
        <w:rPr/>
        <w:t>期间的当期所得税和递延所得税产生影响。</w:t>
      </w:r>
    </w:p>
    <w:p>
      <w:pPr>
        <w:spacing w:line="240" w:lineRule="auto" w:before="3"/>
        <w:rPr>
          <w:rFonts w:ascii="宋体" w:hAnsi="宋体" w:cs="宋体" w:eastAsia="宋体" w:hint="default"/>
          <w:sz w:val="26"/>
          <w:szCs w:val="26"/>
        </w:rPr>
      </w:pPr>
    </w:p>
    <w:p>
      <w:pPr>
        <w:pStyle w:val="Heading3"/>
        <w:spacing w:line="240" w:lineRule="auto" w:before="0"/>
        <w:ind w:right="0"/>
        <w:jc w:val="left"/>
        <w:rPr>
          <w:b w:val="0"/>
          <w:bCs w:val="0"/>
        </w:rPr>
      </w:pPr>
      <w:r>
        <w:rPr/>
        <w:t>五、税项</w:t>
      </w:r>
      <w:r>
        <w:rPr>
          <w:b w:val="0"/>
          <w:bCs w:val="0"/>
        </w:rPr>
      </w:r>
    </w:p>
    <w:p>
      <w:pPr>
        <w:spacing w:after="0" w:line="240" w:lineRule="auto"/>
        <w:jc w:val="left"/>
        <w:sectPr>
          <w:footerReference w:type="default" r:id="rId37"/>
          <w:pgSz w:w="11910" w:h="16840"/>
          <w:pgMar w:footer="979" w:header="850" w:top="1380" w:bottom="1160" w:left="1660" w:right="1660"/>
        </w:sectPr>
      </w:pPr>
    </w:p>
    <w:p>
      <w:pPr>
        <w:pStyle w:val="Heading3"/>
        <w:spacing w:line="240" w:lineRule="auto" w:before="93"/>
        <w:ind w:left="920" w:right="449"/>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2978"/>
        <w:gridCol w:w="238"/>
        <w:gridCol w:w="5748"/>
      </w:tblGrid>
      <w:tr>
        <w:trPr>
          <w:trHeight w:val="295" w:hRule="exact"/>
        </w:trPr>
        <w:tc>
          <w:tcPr>
            <w:tcW w:w="2978"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税种</w:t>
            </w:r>
          </w:p>
        </w:tc>
        <w:tc>
          <w:tcPr>
            <w:tcW w:w="238" w:type="dxa"/>
            <w:tcBorders>
              <w:top w:val="nil" w:sz="6" w:space="0" w:color="auto"/>
              <w:left w:val="nil" w:sz="6" w:space="0" w:color="auto"/>
              <w:bottom w:val="nil" w:sz="6" w:space="0" w:color="auto"/>
              <w:right w:val="nil" w:sz="6" w:space="0" w:color="auto"/>
            </w:tcBorders>
          </w:tcPr>
          <w:p>
            <w:pPr/>
          </w:p>
        </w:tc>
        <w:tc>
          <w:tcPr>
            <w:tcW w:w="5748" w:type="dxa"/>
            <w:tcBorders>
              <w:top w:val="nil" w:sz="6" w:space="0" w:color="auto"/>
              <w:left w:val="nil" w:sz="6" w:space="0" w:color="auto"/>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4"/>
                <w:szCs w:val="24"/>
              </w:rPr>
            </w:pPr>
            <w:r>
              <w:rPr>
                <w:rFonts w:ascii="宋体" w:hAnsi="宋体" w:cs="宋体" w:eastAsia="宋体" w:hint="default"/>
                <w:sz w:val="24"/>
                <w:szCs w:val="24"/>
              </w:rPr>
              <w:t>具体税率情况</w:t>
            </w:r>
          </w:p>
        </w:tc>
      </w:tr>
      <w:tr>
        <w:trPr>
          <w:trHeight w:val="670" w:hRule="exact"/>
        </w:trPr>
        <w:tc>
          <w:tcPr>
            <w:tcW w:w="297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0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38" w:type="dxa"/>
            <w:tcBorders>
              <w:top w:val="nil" w:sz="6" w:space="0" w:color="auto"/>
              <w:left w:val="nil" w:sz="6" w:space="0" w:color="auto"/>
              <w:bottom w:val="nil" w:sz="6" w:space="0" w:color="auto"/>
              <w:right w:val="nil" w:sz="6" w:space="0" w:color="auto"/>
            </w:tcBorders>
          </w:tcPr>
          <w:p>
            <w:pPr/>
          </w:p>
        </w:tc>
        <w:tc>
          <w:tcPr>
            <w:tcW w:w="5748" w:type="dxa"/>
            <w:tcBorders>
              <w:top w:val="single" w:sz="4" w:space="0" w:color="000000"/>
              <w:left w:val="nil" w:sz="6" w:space="0" w:color="auto"/>
              <w:bottom w:val="nil" w:sz="6" w:space="0" w:color="auto"/>
              <w:right w:val="nil" w:sz="6" w:space="0" w:color="auto"/>
            </w:tcBorders>
          </w:tcPr>
          <w:p>
            <w:pPr>
              <w:pStyle w:val="TableParagraph"/>
              <w:spacing w:line="312" w:lineRule="exact" w:before="19"/>
              <w:ind w:left="105" w:right="161"/>
              <w:jc w:val="left"/>
              <w:rPr>
                <w:rFonts w:ascii="宋体" w:hAnsi="宋体" w:cs="宋体" w:eastAsia="宋体" w:hint="default"/>
                <w:sz w:val="24"/>
                <w:szCs w:val="24"/>
              </w:rPr>
            </w:pPr>
            <w:r>
              <w:rPr>
                <w:rFonts w:ascii="宋体" w:hAnsi="宋体" w:cs="宋体" w:eastAsia="宋体" w:hint="default"/>
                <w:sz w:val="24"/>
                <w:szCs w:val="24"/>
              </w:rPr>
              <w:t>应税收入按</w:t>
            </w:r>
            <w:r>
              <w:rPr>
                <w:rFonts w:ascii="Times New Roman" w:hAnsi="Times New Roman" w:cs="Times New Roman" w:eastAsia="Times New Roman" w:hint="default"/>
                <w:sz w:val="24"/>
                <w:szCs w:val="24"/>
              </w:rPr>
              <w:t>17%</w:t>
            </w:r>
            <w:r>
              <w:rPr>
                <w:rFonts w:ascii="宋体" w:hAnsi="宋体" w:cs="宋体" w:eastAsia="宋体" w:hint="default"/>
                <w:sz w:val="24"/>
                <w:szCs w:val="24"/>
              </w:rPr>
              <w:t>的税率计算销项税，并按扣除当期允 许抵扣的进项税额后的差额计缴增值税。</w:t>
            </w:r>
          </w:p>
        </w:tc>
      </w:tr>
      <w:tr>
        <w:trPr>
          <w:trHeight w:val="37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38" w:type="dxa"/>
            <w:tcBorders>
              <w:top w:val="nil" w:sz="6" w:space="0" w:color="auto"/>
              <w:left w:val="nil" w:sz="6" w:space="0" w:color="auto"/>
              <w:bottom w:val="nil" w:sz="6" w:space="0" w:color="auto"/>
              <w:right w:val="nil" w:sz="6" w:space="0" w:color="auto"/>
            </w:tcBorders>
          </w:tcPr>
          <w:p>
            <w:pPr/>
          </w:p>
        </w:tc>
        <w:tc>
          <w:tcPr>
            <w:tcW w:w="5748" w:type="dxa"/>
            <w:tcBorders>
              <w:top w:val="nil" w:sz="6" w:space="0" w:color="auto"/>
              <w:left w:val="nil" w:sz="6" w:space="0" w:color="auto"/>
              <w:bottom w:val="nil" w:sz="6" w:space="0" w:color="auto"/>
              <w:right w:val="nil" w:sz="6" w:space="0" w:color="auto"/>
            </w:tcBorders>
          </w:tcPr>
          <w:p>
            <w:pPr>
              <w:pStyle w:val="TableParagraph"/>
              <w:spacing w:line="309" w:lineRule="exact"/>
              <w:ind w:left="105" w:right="0"/>
              <w:jc w:val="left"/>
              <w:rPr>
                <w:rFonts w:ascii="宋体" w:hAnsi="宋体" w:cs="宋体" w:eastAsia="宋体" w:hint="default"/>
                <w:sz w:val="24"/>
                <w:szCs w:val="24"/>
              </w:rPr>
            </w:pPr>
            <w:r>
              <w:rPr>
                <w:rFonts w:ascii="宋体" w:hAnsi="宋体" w:cs="宋体" w:eastAsia="宋体" w:hint="default"/>
                <w:sz w:val="24"/>
                <w:szCs w:val="24"/>
              </w:rPr>
              <w:t>按应税营业额的</w:t>
            </w:r>
            <w:r>
              <w:rPr>
                <w:rFonts w:ascii="Times New Roman" w:hAnsi="Times New Roman" w:cs="Times New Roman" w:eastAsia="Times New Roman" w:hint="default"/>
                <w:sz w:val="24"/>
                <w:szCs w:val="24"/>
              </w:rPr>
              <w:t>5%</w:t>
            </w:r>
            <w:r>
              <w:rPr>
                <w:rFonts w:ascii="宋体" w:hAnsi="宋体" w:cs="宋体" w:eastAsia="宋体" w:hint="default"/>
                <w:sz w:val="24"/>
                <w:szCs w:val="24"/>
              </w:rPr>
              <w:t>计缴营业税。</w:t>
            </w:r>
          </w:p>
        </w:tc>
      </w:tr>
      <w:tr>
        <w:trPr>
          <w:trHeight w:val="382"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99" w:lineRule="exact"/>
              <w:ind w:left="10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38" w:type="dxa"/>
            <w:tcBorders>
              <w:top w:val="nil" w:sz="6" w:space="0" w:color="auto"/>
              <w:left w:val="nil" w:sz="6" w:space="0" w:color="auto"/>
              <w:bottom w:val="nil" w:sz="6" w:space="0" w:color="auto"/>
              <w:right w:val="nil" w:sz="6" w:space="0" w:color="auto"/>
            </w:tcBorders>
          </w:tcPr>
          <w:p>
            <w:pPr/>
          </w:p>
        </w:tc>
        <w:tc>
          <w:tcPr>
            <w:tcW w:w="5748" w:type="dxa"/>
            <w:tcBorders>
              <w:top w:val="nil" w:sz="6" w:space="0" w:color="auto"/>
              <w:left w:val="nil" w:sz="6" w:space="0" w:color="auto"/>
              <w:bottom w:val="nil" w:sz="6" w:space="0" w:color="auto"/>
              <w:right w:val="nil" w:sz="6" w:space="0" w:color="auto"/>
            </w:tcBorders>
          </w:tcPr>
          <w:p>
            <w:pPr>
              <w:pStyle w:val="TableParagraph"/>
              <w:spacing w:line="317" w:lineRule="exact"/>
              <w:ind w:left="105" w:right="0"/>
              <w:jc w:val="left"/>
              <w:rPr>
                <w:rFonts w:ascii="宋体" w:hAnsi="宋体" w:cs="宋体" w:eastAsia="宋体" w:hint="default"/>
                <w:sz w:val="24"/>
                <w:szCs w:val="24"/>
              </w:rPr>
            </w:pPr>
            <w:r>
              <w:rPr>
                <w:rFonts w:ascii="宋体" w:hAnsi="宋体" w:cs="宋体" w:eastAsia="宋体" w:hint="default"/>
                <w:sz w:val="24"/>
                <w:szCs w:val="24"/>
              </w:rPr>
              <w:t>按实际缴纳的流转税的</w:t>
            </w:r>
            <w:r>
              <w:rPr>
                <w:rFonts w:ascii="Times New Roman" w:hAnsi="Times New Roman" w:cs="Times New Roman" w:eastAsia="Times New Roman" w:hint="default"/>
                <w:sz w:val="24"/>
                <w:szCs w:val="24"/>
              </w:rPr>
              <w:t>7%</w:t>
            </w:r>
            <w:r>
              <w:rPr>
                <w:rFonts w:ascii="宋体" w:hAnsi="宋体" w:cs="宋体" w:eastAsia="宋体" w:hint="default"/>
                <w:sz w:val="24"/>
                <w:szCs w:val="24"/>
              </w:rPr>
              <w:t>计缴。</w:t>
            </w:r>
          </w:p>
        </w:tc>
      </w:tr>
      <w:tr>
        <w:trPr>
          <w:trHeight w:val="32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38" w:type="dxa"/>
            <w:tcBorders>
              <w:top w:val="nil" w:sz="6" w:space="0" w:color="auto"/>
              <w:left w:val="nil" w:sz="6" w:space="0" w:color="auto"/>
              <w:bottom w:val="nil" w:sz="6" w:space="0" w:color="auto"/>
              <w:right w:val="nil" w:sz="6" w:space="0" w:color="auto"/>
            </w:tcBorders>
          </w:tcPr>
          <w:p>
            <w:pPr/>
          </w:p>
        </w:tc>
        <w:tc>
          <w:tcPr>
            <w:tcW w:w="5748" w:type="dxa"/>
            <w:tcBorders>
              <w:top w:val="nil" w:sz="6" w:space="0" w:color="auto"/>
              <w:left w:val="nil" w:sz="6" w:space="0" w:color="auto"/>
              <w:bottom w:val="nil" w:sz="6" w:space="0" w:color="auto"/>
              <w:right w:val="nil" w:sz="6" w:space="0" w:color="auto"/>
            </w:tcBorders>
          </w:tcPr>
          <w:p>
            <w:pPr>
              <w:pStyle w:val="TableParagraph"/>
              <w:spacing w:line="331" w:lineRule="exact"/>
              <w:ind w:left="105" w:right="0"/>
              <w:jc w:val="left"/>
              <w:rPr>
                <w:rFonts w:ascii="宋体" w:hAnsi="宋体" w:cs="宋体" w:eastAsia="宋体" w:hint="default"/>
                <w:sz w:val="24"/>
                <w:szCs w:val="24"/>
              </w:rPr>
            </w:pPr>
            <w:r>
              <w:rPr>
                <w:rFonts w:ascii="宋体" w:hAnsi="宋体" w:cs="宋体" w:eastAsia="宋体" w:hint="default"/>
                <w:sz w:val="24"/>
                <w:szCs w:val="24"/>
              </w:rPr>
              <w:t>按应纳税所得额的</w:t>
            </w:r>
            <w:r>
              <w:rPr>
                <w:rFonts w:ascii="Times New Roman" w:hAnsi="Times New Roman" w:cs="Times New Roman" w:eastAsia="Times New Roman" w:hint="default"/>
                <w:sz w:val="24"/>
                <w:szCs w:val="24"/>
              </w:rPr>
              <w:t>15%</w:t>
            </w:r>
            <w:r>
              <w:rPr>
                <w:rFonts w:ascii="宋体" w:hAnsi="宋体" w:cs="宋体" w:eastAsia="宋体" w:hint="default"/>
                <w:sz w:val="24"/>
                <w:szCs w:val="24"/>
              </w:rPr>
              <w:t>计缴。</w:t>
            </w:r>
          </w:p>
        </w:tc>
      </w:tr>
    </w:tbl>
    <w:p>
      <w:pPr>
        <w:spacing w:line="240" w:lineRule="auto" w:before="2"/>
        <w:rPr>
          <w:rFonts w:ascii="宋体" w:hAnsi="宋体" w:cs="宋体" w:eastAsia="宋体" w:hint="default"/>
          <w:b/>
          <w:bCs/>
          <w:sz w:val="20"/>
          <w:szCs w:val="20"/>
        </w:rPr>
      </w:pPr>
    </w:p>
    <w:p>
      <w:pPr>
        <w:spacing w:before="26"/>
        <w:ind w:left="920" w:right="44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、税收优惠及批文</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spacing w:line="295" w:lineRule="auto"/>
        <w:ind w:left="437" w:right="423" w:firstLine="477"/>
        <w:jc w:val="left"/>
      </w:pPr>
      <w:r>
        <w:rPr>
          <w:spacing w:val="-3"/>
        </w:rPr>
        <w:t>本公司根据国务院下发的《关于鼓励软件产业和集成电路产业若干政策的通</w:t>
      </w:r>
      <w:r>
        <w:rPr/>
        <w:t> </w:t>
      </w:r>
      <w:r>
        <w:rPr>
          <w:spacing w:val="-6"/>
        </w:rPr>
        <w:t>知》</w:t>
      </w:r>
      <w:r>
        <w:rPr>
          <w:rFonts w:ascii="Times New Roman" w:hAnsi="Times New Roman" w:cs="Times New Roman" w:eastAsia="Times New Roman" w:hint="default"/>
          <w:spacing w:val="-6"/>
        </w:rPr>
        <w:t>(</w:t>
      </w:r>
      <w:r>
        <w:rPr>
          <w:spacing w:val="-6"/>
        </w:rPr>
        <w:t>国发</w:t>
      </w:r>
      <w:r>
        <w:rPr>
          <w:rFonts w:ascii="Times New Roman" w:hAnsi="Times New Roman" w:cs="Times New Roman" w:eastAsia="Times New Roman" w:hint="default"/>
          <w:spacing w:val="-6"/>
        </w:rPr>
        <w:t>[2000]18</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第</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7"/>
        </w:rPr>
        <w:t>条和财政部、国家税务总局和海关总署联合下发的《关</w:t>
      </w:r>
      <w:r>
        <w:rPr/>
        <w:t> 于鼓励软件产业和集成电路产业发展有关税收政策问题的通知》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[2000]25 </w:t>
      </w:r>
      <w:r>
        <w:rPr/>
        <w:t>号</w:t>
      </w:r>
      <w:r>
        <w:rPr>
          <w:rFonts w:ascii="Times New Roman" w:hAnsi="Times New Roman" w:cs="Times New Roman" w:eastAsia="Times New Roman" w:hint="default"/>
        </w:rPr>
        <w:t>)</w:t>
      </w:r>
      <w:r>
        <w:rPr/>
        <w:t>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条</w:t>
      </w:r>
      <w:r>
        <w:rPr>
          <w:rFonts w:ascii="Times New Roman" w:hAnsi="Times New Roman" w:cs="Times New Roman" w:eastAsia="Times New Roman" w:hint="default"/>
        </w:rPr>
        <w:t>)</w:t>
      </w:r>
      <w:r>
        <w:rPr/>
        <w:t>，自</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年底以前，本公司销售其自行开发生</w:t>
      </w:r>
    </w:p>
    <w:p>
      <w:pPr>
        <w:pStyle w:val="BodyText"/>
        <w:spacing w:line="240" w:lineRule="auto" w:before="7"/>
        <w:ind w:left="437" w:right="0"/>
        <w:jc w:val="left"/>
        <w:rPr>
          <w:rFonts w:ascii="Times New Roman" w:hAnsi="Times New Roman" w:cs="Times New Roman" w:eastAsia="Times New Roman" w:hint="default"/>
        </w:rPr>
      </w:pPr>
      <w:r>
        <w:rPr/>
        <w:t>产的软件产品，按</w:t>
      </w:r>
      <w:r>
        <w:rPr>
          <w:spacing w:val="-65"/>
        </w:rPr>
        <w:t> </w:t>
      </w:r>
      <w:r>
        <w:rPr>
          <w:rFonts w:ascii="Times New Roman" w:hAnsi="Times New Roman" w:cs="Times New Roman" w:eastAsia="Times New Roman" w:hint="default"/>
        </w:rPr>
        <w:t>17%</w:t>
      </w:r>
      <w:r>
        <w:rPr/>
        <w:t>的法定税率征收增值税后，享受增值税实际税负超过</w:t>
      </w:r>
      <w:r>
        <w:rPr>
          <w:spacing w:val="-65"/>
        </w:rPr>
        <w:t> </w:t>
      </w:r>
      <w:r>
        <w:rPr>
          <w:rFonts w:ascii="Times New Roman" w:hAnsi="Times New Roman" w:cs="Times New Roman" w:eastAsia="Times New Roman" w:hint="default"/>
        </w:rPr>
        <w:t>3%</w:t>
      </w:r>
    </w:p>
    <w:p>
      <w:pPr>
        <w:pStyle w:val="BodyText"/>
        <w:spacing w:line="240" w:lineRule="auto" w:before="68"/>
        <w:ind w:left="437" w:right="449"/>
        <w:jc w:val="left"/>
      </w:pPr>
      <w:r>
        <w:rPr/>
        <w:t>的部分实行即征即退。</w:t>
      </w:r>
    </w:p>
    <w:p>
      <w:pPr>
        <w:spacing w:line="240" w:lineRule="auto" w:before="12"/>
        <w:rPr>
          <w:rFonts w:ascii="宋体" w:hAnsi="宋体" w:cs="宋体" w:eastAsia="宋体" w:hint="default"/>
          <w:sz w:val="18"/>
          <w:szCs w:val="18"/>
        </w:rPr>
      </w:pPr>
    </w:p>
    <w:p>
      <w:pPr>
        <w:pStyle w:val="BodyText"/>
        <w:spacing w:line="288" w:lineRule="auto"/>
        <w:ind w:left="437" w:right="415" w:firstLine="480"/>
        <w:jc w:val="left"/>
      </w:pPr>
      <w:r>
        <w:rPr/>
        <w:t>本公司根据国科发〔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rFonts w:ascii="Times New Roman" w:hAnsi="Times New Roman" w:cs="Times New Roman" w:eastAsia="Times New Roman" w:hint="default"/>
          <w:spacing w:val="-26"/>
        </w:rPr>
        <w:t> </w:t>
      </w:r>
      <w:r>
        <w:rPr/>
        <w:t>号北京市新技术产业开发试验区暂行条例的 有关规定，</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18 </w:t>
      </w:r>
      <w:r>
        <w:rPr/>
        <w:t>日，北京市科学技术委员会向本公司颁发了编号为 </w:t>
      </w:r>
      <w:r>
        <w:rPr>
          <w:rFonts w:ascii="Times New Roman" w:hAnsi="Times New Roman" w:cs="Times New Roman" w:eastAsia="Times New Roman" w:hint="default"/>
        </w:rPr>
        <w:t>GR200811000375</w:t>
      </w:r>
      <w:r>
        <w:rPr>
          <w:rFonts w:ascii="Times New Roman" w:hAnsi="Times New Roman" w:cs="Times New Roman" w:eastAsia="Times New Roman" w:hint="default"/>
          <w:spacing w:val="3"/>
        </w:rPr>
        <w:t> </w:t>
      </w:r>
      <w:r>
        <w:rPr>
          <w:spacing w:val="-4"/>
        </w:rPr>
        <w:t>的《高新技术企业证书》，有效期</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年。</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
        </w:rPr>
        <w:t> </w:t>
      </w:r>
      <w:r>
        <w:rPr/>
        <w:t>年公司所得税税 率为</w:t>
      </w:r>
      <w:r>
        <w:rPr>
          <w:spacing w:val="-61"/>
        </w:rPr>
        <w:t> </w:t>
      </w:r>
      <w:r>
        <w:rPr>
          <w:rFonts w:ascii="Times New Roman" w:hAnsi="Times New Roman" w:cs="Times New Roman" w:eastAsia="Times New Roman" w:hint="default"/>
        </w:rPr>
        <w:t>15%</w:t>
      </w:r>
      <w:r>
        <w:rPr/>
        <w:t>。</w:t>
      </w:r>
    </w:p>
    <w:p>
      <w:pPr>
        <w:spacing w:line="240" w:lineRule="auto" w:before="10"/>
        <w:rPr>
          <w:rFonts w:ascii="宋体" w:hAnsi="宋体" w:cs="宋体" w:eastAsia="宋体" w:hint="default"/>
          <w:sz w:val="25"/>
          <w:szCs w:val="25"/>
        </w:rPr>
      </w:pPr>
    </w:p>
    <w:p>
      <w:pPr>
        <w:pStyle w:val="Heading3"/>
        <w:spacing w:line="240" w:lineRule="auto" w:before="0"/>
        <w:ind w:left="920" w:right="449"/>
        <w:jc w:val="left"/>
        <w:rPr>
          <w:b w:val="0"/>
          <w:bCs w:val="0"/>
        </w:rPr>
      </w:pPr>
      <w:r>
        <w:rPr/>
        <w:t>六、企业合并及合并财务报表</w:t>
      </w:r>
      <w:r>
        <w:rPr>
          <w:b w:val="0"/>
          <w:bCs w:val="0"/>
        </w:rPr>
      </w:r>
    </w:p>
    <w:p>
      <w:pPr>
        <w:spacing w:line="240" w:lineRule="auto" w:before="3"/>
        <w:rPr>
          <w:rFonts w:ascii="宋体" w:hAnsi="宋体" w:cs="宋体" w:eastAsia="宋体" w:hint="default"/>
          <w:b/>
          <w:bCs/>
          <w:sz w:val="22"/>
          <w:szCs w:val="22"/>
        </w:rPr>
      </w:pPr>
    </w:p>
    <w:p>
      <w:pPr>
        <w:pStyle w:val="BodyText"/>
        <w:spacing w:line="240" w:lineRule="auto"/>
        <w:ind w:left="920" w:right="449"/>
        <w:jc w:val="left"/>
      </w:pPr>
      <w:r>
        <w:rPr>
          <w:rFonts w:ascii="Times New Roman" w:hAnsi="Times New Roman" w:cs="Times New Roman" w:eastAsia="Times New Roman" w:hint="default"/>
        </w:rPr>
        <w:t>1</w:t>
      </w:r>
      <w:r>
        <w:rPr/>
        <w:t>、子公司情况</w:t>
      </w:r>
    </w:p>
    <w:p>
      <w:pPr>
        <w:spacing w:line="240" w:lineRule="auto" w:before="7"/>
        <w:rPr>
          <w:rFonts w:ascii="宋体" w:hAnsi="宋体" w:cs="宋体" w:eastAsia="宋体" w:hint="default"/>
          <w:sz w:val="17"/>
          <w:szCs w:val="17"/>
        </w:rPr>
      </w:pPr>
    </w:p>
    <w:p>
      <w:pPr>
        <w:pStyle w:val="BodyText"/>
        <w:spacing w:line="240" w:lineRule="auto"/>
        <w:ind w:left="917" w:right="449"/>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13"/>
        <w:rPr>
          <w:rFonts w:ascii="宋体" w:hAnsi="宋体" w:cs="宋体" w:eastAsia="宋体" w:hint="default"/>
          <w:sz w:val="6"/>
          <w:szCs w:val="6"/>
        </w:rPr>
      </w:pPr>
    </w:p>
    <w:tbl>
      <w:tblPr>
        <w:tblW w:w="0" w:type="auto"/>
        <w:jc w:val="left"/>
        <w:tblInd w:w="394" w:type="dxa"/>
        <w:tblLayout w:type="fixed"/>
        <w:tblCellMar>
          <w:top w:w="0" w:type="dxa"/>
          <w:left w:w="0" w:type="dxa"/>
          <w:bottom w:w="0" w:type="dxa"/>
          <w:right w:w="0" w:type="dxa"/>
        </w:tblCellMar>
        <w:tblLook w:val="01E0"/>
      </w:tblPr>
      <w:tblGrid>
        <w:gridCol w:w="809"/>
        <w:gridCol w:w="820"/>
        <w:gridCol w:w="731"/>
        <w:gridCol w:w="122"/>
        <w:gridCol w:w="612"/>
        <w:gridCol w:w="653"/>
        <w:gridCol w:w="361"/>
        <w:gridCol w:w="317"/>
        <w:gridCol w:w="407"/>
        <w:gridCol w:w="958"/>
        <w:gridCol w:w="1138"/>
        <w:gridCol w:w="1457"/>
      </w:tblGrid>
      <w:tr>
        <w:trPr>
          <w:trHeight w:val="266" w:hRule="exact"/>
        </w:trPr>
        <w:tc>
          <w:tcPr>
            <w:tcW w:w="8383" w:type="dxa"/>
            <w:gridSpan w:val="12"/>
            <w:tcBorders>
              <w:top w:val="nil" w:sz="6" w:space="0" w:color="auto"/>
              <w:left w:val="nil" w:sz="6" w:space="0" w:color="auto"/>
              <w:bottom w:val="nil" w:sz="6" w:space="0" w:color="auto"/>
              <w:right w:val="nil" w:sz="6" w:space="0" w:color="auto"/>
            </w:tcBorders>
          </w:tcPr>
          <w:p>
            <w:pPr>
              <w:pStyle w:val="TableParagraph"/>
              <w:spacing w:line="199" w:lineRule="exact"/>
              <w:ind w:right="29"/>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323" w:hRule="exact"/>
        </w:trPr>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187" w:right="120" w:hanging="99"/>
              <w:jc w:val="left"/>
              <w:rPr>
                <w:rFonts w:ascii="宋体" w:hAnsi="宋体" w:cs="宋体" w:eastAsia="宋体" w:hint="default"/>
                <w:sz w:val="20"/>
                <w:szCs w:val="20"/>
              </w:rPr>
            </w:pPr>
            <w:r>
              <w:rPr>
                <w:rFonts w:ascii="宋体" w:hAnsi="宋体" w:cs="宋体" w:eastAsia="宋体" w:hint="default"/>
                <w:w w:val="95"/>
                <w:sz w:val="20"/>
                <w:szCs w:val="20"/>
              </w:rPr>
              <w:t>子公司</w:t>
            </w:r>
            <w:r>
              <w:rPr>
                <w:rFonts w:ascii="宋体" w:hAnsi="宋体" w:cs="宋体" w:eastAsia="宋体" w:hint="default"/>
                <w:spacing w:val="-68"/>
                <w:w w:val="95"/>
                <w:sz w:val="20"/>
                <w:szCs w:val="20"/>
              </w:rPr>
              <w:t> </w:t>
            </w:r>
            <w:r>
              <w:rPr>
                <w:rFonts w:ascii="宋体" w:hAnsi="宋体" w:cs="宋体" w:eastAsia="宋体" w:hint="default"/>
                <w:sz w:val="20"/>
                <w:szCs w:val="20"/>
              </w:rPr>
              <w:t>全称</w:t>
            </w:r>
          </w:p>
        </w:tc>
        <w:tc>
          <w:tcPr>
            <w:tcW w:w="82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220" w:right="97" w:hanging="99"/>
              <w:jc w:val="left"/>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类型</w:t>
            </w:r>
          </w:p>
        </w:tc>
        <w:tc>
          <w:tcPr>
            <w:tcW w:w="7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9"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22"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139" w:right="149"/>
              <w:jc w:val="left"/>
              <w:rPr>
                <w:rFonts w:ascii="宋体" w:hAnsi="宋体" w:cs="宋体" w:eastAsia="宋体" w:hint="default"/>
                <w:sz w:val="20"/>
                <w:szCs w:val="20"/>
              </w:rPr>
            </w:pPr>
            <w:r>
              <w:rPr>
                <w:rFonts w:ascii="宋体" w:hAnsi="宋体" w:cs="宋体" w:eastAsia="宋体" w:hint="default"/>
                <w:spacing w:val="-40"/>
                <w:sz w:val="20"/>
                <w:szCs w:val="20"/>
              </w:rPr>
              <w:t>业务</w:t>
            </w:r>
            <w:r>
              <w:rPr>
                <w:rFonts w:ascii="宋体" w:hAnsi="宋体" w:cs="宋体" w:eastAsia="宋体" w:hint="default"/>
                <w:spacing w:val="-39"/>
                <w:w w:val="99"/>
                <w:sz w:val="20"/>
                <w:szCs w:val="20"/>
              </w:rPr>
              <w:t> </w:t>
            </w:r>
            <w:r>
              <w:rPr>
                <w:rFonts w:ascii="宋体" w:hAnsi="宋体" w:cs="宋体" w:eastAsia="宋体" w:hint="default"/>
                <w:spacing w:val="-40"/>
                <w:sz w:val="20"/>
                <w:szCs w:val="20"/>
              </w:rPr>
              <w:t>性质</w:t>
            </w:r>
            <w:r>
              <w:rPr>
                <w:rFonts w:ascii="宋体" w:hAnsi="宋体" w:cs="宋体" w:eastAsia="宋体" w:hint="default"/>
                <w:sz w:val="20"/>
                <w:szCs w:val="20"/>
              </w:rPr>
            </w:r>
          </w:p>
        </w:tc>
        <w:tc>
          <w:tcPr>
            <w:tcW w:w="65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151" w:right="101"/>
              <w:jc w:val="left"/>
              <w:rPr>
                <w:rFonts w:ascii="宋体" w:hAnsi="宋体" w:cs="宋体" w:eastAsia="宋体" w:hint="default"/>
                <w:sz w:val="20"/>
                <w:szCs w:val="20"/>
              </w:rPr>
            </w:pPr>
            <w:r>
              <w:rPr>
                <w:rFonts w:ascii="宋体" w:hAnsi="宋体" w:cs="宋体" w:eastAsia="宋体" w:hint="default"/>
                <w:sz w:val="20"/>
                <w:szCs w:val="20"/>
              </w:rPr>
              <w:t>注册</w:t>
            </w:r>
            <w:r>
              <w:rPr>
                <w:rFonts w:ascii="宋体" w:hAnsi="宋体" w:cs="宋体" w:eastAsia="宋体" w:hint="default"/>
                <w:w w:val="99"/>
                <w:sz w:val="20"/>
                <w:szCs w:val="20"/>
              </w:rPr>
              <w:t> </w:t>
            </w:r>
            <w:r>
              <w:rPr>
                <w:rFonts w:ascii="宋体" w:hAnsi="宋体" w:cs="宋体" w:eastAsia="宋体" w:hint="default"/>
                <w:sz w:val="20"/>
                <w:szCs w:val="20"/>
              </w:rPr>
              <w:t>资本</w:t>
            </w:r>
          </w:p>
        </w:tc>
        <w:tc>
          <w:tcPr>
            <w:tcW w:w="361" w:type="dxa"/>
            <w:tcBorders>
              <w:top w:val="nil" w:sz="6" w:space="0" w:color="auto"/>
              <w:left w:val="nil" w:sz="6" w:space="0" w:color="auto"/>
              <w:bottom w:val="single" w:sz="4" w:space="0" w:color="000000"/>
              <w:right w:val="nil" w:sz="6" w:space="0" w:color="auto"/>
            </w:tcBorders>
          </w:tcPr>
          <w:p>
            <w:pPr>
              <w:pStyle w:val="TableParagraph"/>
              <w:spacing w:line="300" w:lineRule="auto" w:before="4"/>
              <w:ind w:left="103" w:right="56"/>
              <w:jc w:val="both"/>
              <w:rPr>
                <w:rFonts w:ascii="宋体" w:hAnsi="宋体" w:cs="宋体" w:eastAsia="宋体" w:hint="default"/>
                <w:sz w:val="20"/>
                <w:szCs w:val="20"/>
              </w:rPr>
            </w:pPr>
            <w:r>
              <w:rPr>
                <w:rFonts w:ascii="宋体" w:hAnsi="宋体" w:cs="宋体" w:eastAsia="宋体" w:hint="default"/>
                <w:sz w:val="20"/>
                <w:szCs w:val="20"/>
              </w:rPr>
              <w:t>经</w:t>
            </w:r>
            <w:r>
              <w:rPr>
                <w:rFonts w:ascii="宋体" w:hAnsi="宋体" w:cs="宋体" w:eastAsia="宋体" w:hint="default"/>
                <w:w w:val="99"/>
                <w:sz w:val="20"/>
                <w:szCs w:val="20"/>
              </w:rPr>
              <w:t> </w:t>
            </w:r>
            <w:r>
              <w:rPr>
                <w:rFonts w:ascii="宋体" w:hAnsi="宋体" w:cs="宋体" w:eastAsia="宋体" w:hint="default"/>
                <w:sz w:val="20"/>
                <w:szCs w:val="20"/>
              </w:rPr>
              <w:t>营</w:t>
            </w:r>
            <w:r>
              <w:rPr>
                <w:rFonts w:ascii="宋体" w:hAnsi="宋体" w:cs="宋体" w:eastAsia="宋体" w:hint="default"/>
                <w:w w:val="99"/>
                <w:sz w:val="20"/>
                <w:szCs w:val="20"/>
              </w:rPr>
              <w:t> </w:t>
            </w:r>
            <w:r>
              <w:rPr>
                <w:rFonts w:ascii="宋体" w:hAnsi="宋体" w:cs="宋体" w:eastAsia="宋体" w:hint="default"/>
                <w:sz w:val="20"/>
                <w:szCs w:val="20"/>
              </w:rPr>
              <w:t>范</w:t>
            </w:r>
            <w:r>
              <w:rPr>
                <w:rFonts w:ascii="宋体" w:hAnsi="宋体" w:cs="宋体" w:eastAsia="宋体" w:hint="default"/>
                <w:w w:val="99"/>
                <w:sz w:val="20"/>
                <w:szCs w:val="20"/>
              </w:rPr>
              <w:t> </w:t>
            </w:r>
            <w:r>
              <w:rPr>
                <w:rFonts w:ascii="宋体" w:hAnsi="宋体" w:cs="宋体" w:eastAsia="宋体" w:hint="default"/>
                <w:sz w:val="20"/>
                <w:szCs w:val="20"/>
              </w:rPr>
              <w:t>围</w:t>
            </w:r>
          </w:p>
        </w:tc>
        <w:tc>
          <w:tcPr>
            <w:tcW w:w="317" w:type="dxa"/>
            <w:tcBorders>
              <w:top w:val="nil" w:sz="6" w:space="0" w:color="auto"/>
              <w:left w:val="nil" w:sz="6" w:space="0" w:color="auto"/>
              <w:bottom w:val="single" w:sz="4" w:space="0" w:color="000000"/>
              <w:right w:val="nil" w:sz="6" w:space="0" w:color="auto"/>
            </w:tcBorders>
          </w:tcPr>
          <w:p>
            <w:pPr>
              <w:pStyle w:val="TableParagraph"/>
              <w:spacing w:line="300" w:lineRule="auto" w:before="4"/>
              <w:ind w:left="58" w:right="56"/>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407" w:type="dxa"/>
            <w:tcBorders>
              <w:top w:val="nil" w:sz="6" w:space="0" w:color="auto"/>
              <w:left w:val="nil" w:sz="6" w:space="0" w:color="auto"/>
              <w:bottom w:val="single" w:sz="4" w:space="0" w:color="000000"/>
              <w:right w:val="nil" w:sz="6" w:space="0" w:color="auto"/>
            </w:tcBorders>
          </w:tcPr>
          <w:p>
            <w:pPr>
              <w:pStyle w:val="TableParagraph"/>
              <w:spacing w:line="300" w:lineRule="auto" w:before="4"/>
              <w:ind w:left="58" w:right="146"/>
              <w:jc w:val="both"/>
              <w:rPr>
                <w:rFonts w:ascii="宋体" w:hAnsi="宋体" w:cs="宋体" w:eastAsia="宋体" w:hint="default"/>
                <w:sz w:val="20"/>
                <w:szCs w:val="20"/>
              </w:rPr>
            </w:pPr>
            <w:r>
              <w:rPr>
                <w:rFonts w:ascii="宋体" w:hAnsi="宋体" w:cs="宋体" w:eastAsia="宋体" w:hint="default"/>
                <w:sz w:val="20"/>
                <w:szCs w:val="20"/>
              </w:rPr>
              <w:t>法</w:t>
            </w:r>
            <w:r>
              <w:rPr>
                <w:rFonts w:ascii="宋体" w:hAnsi="宋体" w:cs="宋体" w:eastAsia="宋体" w:hint="default"/>
                <w:w w:val="99"/>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代</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148" w:right="209"/>
              <w:jc w:val="left"/>
              <w:rPr>
                <w:rFonts w:ascii="宋体" w:hAnsi="宋体" w:cs="宋体" w:eastAsia="宋体" w:hint="default"/>
                <w:sz w:val="20"/>
                <w:szCs w:val="20"/>
              </w:rPr>
            </w:pPr>
            <w:r>
              <w:rPr>
                <w:rFonts w:ascii="宋体" w:hAnsi="宋体" w:cs="宋体" w:eastAsia="宋体" w:hint="default"/>
                <w:w w:val="95"/>
                <w:sz w:val="20"/>
                <w:szCs w:val="20"/>
              </w:rPr>
              <w:t>组织机</w:t>
            </w:r>
            <w:r>
              <w:rPr>
                <w:rFonts w:ascii="宋体" w:hAnsi="宋体" w:cs="宋体" w:eastAsia="宋体" w:hint="default"/>
                <w:spacing w:val="-68"/>
                <w:w w:val="95"/>
                <w:sz w:val="20"/>
                <w:szCs w:val="20"/>
              </w:rPr>
              <w:t> </w:t>
            </w:r>
            <w:r>
              <w:rPr>
                <w:rFonts w:ascii="宋体" w:hAnsi="宋体" w:cs="宋体" w:eastAsia="宋体" w:hint="default"/>
                <w:w w:val="95"/>
                <w:sz w:val="20"/>
                <w:szCs w:val="20"/>
              </w:rPr>
              <w:t>构代码</w:t>
            </w:r>
            <w:r>
              <w:rPr>
                <w:rFonts w:ascii="宋体" w:hAnsi="宋体" w:cs="宋体" w:eastAsia="宋体" w:hint="default"/>
                <w:sz w:val="20"/>
                <w:szCs w:val="20"/>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00" w:lineRule="auto"/>
              <w:ind w:left="295" w:right="143" w:hanging="99"/>
              <w:jc w:val="left"/>
              <w:rPr>
                <w:rFonts w:ascii="宋体" w:hAnsi="宋体" w:cs="宋体" w:eastAsia="宋体" w:hint="default"/>
                <w:sz w:val="20"/>
                <w:szCs w:val="20"/>
              </w:rPr>
            </w:pPr>
            <w:r>
              <w:rPr>
                <w:rFonts w:ascii="宋体" w:hAnsi="宋体" w:cs="宋体" w:eastAsia="宋体" w:hint="default"/>
                <w:w w:val="95"/>
                <w:sz w:val="20"/>
                <w:szCs w:val="20"/>
              </w:rPr>
              <w:t>期末实际</w:t>
            </w:r>
            <w:r>
              <w:rPr>
                <w:rFonts w:ascii="宋体" w:hAnsi="宋体" w:cs="宋体" w:eastAsia="宋体" w:hint="default"/>
                <w:spacing w:val="-59"/>
                <w:w w:val="95"/>
                <w:sz w:val="20"/>
                <w:szCs w:val="20"/>
              </w:rPr>
              <w:t> </w:t>
            </w:r>
            <w:r>
              <w:rPr>
                <w:rFonts w:ascii="宋体" w:hAnsi="宋体" w:cs="宋体" w:eastAsia="宋体" w:hint="default"/>
                <w:sz w:val="20"/>
                <w:szCs w:val="20"/>
              </w:rPr>
              <w:t>出资额</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300" w:lineRule="auto" w:before="4"/>
              <w:ind w:left="143" w:right="113"/>
              <w:jc w:val="center"/>
              <w:rPr>
                <w:rFonts w:ascii="宋体" w:hAnsi="宋体" w:cs="宋体" w:eastAsia="宋体" w:hint="default"/>
                <w:sz w:val="20"/>
                <w:szCs w:val="20"/>
              </w:rPr>
            </w:pPr>
            <w:r>
              <w:rPr>
                <w:rFonts w:ascii="宋体" w:hAnsi="宋体" w:cs="宋体" w:eastAsia="宋体" w:hint="default"/>
                <w:w w:val="95"/>
                <w:sz w:val="20"/>
                <w:szCs w:val="20"/>
              </w:rPr>
              <w:t>实质上构成对</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子公司净投资</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的其他项目余</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额</w:t>
            </w:r>
          </w:p>
        </w:tc>
      </w:tr>
    </w:tbl>
    <w:p>
      <w:pPr>
        <w:spacing w:after="0" w:line="300" w:lineRule="auto"/>
        <w:jc w:val="center"/>
        <w:rPr>
          <w:rFonts w:ascii="宋体" w:hAnsi="宋体" w:cs="宋体" w:eastAsia="宋体" w:hint="default"/>
          <w:sz w:val="20"/>
          <w:szCs w:val="20"/>
        </w:rPr>
        <w:sectPr>
          <w:footerReference w:type="default" r:id="rId38"/>
          <w:pgSz w:w="11910" w:h="16840"/>
          <w:pgMar w:footer="979" w:header="850" w:top="1380" w:bottom="1160" w:left="1360" w:right="1360"/>
          <w:pgNumType w:start="101"/>
        </w:sectPr>
      </w:pPr>
    </w:p>
    <w:p>
      <w:pPr>
        <w:spacing w:line="240" w:lineRule="auto" w:before="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72"/>
        <w:gridCol w:w="893"/>
        <w:gridCol w:w="725"/>
        <w:gridCol w:w="696"/>
        <w:gridCol w:w="662"/>
        <w:gridCol w:w="346"/>
        <w:gridCol w:w="498"/>
        <w:gridCol w:w="1405"/>
        <w:gridCol w:w="1048"/>
      </w:tblGrid>
      <w:tr>
        <w:trPr>
          <w:trHeight w:val="452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00" w:lineRule="auto"/>
              <w:ind w:left="28" w:right="143"/>
              <w:jc w:val="both"/>
              <w:rPr>
                <w:rFonts w:ascii="宋体" w:hAnsi="宋体" w:cs="宋体" w:eastAsia="宋体" w:hint="default"/>
                <w:sz w:val="20"/>
                <w:szCs w:val="20"/>
              </w:rPr>
            </w:pPr>
            <w:r>
              <w:rPr>
                <w:rFonts w:ascii="宋体" w:hAnsi="宋体" w:cs="宋体" w:eastAsia="宋体" w:hint="default"/>
                <w:w w:val="95"/>
                <w:sz w:val="20"/>
                <w:szCs w:val="20"/>
              </w:rPr>
              <w:t>上海政</w:t>
            </w:r>
            <w:r>
              <w:rPr>
                <w:rFonts w:ascii="宋体" w:hAnsi="宋体" w:cs="宋体" w:eastAsia="宋体" w:hint="default"/>
                <w:spacing w:val="-68"/>
                <w:w w:val="95"/>
                <w:sz w:val="20"/>
                <w:szCs w:val="20"/>
              </w:rPr>
              <w:t> </w:t>
            </w:r>
            <w:r>
              <w:rPr>
                <w:rFonts w:ascii="宋体" w:hAnsi="宋体" w:cs="宋体" w:eastAsia="宋体" w:hint="default"/>
                <w:w w:val="95"/>
                <w:sz w:val="20"/>
                <w:szCs w:val="20"/>
              </w:rPr>
              <w:t>通信息</w:t>
            </w:r>
            <w:r>
              <w:rPr>
                <w:rFonts w:ascii="宋体" w:hAnsi="宋体" w:cs="宋体" w:eastAsia="宋体" w:hint="default"/>
                <w:spacing w:val="-68"/>
                <w:w w:val="95"/>
                <w:sz w:val="20"/>
                <w:szCs w:val="20"/>
              </w:rPr>
              <w:t> </w:t>
            </w:r>
            <w:r>
              <w:rPr>
                <w:rFonts w:ascii="宋体" w:hAnsi="宋体" w:cs="宋体" w:eastAsia="宋体" w:hint="default"/>
                <w:w w:val="95"/>
                <w:sz w:val="20"/>
                <w:szCs w:val="20"/>
              </w:rPr>
              <w:t>科技有</w:t>
            </w:r>
            <w:r>
              <w:rPr>
                <w:rFonts w:ascii="宋体" w:hAnsi="宋体" w:cs="宋体" w:eastAsia="宋体" w:hint="default"/>
                <w:spacing w:val="-68"/>
                <w:w w:val="95"/>
                <w:sz w:val="20"/>
                <w:szCs w:val="20"/>
              </w:rPr>
              <w:t> </w:t>
            </w:r>
            <w:r>
              <w:rPr>
                <w:rFonts w:ascii="宋体" w:hAnsi="宋体" w:cs="宋体" w:eastAsia="宋体" w:hint="default"/>
                <w:w w:val="95"/>
                <w:sz w:val="20"/>
                <w:szCs w:val="20"/>
              </w:rPr>
              <w:t>限公司</w:t>
            </w:r>
            <w:r>
              <w:rPr>
                <w:rFonts w:ascii="宋体" w:hAnsi="宋体" w:cs="宋体" w:eastAsia="宋体" w:hint="default"/>
                <w:sz w:val="20"/>
                <w:szCs w:val="20"/>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00" w:lineRule="auto" w:before="152"/>
              <w:ind w:left="344" w:right="149" w:hanging="200"/>
              <w:jc w:val="left"/>
              <w:rPr>
                <w:rFonts w:ascii="宋体" w:hAnsi="宋体" w:cs="宋体" w:eastAsia="宋体" w:hint="default"/>
                <w:sz w:val="20"/>
                <w:szCs w:val="20"/>
              </w:rPr>
            </w:pPr>
            <w:r>
              <w:rPr>
                <w:rFonts w:ascii="宋体" w:hAnsi="宋体" w:cs="宋体" w:eastAsia="宋体" w:hint="default"/>
                <w:w w:val="95"/>
                <w:sz w:val="20"/>
                <w:szCs w:val="20"/>
              </w:rPr>
              <w:t>有限责</w:t>
            </w:r>
            <w:r>
              <w:rPr>
                <w:rFonts w:ascii="宋体" w:hAnsi="宋体" w:cs="宋体" w:eastAsia="宋体" w:hint="default"/>
                <w:spacing w:val="-68"/>
                <w:w w:val="95"/>
                <w:sz w:val="20"/>
                <w:szCs w:val="20"/>
              </w:rPr>
              <w:t> </w:t>
            </w:r>
            <w:r>
              <w:rPr>
                <w:rFonts w:ascii="宋体" w:hAnsi="宋体" w:cs="宋体" w:eastAsia="宋体" w:hint="default"/>
                <w:sz w:val="20"/>
                <w:szCs w:val="20"/>
              </w:rPr>
              <w:t>任</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9"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176" w:right="119"/>
              <w:jc w:val="both"/>
              <w:rPr>
                <w:rFonts w:ascii="宋体" w:hAnsi="宋体" w:cs="宋体" w:eastAsia="宋体" w:hint="default"/>
                <w:sz w:val="20"/>
                <w:szCs w:val="20"/>
              </w:rPr>
            </w:pPr>
            <w:r>
              <w:rPr>
                <w:rFonts w:ascii="宋体" w:hAnsi="宋体" w:cs="宋体" w:eastAsia="宋体" w:hint="default"/>
                <w:sz w:val="20"/>
                <w:szCs w:val="20"/>
              </w:rPr>
              <w:t>计算</w:t>
            </w:r>
            <w:r>
              <w:rPr>
                <w:rFonts w:ascii="宋体" w:hAnsi="宋体" w:cs="宋体" w:eastAsia="宋体" w:hint="default"/>
                <w:w w:val="99"/>
                <w:sz w:val="20"/>
                <w:szCs w:val="20"/>
              </w:rPr>
              <w:t> </w:t>
            </w:r>
            <w:r>
              <w:rPr>
                <w:rFonts w:ascii="宋体" w:hAnsi="宋体" w:cs="宋体" w:eastAsia="宋体" w:hint="default"/>
                <w:sz w:val="20"/>
                <w:szCs w:val="20"/>
              </w:rPr>
              <w:t>机服</w:t>
            </w:r>
            <w:r>
              <w:rPr>
                <w:rFonts w:ascii="宋体" w:hAnsi="宋体" w:cs="宋体" w:eastAsia="宋体" w:hint="default"/>
                <w:w w:val="99"/>
                <w:sz w:val="20"/>
                <w:szCs w:val="20"/>
              </w:rPr>
              <w:t> </w:t>
            </w:r>
            <w:r>
              <w:rPr>
                <w:rFonts w:ascii="宋体" w:hAnsi="宋体" w:cs="宋体" w:eastAsia="宋体" w:hint="default"/>
                <w:sz w:val="20"/>
                <w:szCs w:val="20"/>
              </w:rPr>
              <w:t>务</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 w:right="0"/>
              <w:jc w:val="center"/>
              <w:rPr>
                <w:rFonts w:ascii="Times New Roman" w:hAnsi="Times New Roman" w:cs="Times New Roman" w:eastAsia="Times New Roman" w:hint="default"/>
                <w:sz w:val="20"/>
                <w:szCs w:val="20"/>
              </w:rPr>
            </w:pPr>
            <w:r>
              <w:rPr>
                <w:rFonts w:ascii="Times New Roman"/>
                <w:sz w:val="20"/>
              </w:rPr>
              <w:t>200.0</w:t>
            </w:r>
          </w:p>
          <w:p>
            <w:pPr>
              <w:pStyle w:val="TableParagraph"/>
              <w:spacing w:line="240" w:lineRule="auto" w:before="96"/>
              <w:ind w:left="30"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346" w:type="dxa"/>
            <w:tcBorders>
              <w:top w:val="nil" w:sz="6" w:space="0" w:color="auto"/>
              <w:left w:val="nil" w:sz="6" w:space="0" w:color="auto"/>
              <w:bottom w:val="nil" w:sz="6" w:space="0" w:color="auto"/>
              <w:right w:val="nil" w:sz="6" w:space="0" w:color="auto"/>
            </w:tcBorders>
          </w:tcPr>
          <w:p>
            <w:pPr>
              <w:pStyle w:val="TableParagraph"/>
              <w:spacing w:line="300" w:lineRule="auto" w:before="28"/>
              <w:ind w:left="88" w:right="56"/>
              <w:jc w:val="both"/>
              <w:rPr>
                <w:rFonts w:ascii="宋体" w:hAnsi="宋体" w:cs="宋体" w:eastAsia="宋体" w:hint="default"/>
                <w:sz w:val="20"/>
                <w:szCs w:val="20"/>
              </w:rPr>
            </w:pPr>
            <w:r>
              <w:rPr>
                <w:rFonts w:ascii="宋体" w:hAnsi="宋体" w:cs="宋体" w:eastAsia="宋体" w:hint="default"/>
                <w:sz w:val="20"/>
                <w:szCs w:val="20"/>
              </w:rPr>
              <w:t>计</w:t>
            </w:r>
            <w:r>
              <w:rPr>
                <w:rFonts w:ascii="宋体" w:hAnsi="宋体" w:cs="宋体" w:eastAsia="宋体" w:hint="default"/>
                <w:w w:val="99"/>
                <w:sz w:val="20"/>
                <w:szCs w:val="20"/>
              </w:rPr>
              <w:t> </w:t>
            </w:r>
            <w:r>
              <w:rPr>
                <w:rFonts w:ascii="宋体" w:hAnsi="宋体" w:cs="宋体" w:eastAsia="宋体" w:hint="default"/>
                <w:sz w:val="20"/>
                <w:szCs w:val="20"/>
              </w:rPr>
              <w:t>算</w:t>
            </w:r>
            <w:r>
              <w:rPr>
                <w:rFonts w:ascii="宋体" w:hAnsi="宋体" w:cs="宋体" w:eastAsia="宋体" w:hint="default"/>
                <w:w w:val="99"/>
                <w:sz w:val="20"/>
                <w:szCs w:val="20"/>
              </w:rPr>
              <w:t> </w:t>
            </w:r>
            <w:r>
              <w:rPr>
                <w:rFonts w:ascii="宋体" w:hAnsi="宋体" w:cs="宋体" w:eastAsia="宋体" w:hint="default"/>
                <w:sz w:val="20"/>
                <w:szCs w:val="20"/>
              </w:rPr>
              <w:t>机</w:t>
            </w:r>
            <w:r>
              <w:rPr>
                <w:rFonts w:ascii="宋体" w:hAnsi="宋体" w:cs="宋体" w:eastAsia="宋体" w:hint="default"/>
                <w:w w:val="99"/>
                <w:sz w:val="20"/>
                <w:szCs w:val="20"/>
              </w:rPr>
              <w:t> </w:t>
            </w:r>
            <w:r>
              <w:rPr>
                <w:rFonts w:ascii="宋体" w:hAnsi="宋体" w:cs="宋体" w:eastAsia="宋体" w:hint="default"/>
                <w:sz w:val="20"/>
                <w:szCs w:val="20"/>
              </w:rPr>
              <w:t>软</w:t>
            </w:r>
            <w:r>
              <w:rPr>
                <w:rFonts w:ascii="宋体" w:hAnsi="宋体" w:cs="宋体" w:eastAsia="宋体" w:hint="default"/>
                <w:w w:val="99"/>
                <w:sz w:val="20"/>
                <w:szCs w:val="20"/>
              </w:rPr>
              <w:t> </w:t>
            </w:r>
            <w:r>
              <w:rPr>
                <w:rFonts w:ascii="宋体" w:hAnsi="宋体" w:cs="宋体" w:eastAsia="宋体" w:hint="default"/>
                <w:sz w:val="20"/>
                <w:szCs w:val="20"/>
              </w:rPr>
              <w:t>件</w:t>
            </w:r>
            <w:r>
              <w:rPr>
                <w:rFonts w:ascii="宋体" w:hAnsi="宋体" w:cs="宋体" w:eastAsia="宋体" w:hint="default"/>
                <w:w w:val="99"/>
                <w:sz w:val="20"/>
                <w:szCs w:val="20"/>
              </w:rPr>
              <w:t> </w:t>
            </w:r>
            <w:r>
              <w:rPr>
                <w:rFonts w:ascii="宋体" w:hAnsi="宋体" w:cs="宋体" w:eastAsia="宋体" w:hint="default"/>
                <w:sz w:val="20"/>
                <w:szCs w:val="20"/>
              </w:rPr>
              <w:t>领</w:t>
            </w:r>
            <w:r>
              <w:rPr>
                <w:rFonts w:ascii="宋体" w:hAnsi="宋体" w:cs="宋体" w:eastAsia="宋体" w:hint="default"/>
                <w:w w:val="99"/>
                <w:sz w:val="20"/>
                <w:szCs w:val="20"/>
              </w:rPr>
              <w:t> </w:t>
            </w:r>
            <w:r>
              <w:rPr>
                <w:rFonts w:ascii="宋体" w:hAnsi="宋体" w:cs="宋体" w:eastAsia="宋体" w:hint="default"/>
                <w:sz w:val="20"/>
                <w:szCs w:val="20"/>
              </w:rPr>
              <w:t>域</w:t>
            </w:r>
            <w:r>
              <w:rPr>
                <w:rFonts w:ascii="宋体" w:hAnsi="宋体" w:cs="宋体" w:eastAsia="宋体" w:hint="default"/>
                <w:w w:val="99"/>
                <w:sz w:val="20"/>
                <w:szCs w:val="20"/>
              </w:rPr>
              <w:t> </w:t>
            </w:r>
            <w:r>
              <w:rPr>
                <w:rFonts w:ascii="宋体" w:hAnsi="宋体" w:cs="宋体" w:eastAsia="宋体" w:hint="default"/>
                <w:sz w:val="20"/>
                <w:szCs w:val="20"/>
              </w:rPr>
              <w:t>内</w:t>
            </w:r>
            <w:r>
              <w:rPr>
                <w:rFonts w:ascii="宋体" w:hAnsi="宋体" w:cs="宋体" w:eastAsia="宋体" w:hint="default"/>
                <w:w w:val="99"/>
                <w:sz w:val="20"/>
                <w:szCs w:val="20"/>
              </w:rPr>
              <w:t> </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z w:val="20"/>
                <w:szCs w:val="20"/>
              </w:rPr>
              <w:t>技</w:t>
            </w:r>
            <w:r>
              <w:rPr>
                <w:rFonts w:ascii="宋体" w:hAnsi="宋体" w:cs="宋体" w:eastAsia="宋体" w:hint="default"/>
                <w:w w:val="99"/>
                <w:sz w:val="20"/>
                <w:szCs w:val="20"/>
              </w:rPr>
              <w:t> </w:t>
            </w:r>
            <w:r>
              <w:rPr>
                <w:rFonts w:ascii="宋体" w:hAnsi="宋体" w:cs="宋体" w:eastAsia="宋体" w:hint="default"/>
                <w:sz w:val="20"/>
                <w:szCs w:val="20"/>
              </w:rPr>
              <w:t>术</w:t>
            </w:r>
            <w:r>
              <w:rPr>
                <w:rFonts w:ascii="宋体" w:hAnsi="宋体" w:cs="宋体" w:eastAsia="宋体" w:hint="default"/>
                <w:w w:val="99"/>
                <w:sz w:val="20"/>
                <w:szCs w:val="20"/>
              </w:rPr>
              <w:t> </w:t>
            </w:r>
            <w:r>
              <w:rPr>
                <w:rFonts w:ascii="宋体" w:hAnsi="宋体" w:cs="宋体" w:eastAsia="宋体" w:hint="default"/>
                <w:sz w:val="20"/>
                <w:szCs w:val="20"/>
              </w:rPr>
              <w:t>开</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w w:val="99"/>
                <w:sz w:val="20"/>
                <w:szCs w:val="20"/>
              </w:rPr>
              <w:t> </w:t>
            </w:r>
            <w:r>
              <w:rPr>
                <w:rFonts w:ascii="宋体" w:hAnsi="宋体" w:cs="宋体" w:eastAsia="宋体" w:hint="default"/>
                <w:sz w:val="20"/>
                <w:szCs w:val="20"/>
              </w:rPr>
              <w:t>等</w:t>
            </w:r>
          </w:p>
        </w:tc>
        <w:tc>
          <w:tcPr>
            <w:tcW w:w="498" w:type="dxa"/>
            <w:tcBorders>
              <w:top w:val="nil" w:sz="6" w:space="0" w:color="auto"/>
              <w:left w:val="nil" w:sz="6" w:space="0" w:color="auto"/>
              <w:bottom w:val="nil" w:sz="6" w:space="0" w:color="auto"/>
              <w:right w:val="nil" w:sz="6" w:space="0" w:color="auto"/>
            </w:tcBorders>
          </w:tcPr>
          <w:p>
            <w:pPr>
              <w:pStyle w:val="TableParagraph"/>
              <w:spacing w:line="297" w:lineRule="auto" w:before="28"/>
              <w:ind w:left="58" w:right="239"/>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责</w:t>
            </w:r>
            <w:r>
              <w:rPr>
                <w:rFonts w:ascii="宋体" w:hAnsi="宋体" w:cs="宋体" w:eastAsia="宋体" w:hint="default"/>
                <w:w w:val="99"/>
                <w:sz w:val="20"/>
                <w:szCs w:val="20"/>
              </w:rPr>
              <w:t> </w:t>
            </w:r>
            <w:r>
              <w:rPr>
                <w:rFonts w:ascii="宋体" w:hAnsi="宋体" w:cs="宋体" w:eastAsia="宋体" w:hint="default"/>
                <w:sz w:val="20"/>
                <w:szCs w:val="20"/>
              </w:rPr>
              <w:t>任</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4"/>
              <w:jc w:val="center"/>
              <w:rPr>
                <w:rFonts w:ascii="Times New Roman" w:hAnsi="Times New Roman" w:cs="Times New Roman" w:eastAsia="Times New Roman" w:hint="default"/>
                <w:sz w:val="20"/>
                <w:szCs w:val="20"/>
              </w:rPr>
            </w:pPr>
            <w:r>
              <w:rPr>
                <w:rFonts w:ascii="Times New Roman"/>
                <w:sz w:val="20"/>
              </w:rPr>
              <w:t>66242110-</w:t>
            </w:r>
          </w:p>
          <w:p>
            <w:pPr>
              <w:pStyle w:val="TableParagraph"/>
              <w:spacing w:line="240" w:lineRule="auto" w:before="96"/>
              <w:ind w:right="55"/>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296" w:right="0"/>
              <w:jc w:val="left"/>
              <w:rPr>
                <w:rFonts w:ascii="Times New Roman" w:hAnsi="Times New Roman" w:cs="Times New Roman" w:eastAsia="Times New Roman" w:hint="default"/>
                <w:sz w:val="20"/>
                <w:szCs w:val="20"/>
              </w:rPr>
            </w:pPr>
            <w:r>
              <w:rPr>
                <w:rFonts w:ascii="Times New Roman"/>
                <w:sz w:val="20"/>
              </w:rPr>
              <w:t>200.00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right="0"/>
        <w:jc w:val="left"/>
      </w:pPr>
      <w:r>
        <w:rPr/>
        <w:t>（续）</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71"/>
        <w:gridCol w:w="907"/>
        <w:gridCol w:w="929"/>
        <w:gridCol w:w="802"/>
        <w:gridCol w:w="918"/>
        <w:gridCol w:w="1292"/>
        <w:gridCol w:w="1687"/>
        <w:gridCol w:w="154"/>
        <w:gridCol w:w="509"/>
      </w:tblGrid>
      <w:tr>
        <w:trPr>
          <w:trHeight w:val="263" w:hRule="exact"/>
        </w:trPr>
        <w:tc>
          <w:tcPr>
            <w:tcW w:w="8369" w:type="dxa"/>
            <w:gridSpan w:val="9"/>
            <w:tcBorders>
              <w:top w:val="nil" w:sz="6" w:space="0" w:color="auto"/>
              <w:left w:val="nil" w:sz="6" w:space="0" w:color="auto"/>
              <w:bottom w:val="nil" w:sz="6" w:space="0" w:color="auto"/>
              <w:right w:val="nil" w:sz="6" w:space="0" w:color="auto"/>
            </w:tcBorders>
          </w:tcPr>
          <w:p>
            <w:pPr>
              <w:pStyle w:val="TableParagraph"/>
              <w:spacing w:line="199" w:lineRule="exact"/>
              <w:ind w:right="29"/>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2289" w:hRule="exact"/>
        </w:trPr>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40" w:lineRule="auto" w:before="64"/>
              <w:ind w:left="201"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00" w:lineRule="auto"/>
              <w:ind w:left="79" w:right="46" w:firstLine="4"/>
              <w:jc w:val="left"/>
              <w:rPr>
                <w:rFonts w:ascii="宋体" w:hAnsi="宋体" w:cs="宋体" w:eastAsia="宋体" w:hint="default"/>
                <w:sz w:val="20"/>
                <w:szCs w:val="20"/>
              </w:rPr>
            </w:pPr>
            <w:r>
              <w:rPr>
                <w:rFonts w:ascii="宋体" w:hAnsi="宋体" w:cs="宋体" w:eastAsia="宋体" w:hint="default"/>
                <w:w w:val="95"/>
                <w:sz w:val="20"/>
                <w:szCs w:val="20"/>
              </w:rPr>
              <w:t>表决权比</w:t>
            </w:r>
            <w:r>
              <w:rPr>
                <w:rFonts w:ascii="宋体" w:hAnsi="宋体" w:cs="宋体" w:eastAsia="宋体" w:hint="default"/>
                <w:spacing w:val="-63"/>
                <w:w w:val="95"/>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00" w:lineRule="auto"/>
              <w:ind w:left="117" w:right="74" w:firstLine="9"/>
              <w:jc w:val="left"/>
              <w:rPr>
                <w:rFonts w:ascii="宋体" w:hAnsi="宋体" w:cs="宋体" w:eastAsia="宋体" w:hint="default"/>
                <w:sz w:val="20"/>
                <w:szCs w:val="20"/>
              </w:rPr>
            </w:pPr>
            <w:r>
              <w:rPr>
                <w:rFonts w:ascii="宋体" w:hAnsi="宋体" w:cs="宋体" w:eastAsia="宋体" w:hint="default"/>
                <w:sz w:val="20"/>
                <w:szCs w:val="20"/>
              </w:rPr>
              <w:t>是否合</w:t>
            </w:r>
            <w:r>
              <w:rPr>
                <w:rFonts w:ascii="宋体" w:hAnsi="宋体" w:cs="宋体" w:eastAsia="宋体" w:hint="default"/>
                <w:w w:val="99"/>
                <w:sz w:val="20"/>
                <w:szCs w:val="20"/>
              </w:rPr>
              <w:t> </w:t>
            </w:r>
            <w:r>
              <w:rPr>
                <w:rFonts w:ascii="宋体" w:hAnsi="宋体" w:cs="宋体" w:eastAsia="宋体" w:hint="default"/>
                <w:sz w:val="20"/>
                <w:szCs w:val="20"/>
              </w:rPr>
              <w:t>并报表</w:t>
            </w:r>
          </w:p>
        </w:tc>
        <w:tc>
          <w:tcPr>
            <w:tcW w:w="9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00" w:lineRule="auto"/>
              <w:ind w:left="232" w:right="66" w:hanging="180"/>
              <w:jc w:val="left"/>
              <w:rPr>
                <w:rFonts w:ascii="宋体" w:hAnsi="宋体" w:cs="宋体" w:eastAsia="宋体" w:hint="default"/>
                <w:sz w:val="20"/>
                <w:szCs w:val="20"/>
              </w:rPr>
            </w:pPr>
            <w:r>
              <w:rPr>
                <w:rFonts w:ascii="宋体" w:hAnsi="宋体" w:cs="宋体" w:eastAsia="宋体" w:hint="default"/>
                <w:w w:val="95"/>
                <w:sz w:val="20"/>
                <w:szCs w:val="20"/>
              </w:rPr>
              <w:t>少数股东</w:t>
            </w:r>
            <w:r>
              <w:rPr>
                <w:rFonts w:ascii="宋体" w:hAnsi="宋体" w:cs="宋体" w:eastAsia="宋体" w:hint="default"/>
                <w:spacing w:val="-59"/>
                <w:w w:val="95"/>
                <w:sz w:val="20"/>
                <w:szCs w:val="20"/>
              </w:rPr>
              <w:t> </w:t>
            </w:r>
            <w:r>
              <w:rPr>
                <w:rFonts w:ascii="宋体" w:hAnsi="宋体" w:cs="宋体" w:eastAsia="宋体" w:hint="default"/>
                <w:sz w:val="20"/>
                <w:szCs w:val="20"/>
              </w:rPr>
              <w:t>权益</w:t>
            </w:r>
          </w:p>
        </w:tc>
        <w:tc>
          <w:tcPr>
            <w:tcW w:w="12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97" w:lineRule="auto"/>
              <w:ind w:left="68" w:right="24"/>
              <w:jc w:val="center"/>
              <w:rPr>
                <w:rFonts w:ascii="宋体" w:hAnsi="宋体" w:cs="宋体" w:eastAsia="宋体" w:hint="default"/>
                <w:sz w:val="20"/>
                <w:szCs w:val="20"/>
              </w:rPr>
            </w:pPr>
            <w:r>
              <w:rPr>
                <w:rFonts w:ascii="宋体" w:hAnsi="宋体" w:cs="宋体" w:eastAsia="宋体" w:hint="default"/>
                <w:w w:val="95"/>
                <w:sz w:val="20"/>
                <w:szCs w:val="20"/>
              </w:rPr>
              <w:t>少数股东权益</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中用于冲减少</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数股</w:t>
            </w:r>
            <w:r>
              <w:rPr>
                <w:rFonts w:ascii="宋体" w:hAnsi="宋体" w:cs="宋体" w:eastAsia="宋体" w:hint="default"/>
                <w:w w:val="99"/>
                <w:sz w:val="20"/>
                <w:szCs w:val="20"/>
              </w:rPr>
              <w:t> </w:t>
            </w:r>
            <w:r>
              <w:rPr>
                <w:rFonts w:ascii="宋体" w:hAnsi="宋体" w:cs="宋体" w:eastAsia="宋体" w:hint="default"/>
                <w:w w:val="95"/>
                <w:sz w:val="20"/>
                <w:szCs w:val="20"/>
              </w:rPr>
              <w:t>东损益的金额</w:t>
            </w:r>
            <w:r>
              <w:rPr>
                <w:rFonts w:ascii="宋体" w:hAnsi="宋体" w:cs="宋体" w:eastAsia="宋体" w:hint="default"/>
                <w:sz w:val="20"/>
                <w:szCs w:val="20"/>
              </w:rPr>
            </w:r>
          </w:p>
        </w:tc>
        <w:tc>
          <w:tcPr>
            <w:tcW w:w="1687" w:type="dxa"/>
            <w:tcBorders>
              <w:top w:val="nil" w:sz="6" w:space="0" w:color="auto"/>
              <w:left w:val="nil" w:sz="6" w:space="0" w:color="auto"/>
              <w:bottom w:val="single" w:sz="4" w:space="0" w:color="000000"/>
              <w:right w:val="nil" w:sz="6" w:space="0" w:color="auto"/>
            </w:tcBorders>
          </w:tcPr>
          <w:p>
            <w:pPr>
              <w:pStyle w:val="TableParagraph"/>
              <w:spacing w:line="300" w:lineRule="auto" w:before="1"/>
              <w:ind w:left="88" w:right="0"/>
              <w:jc w:val="center"/>
              <w:rPr>
                <w:rFonts w:ascii="宋体" w:hAnsi="宋体" w:cs="宋体" w:eastAsia="宋体" w:hint="default"/>
                <w:sz w:val="20"/>
                <w:szCs w:val="20"/>
              </w:rPr>
            </w:pPr>
            <w:r>
              <w:rPr>
                <w:rFonts w:ascii="宋体" w:hAnsi="宋体" w:cs="宋体" w:eastAsia="宋体" w:hint="default"/>
                <w:w w:val="95"/>
                <w:sz w:val="20"/>
                <w:szCs w:val="20"/>
              </w:rPr>
              <w:t>从母公司所有者权</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益冲减子公司少数</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股东分担的本期亏</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损超过少数股东在</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该子公司期初所有</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者权益中所享有份</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sz w:val="20"/>
                <w:szCs w:val="20"/>
              </w:rPr>
              <w:t>额后的余额</w:t>
            </w:r>
          </w:p>
        </w:tc>
        <w:tc>
          <w:tcPr>
            <w:tcW w:w="154"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20"/>
                <w:szCs w:val="20"/>
              </w:rPr>
            </w:pPr>
            <w:r>
              <w:rPr>
                <w:rFonts w:ascii="宋体" w:hAnsi="宋体" w:cs="宋体" w:eastAsia="宋体" w:hint="default"/>
                <w:sz w:val="20"/>
                <w:szCs w:val="20"/>
              </w:rPr>
              <w:t>注释</w:t>
            </w:r>
          </w:p>
        </w:tc>
      </w:tr>
      <w:tr>
        <w:trPr>
          <w:trHeight w:val="919"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300" w:lineRule="auto"/>
              <w:ind w:left="28" w:right="139"/>
              <w:jc w:val="both"/>
              <w:rPr>
                <w:rFonts w:ascii="宋体" w:hAnsi="宋体" w:cs="宋体" w:eastAsia="宋体" w:hint="default"/>
                <w:sz w:val="20"/>
                <w:szCs w:val="20"/>
              </w:rPr>
            </w:pPr>
            <w:r>
              <w:rPr>
                <w:rFonts w:ascii="宋体" w:hAnsi="宋体" w:cs="宋体" w:eastAsia="宋体" w:hint="default"/>
                <w:sz w:val="20"/>
                <w:szCs w:val="20"/>
              </w:rPr>
              <w:t>上海政通信</w:t>
            </w:r>
            <w:r>
              <w:rPr>
                <w:rFonts w:ascii="宋体" w:hAnsi="宋体" w:cs="宋体" w:eastAsia="宋体" w:hint="default"/>
                <w:spacing w:val="2"/>
                <w:w w:val="99"/>
                <w:sz w:val="20"/>
                <w:szCs w:val="20"/>
              </w:rPr>
              <w:t> </w:t>
            </w:r>
            <w:r>
              <w:rPr>
                <w:rFonts w:ascii="宋体" w:hAnsi="宋体" w:cs="宋体" w:eastAsia="宋体" w:hint="default"/>
                <w:sz w:val="20"/>
                <w:szCs w:val="20"/>
              </w:rPr>
              <w:t>息科技有限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18" w:right="0"/>
              <w:jc w:val="left"/>
              <w:rPr>
                <w:rFonts w:ascii="Times New Roman" w:hAnsi="Times New Roman" w:cs="Times New Roman" w:eastAsia="Times New Roman" w:hint="default"/>
                <w:sz w:val="20"/>
                <w:szCs w:val="20"/>
              </w:rPr>
            </w:pPr>
            <w:r>
              <w:rPr>
                <w:rFonts w:ascii="Times New Roman"/>
                <w:sz w:val="20"/>
              </w:rPr>
              <w:t>100.00</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25" w:right="0"/>
              <w:jc w:val="left"/>
              <w:rPr>
                <w:rFonts w:ascii="Times New Roman" w:hAnsi="Times New Roman" w:cs="Times New Roman" w:eastAsia="Times New Roman" w:hint="default"/>
                <w:sz w:val="20"/>
                <w:szCs w:val="20"/>
              </w:rPr>
            </w:pPr>
            <w:r>
              <w:rPr>
                <w:rFonts w:ascii="Times New Roman"/>
                <w:sz w:val="20"/>
              </w:rPr>
              <w:t>100.00</w:t>
            </w:r>
          </w:p>
        </w:tc>
        <w:tc>
          <w:tcPr>
            <w:tcW w:w="80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6"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92" w:type="dxa"/>
            <w:tcBorders>
              <w:top w:val="single" w:sz="4" w:space="0" w:color="000000"/>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509" w:type="dxa"/>
            <w:tcBorders>
              <w:top w:val="single" w:sz="4" w:space="0" w:color="000000"/>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408" w:lineRule="auto" w:before="26"/>
        <w:ind w:left="617" w:right="3629" w:firstLine="2"/>
        <w:jc w:val="left"/>
      </w:pPr>
      <w:r>
        <w:rPr>
          <w:rFonts w:ascii="Times New Roman" w:hAnsi="Times New Roman" w:cs="Times New Roman" w:eastAsia="Times New Roman" w:hint="default"/>
        </w:rPr>
        <w:t>3</w:t>
      </w:r>
      <w:r>
        <w:rPr/>
        <w:t>、合并范围发生变更的说明 本公司本年合并范围未发生变更的情况。</w:t>
      </w:r>
    </w:p>
    <w:p>
      <w:pPr>
        <w:spacing w:line="602" w:lineRule="exact" w:before="39"/>
        <w:ind w:left="620" w:right="119"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宋体" w:hAnsi="宋体" w:cs="宋体" w:eastAsia="宋体" w:hint="default"/>
          <w:spacing w:val="-5"/>
          <w:sz w:val="24"/>
          <w:szCs w:val="24"/>
        </w:rPr>
        <w:t>以下注释项目（含公司财务报表主要项目注释）除非特别指出，期初指</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2010</w:t>
      </w:r>
    </w:p>
    <w:p>
      <w:pPr>
        <w:pStyle w:val="BodyText"/>
        <w:spacing w:line="240" w:lineRule="auto"/>
        <w:ind w:right="0"/>
        <w:jc w:val="left"/>
      </w:pP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日，期末指</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日，上期指</w:t>
      </w:r>
      <w:r>
        <w:rPr>
          <w:spacing w:val="-60"/>
        </w:rPr>
        <w:t> </w:t>
      </w:r>
      <w:r>
        <w:rPr>
          <w:rFonts w:ascii="Times New Roman" w:hAnsi="Times New Roman" w:cs="Times New Roman" w:eastAsia="Times New Roman" w:hint="default"/>
        </w:rPr>
        <w:t>2009 </w:t>
      </w:r>
      <w:r>
        <w:rPr/>
        <w:t>年，本期指</w:t>
      </w:r>
      <w:r>
        <w:rPr>
          <w:spacing w:val="-60"/>
        </w:rPr>
        <w:t> </w:t>
      </w:r>
      <w:r>
        <w:rPr>
          <w:rFonts w:ascii="Times New Roman" w:hAnsi="Times New Roman" w:cs="Times New Roman" w:eastAsia="Times New Roman" w:hint="default"/>
        </w:rPr>
        <w:t>2010 </w:t>
      </w:r>
      <w:r>
        <w:rPr/>
        <w:t>年。</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0" w:footer="979" w:top="1380" w:bottom="1160" w:left="1660" w:right="1660"/>
        </w:sectPr>
      </w:pPr>
    </w:p>
    <w:p>
      <w:pPr>
        <w:pStyle w:val="Heading3"/>
        <w:spacing w:line="240" w:lineRule="auto"/>
        <w:ind w:left="619" w:right="-1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17"/>
          <w:szCs w:val="17"/>
        </w:rPr>
      </w:pPr>
    </w:p>
    <w:p>
      <w:pPr>
        <w:tabs>
          <w:tab w:pos="1090" w:val="left" w:leader="none"/>
        </w:tabs>
        <w:spacing w:before="0"/>
        <w:ind w:left="548" w:right="-19" w:firstLine="0"/>
        <w:jc w:val="left"/>
        <w:rPr>
          <w:rFonts w:ascii="宋体" w:hAnsi="宋体" w:cs="宋体" w:eastAsia="宋体" w:hint="default"/>
          <w:sz w:val="18"/>
          <w:szCs w:val="18"/>
        </w:rPr>
      </w:pPr>
      <w:r>
        <w:rPr/>
        <w:pict>
          <v:group style="position:absolute;margin-left:168.839996pt;margin-top:7.15172pt;width:164.05pt;height:.5pt;mso-position-horizontal-relative:page;mso-position-vertical-relative:paragraph;z-index:1672" coordorigin="3377,143" coordsize="3281,10">
            <v:group style="position:absolute;left:3382;top:148;width:1188;height:2" coordorigin="3382,148" coordsize="1188,2">
              <v:shape style="position:absolute;left:3382;top:148;width:1188;height:2" coordorigin="3382,148" coordsize="1188,0" path="m3382,148l4570,148e" filled="false" stroked="true" strokeweight=".48pt" strokecolor="#000000">
                <v:path arrowok="t"/>
              </v:shape>
            </v:group>
            <v:group style="position:absolute;left:4570;top:148;width:10;height:2" coordorigin="4570,148" coordsize="10,2">
              <v:shape style="position:absolute;left:4570;top:148;width:10;height:2" coordorigin="4570,148" coordsize="10,0" path="m4570,148l4579,148e" filled="false" stroked="true" strokeweight=".48pt" strokecolor="#000000">
                <v:path arrowok="t"/>
              </v:shape>
            </v:group>
            <v:group style="position:absolute;left:4579;top:148;width:80;height:2" coordorigin="4579,148" coordsize="80,2">
              <v:shape style="position:absolute;left:4579;top:148;width:80;height:2" coordorigin="4579,148" coordsize="80,0" path="m4579,148l4658,148e" filled="false" stroked="true" strokeweight=".48pt" strokecolor="#000000">
                <v:path arrowok="t"/>
              </v:shape>
            </v:group>
            <v:group style="position:absolute;left:4658;top:148;width:10;height:2" coordorigin="4658,148" coordsize="10,2">
              <v:shape style="position:absolute;left:4658;top:148;width:10;height:2" coordorigin="4658,148" coordsize="10,0" path="m4658,148l4668,148e" filled="false" stroked="true" strokeweight=".48pt" strokecolor="#000000">
                <v:path arrowok="t"/>
              </v:shape>
            </v:group>
            <v:group style="position:absolute;left:4668;top:148;width:608;height:2" coordorigin="4668,148" coordsize="608,2">
              <v:shape style="position:absolute;left:4668;top:148;width:608;height:2" coordorigin="4668,148" coordsize="608,0" path="m4668,148l5275,148e" filled="false" stroked="true" strokeweight=".48pt" strokecolor="#000000">
                <v:path arrowok="t"/>
              </v:shape>
            </v:group>
            <v:group style="position:absolute;left:5275;top:148;width:10;height:2" coordorigin="5275,148" coordsize="10,2">
              <v:shape style="position:absolute;left:5275;top:148;width:10;height:2" coordorigin="5275,148" coordsize="10,0" path="m5275,148l5285,148e" filled="false" stroked="true" strokeweight=".48pt" strokecolor="#000000">
                <v:path arrowok="t"/>
              </v:shape>
            </v:group>
            <v:group style="position:absolute;left:5285;top:148;width:34;height:2" coordorigin="5285,148" coordsize="34,2">
              <v:shape style="position:absolute;left:5285;top:148;width:34;height:2" coordorigin="5285,148" coordsize="34,0" path="m5285,148l5318,148e" filled="false" stroked="true" strokeweight=".48pt" strokecolor="#000000">
                <v:path arrowok="t"/>
              </v:shape>
            </v:group>
            <v:group style="position:absolute;left:5318;top:148;width:10;height:2" coordorigin="5318,148" coordsize="10,2">
              <v:shape style="position:absolute;left:5318;top:148;width:10;height:2" coordorigin="5318,148" coordsize="10,0" path="m5318,148l5328,148e" filled="false" stroked="true" strokeweight=".48pt" strokecolor="#000000">
                <v:path arrowok="t"/>
              </v:shape>
            </v:group>
            <v:group style="position:absolute;left:5328;top:148;width:1325;height:2" coordorigin="5328,148" coordsize="1325,2">
              <v:shape style="position:absolute;left:5328;top:148;width:1325;height:2" coordorigin="5328,148" coordsize="1325,0" path="m5328,148l6653,148e" filled="false" stroked="true" strokeweight=".48pt" strokecolor="#000000">
                <v:path arrowok="t"/>
              </v:shape>
            </v:group>
            <w10:wrap type="none"/>
          </v:group>
        </w:pict>
      </w:r>
      <w:r>
        <w:rPr>
          <w:rFonts w:ascii="宋体" w:hAnsi="宋体" w:cs="宋体" w:eastAsia="宋体" w:hint="default"/>
          <w:sz w:val="18"/>
          <w:szCs w:val="18"/>
        </w:rPr>
        <w:t>项</w:t>
        <w:tab/>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tabs>
          <w:tab w:pos="3427" w:val="left" w:leader="none"/>
        </w:tabs>
        <w:spacing w:before="0"/>
        <w:ind w:left="0" w:right="432" w:firstLine="0"/>
        <w:jc w:val="center"/>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4"/>
        <w:rPr>
          <w:rFonts w:ascii="宋体" w:hAnsi="宋体" w:cs="宋体" w:eastAsia="宋体" w:hint="default"/>
          <w:sz w:val="6"/>
          <w:szCs w:val="6"/>
        </w:rPr>
      </w:pPr>
    </w:p>
    <w:p>
      <w:pPr>
        <w:spacing w:line="20" w:lineRule="exact"/>
        <w:ind w:left="3120" w:right="0" w:firstLine="0"/>
        <w:rPr>
          <w:rFonts w:ascii="宋体" w:hAnsi="宋体" w:cs="宋体" w:eastAsia="宋体" w:hint="default"/>
          <w:sz w:val="2"/>
          <w:szCs w:val="2"/>
        </w:rPr>
      </w:pPr>
      <w:r>
        <w:rPr>
          <w:rFonts w:ascii="宋体" w:hAnsi="宋体" w:cs="宋体" w:eastAsia="宋体" w:hint="default"/>
          <w:sz w:val="2"/>
          <w:szCs w:val="2"/>
        </w:rPr>
        <w:pict>
          <v:group style="width:167.8pt;height:.5pt;mso-position-horizontal-relative:char;mso-position-vertical-relative:line" coordorigin="0,0" coordsize="3356,10">
            <v:group style="position:absolute;left:5;top:5;width:1232;height:2" coordorigin="5,5" coordsize="1232,2">
              <v:shape style="position:absolute;left:5;top:5;width:1232;height:2" coordorigin="5,5" coordsize="1232,0" path="m5,5l1236,5e" filled="false" stroked="true" strokeweight=".48pt" strokecolor="#000000">
                <v:path arrowok="t"/>
              </v:shape>
            </v:group>
            <v:group style="position:absolute;left:1236;top:5;width:10;height:2" coordorigin="1236,5" coordsize="10,2">
              <v:shape style="position:absolute;left:1236;top:5;width:10;height:2" coordorigin="1236,5" coordsize="10,0" path="m1236,5l1246,5e" filled="false" stroked="true" strokeweight=".48pt" strokecolor="#000000">
                <v:path arrowok="t"/>
              </v:shape>
            </v:group>
            <v:group style="position:absolute;left:1246;top:5;width:53;height:2" coordorigin="1246,5" coordsize="53,2">
              <v:shape style="position:absolute;left:1246;top:5;width:53;height:2" coordorigin="1246,5" coordsize="53,0" path="m1246,5l1298,5e" filled="false" stroked="true" strokeweight=".48pt" strokecolor="#000000">
                <v:path arrowok="t"/>
              </v:shape>
            </v:group>
            <v:group style="position:absolute;left:1298;top:5;width:10;height:2" coordorigin="1298,5" coordsize="10,2">
              <v:shape style="position:absolute;left:1298;top:5;width:10;height:2" coordorigin="1298,5" coordsize="10,0" path="m1298,5l1308,5e" filled="false" stroked="true" strokeweight=".48pt" strokecolor="#000000">
                <v:path arrowok="t"/>
              </v:shape>
            </v:group>
            <v:group style="position:absolute;left:1308;top:5;width:608;height:2" coordorigin="1308,5" coordsize="608,2">
              <v:shape style="position:absolute;left:1308;top:5;width:608;height:2" coordorigin="1308,5" coordsize="608,0" path="m1308,5l1915,5e" filled="false" stroked="true" strokeweight=".48pt" strokecolor="#000000">
                <v:path arrowok="t"/>
              </v:shape>
            </v:group>
            <v:group style="position:absolute;left:1915;top:5;width:10;height:2" coordorigin="1915,5" coordsize="10,2">
              <v:shape style="position:absolute;left:1915;top:5;width:10;height:2" coordorigin="1915,5" coordsize="10,0" path="m1915,5l1925,5e" filled="false" stroked="true" strokeweight=".48pt" strokecolor="#000000">
                <v:path arrowok="t"/>
              </v:shape>
            </v:group>
            <v:group style="position:absolute;left:1925;top:5;width:34;height:2" coordorigin="1925,5" coordsize="34,2">
              <v:shape style="position:absolute;left:1925;top:5;width:34;height:2" coordorigin="1925,5" coordsize="34,0" path="m1925,5l1958,5e" filled="false" stroked="true" strokeweight=".48pt" strokecolor="#000000">
                <v:path arrowok="t"/>
              </v:shape>
            </v:group>
            <v:group style="position:absolute;left:1958;top:5;width:10;height:2" coordorigin="1958,5" coordsize="10,2">
              <v:shape style="position:absolute;left:1958;top:5;width:10;height:2" coordorigin="1958,5" coordsize="10,0" path="m1958,5l1968,5e" filled="false" stroked="true" strokeweight=".48pt" strokecolor="#000000">
                <v:path arrowok="t"/>
              </v:shape>
            </v:group>
            <v:group style="position:absolute;left:1968;top:5;width:1383;height:2" coordorigin="1968,5" coordsize="1383,2">
              <v:shape style="position:absolute;left:1968;top:5;width:1383;height:2" coordorigin="1968,5" coordsize="1383,0" path="m1968,5l3350,5e" filled="false" stroked="true" strokeweight=".48pt" strokecolor="#000000">
                <v:path arrowok="t"/>
              </v:shape>
            </v:group>
          </v:group>
        </w:pict>
      </w:r>
      <w:r>
        <w:rPr>
          <w:rFonts w:ascii="宋体" w:hAnsi="宋体" w:cs="宋体" w:eastAsia="宋体" w:hint="default"/>
          <w:sz w:val="2"/>
          <w:szCs w:val="2"/>
        </w:rPr>
      </w:r>
    </w:p>
    <w:p>
      <w:pPr>
        <w:tabs>
          <w:tab w:pos="1049" w:val="left" w:leader="none"/>
          <w:tab w:pos="1889" w:val="left" w:leader="none"/>
          <w:tab w:pos="3379" w:val="left" w:leader="none"/>
          <w:tab w:pos="4457" w:val="left" w:leader="none"/>
          <w:tab w:pos="5323" w:val="left" w:leader="none"/>
        </w:tabs>
        <w:spacing w:before="12"/>
        <w:ind w:left="-31" w:right="375" w:firstLine="0"/>
        <w:jc w:val="center"/>
        <w:rPr>
          <w:rFonts w:ascii="宋体" w:hAnsi="宋体" w:cs="宋体" w:eastAsia="宋体" w:hint="default"/>
          <w:sz w:val="18"/>
          <w:szCs w:val="18"/>
        </w:rPr>
      </w:pPr>
      <w:r>
        <w:rPr>
          <w:rFonts w:ascii="宋体" w:hAnsi="宋体" w:cs="宋体" w:eastAsia="宋体" w:hint="default"/>
          <w:sz w:val="18"/>
          <w:szCs w:val="18"/>
        </w:rPr>
        <w:t>外币金额</w:t>
        <w:tab/>
        <w:t>折算率</w:t>
        <w:tab/>
        <w:t>人民币金额</w:t>
        <w:tab/>
        <w:t>外币金额</w:t>
        <w:tab/>
        <w:t>折算率</w:t>
        <w:tab/>
        <w:t>人民币金额</w:t>
      </w:r>
    </w:p>
    <w:p>
      <w:pPr>
        <w:spacing w:after="0"/>
        <w:jc w:val="center"/>
        <w:rPr>
          <w:rFonts w:ascii="宋体" w:hAnsi="宋体" w:cs="宋体" w:eastAsia="宋体" w:hint="default"/>
          <w:sz w:val="18"/>
          <w:szCs w:val="18"/>
        </w:rPr>
        <w:sectPr>
          <w:type w:val="continuous"/>
          <w:pgSz w:w="11910" w:h="16840"/>
          <w:pgMar w:top="1380" w:bottom="1380" w:left="1660" w:right="1660"/>
          <w:cols w:num="2" w:equalWidth="0">
            <w:col w:w="1945" w:space="40"/>
            <w:col w:w="6605"/>
          </w:cols>
        </w:sectPr>
      </w:pPr>
    </w:p>
    <w:p>
      <w:pPr>
        <w:spacing w:line="240" w:lineRule="auto" w:before="9"/>
        <w:rPr>
          <w:rFonts w:ascii="宋体" w:hAnsi="宋体" w:cs="宋体" w:eastAsia="宋体" w:hint="default"/>
          <w:sz w:val="6"/>
          <w:szCs w:val="6"/>
        </w:rPr>
      </w:pPr>
      <w:r>
        <w:rPr/>
        <w:pict>
          <v:group style="position:absolute;margin-left:88.440002pt;margin-top:70.559982pt;width:418.45pt;height:.1pt;mso-position-horizontal-relative:page;mso-position-vertical-relative:page;z-index:-605944" coordorigin="1769,1411" coordsize="8369,2">
            <v:shape style="position:absolute;left:1769;top:1411;width:8369;height:2" coordorigin="1769,1411" coordsize="8369,0" path="m1769,1411l10138,1411e" filled="false" stroked="true" strokeweight=".72pt" strokecolor="#000000">
              <v:path arrowok="t"/>
            </v:shape>
            <w10:wrap type="none"/>
          </v:group>
        </w:pict>
      </w:r>
    </w:p>
    <w:tbl>
      <w:tblPr>
        <w:tblW w:w="0" w:type="auto"/>
        <w:jc w:val="left"/>
        <w:tblInd w:w="130" w:type="dxa"/>
        <w:tblLayout w:type="fixed"/>
        <w:tblCellMar>
          <w:top w:w="0" w:type="dxa"/>
          <w:left w:w="0" w:type="dxa"/>
          <w:bottom w:w="0" w:type="dxa"/>
          <w:right w:w="0" w:type="dxa"/>
        </w:tblCellMar>
        <w:tblLook w:val="01E0"/>
      </w:tblPr>
      <w:tblGrid>
        <w:gridCol w:w="447"/>
        <w:gridCol w:w="2265"/>
        <w:gridCol w:w="2150"/>
        <w:gridCol w:w="118"/>
        <w:gridCol w:w="3346"/>
      </w:tblGrid>
      <w:tr>
        <w:trPr>
          <w:trHeight w:val="348" w:hRule="exact"/>
        </w:trPr>
        <w:tc>
          <w:tcPr>
            <w:tcW w:w="44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2265" w:type="dxa"/>
            <w:tcBorders>
              <w:top w:val="single" w:sz="4" w:space="0" w:color="000000"/>
              <w:left w:val="nil" w:sz="6" w:space="0" w:color="auto"/>
              <w:bottom w:val="nil" w:sz="6" w:space="0" w:color="auto"/>
              <w:right w:val="nil" w:sz="6" w:space="0" w:color="auto"/>
            </w:tcBorders>
          </w:tcPr>
          <w:p>
            <w:pPr/>
          </w:p>
        </w:tc>
        <w:tc>
          <w:tcPr>
            <w:tcW w:w="2150" w:type="dxa"/>
            <w:tcBorders>
              <w:top w:val="single" w:sz="4" w:space="0" w:color="000000"/>
              <w:left w:val="nil" w:sz="6" w:space="0" w:color="auto"/>
              <w:bottom w:val="nil" w:sz="6" w:space="0" w:color="auto"/>
              <w:right w:val="nil" w:sz="6" w:space="0" w:color="auto"/>
            </w:tcBorders>
          </w:tcPr>
          <w:p>
            <w:pPr>
              <w:pStyle w:val="TableParagraph"/>
              <w:tabs>
                <w:tab w:pos="705" w:val="left" w:leader="none"/>
                <w:tab w:pos="1648" w:val="left" w:leader="none"/>
              </w:tabs>
              <w:spacing w:line="240" w:lineRule="auto" w:before="64"/>
              <w:ind w:right="5"/>
              <w:jc w:val="center"/>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463.63</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3346" w:type="dxa"/>
            <w:tcBorders>
              <w:top w:val="single" w:sz="4" w:space="0" w:color="000000"/>
              <w:left w:val="nil" w:sz="6" w:space="0" w:color="auto"/>
              <w:bottom w:val="nil" w:sz="6" w:space="0" w:color="auto"/>
              <w:right w:val="nil" w:sz="6" w:space="0" w:color="auto"/>
            </w:tcBorders>
          </w:tcPr>
          <w:p>
            <w:pPr>
              <w:pStyle w:val="TableParagraph"/>
              <w:tabs>
                <w:tab w:pos="681" w:val="left" w:leader="none"/>
                <w:tab w:pos="1679" w:val="left" w:leader="none"/>
              </w:tabs>
              <w:spacing w:line="240" w:lineRule="auto" w:before="64"/>
              <w:ind w:right="4"/>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649.98</w:t>
            </w:r>
          </w:p>
        </w:tc>
      </w:tr>
      <w:tr>
        <w:trPr>
          <w:trHeight w:val="365" w:hRule="exact"/>
        </w:trPr>
        <w:tc>
          <w:tcPr>
            <w:tcW w:w="447"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2150" w:type="dxa"/>
            <w:tcBorders>
              <w:top w:val="nil" w:sz="6" w:space="0" w:color="auto"/>
              <w:left w:val="nil" w:sz="6" w:space="0" w:color="auto"/>
              <w:bottom w:val="nil" w:sz="6" w:space="0" w:color="auto"/>
              <w:right w:val="nil" w:sz="6" w:space="0" w:color="auto"/>
            </w:tcBorders>
          </w:tcPr>
          <w:p>
            <w:pPr>
              <w:pStyle w:val="TableParagraph"/>
              <w:tabs>
                <w:tab w:pos="705" w:val="left" w:leader="none"/>
                <w:tab w:pos="1648" w:val="left" w:leader="none"/>
              </w:tabs>
              <w:spacing w:line="240" w:lineRule="auto" w:before="62"/>
              <w:ind w:right="5"/>
              <w:jc w:val="center"/>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463.63</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tabs>
                <w:tab w:pos="681" w:val="left" w:leader="none"/>
                <w:tab w:pos="1679" w:val="left" w:leader="none"/>
              </w:tabs>
              <w:spacing w:line="240" w:lineRule="auto" w:before="62"/>
              <w:ind w:right="5"/>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649.98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1380" w:left="1660" w:right="16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tabs>
          <w:tab w:pos="4977" w:val="left" w:leader="none"/>
        </w:tabs>
        <w:spacing w:line="205" w:lineRule="exact" w:before="57"/>
        <w:ind w:left="1550" w:right="0" w:firstLine="0"/>
        <w:jc w:val="center"/>
        <w:rPr>
          <w:rFonts w:ascii="宋体" w:hAnsi="宋体" w:cs="宋体" w:eastAsia="宋体" w:hint="default"/>
          <w:sz w:val="18"/>
          <w:szCs w:val="18"/>
        </w:rPr>
      </w:pPr>
      <w:r>
        <w:rPr>
          <w:rFonts w:ascii="宋体" w:hAnsi="宋体" w:cs="宋体" w:eastAsia="宋体" w:hint="default"/>
          <w:sz w:val="18"/>
          <w:szCs w:val="18"/>
        </w:rPr>
        <w:t>期末数</w:t>
        <w:tab/>
        <w:t>期初数</w:t>
      </w:r>
    </w:p>
    <w:p>
      <w:pPr>
        <w:tabs>
          <w:tab w:pos="1090" w:val="left" w:leader="none"/>
        </w:tabs>
        <w:spacing w:line="175" w:lineRule="exact" w:before="0"/>
        <w:ind w:left="548" w:right="0" w:firstLine="0"/>
        <w:jc w:val="left"/>
        <w:rPr>
          <w:rFonts w:ascii="宋体" w:hAnsi="宋体" w:cs="宋体" w:eastAsia="宋体" w:hint="default"/>
          <w:sz w:val="18"/>
          <w:szCs w:val="18"/>
        </w:rPr>
      </w:pPr>
      <w:r>
        <w:rPr/>
        <w:pict>
          <v:group style="position:absolute;margin-left:168.839996pt;margin-top:5.643071pt;width:164.05pt;height:.5pt;mso-position-horizontal-relative:page;mso-position-vertical-relative:paragraph;z-index:1720" coordorigin="3377,113" coordsize="3281,10">
            <v:group style="position:absolute;left:3382;top:118;width:1188;height:2" coordorigin="3382,118" coordsize="1188,2">
              <v:shape style="position:absolute;left:3382;top:118;width:1188;height:2" coordorigin="3382,118" coordsize="1188,0" path="m3382,118l4570,118e" filled="false" stroked="true" strokeweight=".48pt" strokecolor="#000000">
                <v:path arrowok="t"/>
              </v:shape>
            </v:group>
            <v:group style="position:absolute;left:4570;top:118;width:10;height:2" coordorigin="4570,118" coordsize="10,2">
              <v:shape style="position:absolute;left:4570;top:118;width:10;height:2" coordorigin="4570,118" coordsize="10,0" path="m4570,118l4579,118e" filled="false" stroked="true" strokeweight=".48pt" strokecolor="#000000">
                <v:path arrowok="t"/>
              </v:shape>
            </v:group>
            <v:group style="position:absolute;left:4579;top:118;width:80;height:2" coordorigin="4579,118" coordsize="80,2">
              <v:shape style="position:absolute;left:4579;top:118;width:80;height:2" coordorigin="4579,118" coordsize="80,0" path="m4579,118l4658,118e" filled="false" stroked="true" strokeweight=".48pt" strokecolor="#000000">
                <v:path arrowok="t"/>
              </v:shape>
            </v:group>
            <v:group style="position:absolute;left:4658;top:118;width:10;height:2" coordorigin="4658,118" coordsize="10,2">
              <v:shape style="position:absolute;left:4658;top:118;width:10;height:2" coordorigin="4658,118" coordsize="10,0" path="m4658,118l4668,118e" filled="false" stroked="true" strokeweight=".48pt" strokecolor="#000000">
                <v:path arrowok="t"/>
              </v:shape>
            </v:group>
            <v:group style="position:absolute;left:4668;top:118;width:608;height:2" coordorigin="4668,118" coordsize="608,2">
              <v:shape style="position:absolute;left:4668;top:118;width:608;height:2" coordorigin="4668,118" coordsize="608,0" path="m4668,118l5275,118e" filled="false" stroked="true" strokeweight=".48pt" strokecolor="#000000">
                <v:path arrowok="t"/>
              </v:shape>
            </v:group>
            <v:group style="position:absolute;left:5275;top:118;width:10;height:2" coordorigin="5275,118" coordsize="10,2">
              <v:shape style="position:absolute;left:5275;top:118;width:10;height:2" coordorigin="5275,118" coordsize="10,0" path="m5275,118l5285,118e" filled="false" stroked="true" strokeweight=".48pt" strokecolor="#000000">
                <v:path arrowok="t"/>
              </v:shape>
            </v:group>
            <v:group style="position:absolute;left:5285;top:118;width:34;height:2" coordorigin="5285,118" coordsize="34,2">
              <v:shape style="position:absolute;left:5285;top:118;width:34;height:2" coordorigin="5285,118" coordsize="34,0" path="m5285,118l5318,118e" filled="false" stroked="true" strokeweight=".48pt" strokecolor="#000000">
                <v:path arrowok="t"/>
              </v:shape>
            </v:group>
            <v:group style="position:absolute;left:5318;top:118;width:10;height:2" coordorigin="5318,118" coordsize="10,2">
              <v:shape style="position:absolute;left:5318;top:118;width:10;height:2" coordorigin="5318,118" coordsize="10,0" path="m5318,118l5328,118e" filled="false" stroked="true" strokeweight=".48pt" strokecolor="#000000">
                <v:path arrowok="t"/>
              </v:shape>
            </v:group>
            <v:group style="position:absolute;left:5328;top:118;width:1325;height:2" coordorigin="5328,118" coordsize="1325,2">
              <v:shape style="position:absolute;left:5328;top:118;width:1325;height:2" coordorigin="5328,118" coordsize="1325,0" path="m5328,118l6653,118e" filled="false" stroked="true" strokeweight=".48pt" strokecolor="#000000">
                <v:path arrowok="t"/>
              </v:shape>
            </v:group>
            <w10:wrap type="none"/>
          </v:group>
        </w:pict>
      </w:r>
      <w:r>
        <w:rPr/>
        <w:pict>
          <v:group style="position:absolute;margin-left:338.279999pt;margin-top:5.643071pt;width:167.8pt;height:.5pt;mso-position-horizontal-relative:page;mso-position-vertical-relative:paragraph;z-index:1744" coordorigin="6766,113" coordsize="3356,10">
            <v:group style="position:absolute;left:6770;top:118;width:1232;height:2" coordorigin="6770,118" coordsize="1232,2">
              <v:shape style="position:absolute;left:6770;top:118;width:1232;height:2" coordorigin="6770,118" coordsize="1232,0" path="m6770,118l8002,118e" filled="false" stroked="true" strokeweight=".48pt" strokecolor="#000000">
                <v:path arrowok="t"/>
              </v:shape>
            </v:group>
            <v:group style="position:absolute;left:8002;top:118;width:10;height:2" coordorigin="8002,118" coordsize="10,2">
              <v:shape style="position:absolute;left:8002;top:118;width:10;height:2" coordorigin="8002,118" coordsize="10,0" path="m8002,118l8011,118e" filled="false" stroked="true" strokeweight=".48pt" strokecolor="#000000">
                <v:path arrowok="t"/>
              </v:shape>
            </v:group>
            <v:group style="position:absolute;left:8011;top:118;width:53;height:2" coordorigin="8011,118" coordsize="53,2">
              <v:shape style="position:absolute;left:8011;top:118;width:53;height:2" coordorigin="8011,118" coordsize="53,0" path="m8011,118l8064,118e" filled="false" stroked="true" strokeweight=".48pt" strokecolor="#000000">
                <v:path arrowok="t"/>
              </v:shape>
            </v:group>
            <v:group style="position:absolute;left:8064;top:118;width:10;height:2" coordorigin="8064,118" coordsize="10,2">
              <v:shape style="position:absolute;left:8064;top:118;width:10;height:2" coordorigin="8064,118" coordsize="10,0" path="m8064,118l8074,118e" filled="false" stroked="true" strokeweight=".48pt" strokecolor="#000000">
                <v:path arrowok="t"/>
              </v:shape>
            </v:group>
            <v:group style="position:absolute;left:8074;top:118;width:608;height:2" coordorigin="8074,118" coordsize="608,2">
              <v:shape style="position:absolute;left:8074;top:118;width:608;height:2" coordorigin="8074,118" coordsize="608,0" path="m8074,118l8681,118e" filled="false" stroked="true" strokeweight=".48pt" strokecolor="#000000">
                <v:path arrowok="t"/>
              </v:shape>
            </v:group>
            <v:group style="position:absolute;left:8681;top:118;width:10;height:2" coordorigin="8681,118" coordsize="10,2">
              <v:shape style="position:absolute;left:8681;top:118;width:10;height:2" coordorigin="8681,118" coordsize="10,0" path="m8681,118l8690,118e" filled="false" stroked="true" strokeweight=".48pt" strokecolor="#000000">
                <v:path arrowok="t"/>
              </v:shape>
            </v:group>
            <v:group style="position:absolute;left:8690;top:118;width:34;height:2" coordorigin="8690,118" coordsize="34,2">
              <v:shape style="position:absolute;left:8690;top:118;width:34;height:2" coordorigin="8690,118" coordsize="34,0" path="m8690,118l8724,118e" filled="false" stroked="true" strokeweight=".48pt" strokecolor="#000000">
                <v:path arrowok="t"/>
              </v:shape>
            </v:group>
            <v:group style="position:absolute;left:8724;top:118;width:10;height:2" coordorigin="8724,118" coordsize="10,2">
              <v:shape style="position:absolute;left:8724;top:118;width:10;height:2" coordorigin="8724,118" coordsize="10,0" path="m8724,118l8734,118e" filled="false" stroked="true" strokeweight=".48pt" strokecolor="#000000">
                <v:path arrowok="t"/>
              </v:shape>
            </v:group>
            <v:group style="position:absolute;left:8734;top:118;width:1383;height:2" coordorigin="8734,118" coordsize="1383,2">
              <v:shape style="position:absolute;left:8734;top:118;width:1383;height:2" coordorigin="8734,118" coordsize="1383,0" path="m8734,118l10116,118e" filled="false" stroked="true" strokeweight=".48pt" strokecolor="#000000">
                <v:path arrowok="t"/>
              </v:shape>
            </v:group>
            <w10:wrap type="none"/>
          </v:group>
        </w:pict>
      </w:r>
      <w:r>
        <w:rPr>
          <w:rFonts w:ascii="宋体" w:hAnsi="宋体" w:cs="宋体" w:eastAsia="宋体" w:hint="default"/>
          <w:sz w:val="18"/>
          <w:szCs w:val="18"/>
        </w:rPr>
        <w:t>项</w:t>
        <w:tab/>
        <w:t>目</w:t>
      </w:r>
    </w:p>
    <w:p>
      <w:pPr>
        <w:tabs>
          <w:tab w:pos="2656" w:val="left" w:leader="none"/>
          <w:tab w:pos="3496" w:val="left" w:leader="none"/>
          <w:tab w:pos="4987" w:val="left" w:leader="none"/>
          <w:tab w:pos="6064" w:val="left" w:leader="none"/>
          <w:tab w:pos="6931" w:val="left" w:leader="none"/>
        </w:tabs>
        <w:spacing w:line="205" w:lineRule="exact" w:before="0"/>
        <w:ind w:left="1576" w:right="0" w:firstLine="0"/>
        <w:jc w:val="center"/>
        <w:rPr>
          <w:rFonts w:ascii="宋体" w:hAnsi="宋体" w:cs="宋体" w:eastAsia="宋体" w:hint="default"/>
          <w:sz w:val="18"/>
          <w:szCs w:val="18"/>
        </w:rPr>
      </w:pPr>
      <w:r>
        <w:rPr>
          <w:rFonts w:ascii="宋体" w:hAnsi="宋体" w:cs="宋体" w:eastAsia="宋体" w:hint="default"/>
          <w:sz w:val="18"/>
          <w:szCs w:val="18"/>
        </w:rPr>
        <w:t>外币金额</w:t>
        <w:tab/>
        <w:t>折算率</w:t>
        <w:tab/>
        <w:t>人民币金额</w:t>
        <w:tab/>
        <w:t>外币金额</w:t>
        <w:tab/>
        <w:t>折算率</w:t>
        <w:tab/>
        <w:t>人民币金额</w:t>
      </w:r>
    </w:p>
    <w:p>
      <w:pPr>
        <w:spacing w:line="240" w:lineRule="auto" w:before="9"/>
        <w:rPr>
          <w:rFonts w:ascii="宋体" w:hAnsi="宋体" w:cs="宋体" w:eastAsia="宋体" w:hint="default"/>
          <w:sz w:val="6"/>
          <w:szCs w:val="6"/>
        </w:rPr>
      </w:pPr>
    </w:p>
    <w:tbl>
      <w:tblPr>
        <w:tblW w:w="0" w:type="auto"/>
        <w:jc w:val="left"/>
        <w:tblInd w:w="130" w:type="dxa"/>
        <w:tblLayout w:type="fixed"/>
        <w:tblCellMar>
          <w:top w:w="0" w:type="dxa"/>
          <w:left w:w="0" w:type="dxa"/>
          <w:bottom w:w="0" w:type="dxa"/>
          <w:right w:w="0" w:type="dxa"/>
        </w:tblCellMar>
        <w:tblLook w:val="01E0"/>
      </w:tblPr>
      <w:tblGrid>
        <w:gridCol w:w="1583"/>
        <w:gridCol w:w="1129"/>
        <w:gridCol w:w="2150"/>
        <w:gridCol w:w="118"/>
        <w:gridCol w:w="1069"/>
        <w:gridCol w:w="2276"/>
      </w:tblGrid>
      <w:tr>
        <w:trPr>
          <w:trHeight w:val="347" w:hRule="exact"/>
        </w:trPr>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6743" w:type="dxa"/>
            <w:gridSpan w:val="5"/>
            <w:tcBorders>
              <w:top w:val="nil" w:sz="6" w:space="0" w:color="auto"/>
              <w:left w:val="nil" w:sz="6" w:space="0" w:color="auto"/>
              <w:bottom w:val="nil" w:sz="6" w:space="0" w:color="auto"/>
              <w:right w:val="nil" w:sz="6" w:space="0" w:color="auto"/>
            </w:tcBorders>
          </w:tcPr>
          <w:p>
            <w:pPr/>
          </w:p>
        </w:tc>
      </w:tr>
      <w:tr>
        <w:trPr>
          <w:trHeight w:val="340"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tabs>
                <w:tab w:pos="705" w:val="left" w:leader="none"/>
                <w:tab w:pos="1017" w:val="left" w:leader="none"/>
              </w:tabs>
              <w:spacing w:line="240" w:lineRule="auto" w:before="61"/>
              <w:ind w:right="0"/>
              <w:jc w:val="left"/>
              <w:rPr>
                <w:rFonts w:ascii="Times New Roman" w:hAnsi="Times New Roman" w:cs="Times New Roman" w:eastAsia="Times New Roman" w:hint="default"/>
                <w:sz w:val="18"/>
                <w:szCs w:val="18"/>
              </w:rPr>
            </w:pPr>
            <w:r>
              <w:rPr>
                <w:rFonts w:ascii="Times New Roman"/>
                <w:sz w:val="18"/>
              </w:rPr>
              <w:t>-</w:t>
              <w:tab/>
              <w:t>-</w:t>
              <w:tab/>
              <w:t>774,570,242.96</w:t>
            </w: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681" w:val="left" w:leader="none"/>
                <w:tab w:pos="1139" w:val="left" w:leader="none"/>
              </w:tabs>
              <w:spacing w:line="240" w:lineRule="auto" w:before="61"/>
              <w:ind w:right="4"/>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96,072,466.03</w:t>
            </w:r>
          </w:p>
        </w:tc>
      </w:tr>
      <w:tr>
        <w:trPr>
          <w:trHeight w:val="341"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tabs>
                <w:tab w:pos="705" w:val="left" w:leader="none"/>
                <w:tab w:pos="1017" w:val="left" w:leader="none"/>
              </w:tabs>
              <w:spacing w:line="240" w:lineRule="auto" w:before="62"/>
              <w:ind w:right="0"/>
              <w:jc w:val="left"/>
              <w:rPr>
                <w:rFonts w:ascii="Times New Roman" w:hAnsi="Times New Roman" w:cs="Times New Roman" w:eastAsia="Times New Roman" w:hint="default"/>
                <w:sz w:val="18"/>
                <w:szCs w:val="18"/>
              </w:rPr>
            </w:pPr>
            <w:r>
              <w:rPr>
                <w:rFonts w:ascii="Times New Roman"/>
                <w:sz w:val="18"/>
              </w:rPr>
              <w:t>-</w:t>
              <w:tab/>
              <w:t>-</w:t>
              <w:tab/>
              <w:t>774,570,242.96</w:t>
            </w: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681" w:val="left" w:leader="none"/>
                <w:tab w:pos="1139" w:val="left" w:leader="none"/>
              </w:tabs>
              <w:spacing w:line="240" w:lineRule="auto" w:before="62"/>
              <w:ind w:right="4"/>
              <w:jc w:val="right"/>
              <w:rPr>
                <w:rFonts w:ascii="Times New Roman" w:hAnsi="Times New Roman" w:cs="Times New Roman" w:eastAsia="Times New Roman" w:hint="default"/>
                <w:sz w:val="18"/>
                <w:szCs w:val="18"/>
              </w:rPr>
            </w:pPr>
            <w:r>
              <w:rPr>
                <w:rFonts w:ascii="Times New Roman"/>
                <w:sz w:val="18"/>
              </w:rPr>
              <w:t>-</w:t>
              <w:tab/>
              <w:t>-</w:t>
              <w:tab/>
            </w:r>
            <w:r>
              <w:rPr>
                <w:rFonts w:ascii="Times New Roman"/>
                <w:spacing w:val="-1"/>
                <w:sz w:val="18"/>
              </w:rPr>
              <w:t>96,072,466.03</w:t>
            </w:r>
          </w:p>
        </w:tc>
      </w:tr>
      <w:tr>
        <w:trPr>
          <w:trHeight w:val="340"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
        </w:tc>
      </w:tr>
      <w:tr>
        <w:trPr>
          <w:trHeight w:val="340"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61"/>
              <w:ind w:right="0"/>
              <w:jc w:val="left"/>
              <w:rPr>
                <w:rFonts w:ascii="Times New Roman" w:hAnsi="Times New Roman" w:cs="Times New Roman" w:eastAsia="Times New Roman" w:hint="default"/>
                <w:sz w:val="18"/>
                <w:szCs w:val="18"/>
              </w:rPr>
            </w:pPr>
            <w:r>
              <w:rPr>
                <w:rFonts w:ascii="Times New Roman"/>
                <w:sz w:val="18"/>
              </w:rPr>
              <w:t>-</w:t>
              <w:tab/>
              <w:t>-</w:t>
            </w: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61"/>
              <w:ind w:left="94" w:right="0"/>
              <w:jc w:val="left"/>
              <w:rPr>
                <w:rFonts w:ascii="Times New Roman" w:hAnsi="Times New Roman" w:cs="Times New Roman" w:eastAsia="Times New Roman" w:hint="default"/>
                <w:sz w:val="18"/>
                <w:szCs w:val="18"/>
              </w:rPr>
            </w:pPr>
            <w:r>
              <w:rPr>
                <w:rFonts w:ascii="Times New Roman"/>
                <w:sz w:val="18"/>
              </w:rPr>
              <w:t>-</w:t>
              <w:tab/>
              <w:t>-</w:t>
            </w:r>
          </w:p>
        </w:tc>
      </w:tr>
      <w:tr>
        <w:trPr>
          <w:trHeight w:val="341"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62"/>
              <w:ind w:right="0"/>
              <w:jc w:val="left"/>
              <w:rPr>
                <w:rFonts w:ascii="Times New Roman" w:hAnsi="Times New Roman" w:cs="Times New Roman" w:eastAsia="Times New Roman" w:hint="default"/>
                <w:sz w:val="18"/>
                <w:szCs w:val="18"/>
              </w:rPr>
            </w:pPr>
            <w:r>
              <w:rPr>
                <w:rFonts w:ascii="Times New Roman"/>
                <w:sz w:val="18"/>
              </w:rPr>
              <w:t>-</w:t>
              <w:tab/>
              <w:t>-</w:t>
            </w: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62"/>
              <w:ind w:left="94" w:right="0"/>
              <w:jc w:val="left"/>
              <w:rPr>
                <w:rFonts w:ascii="Times New Roman" w:hAnsi="Times New Roman" w:cs="Times New Roman" w:eastAsia="Times New Roman" w:hint="default"/>
                <w:sz w:val="18"/>
                <w:szCs w:val="18"/>
              </w:rPr>
            </w:pPr>
            <w:r>
              <w:rPr>
                <w:rFonts w:ascii="Times New Roman"/>
                <w:sz w:val="18"/>
              </w:rPr>
              <w:t>-</w:t>
              <w:tab/>
              <w:t>-</w:t>
            </w:r>
          </w:p>
        </w:tc>
      </w:tr>
      <w:tr>
        <w:trPr>
          <w:trHeight w:val="341"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
        </w:tc>
      </w:tr>
      <w:tr>
        <w:trPr>
          <w:trHeight w:val="370"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0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29" w:type="dxa"/>
            <w:tcBorders>
              <w:top w:val="nil" w:sz="6" w:space="0" w:color="auto"/>
              <w:left w:val="nil" w:sz="6" w:space="0" w:color="auto"/>
              <w:bottom w:val="nil" w:sz="6" w:space="0" w:color="auto"/>
              <w:right w:val="nil" w:sz="6" w:space="0" w:color="auto"/>
            </w:tcBorders>
          </w:tcPr>
          <w:p>
            <w:pPr/>
          </w:p>
        </w:tc>
        <w:tc>
          <w:tcPr>
            <w:tcW w:w="2150"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1017" w:right="0"/>
              <w:jc w:val="left"/>
              <w:rPr>
                <w:rFonts w:ascii="Times New Roman" w:hAnsi="Times New Roman" w:cs="Times New Roman" w:eastAsia="Times New Roman" w:hint="default"/>
                <w:sz w:val="18"/>
                <w:szCs w:val="18"/>
              </w:rPr>
            </w:pPr>
            <w:r>
              <w:rPr>
                <w:rFonts w:ascii="Times New Roman"/>
                <w:sz w:val="18"/>
              </w:rPr>
              <w:t>774,570,706.59</w:t>
            </w:r>
          </w:p>
        </w:tc>
        <w:tc>
          <w:tcPr>
            <w:tcW w:w="118"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96,073,116.01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2"/>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3607"/>
        <w:gridCol w:w="2813"/>
        <w:gridCol w:w="1934"/>
      </w:tblGrid>
      <w:tr>
        <w:trPr>
          <w:trHeight w:val="272" w:hRule="exact"/>
        </w:trPr>
        <w:tc>
          <w:tcPr>
            <w:tcW w:w="3607"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498"/>
              <w:jc w:val="right"/>
              <w:rPr>
                <w:rFonts w:ascii="宋体" w:hAnsi="宋体" w:cs="宋体" w:eastAsia="宋体" w:hint="default"/>
                <w:sz w:val="20"/>
                <w:szCs w:val="20"/>
              </w:rPr>
            </w:pPr>
            <w:r>
              <w:rPr>
                <w:rFonts w:ascii="宋体" w:hAnsi="宋体" w:cs="宋体" w:eastAsia="宋体" w:hint="default"/>
                <w:w w:val="95"/>
                <w:sz w:val="20"/>
                <w:szCs w:val="20"/>
              </w:rPr>
              <w:t>种</w:t>
              <w:tab/>
              <w:t>类</w:t>
            </w:r>
            <w:r>
              <w:rPr>
                <w:rFonts w:ascii="宋体" w:hAnsi="宋体" w:cs="宋体" w:eastAsia="宋体" w:hint="default"/>
                <w:sz w:val="20"/>
                <w:szCs w:val="20"/>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199" w:lineRule="exact"/>
              <w:ind w:left="88"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199" w:lineRule="exact"/>
              <w:ind w:left="710"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54"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47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right="50"/>
              <w:jc w:val="center"/>
              <w:rPr>
                <w:rFonts w:ascii="Times New Roman" w:hAnsi="Times New Roman" w:cs="Times New Roman" w:eastAsia="Times New Roman" w:hint="default"/>
                <w:sz w:val="20"/>
                <w:szCs w:val="20"/>
              </w:rPr>
            </w:pPr>
            <w:r>
              <w:rPr>
                <w:rFonts w:ascii="Times New Roman"/>
                <w:sz w:val="20"/>
              </w:rPr>
              <w:t>600,000.00</w:t>
            </w:r>
          </w:p>
        </w:tc>
      </w:tr>
      <w:tr>
        <w:trPr>
          <w:trHeight w:val="34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1"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813" w:type="dxa"/>
            <w:tcBorders>
              <w:top w:val="nil" w:sz="6" w:space="0" w:color="auto"/>
              <w:left w:val="nil" w:sz="6" w:space="0" w:color="auto"/>
              <w:bottom w:val="single" w:sz="4" w:space="0" w:color="000000"/>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
        </w:tc>
      </w:tr>
      <w:tr>
        <w:trPr>
          <w:trHeight w:val="358" w:hRule="exact"/>
        </w:trPr>
        <w:tc>
          <w:tcPr>
            <w:tcW w:w="3607"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149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4747"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53"/>
              <w:ind w:right="50"/>
              <w:jc w:val="center"/>
              <w:rPr>
                <w:rFonts w:ascii="Times New Roman" w:hAnsi="Times New Roman" w:cs="Times New Roman" w:eastAsia="Times New Roman" w:hint="default"/>
                <w:sz w:val="20"/>
                <w:szCs w:val="20"/>
              </w:rPr>
            </w:pPr>
            <w:r>
              <w:rPr>
                <w:rFonts w:ascii="Times New Roman"/>
                <w:sz w:val="20"/>
              </w:rPr>
              <w:t>600,000.00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617"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spacing w:line="240" w:lineRule="auto"/>
        <w:ind w:left="620" w:right="0"/>
        <w:jc w:val="left"/>
      </w:pPr>
      <w:r>
        <w:rPr/>
        <w:t>（</w:t>
      </w:r>
      <w:r>
        <w:rPr>
          <w:rFonts w:ascii="Times New Roman" w:hAnsi="Times New Roman" w:cs="Times New Roman" w:eastAsia="Times New Roman" w:hint="default"/>
        </w:rPr>
        <w:t>1</w:t>
      </w:r>
      <w:r>
        <w:rPr/>
        <w:t>）应收账款按种类列示</w:t>
      </w:r>
    </w:p>
    <w:p>
      <w:pPr>
        <w:spacing w:line="240" w:lineRule="auto" w:before="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4080"/>
        <w:gridCol w:w="1238"/>
        <w:gridCol w:w="971"/>
        <w:gridCol w:w="1156"/>
        <w:gridCol w:w="926"/>
      </w:tblGrid>
      <w:tr>
        <w:trPr>
          <w:trHeight w:val="258" w:hRule="exact"/>
        </w:trPr>
        <w:tc>
          <w:tcPr>
            <w:tcW w:w="837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783"/>
              <w:jc w:val="righ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0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080" w:type="dxa"/>
            <w:tcBorders>
              <w:top w:val="nil" w:sz="6" w:space="0" w:color="auto"/>
              <w:left w:val="nil" w:sz="6" w:space="0" w:color="auto"/>
              <w:bottom w:val="single" w:sz="4" w:space="0" w:color="000000"/>
              <w:right w:val="nil" w:sz="6" w:space="0" w:color="auto"/>
            </w:tcBorders>
          </w:tcPr>
          <w:p>
            <w:pP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1"/>
              <w:jc w:val="center"/>
              <w:rPr>
                <w:rFonts w:ascii="宋体" w:hAnsi="宋体" w:cs="宋体" w:eastAsia="宋体" w:hint="default"/>
                <w:sz w:val="18"/>
                <w:szCs w:val="18"/>
              </w:rPr>
            </w:pPr>
            <w:r>
              <w:rPr>
                <w:rFonts w:ascii="宋体" w:hAnsi="宋体" w:cs="宋体" w:eastAsia="宋体" w:hint="default"/>
                <w:sz w:val="18"/>
                <w:szCs w:val="18"/>
              </w:rPr>
              <w:t>金额</w:t>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86" w:hRule="exact"/>
        </w:trPr>
        <w:tc>
          <w:tcPr>
            <w:tcW w:w="408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6"/>
              <w:jc w:val="right"/>
              <w:rPr>
                <w:rFonts w:ascii="Times New Roman" w:hAnsi="Times New Roman" w:cs="Times New Roman" w:eastAsia="Times New Roman" w:hint="default"/>
                <w:sz w:val="20"/>
                <w:szCs w:val="20"/>
              </w:rPr>
            </w:pPr>
            <w:r>
              <w:rPr>
                <w:rFonts w:ascii="Times New Roman"/>
                <w:w w:val="95"/>
                <w:sz w:val="20"/>
              </w:rPr>
              <w:t>32,587,349.27</w:t>
            </w:r>
            <w:r>
              <w:rPr>
                <w:rFonts w:ascii="Times New Roman"/>
                <w:sz w:val="20"/>
              </w:rPr>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8"/>
              <w:jc w:val="right"/>
              <w:rPr>
                <w:rFonts w:ascii="Times New Roman" w:hAnsi="Times New Roman" w:cs="Times New Roman" w:eastAsia="Times New Roman" w:hint="default"/>
                <w:sz w:val="20"/>
                <w:szCs w:val="20"/>
              </w:rPr>
            </w:pPr>
            <w:r>
              <w:rPr>
                <w:rFonts w:ascii="Times New Roman"/>
                <w:sz w:val="20"/>
              </w:rPr>
              <w:t>84.13</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5"/>
              <w:jc w:val="right"/>
              <w:rPr>
                <w:rFonts w:ascii="Times New Roman" w:hAnsi="Times New Roman" w:cs="Times New Roman" w:eastAsia="Times New Roman" w:hint="default"/>
                <w:sz w:val="20"/>
                <w:szCs w:val="20"/>
              </w:rPr>
            </w:pPr>
            <w:r>
              <w:rPr>
                <w:rFonts w:ascii="Times New Roman"/>
                <w:w w:val="95"/>
                <w:sz w:val="20"/>
              </w:rPr>
              <w:t>1,657,542.46</w:t>
            </w:r>
            <w:r>
              <w:rPr>
                <w:rFonts w:ascii="Times New Roman"/>
                <w:sz w:val="20"/>
              </w:rPr>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sz w:val="20"/>
              </w:rPr>
              <w:t>76.59</w:t>
            </w:r>
          </w:p>
        </w:tc>
      </w:tr>
      <w:tr>
        <w:trPr>
          <w:trHeight w:val="402"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20"/>
                <w:szCs w:val="20"/>
              </w:rPr>
            </w:pPr>
            <w:r>
              <w:rPr>
                <w:rFonts w:ascii="Times New Roman"/>
                <w:w w:val="95"/>
                <w:sz w:val="20"/>
              </w:rPr>
              <w:t>6,146,002.12</w:t>
            </w:r>
            <w:r>
              <w:rPr>
                <w:rFonts w:ascii="Times New Roman"/>
                <w:sz w:val="20"/>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8"/>
              <w:jc w:val="right"/>
              <w:rPr>
                <w:rFonts w:ascii="Times New Roman" w:hAnsi="Times New Roman" w:cs="Times New Roman" w:eastAsia="Times New Roman" w:hint="default"/>
                <w:sz w:val="20"/>
                <w:szCs w:val="20"/>
              </w:rPr>
            </w:pPr>
            <w:r>
              <w:rPr>
                <w:rFonts w:ascii="Times New Roman"/>
                <w:sz w:val="20"/>
              </w:rPr>
              <w:t>15.87</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20"/>
                <w:szCs w:val="20"/>
              </w:rPr>
            </w:pPr>
            <w:r>
              <w:rPr>
                <w:rFonts w:ascii="Times New Roman"/>
                <w:w w:val="95"/>
                <w:sz w:val="20"/>
              </w:rPr>
              <w:t>506,595.11</w:t>
            </w:r>
            <w:r>
              <w:rPr>
                <w:rFonts w:ascii="Times New Roman"/>
                <w:sz w:val="20"/>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sz w:val="20"/>
              </w:rPr>
              <w:t>23.41</w:t>
            </w:r>
          </w:p>
        </w:tc>
      </w:tr>
      <w:tr>
        <w:trPr>
          <w:trHeight w:val="361" w:hRule="exact"/>
        </w:trPr>
        <w:tc>
          <w:tcPr>
            <w:tcW w:w="837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r>
      <w:tr>
        <w:trPr>
          <w:trHeight w:val="374"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56"/>
              <w:jc w:val="right"/>
              <w:rPr>
                <w:rFonts w:ascii="Times New Roman" w:hAnsi="Times New Roman" w:cs="Times New Roman" w:eastAsia="Times New Roman" w:hint="default"/>
                <w:sz w:val="20"/>
                <w:szCs w:val="20"/>
              </w:rPr>
            </w:pPr>
            <w:r>
              <w:rPr>
                <w:rFonts w:ascii="Times New Roman"/>
                <w:w w:val="95"/>
                <w:sz w:val="20"/>
              </w:rPr>
              <w:t>38,733,351.39</w:t>
            </w:r>
            <w:r>
              <w:rPr>
                <w:rFonts w:ascii="Times New Roman"/>
                <w:sz w:val="20"/>
              </w:rPr>
            </w:r>
          </w:p>
        </w:tc>
        <w:tc>
          <w:tcPr>
            <w:tcW w:w="971"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7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55"/>
              <w:jc w:val="right"/>
              <w:rPr>
                <w:rFonts w:ascii="Times New Roman" w:hAnsi="Times New Roman" w:cs="Times New Roman" w:eastAsia="Times New Roman" w:hint="default"/>
                <w:sz w:val="20"/>
                <w:szCs w:val="20"/>
              </w:rPr>
            </w:pPr>
            <w:r>
              <w:rPr>
                <w:rFonts w:ascii="Times New Roman"/>
                <w:w w:val="95"/>
                <w:sz w:val="20"/>
              </w:rPr>
              <w:t>2,164,137.57</w:t>
            </w:r>
            <w:r>
              <w:rPr>
                <w:rFonts w:ascii="Times New Roman"/>
                <w:sz w:val="20"/>
              </w:rPr>
            </w:r>
          </w:p>
        </w:tc>
        <w:tc>
          <w:tcPr>
            <w:tcW w:w="9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6"/>
        <w:rPr>
          <w:rFonts w:ascii="宋体" w:hAnsi="宋体" w:cs="宋体" w:eastAsia="宋体" w:hint="default"/>
          <w:sz w:val="13"/>
          <w:szCs w:val="13"/>
        </w:rPr>
      </w:pPr>
    </w:p>
    <w:p>
      <w:pPr>
        <w:pStyle w:val="BodyText"/>
        <w:spacing w:line="240" w:lineRule="auto" w:before="26"/>
        <w:ind w:left="377" w:right="0"/>
        <w:jc w:val="left"/>
      </w:pPr>
      <w:r>
        <w:rPr/>
        <w:t>（续）</w:t>
      </w:r>
    </w:p>
    <w:p>
      <w:pPr>
        <w:spacing w:line="240" w:lineRule="auto" w:before="7"/>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080"/>
        <w:gridCol w:w="1139"/>
        <w:gridCol w:w="1062"/>
        <w:gridCol w:w="1106"/>
        <w:gridCol w:w="982"/>
      </w:tblGrid>
      <w:tr>
        <w:trPr>
          <w:trHeight w:val="258"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781"/>
              <w:jc w:val="right"/>
              <w:rPr>
                <w:rFonts w:ascii="宋体" w:hAnsi="宋体" w:cs="宋体" w:eastAsia="宋体" w:hint="default"/>
                <w:sz w:val="18"/>
                <w:szCs w:val="18"/>
              </w:rPr>
            </w:pPr>
            <w:r>
              <w:rPr>
                <w:rFonts w:ascii="宋体" w:hAnsi="宋体" w:cs="宋体" w:eastAsia="宋体" w:hint="default"/>
                <w:sz w:val="18"/>
                <w:szCs w:val="18"/>
              </w:rPr>
              <w:t>期 初</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080" w:type="dxa"/>
            <w:tcBorders>
              <w:top w:val="nil" w:sz="6" w:space="0" w:color="auto"/>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3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86" w:hRule="exact"/>
        </w:trPr>
        <w:tc>
          <w:tcPr>
            <w:tcW w:w="408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5"/>
              <w:jc w:val="center"/>
              <w:rPr>
                <w:rFonts w:ascii="Times New Roman" w:hAnsi="Times New Roman" w:cs="Times New Roman" w:eastAsia="Times New Roman" w:hint="default"/>
                <w:sz w:val="20"/>
                <w:szCs w:val="20"/>
              </w:rPr>
            </w:pPr>
            <w:r>
              <w:rPr>
                <w:rFonts w:ascii="Times New Roman"/>
                <w:sz w:val="20"/>
              </w:rPr>
              <w:t>4,587,195.00</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51"/>
              <w:jc w:val="right"/>
              <w:rPr>
                <w:rFonts w:ascii="Times New Roman" w:hAnsi="Times New Roman" w:cs="Times New Roman" w:eastAsia="Times New Roman" w:hint="default"/>
                <w:sz w:val="20"/>
                <w:szCs w:val="20"/>
              </w:rPr>
            </w:pPr>
            <w:r>
              <w:rPr>
                <w:rFonts w:ascii="Times New Roman"/>
                <w:sz w:val="20"/>
              </w:rPr>
              <w:t>54.11</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229,359.75</w:t>
            </w:r>
            <w:r>
              <w:rPr>
                <w:rFonts w:ascii="Times New Roman"/>
                <w:sz w:val="20"/>
              </w:rPr>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sz w:val="20"/>
              </w:rPr>
              <w:t>43.85</w:t>
            </w:r>
          </w:p>
        </w:tc>
      </w:tr>
      <w:tr>
        <w:trPr>
          <w:trHeight w:val="402"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center"/>
              <w:rPr>
                <w:rFonts w:ascii="Times New Roman" w:hAnsi="Times New Roman" w:cs="Times New Roman" w:eastAsia="Times New Roman" w:hint="default"/>
                <w:sz w:val="20"/>
                <w:szCs w:val="20"/>
              </w:rPr>
            </w:pPr>
            <w:r>
              <w:rPr>
                <w:rFonts w:ascii="Times New Roman"/>
                <w:sz w:val="20"/>
              </w:rPr>
              <w:t>3,891,005.00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1"/>
              <w:jc w:val="right"/>
              <w:rPr>
                <w:rFonts w:ascii="Times New Roman" w:hAnsi="Times New Roman" w:cs="Times New Roman" w:eastAsia="Times New Roman" w:hint="default"/>
                <w:sz w:val="20"/>
                <w:szCs w:val="20"/>
              </w:rPr>
            </w:pPr>
            <w:r>
              <w:rPr>
                <w:rFonts w:ascii="Times New Roman"/>
                <w:sz w:val="20"/>
              </w:rPr>
              <w:t>45.89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5"/>
              <w:jc w:val="right"/>
              <w:rPr>
                <w:rFonts w:ascii="Times New Roman" w:hAnsi="Times New Roman" w:cs="Times New Roman" w:eastAsia="Times New Roman" w:hint="default"/>
                <w:sz w:val="20"/>
                <w:szCs w:val="20"/>
              </w:rPr>
            </w:pPr>
            <w:r>
              <w:rPr>
                <w:rFonts w:ascii="Times New Roman"/>
                <w:w w:val="95"/>
                <w:sz w:val="20"/>
              </w:rPr>
              <w:t>293,650.25</w:t>
            </w:r>
            <w:r>
              <w:rPr>
                <w:rFonts w:ascii="Times New Roman"/>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sz w:val="20"/>
              </w:rPr>
              <w:t>56.15</w:t>
            </w:r>
          </w:p>
        </w:tc>
      </w:tr>
      <w:tr>
        <w:trPr>
          <w:trHeight w:val="361"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r>
      <w:tr>
        <w:trPr>
          <w:trHeight w:val="374"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39"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5"/>
              <w:jc w:val="center"/>
              <w:rPr>
                <w:rFonts w:ascii="Times New Roman" w:hAnsi="Times New Roman" w:cs="Times New Roman" w:eastAsia="Times New Roman" w:hint="default"/>
                <w:sz w:val="20"/>
                <w:szCs w:val="20"/>
              </w:rPr>
            </w:pPr>
            <w:r>
              <w:rPr>
                <w:rFonts w:ascii="Times New Roman"/>
                <w:sz w:val="20"/>
              </w:rPr>
              <w:t>8,478,200.00</w:t>
            </w:r>
          </w:p>
        </w:tc>
        <w:tc>
          <w:tcPr>
            <w:tcW w:w="106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15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06"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65"/>
              <w:jc w:val="right"/>
              <w:rPr>
                <w:rFonts w:ascii="Times New Roman" w:hAnsi="Times New Roman" w:cs="Times New Roman" w:eastAsia="Times New Roman" w:hint="default"/>
                <w:sz w:val="20"/>
                <w:szCs w:val="20"/>
              </w:rPr>
            </w:pPr>
            <w:r>
              <w:rPr>
                <w:rFonts w:ascii="Times New Roman"/>
                <w:w w:val="95"/>
                <w:sz w:val="20"/>
              </w:rPr>
              <w:t>523,010.00</w:t>
            </w:r>
            <w:r>
              <w:rPr>
                <w:rFonts w:ascii="Times New Roman"/>
                <w:sz w:val="20"/>
              </w:rPr>
            </w:r>
          </w:p>
        </w:tc>
        <w:tc>
          <w:tcPr>
            <w:tcW w:w="98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50" w:footer="979" w:top="1380" w:bottom="1160" w:left="1660" w:right="1660"/>
        </w:sectPr>
      </w:pPr>
    </w:p>
    <w:p>
      <w:pPr>
        <w:pStyle w:val="BodyText"/>
        <w:spacing w:line="240" w:lineRule="auto" w:before="93"/>
        <w:ind w:left="562" w:right="-20"/>
        <w:jc w:val="left"/>
      </w:pPr>
      <w:r>
        <w:rPr/>
        <w:t>（</w:t>
      </w:r>
      <w:r>
        <w:rPr>
          <w:rFonts w:ascii="Times New Roman" w:hAnsi="Times New Roman" w:cs="Times New Roman" w:eastAsia="Times New Roman" w:hint="default"/>
        </w:rPr>
        <w:t>2</w:t>
      </w:r>
      <w:r>
        <w:rPr/>
        <w:t>）应收账款按账龄列示</w:t>
      </w:r>
    </w:p>
    <w:p>
      <w:pPr>
        <w:spacing w:line="235" w:lineRule="exact" w:before="211"/>
        <w:ind w:left="1142" w:right="1739" w:firstLine="0"/>
        <w:jc w:val="center"/>
        <w:rPr>
          <w:rFonts w:ascii="宋体" w:hAnsi="宋体" w:cs="宋体" w:eastAsia="宋体" w:hint="default"/>
          <w:sz w:val="20"/>
          <w:szCs w:val="20"/>
        </w:rPr>
      </w:pPr>
      <w:r>
        <w:rPr/>
        <w:pict>
          <v:group style="position:absolute;margin-left:214.800003pt;margin-top:18.269682pt;width:292pt;height:.5pt;mso-position-horizontal-relative:page;mso-position-vertical-relative:paragraph;z-index:1840" coordorigin="4296,365" coordsize="5840,10">
            <v:group style="position:absolute;left:4301;top:370;width:3015;height:2" coordorigin="4301,370" coordsize="3015,2">
              <v:shape style="position:absolute;left:4301;top:370;width:3015;height:2" coordorigin="4301,370" coordsize="3015,0" path="m4301,370l7315,370e" filled="false" stroked="true" strokeweight=".48pt" strokecolor="#000000">
                <v:path arrowok="t"/>
              </v:shape>
            </v:group>
            <v:group style="position:absolute;left:7354;top:370;width:2777;height:2" coordorigin="7354,370" coordsize="2777,2">
              <v:shape style="position:absolute;left:7354;top:370;width:2777;height:2" coordorigin="7354,370" coordsize="2777,0" path="m7354,370l10130,370e" filled="false" stroked="true" strokeweight=".48pt" strokecolor="#000000">
                <v:path arrowok="t"/>
              </v:shape>
            </v:group>
            <w10:wrap type="none"/>
          </v:group>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tabs>
          <w:tab w:pos="3415" w:val="left" w:leader="none"/>
        </w:tabs>
        <w:spacing w:before="0"/>
        <w:ind w:left="485" w:right="0"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pgSz w:w="11910" w:h="16840"/>
          <w:pgMar w:header="850" w:footer="979" w:top="1380" w:bottom="1160" w:left="1660" w:right="1660"/>
          <w:cols w:num="2" w:equalWidth="0">
            <w:col w:w="3323" w:space="40"/>
            <w:col w:w="5227"/>
          </w:cols>
        </w:sectPr>
      </w:pPr>
    </w:p>
    <w:p>
      <w:pPr>
        <w:tabs>
          <w:tab w:pos="4272" w:val="left" w:leader="none"/>
          <w:tab w:pos="6031" w:val="left" w:leader="none"/>
          <w:tab w:pos="7159" w:val="left" w:leader="none"/>
        </w:tabs>
        <w:spacing w:line="214" w:lineRule="exact" w:before="0"/>
        <w:ind w:left="3032" w:right="0" w:firstLine="0"/>
        <w:jc w:val="left"/>
        <w:rPr>
          <w:rFonts w:ascii="宋体" w:hAnsi="宋体" w:cs="宋体" w:eastAsia="宋体" w:hint="default"/>
          <w:sz w:val="20"/>
          <w:szCs w:val="20"/>
        </w:rPr>
      </w:pPr>
      <w:r>
        <w:rPr>
          <w:rFonts w:ascii="宋体" w:hAnsi="宋体" w:cs="宋体" w:eastAsia="宋体" w:hint="default"/>
          <w:w w:val="95"/>
          <w:sz w:val="20"/>
          <w:szCs w:val="20"/>
        </w:rPr>
        <w:t>金额</w:t>
        <w:tab/>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tab/>
        <w:t>金额</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tabs>
          <w:tab w:pos="2657" w:val="left" w:leader="none"/>
          <w:tab w:pos="5187" w:val="left" w:leader="none"/>
          <w:tab w:pos="8451" w:val="right" w:leader="none"/>
        </w:tabs>
        <w:spacing w:before="68"/>
        <w:ind w:left="137" w:right="0" w:firstLine="0"/>
        <w:jc w:val="left"/>
        <w:rPr>
          <w:rFonts w:ascii="Times New Roman" w:hAnsi="Times New Roman" w:cs="Times New Roman" w:eastAsia="Times New Roman" w:hint="default"/>
          <w:sz w:val="20"/>
          <w:szCs w:val="20"/>
        </w:rPr>
      </w:pPr>
      <w:r>
        <w:rPr/>
        <w:pict>
          <v:group style="position:absolute;margin-left:88.559998pt;margin-top:2.479700pt;width:418.2pt;height:.5pt;mso-position-horizontal-relative:page;mso-position-vertical-relative:paragraph;z-index:1864" coordorigin="1771,50" coordsize="8364,10">
            <v:group style="position:absolute;left:1776;top:54;width:2489;height:2" coordorigin="1776,54" coordsize="2489,2">
              <v:shape style="position:absolute;left:1776;top:54;width:2489;height:2" coordorigin="1776,54" coordsize="2489,0" path="m1776,54l4265,54e" filled="false" stroked="true" strokeweight=".48pt" strokecolor="#000000">
                <v:path arrowok="t"/>
              </v:shape>
            </v:group>
            <v:group style="position:absolute;left:4301;top:54;width:1184;height:2" coordorigin="4301,54" coordsize="1184,2">
              <v:shape style="position:absolute;left:4301;top:54;width:1184;height:2" coordorigin="4301,54" coordsize="1184,0" path="m4301,54l5484,54e" filled="false" stroked="true" strokeweight=".48pt" strokecolor="#000000">
                <v:path arrowok="t"/>
              </v:shape>
            </v:group>
            <v:group style="position:absolute;left:5522;top:54;width:1793;height:2" coordorigin="5522,54" coordsize="1793,2">
              <v:shape style="position:absolute;left:5522;top:54;width:1793;height:2" coordorigin="5522,54" coordsize="1793,0" path="m5522,54l7315,54e" filled="false" stroked="true" strokeweight=".48pt" strokecolor="#000000">
                <v:path arrowok="t"/>
              </v:shape>
            </v:group>
            <v:group style="position:absolute;left:7354;top:54;width:1080;height:2" coordorigin="7354,54" coordsize="1080,2">
              <v:shape style="position:absolute;left:7354;top:54;width:1080;height:2" coordorigin="7354,54" coordsize="1080,0" path="m7354,54l8434,54e" filled="false" stroked="true" strokeweight=".48pt" strokecolor="#000000">
                <v:path arrowok="t"/>
              </v:shape>
            </v:group>
            <v:group style="position:absolute;left:8484;top:54;width:1647;height:2" coordorigin="8484,54" coordsize="1647,2">
              <v:shape style="position:absolute;left:8484;top:54;width:1647;height:2" coordorigin="8484,54" coordsize="1647,0" path="m8484,54l10130,54e" filled="false" stroked="true" strokeweight=".48pt" strokecolor="#000000">
                <v:path arrowok="t"/>
              </v:shape>
            </v:group>
            <w10:wrap type="none"/>
          </v:group>
        </w:pic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tab/>
      </w:r>
      <w:r>
        <w:rPr>
          <w:rFonts w:ascii="Times New Roman" w:hAnsi="Times New Roman" w:cs="Times New Roman" w:eastAsia="Times New Roman" w:hint="default"/>
          <w:w w:val="95"/>
          <w:sz w:val="20"/>
          <w:szCs w:val="20"/>
        </w:rPr>
        <w:t>36,605,951.39</w:t>
        <w:tab/>
      </w:r>
      <w:r>
        <w:rPr>
          <w:rFonts w:ascii="Times New Roman" w:hAnsi="Times New Roman" w:cs="Times New Roman" w:eastAsia="Times New Roman" w:hint="default"/>
          <w:sz w:val="20"/>
          <w:szCs w:val="20"/>
        </w:rPr>
        <w:t>94.51</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7,016,200.00</w:t>
        <w:tab/>
        <w:t>82.75</w:t>
      </w:r>
    </w:p>
    <w:p>
      <w:pPr>
        <w:tabs>
          <w:tab w:pos="2755" w:val="left" w:leader="none"/>
          <w:tab w:pos="5287" w:val="left" w:leader="none"/>
          <w:tab w:pos="8451" w:val="right" w:leader="none"/>
        </w:tabs>
        <w:spacing w:before="59"/>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tab/>
      </w:r>
      <w:r>
        <w:rPr>
          <w:rFonts w:ascii="Times New Roman" w:hAnsi="Times New Roman" w:cs="Times New Roman" w:eastAsia="Times New Roman" w:hint="default"/>
          <w:w w:val="95"/>
          <w:sz w:val="20"/>
          <w:szCs w:val="20"/>
        </w:rPr>
        <w:t>1,684,400.00</w:t>
        <w:tab/>
      </w:r>
      <w:r>
        <w:rPr>
          <w:rFonts w:ascii="Times New Roman" w:hAnsi="Times New Roman" w:cs="Times New Roman" w:eastAsia="Times New Roman" w:hint="default"/>
          <w:sz w:val="20"/>
          <w:szCs w:val="20"/>
        </w:rPr>
        <w:t>4.35</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1,397,000.00</w:t>
        <w:tab/>
        <w:t>16.48</w:t>
      </w:r>
    </w:p>
    <w:p>
      <w:pPr>
        <w:tabs>
          <w:tab w:pos="2907" w:val="left" w:leader="none"/>
          <w:tab w:pos="5640" w:val="right" w:leader="none"/>
        </w:tabs>
        <w:spacing w:before="59"/>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tab/>
      </w:r>
      <w:r>
        <w:rPr>
          <w:rFonts w:ascii="Times New Roman" w:hAnsi="Times New Roman" w:cs="Times New Roman" w:eastAsia="Times New Roman" w:hint="default"/>
          <w:sz w:val="20"/>
          <w:szCs w:val="20"/>
        </w:rPr>
        <w:t>378,000.00</w:t>
        <w:tab/>
        <w:t>0.97</w:t>
      </w:r>
    </w:p>
    <w:p>
      <w:pPr>
        <w:spacing w:line="240" w:lineRule="auto" w:before="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38"/>
        <w:gridCol w:w="1808"/>
        <w:gridCol w:w="1226"/>
        <w:gridCol w:w="1656"/>
        <w:gridCol w:w="1140"/>
      </w:tblGrid>
      <w:tr>
        <w:trPr>
          <w:trHeight w:val="103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p>
            <w:pPr>
              <w:pStyle w:val="TableParagraph"/>
              <w:spacing w:line="240" w:lineRule="auto" w:before="59"/>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p>
            <w:pPr>
              <w:pStyle w:val="TableParagraph"/>
              <w:spacing w:line="240" w:lineRule="auto" w:before="59"/>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638"/>
              <w:jc w:val="right"/>
              <w:rPr>
                <w:rFonts w:ascii="Times New Roman" w:hAnsi="Times New Roman" w:cs="Times New Roman" w:eastAsia="Times New Roman" w:hint="default"/>
                <w:sz w:val="20"/>
                <w:szCs w:val="20"/>
              </w:rPr>
            </w:pPr>
            <w:r>
              <w:rPr>
                <w:rFonts w:ascii="Times New Roman"/>
                <w:w w:val="95"/>
                <w:sz w:val="20"/>
              </w:rPr>
              <w:t>65,000.00</w:t>
            </w:r>
            <w:r>
              <w:rPr>
                <w:rFonts w:ascii="Times New Roman"/>
                <w:sz w:val="20"/>
              </w:rPr>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31"/>
              <w:jc w:val="right"/>
              <w:rPr>
                <w:rFonts w:ascii="Times New Roman" w:hAnsi="Times New Roman" w:cs="Times New Roman" w:eastAsia="Times New Roman" w:hint="default"/>
                <w:sz w:val="20"/>
                <w:szCs w:val="20"/>
              </w:rPr>
            </w:pPr>
            <w:r>
              <w:rPr>
                <w:rFonts w:ascii="Times New Roman"/>
                <w:sz w:val="20"/>
              </w:rPr>
              <w:t>0.17</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69"/>
              <w:jc w:val="right"/>
              <w:rPr>
                <w:rFonts w:ascii="Times New Roman" w:hAnsi="Times New Roman" w:cs="Times New Roman" w:eastAsia="Times New Roman" w:hint="default"/>
                <w:sz w:val="20"/>
                <w:szCs w:val="20"/>
              </w:rPr>
            </w:pPr>
            <w:r>
              <w:rPr>
                <w:rFonts w:ascii="Times New Roman"/>
                <w:w w:val="95"/>
                <w:sz w:val="20"/>
              </w:rPr>
              <w:t>65,000.00</w:t>
            </w:r>
            <w:r>
              <w:rPr>
                <w:rFonts w:ascii="Times New Roman"/>
                <w:sz w:val="20"/>
              </w:rPr>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7"/>
              <w:jc w:val="right"/>
              <w:rPr>
                <w:rFonts w:ascii="Times New Roman" w:hAnsi="Times New Roman" w:cs="Times New Roman" w:eastAsia="Times New Roman" w:hint="default"/>
                <w:sz w:val="20"/>
                <w:szCs w:val="20"/>
              </w:rPr>
            </w:pPr>
            <w:r>
              <w:rPr>
                <w:rFonts w:ascii="Times New Roman"/>
                <w:sz w:val="20"/>
              </w:rPr>
              <w:t>0.77</w:t>
            </w:r>
          </w:p>
        </w:tc>
      </w:tr>
      <w:tr>
        <w:trPr>
          <w:trHeight w:val="353"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638"/>
              <w:jc w:val="right"/>
              <w:rPr>
                <w:rFonts w:ascii="Times New Roman" w:hAnsi="Times New Roman" w:cs="Times New Roman" w:eastAsia="Times New Roman" w:hint="default"/>
                <w:sz w:val="20"/>
                <w:szCs w:val="20"/>
              </w:rPr>
            </w:pPr>
            <w:r>
              <w:rPr>
                <w:rFonts w:ascii="Times New Roman"/>
                <w:w w:val="95"/>
                <w:sz w:val="20"/>
              </w:rPr>
              <w:t>38,733,351.39</w:t>
            </w:r>
            <w:r>
              <w:rPr>
                <w:rFonts w:ascii="Times New Roman"/>
                <w:sz w:val="20"/>
              </w:rPr>
            </w:r>
          </w:p>
        </w:tc>
        <w:tc>
          <w:tcPr>
            <w:tcW w:w="12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65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566"/>
              <w:jc w:val="right"/>
              <w:rPr>
                <w:rFonts w:ascii="Times New Roman" w:hAnsi="Times New Roman" w:cs="Times New Roman" w:eastAsia="Times New Roman" w:hint="default"/>
                <w:sz w:val="20"/>
                <w:szCs w:val="20"/>
              </w:rPr>
            </w:pPr>
            <w:r>
              <w:rPr>
                <w:rFonts w:ascii="Times New Roman"/>
                <w:w w:val="95"/>
                <w:sz w:val="20"/>
              </w:rPr>
              <w:t>8,478,200.00</w:t>
            </w:r>
            <w:r>
              <w:rPr>
                <w:rFonts w:ascii="Times New Roman"/>
                <w:sz w:val="20"/>
              </w:rPr>
            </w:r>
          </w:p>
        </w:tc>
        <w:tc>
          <w:tcPr>
            <w:tcW w:w="1140"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240" w:lineRule="auto" w:before="204"/>
        <w:ind w:left="564" w:right="0"/>
        <w:jc w:val="left"/>
      </w:pPr>
      <w:r>
        <w:rPr/>
        <w:t>（</w:t>
      </w:r>
      <w:r>
        <w:rPr>
          <w:rFonts w:ascii="Times New Roman" w:hAnsi="Times New Roman" w:cs="Times New Roman" w:eastAsia="Times New Roman" w:hint="default"/>
        </w:rPr>
        <w:t>3</w:t>
      </w:r>
      <w:r>
        <w:rPr/>
        <w:t>）坏账准备的计提情况</w:t>
      </w:r>
    </w:p>
    <w:p>
      <w:pPr>
        <w:spacing w:line="240" w:lineRule="auto" w:before="7"/>
        <w:rPr>
          <w:rFonts w:ascii="宋体" w:hAnsi="宋体" w:cs="宋体" w:eastAsia="宋体" w:hint="default"/>
          <w:sz w:val="17"/>
          <w:szCs w:val="17"/>
        </w:rPr>
      </w:pPr>
    </w:p>
    <w:p>
      <w:pPr>
        <w:pStyle w:val="BodyText"/>
        <w:spacing w:line="240" w:lineRule="auto"/>
        <w:ind w:left="620" w:right="0"/>
        <w:jc w:val="left"/>
      </w:pPr>
      <w:r>
        <w:rPr/>
        <w:t>①单项金额重大并单项计提坏账准备的应收账款坏账准备计提情况</w:t>
      </w:r>
    </w:p>
    <w:p>
      <w:pPr>
        <w:spacing w:line="240" w:lineRule="auto" w:before="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4176"/>
        <w:gridCol w:w="1201"/>
        <w:gridCol w:w="1100"/>
        <w:gridCol w:w="878"/>
        <w:gridCol w:w="999"/>
      </w:tblGrid>
      <w:tr>
        <w:trPr>
          <w:trHeight w:val="291" w:hRule="exact"/>
        </w:trPr>
        <w:tc>
          <w:tcPr>
            <w:tcW w:w="4176" w:type="dxa"/>
            <w:tcBorders>
              <w:top w:val="nil" w:sz="6" w:space="0" w:color="auto"/>
              <w:left w:val="nil" w:sz="6" w:space="0" w:color="auto"/>
              <w:bottom w:val="single" w:sz="4" w:space="0" w:color="000000"/>
              <w:right w:val="nil" w:sz="6" w:space="0" w:color="auto"/>
            </w:tcBorders>
          </w:tcPr>
          <w:p>
            <w:pPr>
              <w:pStyle w:val="TableParagraph"/>
              <w:spacing w:line="209" w:lineRule="exact"/>
              <w:ind w:right="34"/>
              <w:jc w:val="center"/>
              <w:rPr>
                <w:rFonts w:ascii="宋体" w:hAnsi="宋体" w:cs="宋体" w:eastAsia="宋体" w:hint="default"/>
                <w:sz w:val="20"/>
                <w:szCs w:val="20"/>
              </w:rPr>
            </w:pPr>
            <w:r>
              <w:rPr>
                <w:rFonts w:ascii="宋体" w:hAnsi="宋体" w:cs="宋体" w:eastAsia="宋体" w:hint="default"/>
                <w:sz w:val="20"/>
                <w:szCs w:val="20"/>
              </w:rPr>
              <w:t>应收账款内容</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09" w:lineRule="exact"/>
              <w:ind w:left="189" w:right="0"/>
              <w:jc w:val="left"/>
              <w:rPr>
                <w:rFonts w:ascii="宋体" w:hAnsi="宋体" w:cs="宋体" w:eastAsia="宋体" w:hint="default"/>
                <w:sz w:val="20"/>
                <w:szCs w:val="20"/>
              </w:rPr>
            </w:pPr>
            <w:r>
              <w:rPr>
                <w:rFonts w:ascii="宋体" w:hAnsi="宋体" w:cs="宋体" w:eastAsia="宋体" w:hint="default"/>
                <w:sz w:val="20"/>
                <w:szCs w:val="20"/>
              </w:rPr>
              <w:t>账面金额</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09" w:lineRule="exact"/>
              <w:ind w:left="15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878"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计提比</w:t>
            </w:r>
          </w:p>
        </w:tc>
        <w:tc>
          <w:tcPr>
            <w:tcW w:w="999" w:type="dxa"/>
            <w:tcBorders>
              <w:top w:val="nil" w:sz="6" w:space="0" w:color="auto"/>
              <w:left w:val="nil" w:sz="6" w:space="0" w:color="auto"/>
              <w:bottom w:val="single" w:sz="4" w:space="0" w:color="000000"/>
              <w:right w:val="nil" w:sz="6" w:space="0" w:color="auto"/>
            </w:tcBorders>
          </w:tcPr>
          <w:p>
            <w:pPr>
              <w:pStyle w:val="TableParagraph"/>
              <w:spacing w:line="209" w:lineRule="exact"/>
              <w:ind w:right="11"/>
              <w:jc w:val="center"/>
              <w:rPr>
                <w:rFonts w:ascii="宋体" w:hAnsi="宋体" w:cs="宋体" w:eastAsia="宋体" w:hint="default"/>
                <w:sz w:val="20"/>
                <w:szCs w:val="20"/>
              </w:rPr>
            </w:pPr>
            <w:r>
              <w:rPr>
                <w:rFonts w:ascii="宋体" w:hAnsi="宋体" w:cs="宋体" w:eastAsia="宋体" w:hint="default"/>
                <w:sz w:val="20"/>
                <w:szCs w:val="20"/>
              </w:rPr>
              <w:t>理由</w:t>
            </w:r>
          </w:p>
        </w:tc>
      </w:tr>
      <w:tr>
        <w:trPr>
          <w:trHeight w:val="368" w:hRule="exact"/>
        </w:trPr>
        <w:tc>
          <w:tcPr>
            <w:tcW w:w="417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昌吉市城乡建设委员会</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2"/>
              <w:jc w:val="right"/>
              <w:rPr>
                <w:rFonts w:ascii="Times New Roman" w:hAnsi="Times New Roman" w:cs="Times New Roman" w:eastAsia="Times New Roman" w:hint="default"/>
                <w:sz w:val="20"/>
                <w:szCs w:val="20"/>
              </w:rPr>
            </w:pPr>
            <w:r>
              <w:rPr>
                <w:rFonts w:ascii="Times New Roman"/>
                <w:w w:val="95"/>
                <w:sz w:val="20"/>
              </w:rPr>
              <w:t>5,453,051.28</w:t>
            </w:r>
            <w:r>
              <w:rPr>
                <w:rFonts w:ascii="Times New Roman"/>
                <w:sz w:val="20"/>
              </w:rPr>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0"/>
              <w:jc w:val="right"/>
              <w:rPr>
                <w:rFonts w:ascii="Times New Roman" w:hAnsi="Times New Roman" w:cs="Times New Roman" w:eastAsia="Times New Roman" w:hint="default"/>
                <w:sz w:val="20"/>
                <w:szCs w:val="20"/>
              </w:rPr>
            </w:pPr>
            <w:r>
              <w:rPr>
                <w:rFonts w:ascii="Times New Roman"/>
                <w:w w:val="95"/>
                <w:sz w:val="20"/>
              </w:rPr>
              <w:t>272,652.56</w:t>
            </w:r>
            <w:r>
              <w:rPr>
                <w:rFonts w:ascii="Times New Roman"/>
                <w:sz w:val="20"/>
              </w:rPr>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遵义市城市管理市综合执法局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3,637,200.00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20"/>
                <w:szCs w:val="20"/>
              </w:rPr>
            </w:pPr>
            <w:r>
              <w:rPr>
                <w:rFonts w:ascii="Times New Roman"/>
                <w:w w:val="95"/>
                <w:sz w:val="20"/>
              </w:rPr>
              <w:t>181,860.00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准格尔旗信息化工作办公室</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3,355,730.77</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20"/>
                <w:szCs w:val="20"/>
              </w:rPr>
            </w:pPr>
            <w:r>
              <w:rPr>
                <w:rFonts w:ascii="Times New Roman"/>
                <w:w w:val="95"/>
                <w:sz w:val="20"/>
              </w:rPr>
              <w:t>167,786.54</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鄂尔多斯市东胜区信息化委员会</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6,295,404.83</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
              <w:jc w:val="right"/>
              <w:rPr>
                <w:rFonts w:ascii="Times New Roman" w:hAnsi="Times New Roman" w:cs="Times New Roman" w:eastAsia="Times New Roman" w:hint="default"/>
                <w:sz w:val="20"/>
                <w:szCs w:val="20"/>
              </w:rPr>
            </w:pPr>
            <w:r>
              <w:rPr>
                <w:rFonts w:ascii="Times New Roman"/>
                <w:w w:val="95"/>
                <w:sz w:val="20"/>
              </w:rPr>
              <w:t>314,770.24</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银川市城市管理局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3,063,247.86</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
              <w:jc w:val="right"/>
              <w:rPr>
                <w:rFonts w:ascii="Times New Roman" w:hAnsi="Times New Roman" w:cs="Times New Roman" w:eastAsia="Times New Roman" w:hint="default"/>
                <w:sz w:val="20"/>
                <w:szCs w:val="20"/>
              </w:rPr>
            </w:pPr>
            <w:r>
              <w:rPr>
                <w:rFonts w:ascii="Times New Roman"/>
                <w:w w:val="95"/>
                <w:sz w:val="20"/>
              </w:rPr>
              <w:t>153,162.39</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赤峰市城市管理监察支队</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2"/>
              <w:jc w:val="right"/>
              <w:rPr>
                <w:rFonts w:ascii="Times New Roman" w:hAnsi="Times New Roman" w:cs="Times New Roman" w:eastAsia="Times New Roman" w:hint="default"/>
                <w:sz w:val="20"/>
                <w:szCs w:val="20"/>
              </w:rPr>
            </w:pPr>
            <w:r>
              <w:rPr>
                <w:rFonts w:ascii="Times New Roman"/>
                <w:w w:val="95"/>
                <w:sz w:val="20"/>
              </w:rPr>
              <w:t>2,205,982.91</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
              <w:jc w:val="right"/>
              <w:rPr>
                <w:rFonts w:ascii="Times New Roman" w:hAnsi="Times New Roman" w:cs="Times New Roman" w:eastAsia="Times New Roman" w:hint="default"/>
                <w:sz w:val="20"/>
                <w:szCs w:val="20"/>
              </w:rPr>
            </w:pPr>
            <w:r>
              <w:rPr>
                <w:rFonts w:ascii="Times New Roman"/>
                <w:w w:val="95"/>
                <w:sz w:val="20"/>
              </w:rPr>
              <w:t>110,299.15</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天津市城市管理综合执法局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1,524,000.00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83,475.00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 w:right="0"/>
              <w:jc w:val="left"/>
              <w:rPr>
                <w:rFonts w:ascii="宋体" w:hAnsi="宋体" w:cs="宋体" w:eastAsia="宋体" w:hint="default"/>
                <w:sz w:val="20"/>
                <w:szCs w:val="20"/>
              </w:rPr>
            </w:pPr>
            <w:r>
              <w:rPr>
                <w:rFonts w:ascii="宋体" w:hAnsi="宋体" w:cs="宋体" w:eastAsia="宋体" w:hint="default"/>
                <w:sz w:val="20"/>
                <w:szCs w:val="20"/>
              </w:rPr>
              <w:t>中国移动通信集团公司河北有限公司沧州分公</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1,309,500.00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65,475.00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中国移动通信集团天津有限公司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1,051,282.05</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52,564.10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淅江融创信息产业有限公司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1,668,888.89</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83,444.45</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中国电信股份有限公司徐州分公司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862,800.00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64,040.00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5%;10%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天津保税区投资有限公司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2"/>
              <w:jc w:val="right"/>
              <w:rPr>
                <w:rFonts w:ascii="Times New Roman" w:hAnsi="Times New Roman" w:cs="Times New Roman" w:eastAsia="Times New Roman" w:hint="default"/>
                <w:sz w:val="20"/>
                <w:szCs w:val="20"/>
              </w:rPr>
            </w:pPr>
            <w:r>
              <w:rPr>
                <w:rFonts w:ascii="Times New Roman"/>
                <w:w w:val="95"/>
                <w:sz w:val="20"/>
              </w:rPr>
              <w:t>776,500.00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
              <w:jc w:val="right"/>
              <w:rPr>
                <w:rFonts w:ascii="Times New Roman" w:hAnsi="Times New Roman" w:cs="Times New Roman" w:eastAsia="Times New Roman" w:hint="default"/>
                <w:sz w:val="20"/>
                <w:szCs w:val="20"/>
              </w:rPr>
            </w:pPr>
            <w:r>
              <w:rPr>
                <w:rFonts w:ascii="Times New Roman"/>
                <w:w w:val="95"/>
                <w:sz w:val="20"/>
              </w:rPr>
              <w:t>38,825.00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开封市城市管理局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700,000.00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35,000.00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73"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石家庄市城市管理局</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683,760.68</w:t>
            </w:r>
            <w:r>
              <w:rPr>
                <w:rFonts w:ascii="Times New Roman"/>
                <w:sz w:val="20"/>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34,188.03</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70"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6"/>
              <w:jc w:val="center"/>
              <w:rPr>
                <w:rFonts w:ascii="宋体" w:hAnsi="宋体" w:cs="宋体" w:eastAsia="宋体" w:hint="default"/>
                <w:sz w:val="20"/>
                <w:szCs w:val="20"/>
              </w:rPr>
            </w:pPr>
            <w:r>
              <w:rPr>
                <w:rFonts w:ascii="宋体" w:hAnsi="宋体" w:cs="宋体" w:eastAsia="宋体" w:hint="default"/>
                <w:sz w:val="20"/>
                <w:szCs w:val="20"/>
              </w:rPr>
              <w:t>合计</w:t>
            </w:r>
          </w:p>
        </w:tc>
        <w:tc>
          <w:tcPr>
            <w:tcW w:w="12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34"/>
              <w:jc w:val="right"/>
              <w:rPr>
                <w:rFonts w:ascii="Times New Roman" w:hAnsi="Times New Roman" w:cs="Times New Roman" w:eastAsia="Times New Roman" w:hint="default"/>
                <w:sz w:val="20"/>
                <w:szCs w:val="20"/>
              </w:rPr>
            </w:pPr>
            <w:r>
              <w:rPr>
                <w:rFonts w:ascii="Times New Roman"/>
                <w:w w:val="95"/>
                <w:sz w:val="20"/>
              </w:rPr>
              <w:t>32,587,349.27</w:t>
            </w:r>
            <w:r>
              <w:rPr>
                <w:rFonts w:ascii="Times New Roman"/>
                <w:sz w:val="20"/>
              </w:rPr>
            </w:r>
          </w:p>
        </w:tc>
        <w:tc>
          <w:tcPr>
            <w:tcW w:w="11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20"/>
                <w:szCs w:val="20"/>
              </w:rPr>
            </w:pPr>
            <w:r>
              <w:rPr>
                <w:rFonts w:ascii="Times New Roman"/>
                <w:w w:val="95"/>
                <w:sz w:val="20"/>
              </w:rPr>
              <w:t>1,657,542.46</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4"/>
          <w:szCs w:val="14"/>
        </w:rPr>
      </w:pPr>
    </w:p>
    <w:p>
      <w:pPr>
        <w:pStyle w:val="BodyText"/>
        <w:spacing w:line="240" w:lineRule="auto" w:before="26"/>
        <w:ind w:left="620" w:right="0"/>
        <w:jc w:val="left"/>
      </w:pPr>
      <w:r>
        <w:rPr/>
        <w:t>②按组合计提坏账准备的应收账款</w:t>
      </w:r>
    </w:p>
    <w:p>
      <w:pPr>
        <w:tabs>
          <w:tab w:pos="6531" w:val="left" w:leader="none"/>
        </w:tabs>
        <w:spacing w:before="56"/>
        <w:ind w:left="3168" w:right="0"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position w:val="1"/>
          <w:sz w:val="20"/>
          <w:szCs w:val="20"/>
        </w:rPr>
        <w:t>期初数</w:t>
      </w:r>
      <w:r>
        <w:rPr>
          <w:rFonts w:ascii="宋体" w:hAnsi="宋体" w:cs="宋体" w:eastAsia="宋体" w:hint="default"/>
          <w:sz w:val="20"/>
          <w:szCs w:val="20"/>
        </w:rPr>
      </w:r>
    </w:p>
    <w:p>
      <w:pPr>
        <w:spacing w:line="240" w:lineRule="auto" w:before="11"/>
        <w:rPr>
          <w:rFonts w:ascii="宋体" w:hAnsi="宋体" w:cs="宋体" w:eastAsia="宋体" w:hint="default"/>
          <w:sz w:val="4"/>
          <w:szCs w:val="4"/>
        </w:rPr>
      </w:pPr>
    </w:p>
    <w:p>
      <w:pPr>
        <w:spacing w:line="20" w:lineRule="exact"/>
        <w:ind w:left="1815" w:right="0" w:firstLine="0"/>
        <w:rPr>
          <w:rFonts w:ascii="宋体" w:hAnsi="宋体" w:cs="宋体" w:eastAsia="宋体" w:hint="default"/>
          <w:sz w:val="2"/>
          <w:szCs w:val="2"/>
        </w:rPr>
      </w:pPr>
      <w:r>
        <w:rPr>
          <w:rFonts w:ascii="宋体" w:hAnsi="宋体" w:cs="宋体" w:eastAsia="宋体" w:hint="default"/>
          <w:sz w:val="2"/>
          <w:szCs w:val="2"/>
        </w:rPr>
        <w:pict>
          <v:group style="width:333.4pt;height:.5pt;mso-position-horizontal-relative:char;mso-position-vertical-relative:line" coordorigin="0,0" coordsize="6668,10">
            <v:group style="position:absolute;left:5;top:5;width:2172;height:2" coordorigin="5,5" coordsize="2172,2">
              <v:shape style="position:absolute;left:5;top:5;width:2172;height:2" coordorigin="5,5" coordsize="2172,0" path="m5,5l2177,5e" filled="false" stroked="true" strokeweight=".48pt" strokecolor="#000000">
                <v:path arrowok="t"/>
              </v:shape>
            </v:group>
            <v:group style="position:absolute;left:2177;top:5;width:10;height:2" coordorigin="2177,5" coordsize="10,2">
              <v:shape style="position:absolute;left:2177;top:5;width:10;height:2" coordorigin="2177,5" coordsize="10,0" path="m2177,5l2186,5e" filled="false" stroked="true" strokeweight=".48pt" strokecolor="#000000">
                <v:path arrowok="t"/>
              </v:shape>
            </v:group>
            <v:group style="position:absolute;left:2186;top:5;width:63;height:2" coordorigin="2186,5" coordsize="63,2">
              <v:shape style="position:absolute;left:2186;top:5;width:63;height:2" coordorigin="2186,5" coordsize="63,0" path="m2186,5l2249,5e" filled="false" stroked="true" strokeweight=".48pt" strokecolor="#000000">
                <v:path arrowok="t"/>
              </v:shape>
            </v:group>
            <v:group style="position:absolute;left:2249;top:5;width:10;height:2" coordorigin="2249,5" coordsize="10,2">
              <v:shape style="position:absolute;left:2249;top:5;width:10;height:2" coordorigin="2249,5" coordsize="10,0" path="m2249,5l2258,5e" filled="false" stroked="true" strokeweight=".48pt" strokecolor="#000000">
                <v:path arrowok="t"/>
              </v:shape>
            </v:group>
            <v:group style="position:absolute;left:2258;top:5;width:1044;height:2" coordorigin="2258,5" coordsize="1044,2">
              <v:shape style="position:absolute;left:2258;top:5;width:1044;height:2" coordorigin="2258,5" coordsize="1044,0" path="m2258,5l3302,5e" filled="false" stroked="true" strokeweight=".48pt" strokecolor="#000000">
                <v:path arrowok="t"/>
              </v:shape>
            </v:group>
            <v:group style="position:absolute;left:3374;top:5;width:2297;height:2" coordorigin="3374,5" coordsize="2297,2">
              <v:shape style="position:absolute;left:3374;top:5;width:2297;height:2" coordorigin="3374,5" coordsize="2297,0" path="m3374,5l5671,5e" filled="false" stroked="true" strokeweight=".48pt" strokecolor="#000000">
                <v:path arrowok="t"/>
              </v:shape>
            </v:group>
            <v:group style="position:absolute;left:5671;top:5;width:10;height:2" coordorigin="5671,5" coordsize="10,2">
              <v:shape style="position:absolute;left:5671;top:5;width:10;height:2" coordorigin="5671,5" coordsize="10,0" path="m5671,5l5681,5e" filled="false" stroked="true" strokeweight=".48pt" strokecolor="#000000">
                <v:path arrowok="t"/>
              </v:shape>
            </v:group>
            <v:group style="position:absolute;left:5681;top:5;width:65;height:2" coordorigin="5681,5" coordsize="65,2">
              <v:shape style="position:absolute;left:5681;top:5;width:65;height:2" coordorigin="5681,5" coordsize="65,0" path="m5681,5l5746,5e" filled="false" stroked="true" strokeweight=".48pt" strokecolor="#000000">
                <v:path arrowok="t"/>
              </v:shape>
            </v:group>
            <v:group style="position:absolute;left:5746;top:5;width:10;height:2" coordorigin="5746,5" coordsize="10,2">
              <v:shape style="position:absolute;left:5746;top:5;width:10;height:2" coordorigin="5746,5" coordsize="10,0" path="m5746,5l5755,5e" filled="false" stroked="true" strokeweight=".48pt" strokecolor="#000000">
                <v:path arrowok="t"/>
              </v:shape>
            </v:group>
            <v:group style="position:absolute;left:5755;top:5;width:908;height:2" coordorigin="5755,5" coordsize="908,2">
              <v:shape style="position:absolute;left:5755;top:5;width:908;height:2" coordorigin="5755,5" coordsize="908,0" path="m5755,5l6662,5e" filled="false" stroked="true" strokeweight=".48pt" strokecolor="#000000">
                <v:path arrowok="t"/>
              </v:shape>
            </v:group>
          </v:group>
        </w:pict>
      </w:r>
      <w:r>
        <w:rPr>
          <w:rFonts w:ascii="宋体" w:hAnsi="宋体" w:cs="宋体" w:eastAsia="宋体" w:hint="default"/>
          <w:sz w:val="2"/>
          <w:szCs w:val="2"/>
        </w:rPr>
      </w:r>
    </w:p>
    <w:p>
      <w:pPr>
        <w:tabs>
          <w:tab w:pos="2506" w:val="left" w:leader="none"/>
          <w:tab w:pos="5935" w:val="left" w:leader="none"/>
        </w:tabs>
        <w:spacing w:before="1"/>
        <w:ind w:left="725" w:right="0" w:firstLine="0"/>
        <w:jc w:val="left"/>
        <w:rPr>
          <w:rFonts w:ascii="宋体" w:hAnsi="宋体" w:cs="宋体" w:eastAsia="宋体" w:hint="default"/>
          <w:sz w:val="20"/>
          <w:szCs w:val="20"/>
        </w:rPr>
      </w:pPr>
      <w:r>
        <w:rPr/>
        <w:pict>
          <v:shape style="position:absolute;margin-left:88.440002pt;margin-top:12.043353pt;width:418.45pt;height:76.6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2"/>
                    <w:gridCol w:w="1162"/>
                    <w:gridCol w:w="1090"/>
                    <w:gridCol w:w="1126"/>
                    <w:gridCol w:w="1334"/>
                    <w:gridCol w:w="1109"/>
                    <w:gridCol w:w="917"/>
                  </w:tblGrid>
                  <w:tr>
                    <w:trPr>
                      <w:trHeight w:val="455" w:hRule="exact"/>
                    </w:trPr>
                    <w:tc>
                      <w:tcPr>
                        <w:tcW w:w="1632" w:type="dxa"/>
                        <w:tcBorders>
                          <w:top w:val="nil" w:sz="6" w:space="0" w:color="auto"/>
                          <w:left w:val="nil" w:sz="6" w:space="0" w:color="auto"/>
                          <w:bottom w:val="single" w:sz="4" w:space="0" w:color="000000"/>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2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7"/>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199" w:lineRule="exact"/>
                          <w:ind w:left="19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41"/>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200" w:lineRule="exact"/>
                          <w:ind w:right="2"/>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4"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4,582,102.12</w:t>
                        </w:r>
                        <w:r>
                          <w:rPr>
                            <w:rFonts w:ascii="Times New Roman"/>
                            <w:sz w:val="18"/>
                          </w:rPr>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74.55</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z w:val="18"/>
                          </w:rPr>
                          <w:t>229,105.11</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2,429,005.00</w:t>
                        </w:r>
                        <w:r>
                          <w:rPr>
                            <w:rFonts w:ascii="Times New Roman"/>
                            <w:sz w:val="18"/>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62.43</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50" w:right="0"/>
                          <w:jc w:val="center"/>
                          <w:rPr>
                            <w:rFonts w:ascii="Times New Roman" w:hAnsi="Times New Roman" w:cs="Times New Roman" w:eastAsia="Times New Roman" w:hint="default"/>
                            <w:sz w:val="18"/>
                            <w:szCs w:val="18"/>
                          </w:rPr>
                        </w:pPr>
                        <w:r>
                          <w:rPr>
                            <w:rFonts w:ascii="Times New Roman"/>
                            <w:sz w:val="18"/>
                          </w:rPr>
                          <w:t>121,450.25</w:t>
                        </w:r>
                      </w:p>
                    </w:tc>
                  </w:tr>
                  <w:tr>
                    <w:trPr>
                      <w:trHeight w:val="346"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pacing w:val="-1"/>
                            <w:sz w:val="18"/>
                          </w:rPr>
                          <w:t>1,120,900.00</w:t>
                        </w:r>
                        <w:r>
                          <w:rPr>
                            <w:rFonts w:ascii="Times New Roman"/>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z w:val="18"/>
                          </w:rPr>
                          <w:t>18.24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112,090.00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pacing w:val="-1"/>
                            <w:sz w:val="18"/>
                          </w:rPr>
                          <w:t>1,397,000.00</w:t>
                        </w:r>
                        <w:r>
                          <w:rPr>
                            <w:rFonts w:ascii="Times New Roman"/>
                            <w:sz w:val="18"/>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35.90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0" w:right="0"/>
                          <w:jc w:val="center"/>
                          <w:rPr>
                            <w:rFonts w:ascii="Times New Roman" w:hAnsi="Times New Roman" w:cs="Times New Roman" w:eastAsia="Times New Roman" w:hint="default"/>
                            <w:sz w:val="18"/>
                            <w:szCs w:val="18"/>
                          </w:rPr>
                        </w:pPr>
                        <w:r>
                          <w:rPr>
                            <w:rFonts w:ascii="Times New Roman"/>
                            <w:sz w:val="18"/>
                          </w:rPr>
                          <w:t>139,700.00</w:t>
                        </w:r>
                      </w:p>
                    </w:tc>
                  </w:tr>
                  <w:tr>
                    <w:trPr>
                      <w:trHeight w:val="37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z w:val="18"/>
                          </w:rPr>
                          <w:t>378,000.00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pacing w:val="-1"/>
                            <w:sz w:val="18"/>
                          </w:rPr>
                          <w:t>6.15</w:t>
                        </w:r>
                        <w:r>
                          <w:rPr>
                            <w:rFonts w:ascii="Times New Roman"/>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113,400.00</w:t>
                        </w:r>
                      </w:p>
                    </w:tc>
                    <w:tc>
                      <w:tcPr>
                        <w:tcW w:w="1334"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账龄</w:t>
        <w:tab/>
        <w:t>账面余额</w:t>
        <w:tab/>
      </w:r>
      <w:r>
        <w:rPr>
          <w:rFonts w:ascii="宋体" w:hAnsi="宋体" w:cs="宋体" w:eastAsia="宋体" w:hint="default"/>
          <w:sz w:val="20"/>
          <w:szCs w:val="20"/>
        </w:rPr>
        <w:t>账面余额</w:t>
      </w:r>
    </w:p>
    <w:p>
      <w:pPr>
        <w:spacing w:line="240" w:lineRule="auto" w:before="7"/>
        <w:rPr>
          <w:rFonts w:ascii="宋体" w:hAnsi="宋体" w:cs="宋体" w:eastAsia="宋体" w:hint="default"/>
          <w:sz w:val="5"/>
          <w:szCs w:val="5"/>
        </w:rPr>
      </w:pPr>
    </w:p>
    <w:p>
      <w:pPr>
        <w:tabs>
          <w:tab w:pos="5184" w:val="left" w:leader="none"/>
        </w:tabs>
        <w:spacing w:line="20" w:lineRule="exact"/>
        <w:ind w:left="1815" w:right="0" w:firstLine="0"/>
        <w:rPr>
          <w:rFonts w:ascii="宋体" w:hAnsi="宋体" w:cs="宋体" w:eastAsia="宋体" w:hint="default"/>
          <w:sz w:val="2"/>
          <w:szCs w:val="2"/>
        </w:rPr>
      </w:pPr>
      <w:r>
        <w:rPr>
          <w:rFonts w:ascii="宋体"/>
          <w:sz w:val="2"/>
        </w:rPr>
        <w:pict>
          <v:group style="width:109.1pt;height:.5pt;mso-position-horizontal-relative:char;mso-position-vertical-relative:line" coordorigin="0,0" coordsize="2182,10">
            <v:group style="position:absolute;left:5;top:5;width:1083;height:2" coordorigin="5,5" coordsize="1083,2">
              <v:shape style="position:absolute;left:5;top:5;width:1083;height:2" coordorigin="5,5" coordsize="1083,0" path="m5,5l1087,5e" filled="false" stroked="true" strokeweight=".48pt" strokecolor="#000000">
                <v:path arrowok="t"/>
              </v:shape>
            </v:group>
            <v:group style="position:absolute;left:1087;top:5;width:10;height:2" coordorigin="1087,5" coordsize="10,2">
              <v:shape style="position:absolute;left:1087;top:5;width:10;height:2" coordorigin="1087,5" coordsize="10,0" path="m1087,5l1097,5e" filled="false" stroked="true" strokeweight=".48pt" strokecolor="#000000">
                <v:path arrowok="t"/>
              </v:shape>
            </v:group>
            <v:group style="position:absolute;left:1097;top:5;width:70;height:2" coordorigin="1097,5" coordsize="70,2">
              <v:shape style="position:absolute;left:1097;top:5;width:70;height:2" coordorigin="1097,5" coordsize="70,0" path="m1097,5l1166,5e" filled="false" stroked="true" strokeweight=".48pt" strokecolor="#000000">
                <v:path arrowok="t"/>
              </v:shape>
            </v:group>
            <v:group style="position:absolute;left:1166;top:5;width:10;height:2" coordorigin="1166,5" coordsize="10,2">
              <v:shape style="position:absolute;left:1166;top:5;width:10;height:2" coordorigin="1166,5" coordsize="10,0" path="m1166,5l1176,5e" filled="false" stroked="true" strokeweight=".48pt" strokecolor="#000000">
                <v:path arrowok="t"/>
              </v:shape>
            </v:group>
            <v:group style="position:absolute;left:1176;top:5;width:1001;height:2" coordorigin="1176,5" coordsize="1001,2">
              <v:shape style="position:absolute;left:1176;top:5;width:1001;height:2" coordorigin="1176,5" coordsize="1001,0" path="m1176,5l2177,5e" filled="false" stroked="true" strokeweight=".48pt" strokecolor="#000000">
                <v:path arrowok="t"/>
              </v:shape>
            </v:group>
          </v:group>
        </w:pict>
      </w:r>
      <w:r>
        <w:rPr>
          <w:rFonts w:ascii="宋体"/>
          <w:sz w:val="2"/>
        </w:rPr>
      </w:r>
      <w:r>
        <w:rPr>
          <w:rFonts w:ascii="宋体"/>
          <w:sz w:val="2"/>
        </w:rPr>
        <w:tab/>
      </w:r>
      <w:r>
        <w:rPr>
          <w:rFonts w:ascii="宋体"/>
          <w:sz w:val="2"/>
        </w:rPr>
        <w:pict>
          <v:group style="width:115.35pt;height:.5pt;mso-position-horizontal-relative:char;mso-position-vertical-relative:line" coordorigin="0,0" coordsize="2307,10">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1267;top:5;width:10;height:2" coordorigin="1267,5" coordsize="10,2">
              <v:shape style="position:absolute;left:1267;top:5;width:10;height:2" coordorigin="1267,5" coordsize="10,0" path="m1267,5l1277,5e" filled="false" stroked="true" strokeweight=".48pt" strokecolor="#000000">
                <v:path arrowok="t"/>
              </v:shape>
            </v:group>
            <v:group style="position:absolute;left:1277;top:5;width:63;height:2" coordorigin="1277,5" coordsize="63,2">
              <v:shape style="position:absolute;left:1277;top:5;width:63;height:2" coordorigin="1277,5" coordsize="63,0" path="m1277,5l1339,5e" filled="false" stroked="true" strokeweight=".48pt" strokecolor="#000000">
                <v:path arrowok="t"/>
              </v:shape>
            </v:group>
            <v:group style="position:absolute;left:1339;top:5;width:10;height:2" coordorigin="1339,5" coordsize="10,2">
              <v:shape style="position:absolute;left:1339;top:5;width:10;height:2" coordorigin="1339,5" coordsize="10,0" path="m1339,5l1349,5e" filled="false" stroked="true" strokeweight=".48pt" strokecolor="#000000">
                <v:path arrowok="t"/>
              </v:shape>
            </v:group>
            <v:group style="position:absolute;left:1349;top:5;width:953;height:2" coordorigin="1349,5" coordsize="953,2">
              <v:shape style="position:absolute;left:1349;top:5;width:953;height:2" coordorigin="1349,5" coordsize="953,0" path="m1349,5l230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380" w:bottom="1380" w:left="1660" w:right="1660"/>
        </w:sectPr>
      </w:pPr>
    </w:p>
    <w:tbl>
      <w:tblPr>
        <w:tblW w:w="0" w:type="auto"/>
        <w:jc w:val="left"/>
        <w:tblInd w:w="108" w:type="dxa"/>
        <w:tblLayout w:type="fixed"/>
        <w:tblCellMar>
          <w:top w:w="0" w:type="dxa"/>
          <w:left w:w="0" w:type="dxa"/>
          <w:bottom w:w="0" w:type="dxa"/>
          <w:right w:w="0" w:type="dxa"/>
        </w:tblCellMar>
        <w:tblLook w:val="01E0"/>
      </w:tblPr>
      <w:tblGrid>
        <w:gridCol w:w="1711"/>
        <w:gridCol w:w="1082"/>
        <w:gridCol w:w="1090"/>
        <w:gridCol w:w="1126"/>
        <w:gridCol w:w="1334"/>
        <w:gridCol w:w="1034"/>
        <w:gridCol w:w="991"/>
      </w:tblGrid>
      <w:tr>
        <w:trPr>
          <w:trHeight w:val="378" w:hRule="exact"/>
        </w:trPr>
        <w:tc>
          <w:tcPr>
            <w:tcW w:w="1711"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082" w:type="dxa"/>
            <w:tcBorders>
              <w:top w:val="single" w:sz="6" w:space="0" w:color="000000"/>
              <w:left w:val="nil" w:sz="6" w:space="0" w:color="auto"/>
              <w:bottom w:val="nil" w:sz="6" w:space="0" w:color="auto"/>
              <w:right w:val="nil" w:sz="6" w:space="0" w:color="auto"/>
            </w:tcBorders>
          </w:tcPr>
          <w:p>
            <w:pPr/>
          </w:p>
        </w:tc>
        <w:tc>
          <w:tcPr>
            <w:tcW w:w="1090" w:type="dxa"/>
            <w:tcBorders>
              <w:top w:val="single" w:sz="6" w:space="0" w:color="000000"/>
              <w:left w:val="nil" w:sz="6" w:space="0" w:color="auto"/>
              <w:bottom w:val="nil" w:sz="6" w:space="0" w:color="auto"/>
              <w:right w:val="nil" w:sz="6" w:space="0" w:color="auto"/>
            </w:tcBorders>
          </w:tcPr>
          <w:p>
            <w:pPr/>
          </w:p>
        </w:tc>
        <w:tc>
          <w:tcPr>
            <w:tcW w:w="1126" w:type="dxa"/>
            <w:tcBorders>
              <w:top w:val="single" w:sz="6" w:space="0" w:color="000000"/>
              <w:left w:val="nil" w:sz="6" w:space="0" w:color="auto"/>
              <w:bottom w:val="nil" w:sz="6" w:space="0" w:color="auto"/>
              <w:right w:val="nil" w:sz="6" w:space="0" w:color="auto"/>
            </w:tcBorders>
          </w:tcPr>
          <w:p>
            <w:pPr/>
          </w:p>
        </w:tc>
        <w:tc>
          <w:tcPr>
            <w:tcW w:w="1334" w:type="dxa"/>
            <w:tcBorders>
              <w:top w:val="single" w:sz="6" w:space="0" w:color="000000"/>
              <w:left w:val="nil" w:sz="6" w:space="0" w:color="auto"/>
              <w:bottom w:val="nil" w:sz="6" w:space="0" w:color="auto"/>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65,000.00</w:t>
            </w:r>
          </w:p>
        </w:tc>
        <w:tc>
          <w:tcPr>
            <w:tcW w:w="1034" w:type="dxa"/>
            <w:tcBorders>
              <w:top w:val="single" w:sz="6" w:space="0" w:color="000000"/>
              <w:left w:val="nil" w:sz="6" w:space="0" w:color="auto"/>
              <w:bottom w:val="nil" w:sz="6" w:space="0" w:color="auto"/>
              <w:right w:val="nil" w:sz="6" w:space="0" w:color="auto"/>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1.67</w:t>
            </w:r>
            <w:r>
              <w:rPr>
                <w:rFonts w:ascii="Times New Roman"/>
                <w:sz w:val="18"/>
              </w:rPr>
            </w:r>
          </w:p>
        </w:tc>
        <w:tc>
          <w:tcPr>
            <w:tcW w:w="991" w:type="dxa"/>
            <w:tcBorders>
              <w:top w:val="single" w:sz="6" w:space="0" w:color="000000"/>
              <w:left w:val="nil" w:sz="6" w:space="0" w:color="auto"/>
              <w:bottom w:val="nil" w:sz="6" w:space="0" w:color="auto"/>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344"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18"/>
                <w:szCs w:val="18"/>
              </w:rPr>
            </w:pPr>
            <w:r>
              <w:rPr>
                <w:rFonts w:ascii="Times New Roman"/>
                <w:spacing w:val="-1"/>
                <w:sz w:val="18"/>
              </w:rPr>
              <w:t>65,000.00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52,000.00</w:t>
            </w:r>
          </w:p>
        </w:tc>
        <w:tc>
          <w:tcPr>
            <w:tcW w:w="133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r>
      <w:tr>
        <w:trPr>
          <w:trHeight w:val="346"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082" w:type="dxa"/>
            <w:tcBorders>
              <w:top w:val="nil" w:sz="6" w:space="0" w:color="auto"/>
              <w:left w:val="nil" w:sz="6" w:space="0" w:color="auto"/>
              <w:bottom w:val="single" w:sz="4" w:space="0" w:color="000000"/>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
        </w:tc>
      </w:tr>
      <w:tr>
        <w:trPr>
          <w:trHeight w:val="374"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6"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0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6,146,002.12</w:t>
            </w:r>
            <w:r>
              <w:rPr>
                <w:rFonts w:ascii="Times New Roman"/>
                <w:sz w:val="18"/>
              </w:rPr>
            </w:r>
          </w:p>
        </w:tc>
        <w:tc>
          <w:tcPr>
            <w:tcW w:w="1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2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z w:val="18"/>
              </w:rPr>
              <w:t>506,595.11</w:t>
            </w:r>
          </w:p>
        </w:tc>
        <w:tc>
          <w:tcPr>
            <w:tcW w:w="13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3,891,005.00</w:t>
            </w:r>
            <w:r>
              <w:rPr>
                <w:rFonts w:ascii="Times New Roman"/>
                <w:sz w:val="18"/>
              </w:rPr>
            </w:r>
          </w:p>
        </w:tc>
        <w:tc>
          <w:tcPr>
            <w:tcW w:w="10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991"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293,650.25</w:t>
            </w:r>
          </w:p>
        </w:tc>
      </w:tr>
    </w:tbl>
    <w:p>
      <w:pPr>
        <w:spacing w:line="240" w:lineRule="auto" w:before="12"/>
        <w:rPr>
          <w:rFonts w:ascii="宋体" w:hAnsi="宋体" w:cs="宋体" w:eastAsia="宋体" w:hint="default"/>
          <w:sz w:val="14"/>
          <w:szCs w:val="14"/>
        </w:rPr>
      </w:pPr>
    </w:p>
    <w:p>
      <w:pPr>
        <w:pStyle w:val="BodyText"/>
        <w:spacing w:line="288" w:lineRule="auto" w:before="26"/>
        <w:ind w:right="119" w:firstLine="424"/>
        <w:jc w:val="left"/>
      </w:pPr>
      <w:r>
        <w:rPr/>
        <w:t>（</w:t>
      </w:r>
      <w:r>
        <w:rPr>
          <w:rFonts w:ascii="Times New Roman" w:hAnsi="Times New Roman" w:cs="Times New Roman" w:eastAsia="Times New Roman" w:hint="default"/>
        </w:rPr>
        <w:t>4</w:t>
      </w:r>
      <w:r>
        <w:rPr/>
        <w:t>）本公司无应收持有公司 </w:t>
      </w:r>
      <w:r>
        <w:rPr>
          <w:rFonts w:ascii="Times New Roman" w:hAnsi="Times New Roman" w:cs="Times New Roman" w:eastAsia="Times New Roman" w:hint="default"/>
        </w:rPr>
        <w:t>5%</w:t>
      </w:r>
      <w:r>
        <w:rPr/>
        <w:t>（含</w:t>
      </w:r>
      <w:r>
        <w:rPr>
          <w:spacing w:val="-74"/>
        </w:rPr>
        <w:t> </w:t>
      </w:r>
      <w:r>
        <w:rPr>
          <w:rFonts w:ascii="Times New Roman" w:hAnsi="Times New Roman" w:cs="Times New Roman" w:eastAsia="Times New Roman" w:hint="default"/>
        </w:rPr>
        <w:t>5%</w:t>
      </w:r>
      <w:r>
        <w:rPr/>
        <w:t>）以上表决权股份的股东单位或关 联方的款项。</w:t>
      </w:r>
    </w:p>
    <w:p>
      <w:pPr>
        <w:pStyle w:val="BodyText"/>
        <w:spacing w:line="240" w:lineRule="auto" w:before="202"/>
        <w:ind w:left="619" w:right="0"/>
        <w:jc w:val="left"/>
      </w:pPr>
      <w:r>
        <w:rPr/>
        <w:t>（</w:t>
      </w:r>
      <w:r>
        <w:rPr>
          <w:rFonts w:ascii="Times New Roman" w:hAnsi="Times New Roman" w:cs="Times New Roman" w:eastAsia="Times New Roman" w:hint="default"/>
        </w:rPr>
        <w:t>5</w:t>
      </w:r>
      <w:r>
        <w:rPr/>
        <w:t>）应收账款金额前五名单位情况</w:t>
      </w:r>
    </w:p>
    <w:p>
      <w:pPr>
        <w:spacing w:line="240" w:lineRule="auto" w:before="9"/>
        <w:rPr>
          <w:rFonts w:ascii="宋体" w:hAnsi="宋体" w:cs="宋体" w:eastAsia="宋体" w:hint="default"/>
          <w:sz w:val="7"/>
          <w:szCs w:val="7"/>
        </w:rPr>
      </w:pPr>
    </w:p>
    <w:tbl>
      <w:tblPr>
        <w:tblW w:w="0" w:type="auto"/>
        <w:jc w:val="left"/>
        <w:tblInd w:w="264" w:type="dxa"/>
        <w:tblLayout w:type="fixed"/>
        <w:tblCellMar>
          <w:top w:w="0" w:type="dxa"/>
          <w:left w:w="0" w:type="dxa"/>
          <w:bottom w:w="0" w:type="dxa"/>
          <w:right w:w="0" w:type="dxa"/>
        </w:tblCellMar>
        <w:tblLook w:val="01E0"/>
      </w:tblPr>
      <w:tblGrid>
        <w:gridCol w:w="3134"/>
        <w:gridCol w:w="1361"/>
        <w:gridCol w:w="1259"/>
        <w:gridCol w:w="880"/>
        <w:gridCol w:w="1375"/>
      </w:tblGrid>
      <w:tr>
        <w:trPr>
          <w:trHeight w:val="596" w:hRule="exact"/>
        </w:trPr>
        <w:tc>
          <w:tcPr>
            <w:tcW w:w="313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9" w:right="0"/>
              <w:jc w:val="center"/>
              <w:rPr>
                <w:rFonts w:ascii="宋体" w:hAnsi="宋体" w:cs="宋体" w:eastAsia="宋体" w:hint="default"/>
                <w:sz w:val="20"/>
                <w:szCs w:val="20"/>
              </w:rPr>
            </w:pPr>
            <w:r>
              <w:rPr>
                <w:rFonts w:ascii="宋体" w:hAnsi="宋体" w:cs="宋体" w:eastAsia="宋体" w:hint="default"/>
                <w:sz w:val="20"/>
                <w:szCs w:val="20"/>
              </w:rPr>
              <w:t>债务人名称</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32"/>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6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8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65"/>
              <w:jc w:val="center"/>
              <w:rPr>
                <w:rFonts w:ascii="宋体" w:hAnsi="宋体" w:cs="宋体" w:eastAsia="宋体" w:hint="default"/>
                <w:sz w:val="20"/>
                <w:szCs w:val="20"/>
              </w:rPr>
            </w:pPr>
            <w:r>
              <w:rPr>
                <w:rFonts w:ascii="宋体" w:hAnsi="宋体" w:cs="宋体" w:eastAsia="宋体" w:hint="default"/>
                <w:sz w:val="20"/>
                <w:szCs w:val="20"/>
              </w:rPr>
              <w:t>年限</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199" w:lineRule="exact"/>
              <w:ind w:right="26"/>
              <w:jc w:val="center"/>
              <w:rPr>
                <w:rFonts w:ascii="宋体" w:hAnsi="宋体" w:cs="宋体" w:eastAsia="宋体" w:hint="default"/>
                <w:sz w:val="20"/>
                <w:szCs w:val="20"/>
              </w:rPr>
            </w:pPr>
            <w:r>
              <w:rPr>
                <w:rFonts w:ascii="宋体" w:hAnsi="宋体" w:cs="宋体" w:eastAsia="宋体" w:hint="default"/>
                <w:sz w:val="20"/>
                <w:szCs w:val="20"/>
              </w:rPr>
              <w:t>占应收账款总</w:t>
            </w:r>
          </w:p>
          <w:p>
            <w:pPr>
              <w:pStyle w:val="TableParagraph"/>
              <w:spacing w:line="240" w:lineRule="auto" w:before="64"/>
              <w:ind w:right="26"/>
              <w:jc w:val="center"/>
              <w:rPr>
                <w:rFonts w:ascii="宋体" w:hAnsi="宋体" w:cs="宋体" w:eastAsia="宋体" w:hint="default"/>
                <w:sz w:val="20"/>
                <w:szCs w:val="20"/>
              </w:rPr>
            </w:pPr>
            <w:r>
              <w:rPr>
                <w:rFonts w:ascii="宋体" w:hAnsi="宋体" w:cs="宋体" w:eastAsia="宋体" w:hint="default"/>
                <w:sz w:val="20"/>
                <w:szCs w:val="20"/>
              </w:rPr>
              <w:t>额比例</w:t>
            </w:r>
          </w:p>
        </w:tc>
      </w:tr>
      <w:tr>
        <w:trPr>
          <w:trHeight w:val="368" w:hRule="exact"/>
        </w:trPr>
        <w:tc>
          <w:tcPr>
            <w:tcW w:w="3134"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20"/>
                <w:szCs w:val="20"/>
              </w:rPr>
            </w:pPr>
            <w:r>
              <w:rPr>
                <w:rFonts w:ascii="宋体" w:hAnsi="宋体" w:cs="宋体" w:eastAsia="宋体" w:hint="default"/>
                <w:sz w:val="20"/>
                <w:szCs w:val="20"/>
              </w:rPr>
              <w:t>鄂尔多斯市东胜区信息化委员会</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34"/>
              <w:jc w:val="center"/>
              <w:rPr>
                <w:rFonts w:ascii="宋体" w:hAnsi="宋体" w:cs="宋体" w:eastAsia="宋体" w:hint="default"/>
                <w:sz w:val="20"/>
                <w:szCs w:val="20"/>
              </w:rPr>
            </w:pPr>
            <w:r>
              <w:rPr>
                <w:rFonts w:ascii="宋体" w:hAnsi="宋体" w:cs="宋体" w:eastAsia="宋体" w:hint="default"/>
                <w:sz w:val="20"/>
                <w:szCs w:val="20"/>
              </w:rPr>
              <w:t>客户</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54"/>
              <w:jc w:val="right"/>
              <w:rPr>
                <w:rFonts w:ascii="Times New Roman" w:hAnsi="Times New Roman" w:cs="Times New Roman" w:eastAsia="Times New Roman" w:hint="default"/>
                <w:sz w:val="20"/>
                <w:szCs w:val="20"/>
              </w:rPr>
            </w:pPr>
            <w:r>
              <w:rPr>
                <w:rFonts w:ascii="Times New Roman"/>
                <w:w w:val="95"/>
                <w:sz w:val="20"/>
              </w:rPr>
              <w:t>6,295,404.83</w:t>
            </w:r>
            <w:r>
              <w:rPr>
                <w:rFonts w:ascii="Times New Roman"/>
                <w:sz w:val="20"/>
              </w:rPr>
            </w: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7"/>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5"/>
              <w:jc w:val="right"/>
              <w:rPr>
                <w:rFonts w:ascii="Times New Roman" w:hAnsi="Times New Roman" w:cs="Times New Roman" w:eastAsia="Times New Roman" w:hint="default"/>
                <w:sz w:val="20"/>
                <w:szCs w:val="20"/>
              </w:rPr>
            </w:pPr>
            <w:r>
              <w:rPr>
                <w:rFonts w:ascii="Times New Roman"/>
                <w:sz w:val="20"/>
              </w:rPr>
              <w:t>16.25%</w:t>
            </w:r>
          </w:p>
        </w:tc>
      </w:tr>
      <w:tr>
        <w:trPr>
          <w:trHeight w:val="35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昌吉市城乡建设委员会</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20"/>
                <w:szCs w:val="20"/>
              </w:rPr>
            </w:pPr>
            <w:r>
              <w:rPr>
                <w:rFonts w:ascii="宋体" w:hAnsi="宋体" w:cs="宋体" w:eastAsia="宋体" w:hint="default"/>
                <w:sz w:val="20"/>
                <w:szCs w:val="20"/>
              </w:rPr>
              <w:t>客户</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Times New Roman" w:hAnsi="Times New Roman" w:cs="Times New Roman" w:eastAsia="Times New Roman" w:hint="default"/>
                <w:sz w:val="20"/>
                <w:szCs w:val="20"/>
              </w:rPr>
            </w:pPr>
            <w:r>
              <w:rPr>
                <w:rFonts w:ascii="Times New Roman"/>
                <w:w w:val="95"/>
                <w:sz w:val="20"/>
              </w:rPr>
              <w:t>5,453,051.28</w:t>
            </w:r>
            <w:r>
              <w:rPr>
                <w:rFonts w:ascii="Times New Roman"/>
                <w:sz w:val="20"/>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14.08%</w:t>
            </w:r>
          </w:p>
        </w:tc>
      </w:tr>
      <w:tr>
        <w:trPr>
          <w:trHeight w:val="35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遵义市城市管理市综合执法局</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20"/>
                <w:szCs w:val="20"/>
              </w:rPr>
            </w:pPr>
            <w:r>
              <w:rPr>
                <w:rFonts w:ascii="宋体" w:hAnsi="宋体" w:cs="宋体" w:eastAsia="宋体" w:hint="default"/>
                <w:sz w:val="20"/>
                <w:szCs w:val="20"/>
              </w:rPr>
              <w:t>客户</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Times New Roman" w:hAnsi="Times New Roman" w:cs="Times New Roman" w:eastAsia="Times New Roman" w:hint="default"/>
                <w:sz w:val="20"/>
                <w:szCs w:val="20"/>
              </w:rPr>
            </w:pPr>
            <w:r>
              <w:rPr>
                <w:rFonts w:ascii="Times New Roman"/>
                <w:w w:val="95"/>
                <w:sz w:val="20"/>
              </w:rPr>
              <w:t>3,637,200.00</w:t>
            </w:r>
            <w:r>
              <w:rPr>
                <w:rFonts w:ascii="Times New Roman"/>
                <w:sz w:val="20"/>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9.39%</w:t>
            </w:r>
          </w:p>
        </w:tc>
      </w:tr>
      <w:tr>
        <w:trPr>
          <w:trHeight w:val="35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准格尔旗信息化工作办公室</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20"/>
                <w:szCs w:val="20"/>
              </w:rPr>
            </w:pPr>
            <w:r>
              <w:rPr>
                <w:rFonts w:ascii="宋体" w:hAnsi="宋体" w:cs="宋体" w:eastAsia="宋体" w:hint="default"/>
                <w:sz w:val="20"/>
                <w:szCs w:val="20"/>
              </w:rPr>
              <w:t>客户</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Times New Roman" w:hAnsi="Times New Roman" w:cs="Times New Roman" w:eastAsia="Times New Roman" w:hint="default"/>
                <w:sz w:val="20"/>
                <w:szCs w:val="20"/>
              </w:rPr>
            </w:pPr>
            <w:r>
              <w:rPr>
                <w:rFonts w:ascii="Times New Roman"/>
                <w:w w:val="95"/>
                <w:sz w:val="20"/>
              </w:rPr>
              <w:t>3,355,730.77</w:t>
            </w:r>
            <w:r>
              <w:rPr>
                <w:rFonts w:ascii="Times New Roman"/>
                <w:sz w:val="20"/>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8.66%</w:t>
            </w:r>
          </w:p>
        </w:tc>
      </w:tr>
      <w:tr>
        <w:trPr>
          <w:trHeight w:val="359"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银川市城市管理局</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34"/>
              <w:jc w:val="center"/>
              <w:rPr>
                <w:rFonts w:ascii="宋体" w:hAnsi="宋体" w:cs="宋体" w:eastAsia="宋体" w:hint="default"/>
                <w:sz w:val="20"/>
                <w:szCs w:val="20"/>
              </w:rPr>
            </w:pPr>
            <w:r>
              <w:rPr>
                <w:rFonts w:ascii="宋体" w:hAnsi="宋体" w:cs="宋体" w:eastAsia="宋体" w:hint="default"/>
                <w:sz w:val="20"/>
                <w:szCs w:val="20"/>
              </w:rPr>
              <w:t>客户</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4"/>
              <w:jc w:val="right"/>
              <w:rPr>
                <w:rFonts w:ascii="Times New Roman" w:hAnsi="Times New Roman" w:cs="Times New Roman" w:eastAsia="Times New Roman" w:hint="default"/>
                <w:sz w:val="20"/>
                <w:szCs w:val="20"/>
              </w:rPr>
            </w:pPr>
            <w:r>
              <w:rPr>
                <w:rFonts w:ascii="Times New Roman"/>
                <w:w w:val="95"/>
                <w:sz w:val="20"/>
              </w:rPr>
              <w:t>3,063,247.86</w:t>
            </w:r>
            <w:r>
              <w:rPr>
                <w:rFonts w:ascii="Times New Roman"/>
                <w:sz w:val="20"/>
              </w:rPr>
            </w:r>
          </w:p>
        </w:tc>
        <w:tc>
          <w:tcPr>
            <w:tcW w:w="88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7"/>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7.91%</w:t>
            </w:r>
          </w:p>
        </w:tc>
      </w:tr>
      <w:tr>
        <w:trPr>
          <w:trHeight w:val="372" w:hRule="exact"/>
        </w:trPr>
        <w:tc>
          <w:tcPr>
            <w:tcW w:w="3134"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16"/>
              <w:ind w:left="11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61" w:type="dxa"/>
            <w:tcBorders>
              <w:top w:val="single" w:sz="4" w:space="0" w:color="000000"/>
              <w:left w:val="nil" w:sz="6" w:space="0" w:color="auto"/>
              <w:bottom w:val="single" w:sz="17" w:space="0" w:color="000000"/>
              <w:right w:val="nil" w:sz="6" w:space="0" w:color="auto"/>
            </w:tcBorders>
          </w:tcPr>
          <w:p>
            <w:pPr/>
          </w:p>
        </w:tc>
        <w:tc>
          <w:tcPr>
            <w:tcW w:w="12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55"/>
              <w:jc w:val="right"/>
              <w:rPr>
                <w:rFonts w:ascii="Times New Roman" w:hAnsi="Times New Roman" w:cs="Times New Roman" w:eastAsia="Times New Roman" w:hint="default"/>
                <w:sz w:val="20"/>
                <w:szCs w:val="20"/>
              </w:rPr>
            </w:pPr>
            <w:r>
              <w:rPr>
                <w:rFonts w:ascii="Times New Roman"/>
                <w:w w:val="95"/>
                <w:sz w:val="20"/>
              </w:rPr>
              <w:t>21,804,634.74</w:t>
            </w:r>
            <w:r>
              <w:rPr>
                <w:rFonts w:ascii="Times New Roman"/>
                <w:sz w:val="20"/>
              </w:rPr>
            </w:r>
          </w:p>
        </w:tc>
        <w:tc>
          <w:tcPr>
            <w:tcW w:w="880" w:type="dxa"/>
            <w:tcBorders>
              <w:top w:val="single" w:sz="4" w:space="0" w:color="000000"/>
              <w:left w:val="nil" w:sz="6" w:space="0" w:color="auto"/>
              <w:bottom w:val="single" w:sz="17" w:space="0" w:color="000000"/>
              <w:right w:val="nil" w:sz="6" w:space="0" w:color="auto"/>
            </w:tcBorders>
          </w:tcPr>
          <w:p>
            <w:pPr/>
          </w:p>
        </w:tc>
        <w:tc>
          <w:tcPr>
            <w:tcW w:w="1375"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15"/>
              <w:jc w:val="right"/>
              <w:rPr>
                <w:rFonts w:ascii="Times New Roman" w:hAnsi="Times New Roman" w:cs="Times New Roman" w:eastAsia="Times New Roman" w:hint="default"/>
                <w:sz w:val="20"/>
                <w:szCs w:val="20"/>
              </w:rPr>
            </w:pPr>
            <w:r>
              <w:rPr>
                <w:rFonts w:ascii="Times New Roman"/>
                <w:sz w:val="20"/>
              </w:rPr>
              <w:t>56.29%</w:t>
            </w:r>
          </w:p>
        </w:tc>
      </w:tr>
    </w:tbl>
    <w:p>
      <w:pPr>
        <w:spacing w:line="240" w:lineRule="auto" w:before="5"/>
        <w:rPr>
          <w:rFonts w:ascii="宋体" w:hAnsi="宋体" w:cs="宋体" w:eastAsia="宋体" w:hint="default"/>
          <w:sz w:val="14"/>
          <w:szCs w:val="14"/>
        </w:rPr>
      </w:pPr>
    </w:p>
    <w:p>
      <w:pPr>
        <w:pStyle w:val="Heading3"/>
        <w:spacing w:line="240" w:lineRule="auto"/>
        <w:ind w:right="0"/>
        <w:jc w:val="left"/>
        <w:rPr>
          <w:b w:val="0"/>
          <w:bCs w:val="0"/>
        </w:rPr>
      </w:pPr>
      <w:r>
        <w:rPr/>
        <w:pict>
          <v:group style="position:absolute;margin-left:194.759995pt;margin-top:36.435627pt;width:311.8pt;height:.1pt;mso-position-horizontal-relative:page;mso-position-vertical-relative:paragraph;z-index:-605464" coordorigin="3895,729" coordsize="6236,2">
            <v:shape style="position:absolute;left:3895;top:729;width:6236;height:2" coordorigin="3895,729" coordsize="6236,0" path="m3895,729l10130,729e" filled="false" stroked="true" strokeweight=".48pt" strokecolor="#000000">
              <v:path arrowok="t"/>
            </v:shape>
            <w10:wrap type="none"/>
          </v:group>
        </w:pict>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4018"/>
        <w:gridCol w:w="2242"/>
        <w:gridCol w:w="2095"/>
      </w:tblGrid>
      <w:tr>
        <w:trPr>
          <w:trHeight w:val="186" w:hRule="exact"/>
        </w:trPr>
        <w:tc>
          <w:tcPr>
            <w:tcW w:w="4018"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199" w:lineRule="exact"/>
              <w:ind w:right="727"/>
              <w:jc w:val="right"/>
              <w:rPr>
                <w:rFonts w:ascii="宋体" w:hAnsi="宋体" w:cs="宋体" w:eastAsia="宋体" w:hint="default"/>
                <w:sz w:val="20"/>
                <w:szCs w:val="20"/>
              </w:rPr>
            </w:pPr>
            <w:r>
              <w:rPr>
                <w:rFonts w:ascii="宋体" w:hAnsi="宋体" w:cs="宋体" w:eastAsia="宋体" w:hint="default"/>
                <w:w w:val="95"/>
                <w:sz w:val="20"/>
                <w:szCs w:val="20"/>
              </w:rPr>
              <w:t>期末数</w:t>
            </w:r>
            <w:r>
              <w:rPr>
                <w:rFonts w:ascii="宋体" w:hAnsi="宋体" w:cs="宋体" w:eastAsia="宋体" w:hint="default"/>
                <w:sz w:val="20"/>
                <w:szCs w:val="20"/>
              </w:rPr>
            </w:r>
          </w:p>
        </w:tc>
        <w:tc>
          <w:tcPr>
            <w:tcW w:w="2095" w:type="dxa"/>
            <w:tcBorders>
              <w:top w:val="nil" w:sz="6" w:space="0" w:color="auto"/>
              <w:left w:val="nil" w:sz="6" w:space="0" w:color="auto"/>
              <w:bottom w:val="nil" w:sz="6" w:space="0" w:color="auto"/>
              <w:right w:val="nil" w:sz="6" w:space="0" w:color="auto"/>
            </w:tcBorders>
          </w:tcPr>
          <w:p>
            <w:pPr/>
          </w:p>
        </w:tc>
      </w:tr>
      <w:tr>
        <w:trPr>
          <w:trHeight w:val="173"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186" w:lineRule="exact"/>
              <w:ind w:left="770"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2242"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
        </w:tc>
      </w:tr>
      <w:tr>
        <w:trPr>
          <w:trHeight w:val="256" w:hRule="exact"/>
        </w:trPr>
        <w:tc>
          <w:tcPr>
            <w:tcW w:w="4018"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86" w:lineRule="exact"/>
              <w:ind w:right="598"/>
              <w:jc w:val="right"/>
              <w:rPr>
                <w:rFonts w:ascii="宋体" w:hAnsi="宋体" w:cs="宋体" w:eastAsia="宋体" w:hint="default"/>
                <w:sz w:val="20"/>
                <w:szCs w:val="20"/>
              </w:rPr>
            </w:pPr>
            <w:r>
              <w:rPr>
                <w:rFonts w:ascii="宋体" w:hAnsi="宋体" w:cs="宋体" w:eastAsia="宋体" w:hint="default"/>
                <w:w w:val="95"/>
                <w:sz w:val="20"/>
                <w:szCs w:val="20"/>
              </w:rPr>
              <w:t>金</w:t>
              <w:tab/>
              <w:t>额</w:t>
            </w:r>
            <w:r>
              <w:rPr>
                <w:rFonts w:ascii="宋体" w:hAnsi="宋体" w:cs="宋体" w:eastAsia="宋体" w:hint="default"/>
                <w:sz w:val="20"/>
                <w:szCs w:val="20"/>
              </w:rPr>
            </w:r>
          </w:p>
        </w:tc>
        <w:tc>
          <w:tcPr>
            <w:tcW w:w="2242" w:type="dxa"/>
            <w:tcBorders>
              <w:top w:val="nil" w:sz="6" w:space="0" w:color="auto"/>
              <w:left w:val="nil" w:sz="6" w:space="0" w:color="auto"/>
              <w:bottom w:val="single" w:sz="4" w:space="0" w:color="000000"/>
              <w:right w:val="nil" w:sz="6" w:space="0" w:color="auto"/>
            </w:tcBorders>
          </w:tcPr>
          <w:p>
            <w:pPr>
              <w:pStyle w:val="TableParagraph"/>
              <w:spacing w:line="186" w:lineRule="exact"/>
              <w:ind w:right="679"/>
              <w:jc w:val="righ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tc>
        <w:tc>
          <w:tcPr>
            <w:tcW w:w="2095" w:type="dxa"/>
            <w:tcBorders>
              <w:top w:val="nil" w:sz="6" w:space="0" w:color="auto"/>
              <w:left w:val="nil" w:sz="6" w:space="0" w:color="auto"/>
              <w:bottom w:val="single" w:sz="4" w:space="0" w:color="000000"/>
              <w:right w:val="nil" w:sz="6" w:space="0" w:color="auto"/>
            </w:tcBorders>
          </w:tcPr>
          <w:p>
            <w:pPr>
              <w:pStyle w:val="TableParagraph"/>
              <w:spacing w:line="201" w:lineRule="exact"/>
              <w:ind w:left="7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349" w:hRule="exact"/>
        </w:trPr>
        <w:tc>
          <w:tcPr>
            <w:tcW w:w="401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2.25pt;height:.5pt;mso-position-horizontal-relative:char;mso-position-vertical-relative:line" coordorigin="0,0" coordsize="2045,10">
                  <v:group style="position:absolute;left:5;top:5;width:2036;height:2" coordorigin="5,5" coordsize="2036,2">
                    <v:shape style="position:absolute;left:5;top:5;width:2036;height:2" coordorigin="5,5" coordsize="2036,0" path="m5,5l204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42" w:type="dxa"/>
            <w:tcBorders>
              <w:top w:val="single" w:sz="4" w:space="0" w:color="000000"/>
              <w:left w:val="nil" w:sz="6" w:space="0" w:color="auto"/>
              <w:bottom w:val="nil" w:sz="6" w:space="0" w:color="auto"/>
              <w:right w:val="nil" w:sz="6" w:space="0" w:color="auto"/>
            </w:tcBorders>
          </w:tcPr>
          <w:p>
            <w:pPr/>
          </w:p>
        </w:tc>
        <w:tc>
          <w:tcPr>
            <w:tcW w:w="2095" w:type="dxa"/>
            <w:tcBorders>
              <w:top w:val="single" w:sz="4" w:space="0" w:color="000000"/>
              <w:left w:val="nil" w:sz="6" w:space="0" w:color="auto"/>
              <w:bottom w:val="nil" w:sz="6" w:space="0" w:color="auto"/>
              <w:right w:val="nil" w:sz="6" w:space="0" w:color="auto"/>
            </w:tcBorders>
          </w:tcPr>
          <w:p>
            <w:pPr/>
          </w:p>
        </w:tc>
      </w:tr>
      <w:tr>
        <w:trPr>
          <w:trHeight w:val="336"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2242"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
        </w:tc>
      </w:tr>
      <w:tr>
        <w:trPr>
          <w:trHeight w:val="336"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2242"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nil" w:sz="6" w:space="0" w:color="auto"/>
              <w:right w:val="nil" w:sz="6" w:space="0" w:color="auto"/>
            </w:tcBorders>
          </w:tcPr>
          <w:p>
            <w:pPr/>
          </w:p>
        </w:tc>
      </w:tr>
      <w:tr>
        <w:trPr>
          <w:trHeight w:val="342" w:hRule="exact"/>
        </w:trPr>
        <w:tc>
          <w:tcPr>
            <w:tcW w:w="4018" w:type="dxa"/>
            <w:tcBorders>
              <w:top w:val="nil" w:sz="6" w:space="0" w:color="auto"/>
              <w:left w:val="nil" w:sz="6" w:space="0" w:color="auto"/>
              <w:bottom w:val="single" w:sz="4" w:space="0" w:color="000000"/>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242" w:type="dxa"/>
            <w:tcBorders>
              <w:top w:val="nil" w:sz="6" w:space="0" w:color="auto"/>
              <w:left w:val="nil" w:sz="6" w:space="0" w:color="auto"/>
              <w:bottom w:val="single" w:sz="4" w:space="0" w:color="000000"/>
              <w:right w:val="nil" w:sz="6" w:space="0" w:color="auto"/>
            </w:tcBorders>
          </w:tcPr>
          <w:p>
            <w:pPr/>
          </w:p>
        </w:tc>
        <w:tc>
          <w:tcPr>
            <w:tcW w:w="2095" w:type="dxa"/>
            <w:tcBorders>
              <w:top w:val="nil" w:sz="6" w:space="0" w:color="auto"/>
              <w:left w:val="nil" w:sz="6" w:space="0" w:color="auto"/>
              <w:bottom w:val="single" w:sz="4" w:space="0" w:color="000000"/>
              <w:right w:val="nil" w:sz="6" w:space="0" w:color="auto"/>
            </w:tcBorders>
          </w:tcPr>
          <w:p>
            <w:pPr/>
          </w:p>
        </w:tc>
      </w:tr>
      <w:tr>
        <w:trPr>
          <w:trHeight w:val="353" w:hRule="exact"/>
        </w:trPr>
        <w:tc>
          <w:tcPr>
            <w:tcW w:w="4018" w:type="dxa"/>
            <w:tcBorders>
              <w:top w:val="single" w:sz="4" w:space="0" w:color="000000"/>
              <w:left w:val="nil" w:sz="6" w:space="0" w:color="auto"/>
              <w:bottom w:val="single" w:sz="17" w:space="0" w:color="000000"/>
              <w:right w:val="nil" w:sz="6" w:space="0" w:color="auto"/>
            </w:tcBorders>
          </w:tcPr>
          <w:p>
            <w:pPr>
              <w:pStyle w:val="TableParagraph"/>
              <w:spacing w:line="240" w:lineRule="auto" w:before="1"/>
              <w:ind w:left="77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242" w:type="dxa"/>
            <w:tcBorders>
              <w:top w:val="single" w:sz="4" w:space="0" w:color="000000"/>
              <w:left w:val="nil" w:sz="6" w:space="0" w:color="auto"/>
              <w:bottom w:val="single" w:sz="17" w:space="0" w:color="000000"/>
              <w:right w:val="nil" w:sz="6" w:space="0" w:color="auto"/>
            </w:tcBorders>
          </w:tcPr>
          <w:p>
            <w:pPr/>
          </w:p>
        </w:tc>
        <w:tc>
          <w:tcPr>
            <w:tcW w:w="2095" w:type="dxa"/>
            <w:tcBorders>
              <w:top w:val="single" w:sz="4" w:space="0" w:color="000000"/>
              <w:left w:val="nil" w:sz="6" w:space="0" w:color="auto"/>
              <w:bottom w:val="single" w:sz="17" w:space="0" w:color="000000"/>
              <w:right w:val="nil" w:sz="6" w:space="0" w:color="auto"/>
            </w:tcBorders>
          </w:tcPr>
          <w:p>
            <w:pPr/>
          </w:p>
        </w:tc>
      </w:tr>
    </w:tbl>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50" w:footer="979" w:top="1380" w:bottom="1160" w:left="1660" w:right="1660"/>
        </w:sectPr>
      </w:pPr>
    </w:p>
    <w:p>
      <w:pPr>
        <w:pStyle w:val="BodyText"/>
        <w:spacing w:line="240" w:lineRule="auto" w:before="26"/>
        <w:ind w:right="-18"/>
        <w:jc w:val="left"/>
      </w:pPr>
      <w:r>
        <w:rPr/>
        <w:t>（续）</w:t>
      </w:r>
    </w:p>
    <w:p>
      <w:pPr>
        <w:spacing w:line="240" w:lineRule="auto" w:before="7"/>
        <w:rPr>
          <w:rFonts w:ascii="宋体" w:hAnsi="宋体" w:cs="宋体" w:eastAsia="宋体" w:hint="default"/>
          <w:sz w:val="17"/>
          <w:szCs w:val="17"/>
        </w:rPr>
      </w:pPr>
    </w:p>
    <w:p>
      <w:pPr>
        <w:spacing w:before="0"/>
        <w:ind w:left="792" w:right="-18" w:firstLine="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spacing w:line="240" w:lineRule="auto" w:before="0"/>
        <w:rPr>
          <w:rFonts w:ascii="宋体" w:hAnsi="宋体" w:cs="宋体" w:eastAsia="宋体" w:hint="default"/>
          <w:sz w:val="20"/>
          <w:szCs w:val="20"/>
        </w:rPr>
      </w:pPr>
      <w:r>
        <w:rPr/>
        <w:br w:type="column"/>
      </w:r>
      <w:r>
        <w:rPr>
          <w:rFonts w:ascii="宋体"/>
          <w:sz w:val="20"/>
        </w:rPr>
      </w:r>
    </w:p>
    <w:p>
      <w:pPr>
        <w:spacing w:before="135"/>
        <w:ind w:left="2121" w:right="3014" w:firstLine="0"/>
        <w:jc w:val="center"/>
        <w:rPr>
          <w:rFonts w:ascii="宋体" w:hAnsi="宋体" w:cs="宋体" w:eastAsia="宋体" w:hint="default"/>
          <w:sz w:val="20"/>
          <w:szCs w:val="20"/>
        </w:rPr>
      </w:pPr>
      <w:r>
        <w:rPr>
          <w:rFonts w:ascii="宋体" w:hAnsi="宋体" w:cs="宋体" w:eastAsia="宋体" w:hint="default"/>
          <w:sz w:val="20"/>
          <w:szCs w:val="20"/>
        </w:rPr>
        <w:t>期初数</w:t>
      </w:r>
    </w:p>
    <w:p>
      <w:pPr>
        <w:tabs>
          <w:tab w:pos="639" w:val="left" w:leader="none"/>
          <w:tab w:pos="2403" w:val="left" w:leader="none"/>
          <w:tab w:pos="4404" w:val="left" w:leader="none"/>
        </w:tabs>
        <w:spacing w:before="83"/>
        <w:ind w:left="137" w:right="0" w:firstLine="0"/>
        <w:jc w:val="left"/>
        <w:rPr>
          <w:rFonts w:ascii="Times New Roman" w:hAnsi="Times New Roman" w:cs="Times New Roman" w:eastAsia="Times New Roman" w:hint="default"/>
          <w:sz w:val="20"/>
          <w:szCs w:val="20"/>
        </w:rPr>
      </w:pPr>
      <w:r>
        <w:rPr/>
        <w:pict>
          <v:group style="position:absolute;margin-left:185.039993pt;margin-top:3.469679pt;width:321.5pt;height:.1pt;mso-position-horizontal-relative:page;mso-position-vertical-relative:paragraph;z-index:2152" coordorigin="3701,69" coordsize="6430,2">
            <v:shape style="position:absolute;left:3701;top:69;width:6430;height:2" coordorigin="3701,69" coordsize="6430,0" path="m3701,69l10130,69e" filled="false" stroked="true" strokeweight=".48pt" strokecolor="#000000">
              <v:path arrowok="t"/>
            </v:shape>
            <w10:wrap type="none"/>
          </v:group>
        </w:pict>
      </w:r>
      <w:r>
        <w:rPr>
          <w:rFonts w:ascii="宋体" w:hAnsi="宋体" w:cs="宋体" w:eastAsia="宋体" w:hint="default"/>
          <w:w w:val="95"/>
          <w:sz w:val="20"/>
          <w:szCs w:val="20"/>
        </w:rPr>
        <w:t>金</w:t>
        <w:tab/>
        <w:t>额</w:t>
        <w:tab/>
        <w:t>坏账准备</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p>
      <w:pPr>
        <w:spacing w:after="0"/>
        <w:jc w:val="left"/>
        <w:rPr>
          <w:rFonts w:ascii="Times New Roman" w:hAnsi="Times New Roman" w:cs="Times New Roman" w:eastAsia="Times New Roman" w:hint="default"/>
          <w:sz w:val="20"/>
          <w:szCs w:val="20"/>
        </w:rPr>
        <w:sectPr>
          <w:type w:val="continuous"/>
          <w:pgSz w:w="11910" w:h="16840"/>
          <w:pgMar w:top="1380" w:bottom="1380" w:left="1660" w:right="1660"/>
          <w:cols w:num="2" w:equalWidth="0">
            <w:col w:w="1292" w:space="1518"/>
            <w:col w:w="5780"/>
          </w:cols>
        </w:sectPr>
      </w:pPr>
    </w:p>
    <w:p>
      <w:pPr>
        <w:spacing w:line="240" w:lineRule="auto" w:before="4"/>
        <w:rPr>
          <w:rFonts w:ascii="Times New Roman" w:hAnsi="Times New Roman" w:cs="Times New Roman" w:eastAsia="Times New Roman" w:hint="default"/>
          <w:sz w:val="4"/>
          <w:szCs w:val="4"/>
        </w:rPr>
      </w:pPr>
    </w:p>
    <w:p>
      <w:pPr>
        <w:spacing w:line="20" w:lineRule="exact"/>
        <w:ind w:left="111" w:right="0" w:firstLine="0"/>
        <w:rPr>
          <w:rFonts w:ascii="Times New Roman" w:hAnsi="Times New Roman" w:cs="Times New Roman" w:eastAsia="Times New Roman" w:hint="default"/>
          <w:sz w:val="2"/>
          <w:szCs w:val="2"/>
        </w:rPr>
      </w:pPr>
      <w:r>
        <w:rPr>
          <w:rFonts w:ascii="Times New Roman"/>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8pt" strokecolor="#000000">
                <v:path arrowok="t"/>
              </v:shape>
            </v:group>
          </v:group>
        </w:pict>
      </w:r>
      <w:r>
        <w:rPr>
          <w:rFonts w:ascii="Times New Roman"/>
          <w:sz w:val="2"/>
        </w:rPr>
      </w:r>
      <w:r>
        <w:rPr>
          <w:rFonts w:ascii="Times New Roman"/>
          <w:spacing w:val="56"/>
          <w:sz w:val="2"/>
        </w:rPr>
        <w:t> </w:t>
      </w:r>
      <w:r>
        <w:rPr>
          <w:rFonts w:ascii="Times New Roman"/>
          <w:spacing w:val="56"/>
          <w:sz w:val="2"/>
        </w:rPr>
        <w:pict>
          <v:group style="width:126.4pt;height:.5pt;mso-position-horizontal-relative:char;mso-position-vertical-relative:line" coordorigin="0,0" coordsize="2528,10">
            <v:group style="position:absolute;left:5;top:5;width:2518;height:2" coordorigin="5,5" coordsize="2518,2">
              <v:shape style="position:absolute;left:5;top:5;width:2518;height:2" coordorigin="5,5" coordsize="2518,0" path="m5,5l2522,5e" filled="false" stroked="true" strokeweight=".48pt" strokecolor="#000000">
                <v:path arrowok="t"/>
              </v:shape>
            </v:group>
          </v:group>
        </w:pict>
      </w:r>
      <w:r>
        <w:rPr>
          <w:rFonts w:ascii="Times New Roman"/>
          <w:spacing w:val="56"/>
          <w:sz w:val="2"/>
        </w:rPr>
      </w:r>
      <w:r>
        <w:rPr>
          <w:rFonts w:ascii="Times New Roman"/>
          <w:spacing w:val="56"/>
          <w:sz w:val="2"/>
        </w:rPr>
        <w:t> </w:t>
      </w:r>
      <w:r>
        <w:rPr>
          <w:rFonts w:ascii="Times New Roman"/>
          <w:spacing w:val="56"/>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8pt" strokecolor="#000000">
                <v:path arrowok="t"/>
              </v:shape>
            </v:group>
          </v:group>
        </w:pict>
      </w:r>
      <w:r>
        <w:rPr>
          <w:rFonts w:ascii="Times New Roman"/>
          <w:spacing w:val="56"/>
          <w:sz w:val="2"/>
        </w:rPr>
      </w:r>
      <w:r>
        <w:rPr>
          <w:rFonts w:ascii="Times New Roman"/>
          <w:spacing w:val="57"/>
          <w:sz w:val="2"/>
        </w:rPr>
        <w:t> </w:t>
      </w:r>
      <w:r>
        <w:rPr>
          <w:rFonts w:ascii="Times New Roman"/>
          <w:spacing w:val="57"/>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Times New Roman"/>
          <w:spacing w:val="57"/>
          <w:sz w:val="2"/>
        </w:rPr>
      </w:r>
    </w:p>
    <w:p>
      <w:pPr>
        <w:tabs>
          <w:tab w:pos="3507" w:val="left" w:leader="none"/>
          <w:tab w:pos="7954" w:val="left" w:leader="none"/>
        </w:tabs>
        <w:spacing w:before="0"/>
        <w:ind w:left="13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tab/>
      </w:r>
      <w:r>
        <w:rPr>
          <w:rFonts w:ascii="Times New Roman" w:hAnsi="Times New Roman" w:cs="Times New Roman" w:eastAsia="Times New Roman" w:hint="default"/>
          <w:spacing w:val="-1"/>
          <w:position w:val="1"/>
          <w:sz w:val="18"/>
          <w:szCs w:val="18"/>
        </w:rPr>
        <w:t>14,139,882.12</w:t>
        <w:tab/>
        <w:t>100.00</w:t>
      </w:r>
      <w:r>
        <w:rPr>
          <w:rFonts w:ascii="Times New Roman" w:hAnsi="Times New Roman" w:cs="Times New Roman" w:eastAsia="Times New Roman" w:hint="default"/>
          <w:sz w:val="18"/>
          <w:szCs w:val="18"/>
        </w:rPr>
      </w:r>
    </w:p>
    <w:p>
      <w:pPr>
        <w:spacing w:before="59"/>
        <w:ind w:left="13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p>
      <w:pPr>
        <w:spacing w:before="59"/>
        <w:ind w:left="13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p>
      <w:pPr>
        <w:spacing w:before="59"/>
        <w:ind w:left="13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p>
      <w:pPr>
        <w:spacing w:line="240" w:lineRule="auto" w:before="8"/>
        <w:rPr>
          <w:rFonts w:ascii="宋体" w:hAnsi="宋体" w:cs="宋体" w:eastAsia="宋体" w:hint="default"/>
          <w:sz w:val="4"/>
          <w:szCs w:val="4"/>
        </w:rPr>
      </w:pPr>
    </w:p>
    <w:p>
      <w:pPr>
        <w:spacing w:line="20" w:lineRule="exact"/>
        <w:ind w:left="2036" w:right="0" w:firstLine="0"/>
        <w:rPr>
          <w:rFonts w:ascii="宋体" w:hAnsi="宋体" w:cs="宋体" w:eastAsia="宋体" w:hint="default"/>
          <w:sz w:val="2"/>
          <w:szCs w:val="2"/>
        </w:rPr>
      </w:pPr>
      <w:r>
        <w:rPr>
          <w:rFonts w:ascii="宋体"/>
          <w:sz w:val="2"/>
        </w:rPr>
        <w:pict>
          <v:group style="width:126.4pt;height:.5pt;mso-position-horizontal-relative:char;mso-position-vertical-relative:line" coordorigin="0,0" coordsize="2528,10">
            <v:group style="position:absolute;left:5;top:5;width:2518;height:2" coordorigin="5,5" coordsize="2518,2">
              <v:shape style="position:absolute;left:5;top:5;width:2518;height:2" coordorigin="5,5" coordsize="2518,0" path="m5,5l2522,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98.4pt;height:.5pt;mso-position-horizontal-relative:char;mso-position-vertical-relative:line" coordorigin="0,0" coordsize="1968,10">
            <v:group style="position:absolute;left:5;top:5;width:1959;height:2" coordorigin="5,5" coordsize="1959,2">
              <v:shape style="position:absolute;left:5;top:5;width:1959;height:2" coordorigin="5,5" coordsize="1959,0" path="m5,5l1963,5e" filled="false" stroked="true" strokeweight=".48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8pt" strokecolor="#000000">
                <v:path arrowok="t"/>
              </v:shape>
            </v:group>
          </v:group>
        </w:pict>
      </w:r>
      <w:r>
        <w:rPr>
          <w:rFonts w:ascii="宋体"/>
          <w:spacing w:val="57"/>
          <w:sz w:val="2"/>
        </w:rPr>
      </w:r>
    </w:p>
    <w:p>
      <w:pPr>
        <w:tabs>
          <w:tab w:pos="3507" w:val="left" w:leader="none"/>
          <w:tab w:pos="7954" w:val="left" w:leader="none"/>
        </w:tabs>
        <w:spacing w:before="0"/>
        <w:ind w:left="792" w:right="0"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position w:val="1"/>
          <w:sz w:val="18"/>
          <w:szCs w:val="18"/>
        </w:rPr>
        <w:t>14,139,882.12</w:t>
        <w:tab/>
        <w:t>100.00</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5"/>
          <w:szCs w:val="5"/>
        </w:rPr>
      </w:pPr>
    </w:p>
    <w:p>
      <w:pPr>
        <w:spacing w:line="43" w:lineRule="exact"/>
        <w:ind w:left="203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322.2pt;height:2.2pt;mso-position-horizontal-relative:char;mso-position-vertical-relative:line" coordorigin="0,0" coordsize="6444,44">
            <v:group style="position:absolute;left:7;top:36;width:2518;height:2" coordorigin="7,36" coordsize="2518,2">
              <v:shape style="position:absolute;left:7;top:36;width:2518;height:2" coordorigin="7,36" coordsize="2518,0" path="m7,36l2525,36e" filled="false" stroked="true" strokeweight=".72pt" strokecolor="#000000">
                <v:path arrowok="t"/>
              </v:shape>
            </v:group>
            <v:group style="position:absolute;left:7;top:7;width:2518;height:2" coordorigin="7,7" coordsize="2518,2">
              <v:shape style="position:absolute;left:7;top:7;width:2518;height:2" coordorigin="7,7" coordsize="2518,0" path="m7,7l2525,7e" filled="false" stroked="true" strokeweight=".72pt" strokecolor="#000000">
                <v:path arrowok="t"/>
              </v:shape>
            </v:group>
            <v:group style="position:absolute;left:2602;top:36;width:1959;height:2" coordorigin="2602,36" coordsize="1959,2">
              <v:shape style="position:absolute;left:2602;top:36;width:1959;height:2" coordorigin="2602,36" coordsize="1959,0" path="m2602,36l4560,36e" filled="false" stroked="true" strokeweight=".72pt" strokecolor="#000000">
                <v:path arrowok="t"/>
              </v:shape>
            </v:group>
            <v:group style="position:absolute;left:2602;top:7;width:1959;height:2" coordorigin="2602,7" coordsize="1959,2">
              <v:shape style="position:absolute;left:2602;top:7;width:1959;height:2" coordorigin="2602,7" coordsize="1959,0" path="m2602,7l4560,7e" filled="false" stroked="true" strokeweight=".72pt" strokecolor="#000000">
                <v:path arrowok="t"/>
              </v:shape>
            </v:group>
            <v:group style="position:absolute;left:4637;top:36;width:1800;height:2" coordorigin="4637,36" coordsize="1800,2">
              <v:shape style="position:absolute;left:4637;top:36;width:1800;height:2" coordorigin="4637,36" coordsize="1800,0" path="m4637,36l6437,36e" filled="false" stroked="true" strokeweight=".72pt" strokecolor="#000000">
                <v:path arrowok="t"/>
              </v:shape>
            </v:group>
            <v:group style="position:absolute;left:4637;top:7;width:1800;height:2" coordorigin="4637,7" coordsize="1800,2">
              <v:shape style="position:absolute;left:4637;top:7;width:1800;height:2" coordorigin="4637,7" coordsize="1800,0" path="m4637,7l6437,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4"/>
        <w:rPr>
          <w:rFonts w:ascii="Times New Roman" w:hAnsi="Times New Roman" w:cs="Times New Roman" w:eastAsia="Times New Roman"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557" w:right="0"/>
        <w:jc w:val="left"/>
      </w:pPr>
      <w:r>
        <w:rPr/>
        <w:pict>
          <v:group style="position:absolute;margin-left:301.200012pt;margin-top:35.255623pt;width:205.95pt;height:.5pt;mso-position-horizontal-relative:page;mso-position-vertical-relative:paragraph;z-index:-605416" coordorigin="6024,705" coordsize="4119,10">
            <v:group style="position:absolute;left:6029;top:710;width:1983;height:2" coordorigin="6029,710" coordsize="1983,2">
              <v:shape style="position:absolute;left:6029;top:710;width:1983;height:2" coordorigin="6029,710" coordsize="1983,0" path="m6029,710l8011,710e" filled="false" stroked="true" strokeweight=".48pt" strokecolor="#000000">
                <v:path arrowok="t"/>
              </v:shape>
            </v:group>
            <v:group style="position:absolute;left:8011;top:710;width:10;height:2" coordorigin="8011,710" coordsize="10,2">
              <v:shape style="position:absolute;left:8011;top:710;width:10;height:2" coordorigin="8011,710" coordsize="10,0" path="m8011,710l8021,710e" filled="false" stroked="true" strokeweight=".48pt" strokecolor="#000000">
                <v:path arrowok="t"/>
              </v:shape>
            </v:group>
            <v:group style="position:absolute;left:8021;top:710;width:53;height:2" coordorigin="8021,710" coordsize="53,2">
              <v:shape style="position:absolute;left:8021;top:710;width:53;height:2" coordorigin="8021,710" coordsize="53,0" path="m8021,710l8074,710e" filled="false" stroked="true" strokeweight=".48pt" strokecolor="#000000">
                <v:path arrowok="t"/>
              </v:shape>
            </v:group>
            <v:group style="position:absolute;left:8074;top:710;width:10;height:2" coordorigin="8074,710" coordsize="10,2">
              <v:shape style="position:absolute;left:8074;top:710;width:10;height:2" coordorigin="8074,710" coordsize="10,0" path="m8074,710l8083,710e" filled="false" stroked="true" strokeweight=".48pt" strokecolor="#000000">
                <v:path arrowok="t"/>
              </v:shape>
            </v:group>
            <v:group style="position:absolute;left:8083;top:710;width:2055;height:2" coordorigin="8083,710" coordsize="2055,2">
              <v:shape style="position:absolute;left:8083;top:710;width:2055;height:2" coordorigin="8083,710" coordsize="2055,0" path="m8083,710l10138,710e" filled="false" stroked="true" strokeweight=".48pt" strokecolor="#000000">
                <v:path arrowok="t"/>
              </v:shape>
            </v:group>
            <w10:wrap type="none"/>
          </v:group>
        </w:pict>
      </w:r>
      <w:r>
        <w:rPr/>
        <w:pict>
          <v:group style="position:absolute;margin-left:88.199997pt;margin-top:53.015621pt;width:418.95pt;height:.5pt;mso-position-horizontal-relative:page;mso-position-vertical-relative:paragraph;z-index:-605392" coordorigin="1764,1060" coordsize="8379,10">
            <v:group style="position:absolute;left:1769;top:1065;width:4198;height:2" coordorigin="1769,1065" coordsize="4198,2">
              <v:shape style="position:absolute;left:1769;top:1065;width:4198;height:2" coordorigin="1769,1065" coordsize="4198,0" path="m1769,1065l5966,1065e" filled="false" stroked="true" strokeweight=".48pt" strokecolor="#000000">
                <v:path arrowok="t"/>
              </v:shape>
            </v:group>
            <v:group style="position:absolute;left:6029;top:1065;width:1983;height:2" coordorigin="6029,1065" coordsize="1983,2">
              <v:shape style="position:absolute;left:6029;top:1065;width:1983;height:2" coordorigin="6029,1065" coordsize="1983,0" path="m6029,1065l8011,1065e" filled="false" stroked="true" strokeweight=".48pt" strokecolor="#000000">
                <v:path arrowok="t"/>
              </v:shape>
            </v:group>
            <v:group style="position:absolute;left:8074;top:1065;width:2064;height:2" coordorigin="8074,1065" coordsize="2064,2">
              <v:shape style="position:absolute;left:8074;top:1065;width:2064;height:2" coordorigin="8074,1065" coordsize="2064,0" path="m8074,1065l10138,1065e" filled="false" stroked="true" strokeweight=".48pt" strokecolor="#000000">
                <v:path arrowok="t"/>
              </v:shape>
            </v:group>
            <w10:wrap type="none"/>
          </v:group>
        </w:pict>
      </w:r>
      <w:r>
        <w:rPr/>
        <w:t>（</w:t>
      </w:r>
      <w:r>
        <w:rPr>
          <w:rFonts w:ascii="Times New Roman" w:hAnsi="Times New Roman" w:cs="Times New Roman" w:eastAsia="Times New Roman" w:hint="default"/>
        </w:rPr>
        <w:t>1</w:t>
      </w:r>
      <w:r>
        <w:rPr/>
        <w:t>）其他应收款按种类列示</w:t>
      </w:r>
    </w:p>
    <w:p>
      <w:pPr>
        <w:spacing w:line="240" w:lineRule="auto" w:before="13"/>
        <w:rPr>
          <w:rFonts w:ascii="宋体" w:hAnsi="宋体" w:cs="宋体" w:eastAsia="宋体" w:hint="default"/>
          <w:sz w:val="8"/>
          <w:szCs w:val="8"/>
        </w:rPr>
      </w:pPr>
    </w:p>
    <w:tbl>
      <w:tblPr>
        <w:tblW w:w="0" w:type="auto"/>
        <w:jc w:val="left"/>
        <w:tblInd w:w="1737" w:type="dxa"/>
        <w:tblLayout w:type="fixed"/>
        <w:tblCellMar>
          <w:top w:w="0" w:type="dxa"/>
          <w:left w:w="0" w:type="dxa"/>
          <w:bottom w:w="0" w:type="dxa"/>
          <w:right w:w="0" w:type="dxa"/>
        </w:tblCellMar>
        <w:tblLook w:val="01E0"/>
      </w:tblPr>
      <w:tblGrid>
        <w:gridCol w:w="4152"/>
        <w:gridCol w:w="2588"/>
      </w:tblGrid>
      <w:tr>
        <w:trPr>
          <w:trHeight w:val="352"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588" w:type="dxa"/>
            <w:tcBorders>
              <w:top w:val="nil" w:sz="6" w:space="0" w:color="auto"/>
              <w:left w:val="nil" w:sz="6" w:space="0" w:color="auto"/>
              <w:bottom w:val="nil" w:sz="6" w:space="0" w:color="auto"/>
              <w:right w:val="nil" w:sz="6" w:space="0" w:color="auto"/>
            </w:tcBorders>
          </w:tcPr>
          <w:p>
            <w:pPr>
              <w:pStyle w:val="TableParagraph"/>
              <w:spacing w:line="180" w:lineRule="exact"/>
              <w:ind w:left="171" w:right="0"/>
              <w:jc w:val="lef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264"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184" w:lineRule="exact"/>
              <w:ind w:right="169"/>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588" w:type="dxa"/>
            <w:tcBorders>
              <w:top w:val="nil" w:sz="6" w:space="0" w:color="auto"/>
              <w:left w:val="nil" w:sz="6" w:space="0" w:color="auto"/>
              <w:bottom w:val="nil" w:sz="6" w:space="0" w:color="auto"/>
              <w:right w:val="nil" w:sz="6" w:space="0" w:color="auto"/>
            </w:tcBorders>
          </w:tcPr>
          <w:p>
            <w:pPr>
              <w:pStyle w:val="TableParagraph"/>
              <w:spacing w:line="184" w:lineRule="exact"/>
              <w:ind w:left="119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184" w:lineRule="exact"/>
        <w:jc w:val="left"/>
        <w:rPr>
          <w:rFonts w:ascii="宋体" w:hAnsi="宋体" w:cs="宋体" w:eastAsia="宋体" w:hint="default"/>
          <w:sz w:val="18"/>
          <w:szCs w:val="18"/>
        </w:rPr>
        <w:sectPr>
          <w:type w:val="continuous"/>
          <w:pgSz w:w="11910" w:h="16840"/>
          <w:pgMar w:top="1380" w:bottom="1380" w:left="1660" w:right="1660"/>
        </w:sectPr>
      </w:pPr>
    </w:p>
    <w:tbl>
      <w:tblPr>
        <w:tblW w:w="0" w:type="auto"/>
        <w:jc w:val="left"/>
        <w:tblInd w:w="108" w:type="dxa"/>
        <w:tblLayout w:type="fixed"/>
        <w:tblCellMar>
          <w:top w:w="0" w:type="dxa"/>
          <w:left w:w="0" w:type="dxa"/>
          <w:bottom w:w="0" w:type="dxa"/>
          <w:right w:w="0" w:type="dxa"/>
        </w:tblCellMar>
        <w:tblLook w:val="01E0"/>
      </w:tblPr>
      <w:tblGrid>
        <w:gridCol w:w="4260"/>
        <w:gridCol w:w="1138"/>
        <w:gridCol w:w="1086"/>
        <w:gridCol w:w="768"/>
        <w:gridCol w:w="1117"/>
      </w:tblGrid>
      <w:tr>
        <w:trPr>
          <w:trHeight w:val="379" w:hRule="exact"/>
        </w:trPr>
        <w:tc>
          <w:tcPr>
            <w:tcW w:w="4260" w:type="dxa"/>
            <w:tcBorders>
              <w:top w:val="single" w:sz="6" w:space="0" w:color="000000"/>
              <w:left w:val="nil" w:sz="6" w:space="0" w:color="auto"/>
              <w:bottom w:val="single" w:sz="4" w:space="0" w:color="000000"/>
              <w:right w:val="nil" w:sz="6" w:space="0" w:color="auto"/>
            </w:tcBorders>
          </w:tcPr>
          <w:p>
            <w:pPr/>
          </w:p>
        </w:tc>
        <w:tc>
          <w:tcPr>
            <w:tcW w:w="1138" w:type="dxa"/>
            <w:tcBorders>
              <w:top w:val="single" w:sz="6" w:space="0" w:color="000000"/>
              <w:left w:val="nil" w:sz="6" w:space="0" w:color="auto"/>
              <w:bottom w:val="single" w:sz="4" w:space="0" w:color="000000"/>
              <w:right w:val="nil" w:sz="6" w:space="0" w:color="auto"/>
            </w:tcBorders>
          </w:tcPr>
          <w:p>
            <w:pPr>
              <w:pStyle w:val="TableParagraph"/>
              <w:spacing w:line="240" w:lineRule="auto" w:before="56"/>
              <w:ind w:right="3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6" w:type="dxa"/>
            <w:tcBorders>
              <w:top w:val="single" w:sz="6" w:space="0" w:color="000000"/>
              <w:left w:val="nil" w:sz="6" w:space="0" w:color="auto"/>
              <w:bottom w:val="single" w:sz="4" w:space="0" w:color="000000"/>
              <w:right w:val="nil" w:sz="6" w:space="0" w:color="auto"/>
            </w:tcBorders>
          </w:tcPr>
          <w:p>
            <w:pPr>
              <w:pStyle w:val="TableParagraph"/>
              <w:spacing w:line="240" w:lineRule="auto" w:before="56"/>
              <w:ind w:right="121"/>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c>
        <w:tc>
          <w:tcPr>
            <w:tcW w:w="768" w:type="dxa"/>
            <w:tcBorders>
              <w:top w:val="single" w:sz="6" w:space="0" w:color="000000"/>
              <w:left w:val="nil" w:sz="6" w:space="0" w:color="auto"/>
              <w:bottom w:val="single" w:sz="4" w:space="0" w:color="000000"/>
              <w:right w:val="nil" w:sz="6" w:space="0" w:color="auto"/>
            </w:tcBorders>
          </w:tcPr>
          <w:p>
            <w:pPr>
              <w:pStyle w:val="TableParagraph"/>
              <w:spacing w:line="240" w:lineRule="auto" w:before="56"/>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7" w:type="dxa"/>
            <w:tcBorders>
              <w:top w:val="single" w:sz="6" w:space="0" w:color="000000"/>
              <w:left w:val="nil" w:sz="6" w:space="0" w:color="auto"/>
              <w:bottom w:val="single" w:sz="4" w:space="0" w:color="000000"/>
              <w:right w:val="nil" w:sz="6" w:space="0" w:color="auto"/>
            </w:tcBorders>
          </w:tcPr>
          <w:p>
            <w:pPr>
              <w:pStyle w:val="TableParagraph"/>
              <w:spacing w:line="240" w:lineRule="auto" w:before="56"/>
              <w:ind w:left="22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89" w:hRule="exact"/>
        </w:trPr>
        <w:tc>
          <w:tcPr>
            <w:tcW w:w="426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center"/>
              <w:rPr>
                <w:rFonts w:ascii="Times New Roman" w:hAnsi="Times New Roman" w:cs="Times New Roman" w:eastAsia="Times New Roman" w:hint="default"/>
                <w:sz w:val="20"/>
                <w:szCs w:val="20"/>
              </w:rPr>
            </w:pPr>
            <w:r>
              <w:rPr>
                <w:rFonts w:ascii="Times New Roman"/>
                <w:sz w:val="20"/>
              </w:rPr>
              <w:t>2,711,000.00</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97" w:right="0"/>
              <w:jc w:val="center"/>
              <w:rPr>
                <w:rFonts w:ascii="Times New Roman" w:hAnsi="Times New Roman" w:cs="Times New Roman" w:eastAsia="Times New Roman" w:hint="default"/>
                <w:sz w:val="20"/>
                <w:szCs w:val="20"/>
              </w:rPr>
            </w:pPr>
            <w:r>
              <w:rPr>
                <w:rFonts w:ascii="Times New Roman"/>
                <w:sz w:val="20"/>
              </w:rPr>
              <w:t>41.43</w:t>
            </w:r>
          </w:p>
        </w:tc>
        <w:tc>
          <w:tcPr>
            <w:tcW w:w="768" w:type="dxa"/>
            <w:tcBorders>
              <w:top w:val="single" w:sz="4" w:space="0" w:color="000000"/>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
        </w:tc>
      </w:tr>
      <w:tr>
        <w:trPr>
          <w:trHeight w:val="388"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138"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r>
      <w:tr>
        <w:trPr>
          <w:trHeight w:val="373"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9"/>
              <w:jc w:val="center"/>
              <w:rPr>
                <w:rFonts w:ascii="Times New Roman" w:hAnsi="Times New Roman" w:cs="Times New Roman" w:eastAsia="Times New Roman" w:hint="default"/>
                <w:sz w:val="20"/>
                <w:szCs w:val="20"/>
              </w:rPr>
            </w:pPr>
            <w:r>
              <w:rPr>
                <w:rFonts w:ascii="Times New Roman"/>
                <w:sz w:val="20"/>
              </w:rPr>
              <w:t>3,833,160.93</w:t>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97" w:right="0"/>
              <w:jc w:val="center"/>
              <w:rPr>
                <w:rFonts w:ascii="Times New Roman" w:hAnsi="Times New Roman" w:cs="Times New Roman" w:eastAsia="Times New Roman" w:hint="default"/>
                <w:sz w:val="20"/>
                <w:szCs w:val="20"/>
              </w:rPr>
            </w:pPr>
            <w:r>
              <w:rPr>
                <w:rFonts w:ascii="Times New Roman"/>
                <w:sz w:val="20"/>
              </w:rPr>
              <w:t>58.57</w:t>
            </w:r>
          </w:p>
        </w:tc>
        <w:tc>
          <w:tcPr>
            <w:tcW w:w="768" w:type="dxa"/>
            <w:tcBorders>
              <w:top w:val="nil" w:sz="6" w:space="0" w:color="auto"/>
              <w:left w:val="nil" w:sz="6" w:space="0" w:color="auto"/>
              <w:bottom w:val="single" w:sz="4" w:space="0" w:color="000000"/>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center"/>
              <w:rPr>
                <w:rFonts w:ascii="Times New Roman" w:hAnsi="Times New Roman" w:cs="Times New Roman" w:eastAsia="Times New Roman" w:hint="default"/>
                <w:sz w:val="20"/>
                <w:szCs w:val="20"/>
              </w:rPr>
            </w:pPr>
            <w:r>
              <w:rPr>
                <w:rFonts w:ascii="Times New Roman"/>
                <w:sz w:val="20"/>
              </w:rPr>
              <w:t>6,544,160.93</w:t>
            </w:r>
          </w:p>
        </w:tc>
        <w:tc>
          <w:tcPr>
            <w:tcW w:w="10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0"/>
              <w:jc w:val="center"/>
              <w:rPr>
                <w:rFonts w:ascii="Times New Roman" w:hAnsi="Times New Roman" w:cs="Times New Roman" w:eastAsia="Times New Roman" w:hint="default"/>
                <w:sz w:val="20"/>
                <w:szCs w:val="20"/>
              </w:rPr>
            </w:pPr>
            <w:r>
              <w:rPr>
                <w:rFonts w:ascii="Times New Roman"/>
                <w:sz w:val="20"/>
              </w:rPr>
              <w:t>100.00</w:t>
            </w:r>
          </w:p>
        </w:tc>
        <w:tc>
          <w:tcPr>
            <w:tcW w:w="768" w:type="dxa"/>
            <w:tcBorders>
              <w:top w:val="single" w:sz="4" w:space="0" w:color="000000"/>
              <w:left w:val="nil" w:sz="6" w:space="0" w:color="auto"/>
              <w:bottom w:val="single" w:sz="17" w:space="0" w:color="000000"/>
              <w:right w:val="nil" w:sz="6" w:space="0" w:color="auto"/>
            </w:tcBorders>
          </w:tcPr>
          <w:p>
            <w:pPr/>
          </w:p>
        </w:tc>
        <w:tc>
          <w:tcPr>
            <w:tcW w:w="1117" w:type="dxa"/>
            <w:tcBorders>
              <w:top w:val="single" w:sz="4" w:space="0" w:color="000000"/>
              <w:left w:val="nil" w:sz="6" w:space="0" w:color="auto"/>
              <w:bottom w:val="single" w:sz="17" w:space="0" w:color="000000"/>
              <w:right w:val="nil" w:sz="6" w:space="0" w:color="auto"/>
            </w:tcBorders>
          </w:tcPr>
          <w:p>
            <w:pPr/>
          </w:p>
        </w:tc>
      </w:tr>
    </w:tbl>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50" w:footer="979" w:top="1380" w:bottom="1160" w:left="1660" w:right="1660"/>
        </w:sectPr>
      </w:pPr>
    </w:p>
    <w:p>
      <w:pPr>
        <w:pStyle w:val="BodyText"/>
        <w:spacing w:line="240" w:lineRule="auto" w:before="26"/>
        <w:ind w:right="0"/>
        <w:jc w:val="left"/>
      </w:pPr>
      <w:r>
        <w:rPr/>
        <w:t>（续）</w:t>
      </w:r>
    </w:p>
    <w:p>
      <w:pPr>
        <w:spacing w:line="240" w:lineRule="auto" w:before="7"/>
        <w:rPr>
          <w:rFonts w:ascii="宋体" w:hAnsi="宋体" w:cs="宋体" w:eastAsia="宋体" w:hint="default"/>
          <w:sz w:val="32"/>
          <w:szCs w:val="32"/>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spacing w:before="0"/>
        <w:ind w:left="0" w:right="343" w:firstLine="0"/>
        <w:jc w:val="center"/>
        <w:rPr>
          <w:rFonts w:ascii="宋体" w:hAnsi="宋体" w:cs="宋体" w:eastAsia="宋体" w:hint="default"/>
          <w:sz w:val="18"/>
          <w:szCs w:val="18"/>
        </w:rPr>
      </w:pPr>
      <w:r>
        <w:rPr>
          <w:rFonts w:ascii="宋体" w:hAnsi="宋体" w:cs="宋体" w:eastAsia="宋体" w:hint="default"/>
          <w:sz w:val="18"/>
          <w:szCs w:val="18"/>
        </w:rPr>
        <w:t>期 初</w:t>
      </w:r>
      <w:r>
        <w:rPr>
          <w:rFonts w:ascii="宋体" w:hAnsi="宋体" w:cs="宋体" w:eastAsia="宋体" w:hint="default"/>
          <w:spacing w:val="2"/>
          <w:sz w:val="18"/>
          <w:szCs w:val="18"/>
        </w:rPr>
        <w:t> </w:t>
      </w:r>
      <w:r>
        <w:rPr>
          <w:rFonts w:ascii="宋体" w:hAnsi="宋体" w:cs="宋体" w:eastAsia="宋体" w:hint="default"/>
          <w:sz w:val="18"/>
          <w:szCs w:val="18"/>
        </w:rPr>
        <w:t>数</w:t>
      </w:r>
    </w:p>
    <w:p>
      <w:pPr>
        <w:spacing w:line="240" w:lineRule="auto" w:before="10"/>
        <w:rPr>
          <w:rFonts w:ascii="宋体" w:hAnsi="宋体" w:cs="宋体" w:eastAsia="宋体" w:hint="default"/>
          <w:sz w:val="5"/>
          <w:szCs w:val="5"/>
        </w:rPr>
      </w:pPr>
    </w:p>
    <w:p>
      <w:pPr>
        <w:spacing w:line="20" w:lineRule="exact"/>
        <w:ind w:left="-240" w:right="0" w:firstLine="0"/>
        <w:rPr>
          <w:rFonts w:ascii="宋体" w:hAnsi="宋体" w:cs="宋体" w:eastAsia="宋体" w:hint="default"/>
          <w:sz w:val="2"/>
          <w:szCs w:val="2"/>
        </w:rPr>
      </w:pPr>
      <w:r>
        <w:rPr>
          <w:rFonts w:ascii="宋体" w:hAnsi="宋体" w:cs="宋体" w:eastAsia="宋体" w:hint="default"/>
          <w:sz w:val="2"/>
          <w:szCs w:val="2"/>
        </w:rPr>
        <w:pict>
          <v:group style="width:205.95pt;height:.5pt;mso-position-horizontal-relative:char;mso-position-vertical-relative:line" coordorigin="0,0" coordsize="4119,10">
            <v:group style="position:absolute;left:5;top:5;width:1983;height:2" coordorigin="5,5" coordsize="1983,2">
              <v:shape style="position:absolute;left:5;top:5;width:1983;height:2" coordorigin="5,5" coordsize="1983,0" path="m5,5l1987,5e" filled="false" stroked="true" strokeweight=".48pt" strokecolor="#000000">
                <v:path arrowok="t"/>
              </v:shape>
            </v:group>
            <v:group style="position:absolute;left:1987;top:5;width:10;height:2" coordorigin="1987,5" coordsize="10,2">
              <v:shape style="position:absolute;left:1987;top:5;width:10;height:2" coordorigin="1987,5" coordsize="10,0" path="m1987,5l1997,5e" filled="false" stroked="true" strokeweight=".48pt" strokecolor="#000000">
                <v:path arrowok="t"/>
              </v:shape>
            </v:group>
            <v:group style="position:absolute;left:1997;top:5;width:53;height:2" coordorigin="1997,5" coordsize="53,2">
              <v:shape style="position:absolute;left:1997;top:5;width:53;height:2" coordorigin="1997,5" coordsize="53,0" path="m1997,5l2050,5e" filled="false" stroked="true" strokeweight=".48pt" strokecolor="#000000">
                <v:path arrowok="t"/>
              </v:shape>
            </v:group>
            <v:group style="position:absolute;left:2050;top:5;width:10;height:2" coordorigin="2050,5" coordsize="10,2">
              <v:shape style="position:absolute;left:2050;top:5;width:10;height:2" coordorigin="2050,5" coordsize="10,0" path="m2050,5l2059,5e" filled="false" stroked="true" strokeweight=".48pt" strokecolor="#000000">
                <v:path arrowok="t"/>
              </v:shape>
            </v:group>
            <v:group style="position:absolute;left:2059;top:5;width:2055;height:2" coordorigin="2059,5" coordsize="2055,2">
              <v:shape style="position:absolute;left:2059;top:5;width:2055;height:2" coordorigin="2059,5" coordsize="2055,0" path="m2059,5l4114,5e" filled="false" stroked="true" strokeweight=".48pt" strokecolor="#000000">
                <v:path arrowok="t"/>
              </v:shape>
            </v:group>
          </v:group>
        </w:pict>
      </w:r>
      <w:r>
        <w:rPr>
          <w:rFonts w:ascii="宋体" w:hAnsi="宋体" w:cs="宋体" w:eastAsia="宋体" w:hint="default"/>
          <w:sz w:val="2"/>
          <w:szCs w:val="2"/>
        </w:rPr>
      </w:r>
    </w:p>
    <w:p>
      <w:pPr>
        <w:tabs>
          <w:tab w:pos="2085" w:val="left" w:leader="none"/>
        </w:tabs>
        <w:spacing w:before="24"/>
        <w:ind w:left="0" w:right="386"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p>
      <w:pPr>
        <w:spacing w:line="240" w:lineRule="auto" w:before="10"/>
        <w:rPr>
          <w:rFonts w:ascii="宋体" w:hAnsi="宋体" w:cs="宋体" w:eastAsia="宋体" w:hint="default"/>
          <w:sz w:val="5"/>
          <w:szCs w:val="5"/>
        </w:rPr>
      </w:pPr>
    </w:p>
    <w:p>
      <w:pPr>
        <w:spacing w:line="20" w:lineRule="exact"/>
        <w:ind w:left="-240" w:right="0" w:firstLine="0"/>
        <w:rPr>
          <w:rFonts w:ascii="宋体" w:hAnsi="宋体" w:cs="宋体" w:eastAsia="宋体" w:hint="default"/>
          <w:sz w:val="2"/>
          <w:szCs w:val="2"/>
        </w:rPr>
      </w:pPr>
      <w:r>
        <w:rPr>
          <w:rFonts w:ascii="宋体" w:hAnsi="宋体" w:cs="宋体" w:eastAsia="宋体" w:hint="default"/>
          <w:sz w:val="2"/>
          <w:szCs w:val="2"/>
        </w:rPr>
        <w:pict>
          <v:group style="width:205.95pt;height:.5pt;mso-position-horizontal-relative:char;mso-position-vertical-relative:line" coordorigin="0,0" coordsize="4119,10">
            <v:group style="position:absolute;left:5;top:5;width:1104;height:2" coordorigin="5,5" coordsize="1104,2">
              <v:shape style="position:absolute;left:5;top:5;width:1104;height:2" coordorigin="5,5" coordsize="1104,0" path="m5,5l1109,5e" filled="false" stroked="true" strokeweight=".48pt" strokecolor="#000000">
                <v:path arrowok="t"/>
              </v:shape>
            </v:group>
            <v:group style="position:absolute;left:1109;top:5;width:10;height:2" coordorigin="1109,5" coordsize="10,2">
              <v:shape style="position:absolute;left:1109;top:5;width:10;height:2" coordorigin="1109,5" coordsize="10,0" path="m1109,5l1118,5e" filled="false" stroked="true" strokeweight=".48pt" strokecolor="#000000">
                <v:path arrowok="t"/>
              </v:shape>
            </v:group>
            <v:group style="position:absolute;left:1118;top:5;width:53;height:2" coordorigin="1118,5" coordsize="53,2">
              <v:shape style="position:absolute;left:1118;top:5;width:53;height:2" coordorigin="1118,5" coordsize="53,0" path="m1118,5l1171,5e" filled="false" stroked="true" strokeweight=".48pt" strokecolor="#000000">
                <v:path arrowok="t"/>
              </v:shape>
            </v:group>
            <v:group style="position:absolute;left:1171;top:5;width:10;height:2" coordorigin="1171,5" coordsize="10,2">
              <v:shape style="position:absolute;left:1171;top:5;width:10;height:2" coordorigin="1171,5" coordsize="10,0" path="m1171,5l1181,5e" filled="false" stroked="true" strokeweight=".48pt" strokecolor="#000000">
                <v:path arrowok="t"/>
              </v:shape>
            </v:group>
            <v:group style="position:absolute;left:1181;top:5;width:807;height:2" coordorigin="1181,5" coordsize="807,2">
              <v:shape style="position:absolute;left:1181;top:5;width:807;height:2" coordorigin="1181,5" coordsize="807,0" path="m1181,5l1987,5e" filled="false" stroked="true" strokeweight=".48pt" strokecolor="#000000">
                <v:path arrowok="t"/>
              </v:shape>
            </v:group>
            <v:group style="position:absolute;left:2050;top:5;width:1085;height:2" coordorigin="2050,5" coordsize="1085,2">
              <v:shape style="position:absolute;left:2050;top:5;width:1085;height:2" coordorigin="2050,5" coordsize="1085,0" path="m2050,5l3134,5e" filled="false" stroked="true" strokeweight=".48pt" strokecolor="#000000">
                <v:path arrowok="t"/>
              </v:shape>
            </v:group>
            <v:group style="position:absolute;left:3134;top:5;width:10;height:2" coordorigin="3134,5" coordsize="10,2">
              <v:shape style="position:absolute;left:3134;top:5;width:10;height:2" coordorigin="3134,5" coordsize="10,0" path="m3134,5l3144,5e" filled="false" stroked="true" strokeweight=".48pt" strokecolor="#000000">
                <v:path arrowok="t"/>
              </v:shape>
            </v:group>
            <v:group style="position:absolute;left:3144;top:5;width:53;height:2" coordorigin="3144,5" coordsize="53,2">
              <v:shape style="position:absolute;left:3144;top:5;width:53;height:2" coordorigin="3144,5" coordsize="53,0" path="m3144,5l3197,5e" filled="false" stroked="true" strokeweight=".48pt" strokecolor="#000000">
                <v:path arrowok="t"/>
              </v:shape>
            </v:group>
            <v:group style="position:absolute;left:3197;top:5;width:10;height:2" coordorigin="3197,5" coordsize="10,2">
              <v:shape style="position:absolute;left:3197;top:5;width:10;height:2" coordorigin="3197,5" coordsize="10,0" path="m3197,5l3206,5e" filled="false" stroked="true" strokeweight=".48pt" strokecolor="#000000">
                <v:path arrowok="t"/>
              </v:shape>
            </v:group>
            <v:group style="position:absolute;left:3206;top:5;width:908;height:2" coordorigin="3206,5" coordsize="908,2">
              <v:shape style="position:absolute;left:3206;top:5;width:908;height:2" coordorigin="3206,5" coordsize="908,0" path="m3206,5l4114,5e" filled="false" stroked="true" strokeweight=".48pt" strokecolor="#000000">
                <v:path arrowok="t"/>
              </v:shape>
            </v:group>
          </v:group>
        </w:pict>
      </w:r>
      <w:r>
        <w:rPr>
          <w:rFonts w:ascii="宋体" w:hAnsi="宋体" w:cs="宋体" w:eastAsia="宋体" w:hint="default"/>
          <w:sz w:val="2"/>
          <w:szCs w:val="2"/>
        </w:rPr>
      </w:r>
    </w:p>
    <w:p>
      <w:pPr>
        <w:tabs>
          <w:tab w:pos="960" w:val="left" w:leader="none"/>
          <w:tab w:pos="2170" w:val="left" w:leader="none"/>
          <w:tab w:pos="2983" w:val="left" w:leader="none"/>
        </w:tabs>
        <w:spacing w:before="24"/>
        <w:ind w:left="137" w:right="0" w:firstLine="0"/>
        <w:jc w:val="left"/>
        <w:rPr>
          <w:rFonts w:ascii="宋体" w:hAnsi="宋体" w:cs="宋体" w:eastAsia="宋体" w:hint="default"/>
          <w:sz w:val="18"/>
          <w:szCs w:val="18"/>
        </w:rPr>
      </w:pPr>
      <w:r>
        <w:rPr/>
        <w:pict>
          <v:group style="position:absolute;margin-left:88.199997pt;margin-top:16.751747pt;width:418.95pt;height:.5pt;mso-position-horizontal-relative:page;mso-position-vertical-relative:paragraph;z-index:2272" coordorigin="1764,335" coordsize="8379,10">
            <v:group style="position:absolute;left:1769;top:340;width:4198;height:2" coordorigin="1769,340" coordsize="4198,2">
              <v:shape style="position:absolute;left:1769;top:340;width:4198;height:2" coordorigin="1769,340" coordsize="4198,0" path="m1769,340l5966,340e" filled="false" stroked="true" strokeweight=".48pt" strokecolor="#000000">
                <v:path arrowok="t"/>
              </v:shape>
            </v:group>
            <v:group style="position:absolute;left:6029;top:340;width:1104;height:2" coordorigin="6029,340" coordsize="1104,2">
              <v:shape style="position:absolute;left:6029;top:340;width:1104;height:2" coordorigin="6029,340" coordsize="1104,0" path="m6029,340l7133,340e" filled="false" stroked="true" strokeweight=".48pt" strokecolor="#000000">
                <v:path arrowok="t"/>
              </v:shape>
            </v:group>
            <v:group style="position:absolute;left:7195;top:340;width:816;height:2" coordorigin="7195,340" coordsize="816,2">
              <v:shape style="position:absolute;left:7195;top:340;width:816;height:2" coordorigin="7195,340" coordsize="816,0" path="m7195,340l8011,340e" filled="false" stroked="true" strokeweight=".48pt" strokecolor="#000000">
                <v:path arrowok="t"/>
              </v:shape>
            </v:group>
            <v:group style="position:absolute;left:8074;top:340;width:1085;height:2" coordorigin="8074,340" coordsize="1085,2">
              <v:shape style="position:absolute;left:8074;top:340;width:1085;height:2" coordorigin="8074,340" coordsize="1085,0" path="m8074,340l9158,340e" filled="false" stroked="true" strokeweight=".48pt" strokecolor="#000000">
                <v:path arrowok="t"/>
              </v:shape>
            </v:group>
            <v:group style="position:absolute;left:9221;top:340;width:917;height:2" coordorigin="9221,340" coordsize="917,2">
              <v:shape style="position:absolute;left:9221;top:340;width:917;height:2" coordorigin="9221,340" coordsize="917,0" path="m9221,340l10138,340e" filled="false" stroked="true" strokeweight=".48pt" strokecolor="#000000">
                <v:path arrowok="t"/>
              </v:shape>
            </v:group>
            <w10:wrap type="none"/>
          </v:group>
        </w:pict>
      </w:r>
      <w:r>
        <w:rPr>
          <w:rFonts w:ascii="宋体" w:hAnsi="宋体" w:cs="宋体" w:eastAsia="宋体" w:hint="default"/>
          <w:sz w:val="18"/>
          <w:szCs w:val="18"/>
        </w:rPr>
        <w:t>金额</w:t>
        <w:tab/>
      </w: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tab/>
      </w:r>
      <w:r>
        <w:rPr>
          <w:rFonts w:ascii="宋体" w:hAnsi="宋体" w:cs="宋体" w:eastAsia="宋体" w:hint="default"/>
          <w:sz w:val="18"/>
          <w:szCs w:val="18"/>
        </w:rPr>
        <w:t>金额</w:t>
        <w:tab/>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380" w:bottom="1380" w:left="1660" w:right="1660"/>
          <w:cols w:num="2" w:equalWidth="0">
            <w:col w:w="2481" w:space="2123"/>
            <w:col w:w="3986"/>
          </w:cols>
        </w:sectPr>
      </w:pPr>
    </w:p>
    <w:p>
      <w:pPr>
        <w:tabs>
          <w:tab w:pos="4395" w:val="left" w:leader="none"/>
          <w:tab w:pos="6324" w:val="right" w:leader="none"/>
        </w:tabs>
        <w:spacing w:before="106"/>
        <w:ind w:left="137" w:right="0" w:firstLine="0"/>
        <w:jc w:val="left"/>
        <w:rPr>
          <w:rFonts w:ascii="Times New Roman" w:hAnsi="Times New Roman" w:cs="Times New Roman" w:eastAsia="Times New Roman" w:hint="default"/>
          <w:sz w:val="20"/>
          <w:szCs w:val="20"/>
        </w:rPr>
      </w:pPr>
      <w:r>
        <w:rPr>
          <w:rFonts w:ascii="宋体" w:hAnsi="宋体" w:cs="宋体" w:eastAsia="宋体" w:hint="default"/>
          <w:sz w:val="18"/>
          <w:szCs w:val="18"/>
        </w:rPr>
        <w:t>单项金额重大并单项计提坏账准备的其他应收款</w:t>
        <w:tab/>
      </w:r>
      <w:r>
        <w:rPr>
          <w:rFonts w:ascii="Times New Roman" w:hAnsi="Times New Roman" w:cs="Times New Roman" w:eastAsia="Times New Roman" w:hint="default"/>
          <w:sz w:val="20"/>
          <w:szCs w:val="20"/>
        </w:rPr>
        <w:t>1,300,000.00</w:t>
        <w:tab/>
        <w:t>31.30</w:t>
      </w:r>
    </w:p>
    <w:p>
      <w:pPr>
        <w:tabs>
          <w:tab w:pos="6307" w:val="right" w:leader="none"/>
        </w:tabs>
        <w:spacing w:line="405" w:lineRule="auto" w:before="142"/>
        <w:ind w:left="137" w:right="2259" w:firstLine="0"/>
        <w:jc w:val="left"/>
        <w:rPr>
          <w:rFonts w:ascii="Times New Roman" w:hAnsi="Times New Roman" w:cs="Times New Roman" w:eastAsia="Times New Roman" w:hint="default"/>
          <w:sz w:val="20"/>
          <w:szCs w:val="20"/>
        </w:rPr>
      </w:pPr>
      <w:r>
        <w:rPr/>
        <w:pict>
          <v:group style="position:absolute;margin-left:301.200012pt;margin-top:42.57169pt;width:205.95pt;height:.5pt;mso-position-horizontal-relative:page;mso-position-vertical-relative:paragraph;z-index:-605296" coordorigin="6024,851" coordsize="4119,10">
            <v:group style="position:absolute;left:6029;top:856;width:1104;height:2" coordorigin="6029,856" coordsize="1104,2">
              <v:shape style="position:absolute;left:6029;top:856;width:1104;height:2" coordorigin="6029,856" coordsize="1104,0" path="m6029,856l7133,856e" filled="false" stroked="true" strokeweight=".48pt" strokecolor="#000000">
                <v:path arrowok="t"/>
              </v:shape>
            </v:group>
            <v:group style="position:absolute;left:7195;top:856;width:816;height:2" coordorigin="7195,856" coordsize="816,2">
              <v:shape style="position:absolute;left:7195;top:856;width:816;height:2" coordorigin="7195,856" coordsize="816,0" path="m7195,856l8011,856e" filled="false" stroked="true" strokeweight=".48pt" strokecolor="#000000">
                <v:path arrowok="t"/>
              </v:shape>
            </v:group>
            <v:group style="position:absolute;left:8074;top:856;width:1085;height:2" coordorigin="8074,856" coordsize="1085,2">
              <v:shape style="position:absolute;left:8074;top:856;width:1085;height:2" coordorigin="8074,856" coordsize="1085,0" path="m8074,856l9158,856e" filled="false" stroked="true" strokeweight=".48pt" strokecolor="#000000">
                <v:path arrowok="t"/>
              </v:shape>
            </v:group>
            <v:group style="position:absolute;left:9221;top:856;width:917;height:2" coordorigin="9221,856" coordsize="917,2">
              <v:shape style="position:absolute;left:9221;top:856;width:917;height:2" coordorigin="9221,856" coordsize="917,0" path="m9221,856l10138,856e" filled="false" stroked="true" strokeweight=".48pt" strokecolor="#000000">
                <v:path arrowok="t"/>
              </v:shape>
            </v:group>
            <w10:wrap type="none"/>
          </v:group>
        </w:pict>
      </w:r>
      <w:r>
        <w:rPr>
          <w:rFonts w:ascii="宋体" w:hAnsi="宋体" w:cs="宋体" w:eastAsia="宋体" w:hint="default"/>
          <w:sz w:val="18"/>
          <w:szCs w:val="18"/>
        </w:rPr>
        <w:t>按组合计提坏账准备的其他应收款 单项金额虽不重大但单项计提坏账准备的其他应收款</w:t>
      </w:r>
      <w:r>
        <w:rPr>
          <w:rFonts w:ascii="宋体" w:hAnsi="宋体" w:cs="宋体" w:eastAsia="宋体" w:hint="default"/>
          <w:spacing w:val="25"/>
          <w:sz w:val="18"/>
          <w:szCs w:val="18"/>
        </w:rPr>
        <w:t> </w:t>
      </w:r>
      <w:r>
        <w:rPr>
          <w:rFonts w:ascii="Times New Roman" w:hAnsi="Times New Roman" w:cs="Times New Roman" w:eastAsia="Times New Roman" w:hint="default"/>
          <w:sz w:val="20"/>
          <w:szCs w:val="20"/>
        </w:rPr>
        <w:t>2,853,809.11</w:t>
      </w: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tab/>
      </w:r>
      <w:r>
        <w:rPr>
          <w:rFonts w:ascii="Times New Roman" w:hAnsi="Times New Roman" w:cs="Times New Roman" w:eastAsia="Times New Roman" w:hint="default"/>
          <w:w w:val="34"/>
          <w:sz w:val="20"/>
          <w:szCs w:val="20"/>
        </w:rPr>
        <w:t> </w:t>
      </w:r>
      <w:r>
        <w:rPr>
          <w:rFonts w:ascii="Times New Roman" w:hAnsi="Times New Roman" w:cs="Times New Roman" w:eastAsia="Times New Roman" w:hint="default"/>
          <w:sz w:val="20"/>
          <w:szCs w:val="20"/>
        </w:rPr>
        <w:t>68.70</w:t>
      </w:r>
    </w:p>
    <w:p>
      <w:pPr>
        <w:tabs>
          <w:tab w:pos="4395" w:val="left" w:leader="none"/>
          <w:tab w:pos="5772" w:val="left" w:leader="none"/>
        </w:tabs>
        <w:spacing w:line="200" w:lineRule="exact" w:before="0"/>
        <w:ind w:left="1956" w:right="0" w:firstLine="0"/>
        <w:jc w:val="left"/>
        <w:rPr>
          <w:rFonts w:ascii="Times New Roman" w:hAnsi="Times New Roman" w:cs="Times New Roman" w:eastAsia="Times New Roman" w:hint="default"/>
          <w:sz w:val="20"/>
          <w:szCs w:val="20"/>
        </w:rPr>
      </w:pPr>
      <w:r>
        <w:rPr/>
        <w:pict>
          <v:group style="position:absolute;margin-left:300.359985pt;margin-top:13.115691pt;width:206.9pt;height:2.2pt;mso-position-horizontal-relative:page;mso-position-vertical-relative:paragraph;z-index:2320" coordorigin="6007,262" coordsize="4138,44">
            <v:group style="position:absolute;left:6014;top:298;width:1119;height:2" coordorigin="6014,298" coordsize="1119,2">
              <v:shape style="position:absolute;left:6014;top:298;width:1119;height:2" coordorigin="6014,298" coordsize="1119,0" path="m6014,298l7133,298e" filled="false" stroked="true" strokeweight=".72pt" strokecolor="#000000">
                <v:path arrowok="t"/>
              </v:shape>
            </v:group>
            <v:group style="position:absolute;left:6014;top:270;width:1119;height:2" coordorigin="6014,270" coordsize="1119,2">
              <v:shape style="position:absolute;left:6014;top:270;width:1119;height:2" coordorigin="6014,270" coordsize="1119,0" path="m6014,270l7133,270e" filled="false" stroked="true" strokeweight=".72pt" strokecolor="#000000">
                <v:path arrowok="t"/>
              </v:shape>
            </v:group>
            <v:group style="position:absolute;left:7181;top:298;width:831;height:2" coordorigin="7181,298" coordsize="831,2">
              <v:shape style="position:absolute;left:7181;top:298;width:831;height:2" coordorigin="7181,298" coordsize="831,0" path="m7181,298l8011,298e" filled="false" stroked="true" strokeweight=".72pt" strokecolor="#000000">
                <v:path arrowok="t"/>
              </v:shape>
            </v:group>
            <v:group style="position:absolute;left:7181;top:270;width:831;height:2" coordorigin="7181,270" coordsize="831,2">
              <v:shape style="position:absolute;left:7181;top:270;width:831;height:2" coordorigin="7181,270" coordsize="831,0" path="m7181,270l8011,270e" filled="false" stroked="true" strokeweight=".72pt" strokecolor="#000000">
                <v:path arrowok="t"/>
              </v:shape>
            </v:group>
            <v:group style="position:absolute;left:8059;top:298;width:1100;height:2" coordorigin="8059,298" coordsize="1100,2">
              <v:shape style="position:absolute;left:8059;top:298;width:1100;height:2" coordorigin="8059,298" coordsize="1100,0" path="m8059,298l9158,298e" filled="false" stroked="true" strokeweight=".72pt" strokecolor="#000000">
                <v:path arrowok="t"/>
              </v:shape>
            </v:group>
            <v:group style="position:absolute;left:8059;top:270;width:1100;height:2" coordorigin="8059,270" coordsize="1100,2">
              <v:shape style="position:absolute;left:8059;top:270;width:1100;height:2" coordorigin="8059,270" coordsize="1100,0" path="m8059,270l9158,270e" filled="false" stroked="true" strokeweight=".72pt" strokecolor="#000000">
                <v:path arrowok="t"/>
              </v:shape>
            </v:group>
            <v:group style="position:absolute;left:9206;top:298;width:932;height:2" coordorigin="9206,298" coordsize="932,2">
              <v:shape style="position:absolute;left:9206;top:298;width:932;height:2" coordorigin="9206,298" coordsize="932,0" path="m9206,298l10138,298e" filled="false" stroked="true" strokeweight=".72pt" strokecolor="#000000">
                <v:path arrowok="t"/>
              </v:shape>
            </v:group>
            <v:group style="position:absolute;left:9206;top:270;width:932;height:2" coordorigin="9206,270" coordsize="932,2">
              <v:shape style="position:absolute;left:9206;top:270;width:932;height:2" coordorigin="9206,270" coordsize="932,0" path="m9206,270l10138,270e" filled="false" stroked="true" strokeweight=".72pt" strokecolor="#000000">
                <v:path arrowok="t"/>
              </v:shape>
            </v:group>
            <w10:wrap type="none"/>
          </v:group>
        </w:pict>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w w:val="95"/>
          <w:sz w:val="20"/>
          <w:szCs w:val="20"/>
        </w:rPr>
        <w:t>4,153,809.11</w:t>
        <w:tab/>
      </w:r>
      <w:r>
        <w:rPr>
          <w:rFonts w:ascii="Times New Roman" w:hAnsi="Times New Roman" w:cs="Times New Roman" w:eastAsia="Times New Roman" w:hint="default"/>
          <w:sz w:val="20"/>
          <w:szCs w:val="20"/>
        </w:rPr>
        <w:t>100.00</w:t>
      </w:r>
    </w:p>
    <w:p>
      <w:pPr>
        <w:pStyle w:val="BodyText"/>
        <w:spacing w:line="240" w:lineRule="auto" w:before="307"/>
        <w:ind w:left="620" w:right="0"/>
        <w:jc w:val="left"/>
      </w:pPr>
      <w:r>
        <w:rPr/>
        <w:pict>
          <v:group style="position:absolute;margin-left:215.039993pt;margin-top:50.125629pt;width:291.75pt;height:.5pt;mso-position-horizontal-relative:page;mso-position-vertical-relative:paragraph;z-index:-605248" coordorigin="4301,1003" coordsize="5835,10">
            <v:group style="position:absolute;left:4306;top:1007;width:2964;height:2" coordorigin="4306,1007" coordsize="2964,2">
              <v:shape style="position:absolute;left:4306;top:1007;width:2964;height:2" coordorigin="4306,1007" coordsize="2964,0" path="m4306,1007l7270,1007e" filled="false" stroked="true" strokeweight=".48pt" strokecolor="#000000">
                <v:path arrowok="t"/>
              </v:shape>
            </v:group>
            <v:group style="position:absolute;left:7308;top:1007;width:2823;height:2" coordorigin="7308,1007" coordsize="2823,2">
              <v:shape style="position:absolute;left:7308;top:1007;width:2823;height:2" coordorigin="7308,1007" coordsize="2823,0" path="m7308,1007l10130,1007e" filled="false" stroked="true" strokeweight=".48pt" strokecolor="#000000">
                <v:path arrowok="t"/>
              </v:shape>
            </v:group>
            <w10:wrap type="none"/>
          </v:group>
        </w:pict>
      </w:r>
      <w:r>
        <w:rPr/>
        <w:t>（</w:t>
      </w:r>
      <w:r>
        <w:rPr>
          <w:rFonts w:ascii="Times New Roman" w:hAnsi="Times New Roman" w:cs="Times New Roman" w:eastAsia="Times New Roman" w:hint="default"/>
        </w:rPr>
        <w:t>2</w:t>
      </w:r>
      <w:r>
        <w:rPr/>
        <w:t>）其他应收款按账龄列示</w:t>
      </w:r>
    </w:p>
    <w:tbl>
      <w:tblPr>
        <w:tblW w:w="0" w:type="auto"/>
        <w:jc w:val="left"/>
        <w:tblInd w:w="116" w:type="dxa"/>
        <w:tblLayout w:type="fixed"/>
        <w:tblCellMar>
          <w:top w:w="0" w:type="dxa"/>
          <w:left w:w="0" w:type="dxa"/>
          <w:bottom w:w="0" w:type="dxa"/>
          <w:right w:w="0" w:type="dxa"/>
        </w:tblCellMar>
        <w:tblLook w:val="01E0"/>
      </w:tblPr>
      <w:tblGrid>
        <w:gridCol w:w="910"/>
        <w:gridCol w:w="1620"/>
        <w:gridCol w:w="1136"/>
        <w:gridCol w:w="1849"/>
        <w:gridCol w:w="1106"/>
        <w:gridCol w:w="1733"/>
      </w:tblGrid>
      <w:tr>
        <w:trPr>
          <w:trHeight w:val="681" w:hRule="exact"/>
        </w:trPr>
        <w:tc>
          <w:tcPr>
            <w:tcW w:w="910" w:type="dxa"/>
            <w:tcBorders>
              <w:top w:val="nil" w:sz="6" w:space="0" w:color="auto"/>
              <w:left w:val="nil" w:sz="6" w:space="0" w:color="auto"/>
              <w:bottom w:val="single" w:sz="4" w:space="0" w:color="000000"/>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89"/>
              <w:ind w:left="136"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35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44" w:right="0"/>
              <w:jc w:val="left"/>
              <w:rPr>
                <w:rFonts w:ascii="宋体" w:hAnsi="宋体" w:cs="宋体" w:eastAsia="宋体" w:hint="default"/>
                <w:sz w:val="20"/>
                <w:szCs w:val="20"/>
              </w:rPr>
            </w:pPr>
            <w:r>
              <w:rPr>
                <w:rFonts w:ascii="宋体" w:hAnsi="宋体" w:cs="宋体" w:eastAsia="宋体" w:hint="default"/>
                <w:sz w:val="20"/>
                <w:szCs w:val="20"/>
              </w:rPr>
              <w:t>期末数</w:t>
            </w:r>
          </w:p>
          <w:p>
            <w:pPr>
              <w:pStyle w:val="TableParagraph"/>
              <w:spacing w:line="240" w:lineRule="auto" w:before="84"/>
              <w:ind w:left="435"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35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9" w:right="0"/>
              <w:jc w:val="left"/>
              <w:rPr>
                <w:rFonts w:ascii="宋体" w:hAnsi="宋体" w:cs="宋体" w:eastAsia="宋体" w:hint="default"/>
                <w:sz w:val="20"/>
                <w:szCs w:val="20"/>
              </w:rPr>
            </w:pPr>
            <w:r>
              <w:rPr>
                <w:rFonts w:ascii="宋体" w:hAnsi="宋体" w:cs="宋体" w:eastAsia="宋体" w:hint="default"/>
                <w:sz w:val="20"/>
                <w:szCs w:val="20"/>
              </w:rPr>
              <w:t>期初数</w:t>
            </w:r>
          </w:p>
          <w:p>
            <w:pPr>
              <w:pStyle w:val="TableParagraph"/>
              <w:spacing w:line="240" w:lineRule="auto" w:before="84"/>
              <w:ind w:left="408"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9" w:hRule="exact"/>
        </w:trPr>
        <w:tc>
          <w:tcPr>
            <w:tcW w:w="91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620"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42"/>
              <w:jc w:val="right"/>
              <w:rPr>
                <w:rFonts w:ascii="Times New Roman" w:hAnsi="Times New Roman" w:cs="Times New Roman" w:eastAsia="Times New Roman" w:hint="default"/>
                <w:sz w:val="20"/>
                <w:szCs w:val="20"/>
              </w:rPr>
            </w:pPr>
            <w:r>
              <w:rPr>
                <w:rFonts w:ascii="Times New Roman"/>
                <w:w w:val="95"/>
                <w:sz w:val="20"/>
              </w:rPr>
              <w:t>5,646,688.60</w:t>
            </w:r>
            <w:r>
              <w:rPr>
                <w:rFonts w:ascii="Times New Roman"/>
                <w:sz w:val="20"/>
              </w:rPr>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1"/>
              <w:jc w:val="right"/>
              <w:rPr>
                <w:rFonts w:ascii="Times New Roman" w:hAnsi="Times New Roman" w:cs="Times New Roman" w:eastAsia="Times New Roman" w:hint="default"/>
                <w:sz w:val="20"/>
                <w:szCs w:val="20"/>
              </w:rPr>
            </w:pPr>
            <w:r>
              <w:rPr>
                <w:rFonts w:ascii="Times New Roman"/>
                <w:sz w:val="20"/>
              </w:rPr>
              <w:t>86.29</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7"/>
              <w:jc w:val="right"/>
              <w:rPr>
                <w:rFonts w:ascii="Times New Roman" w:hAnsi="Times New Roman" w:cs="Times New Roman" w:eastAsia="Times New Roman" w:hint="default"/>
                <w:sz w:val="20"/>
                <w:szCs w:val="20"/>
              </w:rPr>
            </w:pPr>
            <w:r>
              <w:rPr>
                <w:rFonts w:ascii="Times New Roman"/>
                <w:w w:val="95"/>
                <w:sz w:val="20"/>
              </w:rPr>
              <w:t>2,914,153.59</w:t>
            </w:r>
            <w:r>
              <w:rPr>
                <w:rFonts w:ascii="Times New Roman"/>
                <w:sz w:val="20"/>
              </w:rPr>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7"/>
              <w:jc w:val="right"/>
              <w:rPr>
                <w:rFonts w:ascii="Times New Roman" w:hAnsi="Times New Roman" w:cs="Times New Roman" w:eastAsia="Times New Roman" w:hint="default"/>
                <w:sz w:val="20"/>
                <w:szCs w:val="20"/>
              </w:rPr>
            </w:pPr>
            <w:r>
              <w:rPr>
                <w:rFonts w:ascii="Times New Roman"/>
                <w:sz w:val="20"/>
              </w:rPr>
              <w:t>70.16</w:t>
            </w:r>
          </w:p>
        </w:tc>
      </w:tr>
      <w:tr>
        <w:trPr>
          <w:trHeight w:val="336"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Times New Roman" w:hAnsi="Times New Roman" w:cs="Times New Roman" w:eastAsia="Times New Roman" w:hint="default"/>
                <w:sz w:val="20"/>
                <w:szCs w:val="20"/>
              </w:rPr>
            </w:pPr>
            <w:r>
              <w:rPr>
                <w:rFonts w:ascii="Times New Roman"/>
                <w:w w:val="95"/>
                <w:sz w:val="20"/>
              </w:rPr>
              <w:t>141,546.08</w:t>
            </w:r>
            <w:r>
              <w:rPr>
                <w:rFonts w:ascii="Times New Roman"/>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20"/>
                <w:szCs w:val="20"/>
              </w:rPr>
            </w:pPr>
            <w:r>
              <w:rPr>
                <w:rFonts w:ascii="Times New Roman"/>
                <w:sz w:val="20"/>
              </w:rPr>
              <w:t>2.16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right"/>
              <w:rPr>
                <w:rFonts w:ascii="Times New Roman" w:hAnsi="Times New Roman" w:cs="Times New Roman" w:eastAsia="Times New Roman" w:hint="default"/>
                <w:sz w:val="20"/>
                <w:szCs w:val="20"/>
              </w:rPr>
            </w:pPr>
            <w:r>
              <w:rPr>
                <w:rFonts w:ascii="Times New Roman"/>
                <w:w w:val="95"/>
                <w:sz w:val="20"/>
              </w:rPr>
              <w:t>554,922.50</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sz w:val="20"/>
              </w:rPr>
              <w:t>13.36</w:t>
            </w:r>
          </w:p>
        </w:tc>
      </w:tr>
      <w:tr>
        <w:trPr>
          <w:trHeight w:val="336"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Times New Roman" w:hAnsi="Times New Roman" w:cs="Times New Roman" w:eastAsia="Times New Roman" w:hint="default"/>
                <w:sz w:val="20"/>
                <w:szCs w:val="20"/>
              </w:rPr>
            </w:pPr>
            <w:r>
              <w:rPr>
                <w:rFonts w:ascii="Times New Roman"/>
                <w:w w:val="95"/>
                <w:sz w:val="20"/>
              </w:rPr>
              <w:t>298,393.23</w:t>
            </w:r>
            <w:r>
              <w:rPr>
                <w:rFonts w:ascii="Times New Roman"/>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20"/>
                <w:szCs w:val="20"/>
              </w:rPr>
            </w:pPr>
            <w:r>
              <w:rPr>
                <w:rFonts w:ascii="Times New Roman"/>
                <w:sz w:val="20"/>
              </w:rPr>
              <w:t>4.56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w w:val="95"/>
                <w:sz w:val="20"/>
              </w:rPr>
              <w:t>486,954.00</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sz w:val="20"/>
              </w:rPr>
              <w:t>11.72</w:t>
            </w:r>
          </w:p>
        </w:tc>
      </w:tr>
      <w:tr>
        <w:trPr>
          <w:trHeight w:val="336"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
              <w:jc w:val="right"/>
              <w:rPr>
                <w:rFonts w:ascii="Times New Roman" w:hAnsi="Times New Roman" w:cs="Times New Roman" w:eastAsia="Times New Roman" w:hint="default"/>
                <w:sz w:val="20"/>
                <w:szCs w:val="20"/>
              </w:rPr>
            </w:pPr>
            <w:r>
              <w:rPr>
                <w:rFonts w:ascii="Times New Roman"/>
                <w:w w:val="95"/>
                <w:sz w:val="20"/>
              </w:rPr>
              <w:t>332,854.00</w:t>
            </w:r>
            <w:r>
              <w:rPr>
                <w:rFonts w:ascii="Times New Roman"/>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20"/>
                <w:szCs w:val="20"/>
              </w:rPr>
            </w:pPr>
            <w:r>
              <w:rPr>
                <w:rFonts w:ascii="Times New Roman"/>
                <w:sz w:val="20"/>
              </w:rPr>
              <w:t>5.09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right"/>
              <w:rPr>
                <w:rFonts w:ascii="Times New Roman" w:hAnsi="Times New Roman" w:cs="Times New Roman" w:eastAsia="Times New Roman" w:hint="default"/>
                <w:sz w:val="20"/>
                <w:szCs w:val="20"/>
              </w:rPr>
            </w:pPr>
            <w:r>
              <w:rPr>
                <w:rFonts w:ascii="Times New Roman"/>
                <w:w w:val="95"/>
                <w:sz w:val="20"/>
              </w:rPr>
              <w:t>44,913.82</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sz w:val="20"/>
              </w:rPr>
              <w:t>1.08</w:t>
            </w:r>
          </w:p>
        </w:tc>
      </w:tr>
      <w:tr>
        <w:trPr>
          <w:trHeight w:val="336"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3"/>
              <w:jc w:val="right"/>
              <w:rPr>
                <w:rFonts w:ascii="Times New Roman" w:hAnsi="Times New Roman" w:cs="Times New Roman" w:eastAsia="Times New Roman" w:hint="default"/>
                <w:sz w:val="20"/>
                <w:szCs w:val="20"/>
              </w:rPr>
            </w:pPr>
            <w:r>
              <w:rPr>
                <w:rFonts w:ascii="Times New Roman"/>
                <w:w w:val="95"/>
                <w:sz w:val="20"/>
              </w:rPr>
              <w:t>44,913.82</w:t>
            </w:r>
            <w:r>
              <w:rPr>
                <w:rFonts w:ascii="Times New Roman"/>
                <w:sz w:val="20"/>
              </w:rPr>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20"/>
                <w:szCs w:val="20"/>
              </w:rPr>
            </w:pPr>
            <w:r>
              <w:rPr>
                <w:rFonts w:ascii="Times New Roman"/>
                <w:sz w:val="20"/>
              </w:rPr>
              <w:t>0.69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right"/>
              <w:rPr>
                <w:rFonts w:ascii="Times New Roman" w:hAnsi="Times New Roman" w:cs="Times New Roman" w:eastAsia="Times New Roman" w:hint="default"/>
                <w:sz w:val="20"/>
                <w:szCs w:val="20"/>
              </w:rPr>
            </w:pPr>
            <w:r>
              <w:rPr>
                <w:rFonts w:ascii="Times New Roman"/>
                <w:w w:val="95"/>
                <w:sz w:val="20"/>
              </w:rPr>
              <w:t>900.00</w:t>
            </w:r>
            <w:r>
              <w:rPr>
                <w:rFonts w:ascii="Times New Roman"/>
                <w:sz w:val="20"/>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sz w:val="20"/>
              </w:rPr>
              <w:t>0.02</w:t>
            </w:r>
          </w:p>
        </w:tc>
      </w:tr>
      <w:tr>
        <w:trPr>
          <w:trHeight w:val="342"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3"/>
              <w:jc w:val="right"/>
              <w:rPr>
                <w:rFonts w:ascii="Times New Roman" w:hAnsi="Times New Roman" w:cs="Times New Roman" w:eastAsia="Times New Roman" w:hint="default"/>
                <w:sz w:val="20"/>
                <w:szCs w:val="20"/>
              </w:rPr>
            </w:pPr>
            <w:r>
              <w:rPr>
                <w:rFonts w:ascii="Times New Roman"/>
                <w:w w:val="95"/>
                <w:sz w:val="20"/>
              </w:rPr>
              <w:t>79,765.20</w:t>
            </w:r>
            <w:r>
              <w:rPr>
                <w:rFonts w:ascii="Times New Roman"/>
                <w:sz w:val="20"/>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20"/>
                <w:szCs w:val="20"/>
              </w:rPr>
            </w:pPr>
            <w:r>
              <w:rPr>
                <w:rFonts w:ascii="Times New Roman"/>
                <w:sz w:val="20"/>
              </w:rPr>
              <w:t>1.21</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w w:val="95"/>
                <w:sz w:val="20"/>
              </w:rPr>
              <w:t>151,965.20</w:t>
            </w:r>
            <w:r>
              <w:rPr>
                <w:rFonts w:ascii="Times New Roman"/>
                <w:sz w:val="20"/>
              </w:rPr>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7"/>
              <w:jc w:val="right"/>
              <w:rPr>
                <w:rFonts w:ascii="Times New Roman" w:hAnsi="Times New Roman" w:cs="Times New Roman" w:eastAsia="Times New Roman" w:hint="default"/>
                <w:sz w:val="20"/>
                <w:szCs w:val="20"/>
              </w:rPr>
            </w:pPr>
            <w:r>
              <w:rPr>
                <w:rFonts w:ascii="Times New Roman"/>
                <w:sz w:val="20"/>
              </w:rPr>
              <w:t>3.66</w:t>
            </w:r>
          </w:p>
        </w:tc>
      </w:tr>
      <w:tr>
        <w:trPr>
          <w:trHeight w:val="353" w:hRule="exact"/>
        </w:trPr>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620"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42"/>
              <w:jc w:val="right"/>
              <w:rPr>
                <w:rFonts w:ascii="Times New Roman" w:hAnsi="Times New Roman" w:cs="Times New Roman" w:eastAsia="Times New Roman" w:hint="default"/>
                <w:sz w:val="20"/>
                <w:szCs w:val="20"/>
              </w:rPr>
            </w:pPr>
            <w:r>
              <w:rPr>
                <w:rFonts w:ascii="Times New Roman"/>
                <w:w w:val="95"/>
                <w:sz w:val="20"/>
              </w:rPr>
              <w:t>6,544,160.93</w:t>
            </w:r>
            <w:r>
              <w:rPr>
                <w:rFonts w:ascii="Times New Roman"/>
                <w:sz w:val="20"/>
              </w:rPr>
            </w:r>
          </w:p>
        </w:tc>
        <w:tc>
          <w:tcPr>
            <w:tcW w:w="1849"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3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06"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17"/>
              <w:jc w:val="right"/>
              <w:rPr>
                <w:rFonts w:ascii="Times New Roman" w:hAnsi="Times New Roman" w:cs="Times New Roman" w:eastAsia="Times New Roman" w:hint="default"/>
                <w:sz w:val="20"/>
                <w:szCs w:val="20"/>
              </w:rPr>
            </w:pPr>
            <w:r>
              <w:rPr>
                <w:rFonts w:ascii="Times New Roman"/>
                <w:w w:val="95"/>
                <w:sz w:val="20"/>
              </w:rPr>
              <w:t>4,153,809.11</w:t>
            </w:r>
            <w:r>
              <w:rPr>
                <w:rFonts w:ascii="Times New Roman"/>
                <w:sz w:val="20"/>
              </w:rPr>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1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pStyle w:val="BodyText"/>
        <w:spacing w:line="540" w:lineRule="atLeast" w:before="19"/>
        <w:ind w:left="620" w:right="266" w:hanging="56"/>
        <w:jc w:val="left"/>
      </w:pPr>
      <w:r>
        <w:rPr/>
        <w:t>（</w:t>
      </w:r>
      <w:r>
        <w:rPr>
          <w:rFonts w:ascii="Times New Roman" w:hAnsi="Times New Roman" w:cs="Times New Roman" w:eastAsia="Times New Roman" w:hint="default"/>
        </w:rPr>
        <w:t>3</w:t>
      </w:r>
      <w:r>
        <w:rPr/>
        <w:t>）坏账准备的计提情况 单项金额重大并单项计提坏账准备的其他应收款及单项金额虽不重大但单</w:t>
      </w:r>
    </w:p>
    <w:p>
      <w:pPr>
        <w:pStyle w:val="BodyText"/>
        <w:spacing w:line="240" w:lineRule="auto" w:before="86"/>
        <w:ind w:right="0"/>
        <w:jc w:val="left"/>
      </w:pPr>
      <w:r>
        <w:rPr/>
        <w:t>项计提坏账准备的其他应收款坏账准备计提情况</w:t>
      </w:r>
    </w:p>
    <w:p>
      <w:pPr>
        <w:spacing w:line="240" w:lineRule="auto" w:before="1"/>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899"/>
        <w:gridCol w:w="2951"/>
        <w:gridCol w:w="2504"/>
      </w:tblGrid>
      <w:tr>
        <w:trPr>
          <w:trHeight w:val="368" w:hRule="exact"/>
        </w:trPr>
        <w:tc>
          <w:tcPr>
            <w:tcW w:w="289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753"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2951" w:type="dxa"/>
            <w:tcBorders>
              <w:top w:val="nil" w:sz="6" w:space="0" w:color="auto"/>
              <w:left w:val="nil" w:sz="6" w:space="0" w:color="auto"/>
              <w:bottom w:val="single" w:sz="4" w:space="0" w:color="000000"/>
              <w:right w:val="nil" w:sz="6" w:space="0" w:color="auto"/>
            </w:tcBorders>
          </w:tcPr>
          <w:p>
            <w:pPr>
              <w:pStyle w:val="TableParagraph"/>
              <w:tabs>
                <w:tab w:pos="1211" w:val="left" w:leader="none"/>
              </w:tabs>
              <w:spacing w:line="240" w:lineRule="auto" w:before="26"/>
              <w:ind w:left="194" w:right="0"/>
              <w:jc w:val="left"/>
              <w:rPr>
                <w:rFonts w:ascii="宋体" w:hAnsi="宋体" w:cs="宋体" w:eastAsia="宋体" w:hint="default"/>
                <w:sz w:val="20"/>
                <w:szCs w:val="20"/>
              </w:rPr>
            </w:pPr>
            <w:r>
              <w:rPr>
                <w:rFonts w:ascii="宋体" w:hAnsi="宋体" w:cs="宋体" w:eastAsia="宋体" w:hint="default"/>
                <w:w w:val="95"/>
                <w:sz w:val="20"/>
                <w:szCs w:val="20"/>
              </w:rPr>
              <w:t>账面金额</w:t>
              <w:tab/>
            </w:r>
            <w:r>
              <w:rPr>
                <w:rFonts w:ascii="宋体" w:hAnsi="宋体" w:cs="宋体" w:eastAsia="宋体" w:hint="default"/>
                <w:sz w:val="20"/>
                <w:szCs w:val="20"/>
              </w:rPr>
              <w:t>坏账准备</w:t>
            </w:r>
            <w:r>
              <w:rPr>
                <w:rFonts w:ascii="宋体" w:hAnsi="宋体" w:cs="宋体" w:eastAsia="宋体" w:hint="default"/>
                <w:spacing w:val="-16"/>
                <w:sz w:val="20"/>
                <w:szCs w:val="20"/>
              </w:rPr>
              <w:t> </w:t>
            </w:r>
            <w:r>
              <w:rPr>
                <w:rFonts w:ascii="宋体" w:hAnsi="宋体" w:cs="宋体" w:eastAsia="宋体" w:hint="default"/>
                <w:sz w:val="20"/>
                <w:szCs w:val="20"/>
              </w:rPr>
              <w:t>计提比例</w:t>
            </w:r>
          </w:p>
        </w:tc>
        <w:tc>
          <w:tcPr>
            <w:tcW w:w="250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 w:right="0"/>
              <w:jc w:val="center"/>
              <w:rPr>
                <w:rFonts w:ascii="宋体" w:hAnsi="宋体" w:cs="宋体" w:eastAsia="宋体" w:hint="default"/>
                <w:sz w:val="20"/>
                <w:szCs w:val="20"/>
              </w:rPr>
            </w:pPr>
            <w:r>
              <w:rPr>
                <w:rFonts w:ascii="宋体" w:hAnsi="宋体" w:cs="宋体" w:eastAsia="宋体" w:hint="default"/>
                <w:sz w:val="20"/>
                <w:szCs w:val="20"/>
              </w:rPr>
              <w:t>理由</w:t>
            </w:r>
          </w:p>
        </w:tc>
      </w:tr>
      <w:tr>
        <w:trPr>
          <w:trHeight w:val="377" w:hRule="exact"/>
        </w:trPr>
        <w:tc>
          <w:tcPr>
            <w:tcW w:w="289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79" w:right="0"/>
              <w:jc w:val="left"/>
              <w:rPr>
                <w:rFonts w:ascii="Times New Roman" w:hAnsi="Times New Roman" w:cs="Times New Roman" w:eastAsia="Times New Roman" w:hint="default"/>
                <w:sz w:val="20"/>
                <w:szCs w:val="20"/>
              </w:rPr>
            </w:pPr>
            <w:r>
              <w:rPr>
                <w:rFonts w:ascii="Times New Roman"/>
                <w:sz w:val="20"/>
              </w:rPr>
              <w:t>2,036,000.00</w:t>
            </w:r>
          </w:p>
        </w:tc>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 w:right="0"/>
              <w:jc w:val="center"/>
              <w:rPr>
                <w:rFonts w:ascii="宋体" w:hAnsi="宋体" w:cs="宋体" w:eastAsia="宋体" w:hint="default"/>
                <w:sz w:val="20"/>
                <w:szCs w:val="20"/>
              </w:rPr>
            </w:pPr>
            <w:r>
              <w:rPr>
                <w:rFonts w:ascii="宋体" w:hAnsi="宋体" w:cs="宋体" w:eastAsia="宋体" w:hint="default"/>
                <w:sz w:val="20"/>
                <w:szCs w:val="20"/>
              </w:rPr>
              <w:t>利息收入预计能收回</w:t>
            </w:r>
          </w:p>
        </w:tc>
      </w:tr>
      <w:tr>
        <w:trPr>
          <w:trHeight w:val="3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山西奥科新得科贸有限公司</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675,000.00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 w:right="0"/>
              <w:jc w:val="center"/>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1"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南京莱斯信息技术股份有限公司</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430,000.00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 w:right="0"/>
              <w:jc w:val="center"/>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1"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 w:right="0"/>
              <w:jc w:val="left"/>
              <w:rPr>
                <w:rFonts w:ascii="宋体" w:hAnsi="宋体" w:cs="宋体" w:eastAsia="宋体" w:hint="default"/>
                <w:sz w:val="20"/>
                <w:szCs w:val="20"/>
              </w:rPr>
            </w:pPr>
            <w:r>
              <w:rPr>
                <w:rFonts w:ascii="宋体" w:hAnsi="宋体" w:cs="宋体" w:eastAsia="宋体" w:hint="default"/>
                <w:sz w:val="20"/>
                <w:szCs w:val="20"/>
              </w:rPr>
              <w:t>张家口市政府采购中心</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0" w:right="0"/>
              <w:jc w:val="left"/>
              <w:rPr>
                <w:rFonts w:ascii="Times New Roman" w:hAnsi="Times New Roman" w:cs="Times New Roman" w:eastAsia="Times New Roman" w:hint="default"/>
                <w:sz w:val="20"/>
                <w:szCs w:val="20"/>
              </w:rPr>
            </w:pPr>
            <w:r>
              <w:rPr>
                <w:rFonts w:ascii="Times New Roman"/>
                <w:sz w:val="20"/>
              </w:rPr>
              <w:t>200,000.00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 w:right="0"/>
              <w:jc w:val="center"/>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杨军伟</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179,216.00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 w:right="0"/>
              <w:jc w:val="center"/>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岳威</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166,574.97</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 w:right="0"/>
              <w:jc w:val="center"/>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董会研</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165,793.50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 w:right="0"/>
              <w:jc w:val="center"/>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廊坊市财政集中支付中心</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150,000.00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 w:right="0"/>
              <w:jc w:val="center"/>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86" w:hRule="exact"/>
        </w:trPr>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无锡国土资源局</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30" w:right="0"/>
              <w:jc w:val="left"/>
              <w:rPr>
                <w:rFonts w:ascii="Times New Roman" w:hAnsi="Times New Roman" w:cs="Times New Roman" w:eastAsia="Times New Roman" w:hint="default"/>
                <w:sz w:val="20"/>
                <w:szCs w:val="20"/>
              </w:rPr>
            </w:pPr>
            <w:r>
              <w:rPr>
                <w:rFonts w:ascii="Times New Roman"/>
                <w:sz w:val="20"/>
              </w:rPr>
              <w:t>148,000.00</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 w:right="0"/>
              <w:jc w:val="center"/>
              <w:rPr>
                <w:rFonts w:ascii="宋体" w:hAnsi="宋体" w:cs="宋体" w:eastAsia="宋体" w:hint="default"/>
                <w:sz w:val="20"/>
                <w:szCs w:val="20"/>
              </w:rPr>
            </w:pPr>
            <w:r>
              <w:rPr>
                <w:rFonts w:ascii="宋体" w:hAnsi="宋体" w:cs="宋体" w:eastAsia="宋体" w:hint="default"/>
                <w:sz w:val="20"/>
                <w:szCs w:val="20"/>
              </w:rPr>
              <w:t>履约保证金预计能收回</w:t>
            </w:r>
          </w:p>
        </w:tc>
      </w:tr>
    </w:tbl>
    <w:p>
      <w:pPr>
        <w:spacing w:after="0" w:line="240" w:lineRule="auto"/>
        <w:jc w:val="center"/>
        <w:rPr>
          <w:rFonts w:ascii="宋体" w:hAnsi="宋体" w:cs="宋体" w:eastAsia="宋体" w:hint="default"/>
          <w:sz w:val="20"/>
          <w:szCs w:val="20"/>
        </w:rPr>
        <w:sectPr>
          <w:type w:val="continuous"/>
          <w:pgSz w:w="11910" w:h="16840"/>
          <w:pgMar w:top="1380" w:bottom="1380" w:left="1660" w:right="1660"/>
        </w:sectPr>
      </w:pPr>
    </w:p>
    <w:tbl>
      <w:tblPr>
        <w:tblW w:w="0" w:type="auto"/>
        <w:jc w:val="left"/>
        <w:tblInd w:w="608" w:type="dxa"/>
        <w:tblLayout w:type="fixed"/>
        <w:tblCellMar>
          <w:top w:w="0" w:type="dxa"/>
          <w:left w:w="0" w:type="dxa"/>
          <w:bottom w:w="0" w:type="dxa"/>
          <w:right w:w="0" w:type="dxa"/>
        </w:tblCellMar>
        <w:tblLook w:val="01E0"/>
      </w:tblPr>
      <w:tblGrid>
        <w:gridCol w:w="2950"/>
        <w:gridCol w:w="1994"/>
        <w:gridCol w:w="3425"/>
      </w:tblGrid>
      <w:tr>
        <w:trPr>
          <w:trHeight w:val="395" w:hRule="exact"/>
        </w:trPr>
        <w:tc>
          <w:tcPr>
            <w:tcW w:w="2950" w:type="dxa"/>
            <w:tcBorders>
              <w:top w:val="single" w:sz="6" w:space="0" w:color="000000"/>
              <w:left w:val="nil" w:sz="6" w:space="0" w:color="auto"/>
              <w:bottom w:val="nil" w:sz="6" w:space="0" w:color="auto"/>
              <w:right w:val="nil" w:sz="6" w:space="0" w:color="auto"/>
            </w:tcBorders>
          </w:tcPr>
          <w:p>
            <w:pPr>
              <w:pStyle w:val="TableParagraph"/>
              <w:spacing w:line="240" w:lineRule="auto" w:before="40"/>
              <w:ind w:left="28" w:right="0"/>
              <w:jc w:val="left"/>
              <w:rPr>
                <w:rFonts w:ascii="宋体" w:hAnsi="宋体" w:cs="宋体" w:eastAsia="宋体" w:hint="default"/>
                <w:sz w:val="20"/>
                <w:szCs w:val="20"/>
              </w:rPr>
            </w:pPr>
            <w:r>
              <w:rPr>
                <w:rFonts w:ascii="宋体" w:hAnsi="宋体" w:cs="宋体" w:eastAsia="宋体" w:hint="default"/>
                <w:sz w:val="20"/>
                <w:szCs w:val="20"/>
              </w:rPr>
              <w:t>熊雷</w:t>
            </w:r>
          </w:p>
        </w:tc>
        <w:tc>
          <w:tcPr>
            <w:tcW w:w="1994"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right="902"/>
              <w:jc w:val="right"/>
              <w:rPr>
                <w:rFonts w:ascii="Times New Roman" w:hAnsi="Times New Roman" w:cs="Times New Roman" w:eastAsia="Times New Roman" w:hint="default"/>
                <w:sz w:val="20"/>
                <w:szCs w:val="20"/>
              </w:rPr>
            </w:pPr>
            <w:r>
              <w:rPr>
                <w:rFonts w:ascii="Times New Roman"/>
                <w:w w:val="95"/>
                <w:sz w:val="20"/>
              </w:rPr>
              <w:t>146,254.90</w:t>
            </w:r>
            <w:r>
              <w:rPr>
                <w:rFonts w:ascii="Times New Roman"/>
                <w:sz w:val="20"/>
              </w:rPr>
            </w:r>
          </w:p>
        </w:tc>
        <w:tc>
          <w:tcPr>
            <w:tcW w:w="3425" w:type="dxa"/>
            <w:tcBorders>
              <w:top w:val="single" w:sz="6" w:space="0" w:color="000000"/>
              <w:left w:val="nil" w:sz="6" w:space="0" w:color="auto"/>
              <w:bottom w:val="nil" w:sz="6" w:space="0" w:color="auto"/>
              <w:right w:val="nil" w:sz="6" w:space="0" w:color="auto"/>
            </w:tcBorders>
          </w:tcPr>
          <w:p>
            <w:pPr>
              <w:pStyle w:val="TableParagraph"/>
              <w:spacing w:line="240" w:lineRule="auto" w:before="40"/>
              <w:ind w:left="907" w:right="0"/>
              <w:jc w:val="center"/>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1"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20"/>
                <w:szCs w:val="20"/>
              </w:rPr>
            </w:pPr>
            <w:r>
              <w:rPr>
                <w:rFonts w:ascii="宋体" w:hAnsi="宋体" w:cs="宋体" w:eastAsia="宋体" w:hint="default"/>
                <w:sz w:val="20"/>
                <w:szCs w:val="20"/>
              </w:rPr>
              <w:t>芜湖市政府第一招标采购代理处</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2"/>
              <w:jc w:val="right"/>
              <w:rPr>
                <w:rFonts w:ascii="Times New Roman" w:hAnsi="Times New Roman" w:cs="Times New Roman" w:eastAsia="Times New Roman" w:hint="default"/>
                <w:sz w:val="20"/>
                <w:szCs w:val="20"/>
              </w:rPr>
            </w:pPr>
            <w:r>
              <w:rPr>
                <w:rFonts w:ascii="Times New Roman"/>
                <w:w w:val="95"/>
                <w:sz w:val="20"/>
              </w:rPr>
              <w:t>145,000.00</w:t>
            </w:r>
            <w:r>
              <w:rPr>
                <w:rFonts w:ascii="Times New Roman"/>
                <w:sz w:val="20"/>
              </w:rPr>
            </w:r>
          </w:p>
        </w:tc>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09" w:right="0"/>
              <w:jc w:val="center"/>
              <w:rPr>
                <w:rFonts w:ascii="宋体" w:hAnsi="宋体" w:cs="宋体" w:eastAsia="宋体" w:hint="default"/>
                <w:sz w:val="20"/>
                <w:szCs w:val="20"/>
              </w:rPr>
            </w:pPr>
            <w:r>
              <w:rPr>
                <w:rFonts w:ascii="宋体" w:hAnsi="宋体" w:cs="宋体" w:eastAsia="宋体" w:hint="default"/>
                <w:sz w:val="20"/>
                <w:szCs w:val="20"/>
              </w:rPr>
              <w:t>投标保证金预计能收回</w:t>
            </w:r>
          </w:p>
        </w:tc>
      </w:tr>
      <w:tr>
        <w:trPr>
          <w:trHeight w:val="370"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02"/>
              <w:jc w:val="right"/>
              <w:rPr>
                <w:rFonts w:ascii="Times New Roman" w:hAnsi="Times New Roman" w:cs="Times New Roman" w:eastAsia="Times New Roman" w:hint="default"/>
                <w:sz w:val="20"/>
                <w:szCs w:val="20"/>
              </w:rPr>
            </w:pPr>
            <w:r>
              <w:rPr>
                <w:rFonts w:ascii="Times New Roman"/>
                <w:w w:val="95"/>
                <w:sz w:val="20"/>
              </w:rPr>
              <w:t>2,102,321.56</w:t>
            </w:r>
            <w:r>
              <w:rPr>
                <w:rFonts w:ascii="Times New Roman"/>
                <w:sz w:val="20"/>
              </w:rPr>
            </w:r>
          </w:p>
        </w:tc>
        <w:tc>
          <w:tcPr>
            <w:tcW w:w="3425" w:type="dxa"/>
            <w:tcBorders>
              <w:top w:val="nil" w:sz="6" w:space="0" w:color="auto"/>
              <w:left w:val="nil" w:sz="6" w:space="0" w:color="auto"/>
              <w:bottom w:val="nil" w:sz="6" w:space="0" w:color="auto"/>
              <w:right w:val="nil" w:sz="6" w:space="0" w:color="auto"/>
            </w:tcBorders>
          </w:tcPr>
          <w:p>
            <w:pPr/>
          </w:p>
        </w:tc>
      </w:tr>
      <w:tr>
        <w:trPr>
          <w:trHeight w:val="367"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9"/>
              <w:jc w:val="center"/>
              <w:rPr>
                <w:rFonts w:ascii="宋体" w:hAnsi="宋体" w:cs="宋体" w:eastAsia="宋体" w:hint="default"/>
                <w:sz w:val="20"/>
                <w:szCs w:val="20"/>
              </w:rPr>
            </w:pPr>
            <w:r>
              <w:rPr>
                <w:rFonts w:ascii="宋体" w:hAnsi="宋体" w:cs="宋体" w:eastAsia="宋体" w:hint="default"/>
                <w:sz w:val="20"/>
                <w:szCs w:val="20"/>
              </w:rPr>
              <w:t>合计</w:t>
            </w:r>
          </w:p>
        </w:tc>
        <w:tc>
          <w:tcPr>
            <w:tcW w:w="1994"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902"/>
              <w:jc w:val="right"/>
              <w:rPr>
                <w:rFonts w:ascii="Times New Roman" w:hAnsi="Times New Roman" w:cs="Times New Roman" w:eastAsia="Times New Roman" w:hint="default"/>
                <w:sz w:val="20"/>
                <w:szCs w:val="20"/>
              </w:rPr>
            </w:pPr>
            <w:r>
              <w:rPr>
                <w:rFonts w:ascii="Times New Roman"/>
                <w:w w:val="95"/>
                <w:sz w:val="20"/>
              </w:rPr>
              <w:t>6,544,160.93</w:t>
            </w:r>
            <w:r>
              <w:rPr>
                <w:rFonts w:ascii="Times New Roman"/>
                <w:sz w:val="20"/>
              </w:rPr>
            </w:r>
          </w:p>
        </w:tc>
        <w:tc>
          <w:tcPr>
            <w:tcW w:w="3425"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5"/>
          <w:szCs w:val="15"/>
        </w:rPr>
      </w:pPr>
    </w:p>
    <w:p>
      <w:pPr>
        <w:pStyle w:val="BodyText"/>
        <w:spacing w:line="240" w:lineRule="auto" w:before="26"/>
        <w:ind w:left="1120" w:right="0"/>
        <w:jc w:val="left"/>
      </w:pPr>
      <w:r>
        <w:rPr/>
        <w:t>（</w:t>
      </w:r>
      <w:r>
        <w:rPr>
          <w:rFonts w:ascii="Times New Roman" w:hAnsi="Times New Roman" w:cs="Times New Roman" w:eastAsia="Times New Roman" w:hint="default"/>
        </w:rPr>
        <w:t>4</w:t>
      </w:r>
      <w:r>
        <w:rPr/>
        <w:t>）本期应收持有公司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tabs>
          <w:tab w:pos="7287" w:val="left" w:leader="none"/>
          <w:tab w:pos="7688" w:val="left" w:leader="none"/>
        </w:tabs>
        <w:spacing w:line="245" w:lineRule="exact" w:before="48"/>
        <w:ind w:left="3546" w:right="0" w:firstLine="0"/>
        <w:jc w:val="left"/>
        <w:rPr>
          <w:rFonts w:ascii="宋体" w:hAnsi="宋体" w:cs="宋体" w:eastAsia="宋体" w:hint="default"/>
          <w:sz w:val="20"/>
          <w:szCs w:val="20"/>
        </w:rPr>
      </w:pPr>
      <w:r>
        <w:rPr>
          <w:rFonts w:ascii="宋体" w:hAnsi="宋体" w:cs="宋体" w:eastAsia="宋体" w:hint="default"/>
          <w:sz w:val="20"/>
          <w:szCs w:val="20"/>
        </w:rPr>
        <w:t>期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期</w:t>
        <w:tab/>
      </w:r>
      <w:r>
        <w:rPr>
          <w:rFonts w:ascii="宋体" w:hAnsi="宋体" w:cs="宋体" w:eastAsia="宋体" w:hint="default"/>
          <w:sz w:val="20"/>
          <w:szCs w:val="20"/>
        </w:rPr>
        <w:t>初</w:t>
      </w:r>
      <w:r>
        <w:rPr>
          <w:rFonts w:ascii="宋体" w:hAnsi="宋体" w:cs="宋体" w:eastAsia="宋体" w:hint="default"/>
          <w:spacing w:val="-2"/>
          <w:sz w:val="20"/>
          <w:szCs w:val="20"/>
        </w:rPr>
        <w:t> </w:t>
      </w:r>
      <w:r>
        <w:rPr>
          <w:rFonts w:ascii="宋体" w:hAnsi="宋体" w:cs="宋体" w:eastAsia="宋体" w:hint="default"/>
          <w:sz w:val="20"/>
          <w:szCs w:val="20"/>
        </w:rPr>
        <w:t>数</w:t>
      </w:r>
    </w:p>
    <w:p>
      <w:pPr>
        <w:spacing w:after="0" w:line="245" w:lineRule="exact"/>
        <w:jc w:val="left"/>
        <w:rPr>
          <w:rFonts w:ascii="宋体" w:hAnsi="宋体" w:cs="宋体" w:eastAsia="宋体" w:hint="default"/>
          <w:sz w:val="20"/>
          <w:szCs w:val="20"/>
        </w:rPr>
        <w:sectPr>
          <w:pgSz w:w="11910" w:h="16840"/>
          <w:pgMar w:header="850" w:footer="979" w:top="1380" w:bottom="1160" w:left="1160" w:right="1160"/>
        </w:sectPr>
      </w:pPr>
    </w:p>
    <w:p>
      <w:pPr>
        <w:spacing w:line="199" w:lineRule="exact" w:before="0"/>
        <w:ind w:left="565" w:right="0" w:firstLine="0"/>
        <w:jc w:val="left"/>
        <w:rPr>
          <w:rFonts w:ascii="宋体" w:hAnsi="宋体" w:cs="宋体" w:eastAsia="宋体" w:hint="default"/>
          <w:sz w:val="20"/>
          <w:szCs w:val="20"/>
        </w:rPr>
      </w:pPr>
      <w:r>
        <w:rPr>
          <w:rFonts w:ascii="宋体" w:hAnsi="宋体" w:cs="宋体" w:eastAsia="宋体" w:hint="default"/>
          <w:w w:val="95"/>
          <w:sz w:val="20"/>
          <w:szCs w:val="20"/>
        </w:rPr>
        <w:t>单位名称</w:t>
      </w:r>
      <w:r>
        <w:rPr>
          <w:rFonts w:ascii="宋体" w:hAnsi="宋体" w:cs="宋体" w:eastAsia="宋体" w:hint="default"/>
          <w:sz w:val="20"/>
          <w:szCs w:val="20"/>
        </w:rPr>
      </w:r>
    </w:p>
    <w:p>
      <w:pPr>
        <w:spacing w:line="240" w:lineRule="auto" w:before="0"/>
        <w:rPr>
          <w:rFonts w:ascii="宋体" w:hAnsi="宋体" w:cs="宋体" w:eastAsia="宋体" w:hint="default"/>
          <w:sz w:val="7"/>
          <w:szCs w:val="7"/>
        </w:rPr>
      </w:pPr>
      <w:r>
        <w:rPr/>
        <w:br w:type="column"/>
      </w:r>
      <w:r>
        <w:rPr>
          <w:rFonts w:ascii="宋体"/>
          <w:sz w:val="7"/>
        </w:rPr>
      </w:r>
    </w:p>
    <w:p>
      <w:pPr>
        <w:spacing w:line="20" w:lineRule="exact"/>
        <w:ind w:left="18" w:right="0" w:firstLine="0"/>
        <w:rPr>
          <w:rFonts w:ascii="宋体" w:hAnsi="宋体" w:cs="宋体" w:eastAsia="宋体" w:hint="default"/>
          <w:sz w:val="2"/>
          <w:szCs w:val="2"/>
        </w:rPr>
      </w:pPr>
      <w:r>
        <w:rPr>
          <w:rFonts w:ascii="宋体" w:hAnsi="宋体" w:cs="宋体" w:eastAsia="宋体" w:hint="default"/>
          <w:sz w:val="2"/>
          <w:szCs w:val="2"/>
        </w:rPr>
        <w:pict>
          <v:group style="width:379.95pt;height:.5pt;mso-position-horizontal-relative:char;mso-position-vertical-relative:line" coordorigin="0,0" coordsize="7599,10">
            <v:group style="position:absolute;left:5;top:5;width:4133;height:2" coordorigin="5,5" coordsize="4133,2">
              <v:shape style="position:absolute;left:5;top:5;width:4133;height:2" coordorigin="5,5" coordsize="4133,0" path="m5,5l4138,5e" filled="false" stroked="true" strokeweight=".48pt" strokecolor="#000000">
                <v:path arrowok="t"/>
              </v:shape>
            </v:group>
            <v:group style="position:absolute;left:4138;top:5;width:3456;height:2" coordorigin="4138,5" coordsize="3456,2">
              <v:shape style="position:absolute;left:4138;top:5;width:3456;height:2" coordorigin="4138,5" coordsize="3456,0" path="m4138,5l7594,5e" filled="false" stroked="true" strokeweight=".48pt" strokecolor="#000000">
                <v:path arrowok="t"/>
              </v:shape>
            </v:group>
          </v:group>
        </w:pict>
      </w:r>
      <w:r>
        <w:rPr>
          <w:rFonts w:ascii="宋体" w:hAnsi="宋体" w:cs="宋体" w:eastAsia="宋体" w:hint="default"/>
          <w:sz w:val="2"/>
          <w:szCs w:val="2"/>
        </w:rPr>
      </w:r>
    </w:p>
    <w:p>
      <w:pPr>
        <w:tabs>
          <w:tab w:pos="2231" w:val="left" w:leader="none"/>
          <w:tab w:pos="4391" w:val="left" w:leader="none"/>
          <w:tab w:pos="5751" w:val="left" w:leader="none"/>
        </w:tabs>
        <w:spacing w:before="8"/>
        <w:ind w:left="565" w:right="0" w:firstLine="0"/>
        <w:jc w:val="left"/>
        <w:rPr>
          <w:rFonts w:ascii="宋体" w:hAnsi="宋体" w:cs="宋体" w:eastAsia="宋体" w:hint="default"/>
          <w:sz w:val="20"/>
          <w:szCs w:val="20"/>
        </w:rPr>
      </w:pPr>
      <w:r>
        <w:rPr>
          <w:rFonts w:ascii="宋体" w:hAnsi="宋体" w:cs="宋体" w:eastAsia="宋体" w:hint="default"/>
          <w:w w:val="95"/>
          <w:sz w:val="20"/>
          <w:szCs w:val="20"/>
        </w:rPr>
        <w:t>金额</w:t>
        <w:tab/>
        <w:t>计提坏账金额</w:t>
        <w:tab/>
        <w:t>金额</w:t>
        <w:tab/>
      </w:r>
      <w:r>
        <w:rPr>
          <w:rFonts w:ascii="宋体" w:hAnsi="宋体" w:cs="宋体" w:eastAsia="宋体" w:hint="default"/>
          <w:sz w:val="20"/>
          <w:szCs w:val="20"/>
        </w:rPr>
        <w:t>计提坏账金额</w:t>
      </w:r>
    </w:p>
    <w:p>
      <w:pPr>
        <w:spacing w:after="0"/>
        <w:jc w:val="left"/>
        <w:rPr>
          <w:rFonts w:ascii="宋体" w:hAnsi="宋体" w:cs="宋体" w:eastAsia="宋体" w:hint="default"/>
          <w:sz w:val="20"/>
          <w:szCs w:val="20"/>
        </w:rPr>
        <w:sectPr>
          <w:type w:val="continuous"/>
          <w:pgSz w:w="11910" w:h="16840"/>
          <w:pgMar w:top="1380" w:bottom="1380" w:left="1160" w:right="1160"/>
          <w:cols w:num="2" w:equalWidth="0">
            <w:col w:w="1363" w:space="495"/>
            <w:col w:w="7732"/>
          </w:cols>
        </w:sectPr>
      </w:pPr>
    </w:p>
    <w:p>
      <w:pPr>
        <w:spacing w:line="240" w:lineRule="auto" w:before="10"/>
        <w:rPr>
          <w:rFonts w:ascii="宋体" w:hAnsi="宋体" w:cs="宋体" w:eastAsia="宋体" w:hint="default"/>
          <w:sz w:val="5"/>
          <w:szCs w:val="5"/>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15pt;height:.5pt;mso-position-horizontal-relative:char;mso-position-vertical-relative:line" coordorigin="0,0" coordsize="9363,10">
            <v:group style="position:absolute;left:5;top:5;width:1697;height:2" coordorigin="5,5" coordsize="1697,2">
              <v:shape style="position:absolute;left:5;top:5;width:1697;height:2" coordorigin="5,5" coordsize="1697,0" path="m5,5l1702,5e" filled="false" stroked="true" strokeweight=".48pt" strokecolor="#000000">
                <v:path arrowok="t"/>
              </v:shape>
            </v:group>
            <v:group style="position:absolute;left:1769;top:5;width:1488;height:2" coordorigin="1769,5" coordsize="1488,2">
              <v:shape style="position:absolute;left:1769;top:5;width:1488;height:2" coordorigin="1769,5" coordsize="1488,0" path="m1769,5l3257,5e" filled="false" stroked="true" strokeweight=".48pt" strokecolor="#000000">
                <v:path arrowok="t"/>
              </v:shape>
            </v:group>
            <v:group style="position:absolute;left:3324;top:5;width:2511;height:2" coordorigin="3324,5" coordsize="2511,2">
              <v:shape style="position:absolute;left:3324;top:5;width:2511;height:2" coordorigin="3324,5" coordsize="2511,0" path="m3324,5l5834,5e" filled="false" stroked="true" strokeweight=".48pt" strokecolor="#000000">
                <v:path arrowok="t"/>
              </v:shape>
            </v:group>
            <v:group style="position:absolute;left:5902;top:5;width:874;height:2" coordorigin="5902,5" coordsize="874,2">
              <v:shape style="position:absolute;left:5902;top:5;width:874;height:2" coordorigin="5902,5" coordsize="874,0" path="m5902,5l6775,5e" filled="false" stroked="true" strokeweight=".48pt" strokecolor="#000000">
                <v:path arrowok="t"/>
              </v:shape>
            </v:group>
            <v:group style="position:absolute;left:6842;top:5;width:2516;height:2" coordorigin="6842,5" coordsize="2516,2">
              <v:shape style="position:absolute;left:6842;top:5;width:2516;height:2" coordorigin="6842,5" coordsize="2516,0" path="m6842,5l9358,5e" filled="false" stroked="true" strokeweight=".48pt" strokecolor="#000000">
                <v:path arrowok="t"/>
              </v:shape>
            </v:group>
          </v:group>
        </w:pict>
      </w:r>
      <w:r>
        <w:rPr>
          <w:rFonts w:ascii="宋体" w:hAnsi="宋体" w:cs="宋体" w:eastAsia="宋体" w:hint="default"/>
          <w:sz w:val="2"/>
          <w:szCs w:val="2"/>
        </w:rPr>
      </w:r>
    </w:p>
    <w:p>
      <w:pPr>
        <w:tabs>
          <w:tab w:pos="2651" w:val="left" w:leader="none"/>
        </w:tabs>
        <w:spacing w:before="8"/>
        <w:ind w:left="135"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许欣</w:t>
        <w:tab/>
      </w:r>
      <w:r>
        <w:rPr>
          <w:rFonts w:ascii="Times New Roman" w:hAnsi="Times New Roman" w:cs="Times New Roman" w:eastAsia="Times New Roman" w:hint="default"/>
          <w:sz w:val="20"/>
          <w:szCs w:val="20"/>
        </w:rPr>
        <w:t>6,593.97</w:t>
      </w:r>
    </w:p>
    <w:p>
      <w:pPr>
        <w:spacing w:line="240" w:lineRule="auto" w:before="1"/>
        <w:rPr>
          <w:rFonts w:ascii="Times New Roman" w:hAnsi="Times New Roman" w:cs="Times New Roman" w:eastAsia="Times New Roman" w:hint="default"/>
          <w:sz w:val="6"/>
          <w:szCs w:val="6"/>
        </w:rPr>
      </w:pPr>
    </w:p>
    <w:p>
      <w:pPr>
        <w:spacing w:line="20" w:lineRule="exact"/>
        <w:ind w:left="18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79.95pt;height:.5pt;mso-position-horizontal-relative:char;mso-position-vertical-relative:line" coordorigin="0,0" coordsize="7599,10">
            <v:group style="position:absolute;left:5;top:5;width:1488;height:2" coordorigin="5,5" coordsize="1488,2">
              <v:shape style="position:absolute;left:5;top:5;width:1488;height:2" coordorigin="5,5" coordsize="1488,0" path="m5,5l1493,5e" filled="false" stroked="true" strokeweight=".48pt" strokecolor="#000000">
                <v:path arrowok="t"/>
              </v:shape>
            </v:group>
            <v:group style="position:absolute;left:1560;top:5;width:2511;height:2" coordorigin="1560,5" coordsize="2511,2">
              <v:shape style="position:absolute;left:1560;top:5;width:2511;height:2" coordorigin="1560,5" coordsize="2511,0" path="m1560,5l4070,5e" filled="false" stroked="true" strokeweight=".48pt" strokecolor="#000000">
                <v:path arrowok="t"/>
              </v:shape>
            </v:group>
            <v:group style="position:absolute;left:4138;top:5;width:874;height:2" coordorigin="4138,5" coordsize="874,2">
              <v:shape style="position:absolute;left:4138;top:5;width:874;height:2" coordorigin="4138,5" coordsize="874,0" path="m4138,5l5011,5e" filled="false" stroked="true" strokeweight=".48pt" strokecolor="#000000">
                <v:path arrowok="t"/>
              </v:shape>
            </v:group>
            <v:group style="position:absolute;left:5078;top:5;width:2516;height:2" coordorigin="5078,5" coordsize="2516,2">
              <v:shape style="position:absolute;left:5078;top:5;width:2516;height:2" coordorigin="5078,5" coordsize="2516,0" path="m5078,5l7594,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651" w:val="left" w:leader="none"/>
        </w:tabs>
        <w:spacing w:before="0"/>
        <w:ind w:left="71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z w:val="20"/>
          <w:szCs w:val="20"/>
        </w:rPr>
        <w:t>6,593.97</w:t>
      </w:r>
    </w:p>
    <w:p>
      <w:pPr>
        <w:spacing w:line="240" w:lineRule="auto" w:before="2"/>
        <w:rPr>
          <w:rFonts w:ascii="Times New Roman" w:hAnsi="Times New Roman" w:cs="Times New Roman" w:eastAsia="Times New Roman" w:hint="default"/>
          <w:sz w:val="5"/>
          <w:szCs w:val="5"/>
        </w:rPr>
      </w:pPr>
    </w:p>
    <w:p>
      <w:pPr>
        <w:spacing w:line="43" w:lineRule="exact"/>
        <w:ind w:left="187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380.2pt;height:2.2pt;mso-position-horizontal-relative:char;mso-position-vertical-relative:line" coordorigin="0,0" coordsize="7604,44">
            <v:group style="position:absolute;left:7;top:36;width:1488;height:2" coordorigin="7,36" coordsize="1488,2">
              <v:shape style="position:absolute;left:7;top:36;width:1488;height:2" coordorigin="7,36" coordsize="1488,0" path="m7,36l1495,36e" filled="false" stroked="true" strokeweight=".72pt" strokecolor="#000000">
                <v:path arrowok="t"/>
              </v:shape>
            </v:group>
            <v:group style="position:absolute;left:7;top:7;width:1488;height:2" coordorigin="7,7" coordsize="1488,2">
              <v:shape style="position:absolute;left:7;top:7;width:1488;height:2" coordorigin="7,7" coordsize="1488,0" path="m7,7l1495,7e" filled="false" stroked="true" strokeweight=".72pt" strokecolor="#000000">
                <v:path arrowok="t"/>
              </v:shape>
            </v:group>
            <v:group style="position:absolute;left:1562;top:36;width:2511;height:2" coordorigin="1562,36" coordsize="2511,2">
              <v:shape style="position:absolute;left:1562;top:36;width:2511;height:2" coordorigin="1562,36" coordsize="2511,0" path="m1562,36l4073,36e" filled="false" stroked="true" strokeweight=".72pt" strokecolor="#000000">
                <v:path arrowok="t"/>
              </v:shape>
            </v:group>
            <v:group style="position:absolute;left:1562;top:7;width:2511;height:2" coordorigin="1562,7" coordsize="2511,2">
              <v:shape style="position:absolute;left:1562;top:7;width:2511;height:2" coordorigin="1562,7" coordsize="2511,0" path="m1562,7l4073,7e" filled="false" stroked="true" strokeweight=".72pt" strokecolor="#000000">
                <v:path arrowok="t"/>
              </v:shape>
            </v:group>
            <v:group style="position:absolute;left:4140;top:36;width:874;height:2" coordorigin="4140,36" coordsize="874,2">
              <v:shape style="position:absolute;left:4140;top:36;width:874;height:2" coordorigin="4140,36" coordsize="874,0" path="m4140,36l5014,36e" filled="false" stroked="true" strokeweight=".72pt" strokecolor="#000000">
                <v:path arrowok="t"/>
              </v:shape>
            </v:group>
            <v:group style="position:absolute;left:4140;top:7;width:874;height:2" coordorigin="4140,7" coordsize="874,2">
              <v:shape style="position:absolute;left:4140;top:7;width:874;height:2" coordorigin="4140,7" coordsize="874,0" path="m4140,7l5014,7e" filled="false" stroked="true" strokeweight=".72pt" strokecolor="#000000">
                <v:path arrowok="t"/>
              </v:shape>
            </v:group>
            <v:group style="position:absolute;left:5081;top:36;width:2516;height:2" coordorigin="5081,36" coordsize="2516,2">
              <v:shape style="position:absolute;left:5081;top:36;width:2516;height:2" coordorigin="5081,36" coordsize="2516,0" path="m5081,36l7596,36e" filled="false" stroked="true" strokeweight=".72pt" strokecolor="#000000">
                <v:path arrowok="t"/>
              </v:shape>
            </v:group>
            <v:group style="position:absolute;left:5081;top:7;width:2516;height:2" coordorigin="5081,7" coordsize="2516,2">
              <v:shape style="position:absolute;left:5081;top:7;width:2516;height:2" coordorigin="5081,7" coordsize="2516,0" path="m5081,7l7596,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BodyText"/>
        <w:spacing w:line="240" w:lineRule="auto" w:before="26"/>
        <w:ind w:left="1120" w:right="0"/>
        <w:jc w:val="left"/>
      </w:pPr>
      <w:r>
        <w:rPr/>
        <w:t>（</w:t>
      </w:r>
      <w:r>
        <w:rPr>
          <w:rFonts w:ascii="Times New Roman" w:hAnsi="Times New Roman" w:cs="Times New Roman" w:eastAsia="Times New Roman" w:hint="default"/>
        </w:rPr>
        <w:t>5</w:t>
      </w:r>
      <w:r>
        <w:rPr/>
        <w:t>）其他应收款金额前五名单位情况</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944"/>
        <w:gridCol w:w="1415"/>
        <w:gridCol w:w="1082"/>
        <w:gridCol w:w="103"/>
        <w:gridCol w:w="862"/>
        <w:gridCol w:w="2947"/>
      </w:tblGrid>
      <w:tr>
        <w:trPr>
          <w:trHeight w:val="361" w:hRule="exact"/>
        </w:trPr>
        <w:tc>
          <w:tcPr>
            <w:tcW w:w="2944" w:type="dxa"/>
            <w:tcBorders>
              <w:top w:val="nil" w:sz="6" w:space="0" w:color="auto"/>
              <w:left w:val="nil" w:sz="6" w:space="0" w:color="auto"/>
              <w:bottom w:val="single" w:sz="4" w:space="0" w:color="000000"/>
              <w:right w:val="nil" w:sz="6" w:space="0" w:color="auto"/>
            </w:tcBorders>
          </w:tcPr>
          <w:p>
            <w:pPr>
              <w:pStyle w:val="TableParagraph"/>
              <w:spacing w:line="199" w:lineRule="exact"/>
              <w:ind w:left="42"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199" w:lineRule="exact"/>
              <w:ind w:left="34"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199" w:lineRule="exact"/>
              <w:ind w:left="3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199" w:lineRule="exact"/>
              <w:ind w:left="55"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947" w:type="dxa"/>
            <w:tcBorders>
              <w:top w:val="nil" w:sz="6" w:space="0" w:color="auto"/>
              <w:left w:val="nil" w:sz="6" w:space="0" w:color="auto"/>
              <w:bottom w:val="single" w:sz="4" w:space="0" w:color="000000"/>
              <w:right w:val="nil" w:sz="6" w:space="0" w:color="auto"/>
            </w:tcBorders>
          </w:tcPr>
          <w:p>
            <w:pPr>
              <w:pStyle w:val="TableParagraph"/>
              <w:spacing w:line="214" w:lineRule="exact"/>
              <w:ind w:left="86" w:right="0"/>
              <w:jc w:val="left"/>
              <w:rPr>
                <w:rFonts w:ascii="宋体" w:hAnsi="宋体" w:cs="宋体" w:eastAsia="宋体" w:hint="default"/>
                <w:sz w:val="20"/>
                <w:szCs w:val="20"/>
              </w:rPr>
            </w:pPr>
            <w:r>
              <w:rPr>
                <w:rFonts w:ascii="宋体" w:hAnsi="宋体" w:cs="宋体" w:eastAsia="宋体" w:hint="default"/>
                <w:sz w:val="20"/>
                <w:szCs w:val="20"/>
              </w:rPr>
              <w:t>占其他应收款总额的比例（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4" w:hRule="exact"/>
        </w:trPr>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9" w:right="0"/>
              <w:jc w:val="left"/>
              <w:rPr>
                <w:rFonts w:ascii="宋体" w:hAnsi="宋体" w:cs="宋体" w:eastAsia="宋体" w:hint="default"/>
                <w:sz w:val="20"/>
                <w:szCs w:val="20"/>
              </w:rPr>
            </w:pPr>
            <w:r>
              <w:rPr>
                <w:rFonts w:ascii="宋体" w:hAnsi="宋体" w:cs="宋体" w:eastAsia="宋体" w:hint="default"/>
                <w:sz w:val="20"/>
                <w:szCs w:val="20"/>
              </w:rPr>
              <w:t>定期存款利息收入</w:t>
            </w:r>
          </w:p>
        </w:tc>
        <w:tc>
          <w:tcPr>
            <w:tcW w:w="1415" w:type="dxa"/>
            <w:tcBorders>
              <w:top w:val="single" w:sz="4" w:space="0" w:color="000000"/>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w w:val="95"/>
                <w:sz w:val="20"/>
              </w:rPr>
              <w:t>2,036,000.00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7"/>
              <w:jc w:val="right"/>
              <w:rPr>
                <w:rFonts w:ascii="Times New Roman" w:hAnsi="Times New Roman" w:cs="Times New Roman" w:eastAsia="Times New Roman" w:hint="default"/>
                <w:sz w:val="20"/>
                <w:szCs w:val="20"/>
              </w:rPr>
            </w:pPr>
            <w:r>
              <w:rPr>
                <w:rFonts w:ascii="Times New Roman"/>
                <w:sz w:val="20"/>
              </w:rPr>
              <w:t>31.11</w:t>
            </w:r>
          </w:p>
        </w:tc>
      </w:tr>
      <w:tr>
        <w:trPr>
          <w:trHeight w:val="34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山西奥科新得科贸有限公司</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675,000.00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10.31</w:t>
            </w:r>
          </w:p>
        </w:tc>
      </w:tr>
      <w:tr>
        <w:trPr>
          <w:trHeight w:val="34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 w:right="0"/>
              <w:jc w:val="left"/>
              <w:rPr>
                <w:rFonts w:ascii="宋体" w:hAnsi="宋体" w:cs="宋体" w:eastAsia="宋体" w:hint="default"/>
                <w:sz w:val="20"/>
                <w:szCs w:val="20"/>
              </w:rPr>
            </w:pPr>
            <w:r>
              <w:rPr>
                <w:rFonts w:ascii="宋体" w:hAnsi="宋体" w:cs="宋体" w:eastAsia="宋体" w:hint="default"/>
                <w:sz w:val="20"/>
                <w:szCs w:val="20"/>
              </w:rPr>
              <w:t>南京莱斯信息技术股份有限公司</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430,000.00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6.57</w:t>
            </w:r>
          </w:p>
        </w:tc>
      </w:tr>
      <w:tr>
        <w:trPr>
          <w:trHeight w:val="341"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张家口市政府采购中心</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3.06</w:t>
            </w:r>
          </w:p>
        </w:tc>
      </w:tr>
      <w:tr>
        <w:trPr>
          <w:trHeight w:val="345"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杨军伟</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2" w:right="0"/>
              <w:jc w:val="center"/>
              <w:rPr>
                <w:rFonts w:ascii="宋体" w:hAnsi="宋体" w:cs="宋体" w:eastAsia="宋体" w:hint="default"/>
                <w:sz w:val="20"/>
                <w:szCs w:val="20"/>
              </w:rPr>
            </w:pPr>
            <w:r>
              <w:rPr>
                <w:rFonts w:ascii="宋体" w:hAnsi="宋体" w:cs="宋体" w:eastAsia="宋体" w:hint="default"/>
                <w:sz w:val="20"/>
                <w:szCs w:val="20"/>
              </w:rPr>
              <w:t>公司员工</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179,216.00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2.74</w:t>
            </w:r>
          </w:p>
        </w:tc>
      </w:tr>
      <w:tr>
        <w:trPr>
          <w:trHeight w:val="358" w:hRule="exact"/>
        </w:trPr>
        <w:tc>
          <w:tcPr>
            <w:tcW w:w="2944" w:type="dxa"/>
            <w:tcBorders>
              <w:top w:val="nil" w:sz="6" w:space="0" w:color="auto"/>
              <w:left w:val="nil" w:sz="6" w:space="0" w:color="auto"/>
              <w:bottom w:val="nil" w:sz="6" w:space="0" w:color="auto"/>
              <w:right w:val="nil" w:sz="6" w:space="0" w:color="auto"/>
            </w:tcBorders>
          </w:tcPr>
          <w:p>
            <w:pPr>
              <w:pStyle w:val="TableParagraph"/>
              <w:tabs>
                <w:tab w:pos="543" w:val="left" w:leader="none"/>
              </w:tabs>
              <w:spacing w:line="240" w:lineRule="auto" w:before="6"/>
              <w:ind w:left="14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3,520,216.00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94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53.79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26"/>
        <w:ind w:left="1117" w:right="0"/>
        <w:jc w:val="left"/>
      </w:pPr>
      <w:r>
        <w:rPr/>
        <w:t>（</w:t>
      </w:r>
      <w:r>
        <w:rPr>
          <w:rFonts w:ascii="Times New Roman" w:hAnsi="Times New Roman" w:cs="Times New Roman" w:eastAsia="Times New Roman" w:hint="default"/>
        </w:rPr>
        <w:t>6</w:t>
      </w:r>
      <w:r>
        <w:rPr/>
        <w:t>）应收关联方账款情况</w:t>
      </w:r>
    </w:p>
    <w:p>
      <w:pPr>
        <w:spacing w:line="240" w:lineRule="auto" w:before="7"/>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498"/>
        <w:gridCol w:w="259"/>
        <w:gridCol w:w="2078"/>
        <w:gridCol w:w="3360"/>
        <w:gridCol w:w="1932"/>
      </w:tblGrid>
      <w:tr>
        <w:trPr>
          <w:trHeight w:val="601" w:hRule="exact"/>
        </w:trPr>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left="350"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left="405"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3360"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55"/>
              <w:jc w:val="center"/>
              <w:rPr>
                <w:rFonts w:ascii="宋体" w:hAnsi="宋体" w:cs="宋体" w:eastAsia="宋体" w:hint="default"/>
                <w:sz w:val="20"/>
                <w:szCs w:val="20"/>
              </w:rPr>
            </w:pPr>
            <w:r>
              <w:rPr>
                <w:rFonts w:ascii="宋体" w:hAnsi="宋体" w:cs="宋体" w:eastAsia="宋体" w:hint="default"/>
                <w:sz w:val="20"/>
                <w:szCs w:val="20"/>
              </w:rPr>
              <w:t>金额</w:t>
            </w:r>
          </w:p>
        </w:tc>
        <w:tc>
          <w:tcPr>
            <w:tcW w:w="1932" w:type="dxa"/>
            <w:tcBorders>
              <w:top w:val="nil" w:sz="6" w:space="0" w:color="auto"/>
              <w:left w:val="nil" w:sz="6" w:space="0" w:color="auto"/>
              <w:bottom w:val="single" w:sz="8"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占其他应收款总额的</w:t>
            </w:r>
          </w:p>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60" w:hRule="exact"/>
        </w:trPr>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许欣</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z w:val="20"/>
                <w:szCs w:val="20"/>
              </w:rPr>
              <w:t>公司股东</w:t>
            </w:r>
          </w:p>
        </w:tc>
        <w:tc>
          <w:tcPr>
            <w:tcW w:w="3360" w:type="dxa"/>
            <w:tcBorders>
              <w:top w:val="single" w:sz="8" w:space="0" w:color="000000"/>
              <w:left w:val="nil" w:sz="6" w:space="0" w:color="auto"/>
              <w:bottom w:val="single" w:sz="4" w:space="0" w:color="000000"/>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sz w:val="20"/>
              </w:rPr>
              <w:t>6,593.97</w:t>
            </w:r>
          </w:p>
        </w:tc>
        <w:tc>
          <w:tcPr>
            <w:tcW w:w="1932" w:type="dxa"/>
            <w:tcBorders>
              <w:top w:val="single" w:sz="8" w:space="0" w:color="000000"/>
              <w:left w:val="nil" w:sz="6" w:space="0" w:color="auto"/>
              <w:bottom w:val="single" w:sz="4"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sz w:val="20"/>
              </w:rPr>
              <w:t>0.10</w:t>
            </w:r>
          </w:p>
        </w:tc>
      </w:tr>
      <w:tr>
        <w:trPr>
          <w:trHeight w:val="353" w:hRule="exact"/>
        </w:trPr>
        <w:tc>
          <w:tcPr>
            <w:tcW w:w="1498"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6"/>
              <w:ind w:left="45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c>
          <w:tcPr>
            <w:tcW w:w="3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65"/>
              <w:jc w:val="right"/>
              <w:rPr>
                <w:rFonts w:ascii="Times New Roman" w:hAnsi="Times New Roman" w:cs="Times New Roman" w:eastAsia="Times New Roman" w:hint="default"/>
                <w:sz w:val="20"/>
                <w:szCs w:val="20"/>
              </w:rPr>
            </w:pPr>
            <w:r>
              <w:rPr>
                <w:rFonts w:ascii="Times New Roman"/>
                <w:sz w:val="20"/>
              </w:rPr>
              <w:t>6,593.97</w:t>
            </w: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0.10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380" w:bottom="1380" w:left="1160" w:right="1160"/>
        </w:sectPr>
      </w:pPr>
    </w:p>
    <w:p>
      <w:pPr>
        <w:pStyle w:val="Heading3"/>
        <w:spacing w:line="240" w:lineRule="auto"/>
        <w:ind w:left="1120" w:right="0"/>
        <w:jc w:val="left"/>
        <w:rPr>
          <w:b w:val="0"/>
          <w:bCs w:val="0"/>
        </w:rPr>
      </w:pPr>
      <w:r>
        <w:rPr>
          <w:rFonts w:ascii="Times New Roman" w:hAnsi="Times New Roman" w:cs="Times New Roman" w:eastAsia="Times New Roman" w:hint="default"/>
        </w:rPr>
        <w:t>6</w:t>
      </w:r>
      <w:r>
        <w:rPr/>
        <w:t>、存货</w:t>
      </w:r>
      <w:r>
        <w:rPr>
          <w:b w:val="0"/>
          <w:bCs w:val="0"/>
        </w:rPr>
      </w:r>
    </w:p>
    <w:p>
      <w:pPr>
        <w:tabs>
          <w:tab w:pos="501" w:val="left" w:leader="none"/>
        </w:tabs>
        <w:spacing w:before="197"/>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p>
      <w:pPr>
        <w:spacing w:line="240" w:lineRule="auto" w:before="7"/>
        <w:rPr>
          <w:rFonts w:ascii="宋体" w:hAnsi="宋体" w:cs="宋体" w:eastAsia="宋体" w:hint="default"/>
          <w:sz w:val="18"/>
          <w:szCs w:val="18"/>
        </w:rPr>
      </w:pPr>
    </w:p>
    <w:p>
      <w:pPr>
        <w:spacing w:before="0"/>
        <w:ind w:left="637" w:right="0" w:firstLine="0"/>
        <w:jc w:val="left"/>
        <w:rPr>
          <w:rFonts w:ascii="宋体" w:hAnsi="宋体" w:cs="宋体" w:eastAsia="宋体" w:hint="default"/>
          <w:sz w:val="20"/>
          <w:szCs w:val="20"/>
        </w:rPr>
      </w:pPr>
      <w:r>
        <w:rPr/>
        <w:pict>
          <v:group style="position:absolute;margin-left:89.279999pt;margin-top:-.560308pt;width:416.8pt;height:.5pt;mso-position-horizontal-relative:page;mso-position-vertical-relative:paragraph;z-index:2488" coordorigin="1786,-11" coordsize="8336,10">
            <v:group style="position:absolute;left:1790;top:-6;width:3214;height:2" coordorigin="1790,-6" coordsize="3214,2">
              <v:shape style="position:absolute;left:1790;top:-6;width:3214;height:2" coordorigin="1790,-6" coordsize="3214,0" path="m1790,-6l5004,-6e" filled="false" stroked="true" strokeweight=".48pt" strokecolor="#000000">
                <v:path arrowok="t"/>
              </v:shape>
            </v:group>
            <v:group style="position:absolute;left:5069;top:-6;width:1680;height:2" coordorigin="5069,-6" coordsize="1680,2">
              <v:shape style="position:absolute;left:5069;top:-6;width:1680;height:2" coordorigin="5069,-6" coordsize="1680,0" path="m5069,-6l6749,-6e" filled="false" stroked="true" strokeweight=".48pt" strokecolor="#000000">
                <v:path arrowok="t"/>
              </v:shape>
            </v:group>
            <v:group style="position:absolute;left:6766;top:-6;width:1656;height:2" coordorigin="6766,-6" coordsize="1656,2">
              <v:shape style="position:absolute;left:6766;top:-6;width:1656;height:2" coordorigin="6766,-6" coordsize="1656,0" path="m6766,-6l8422,-6e" filled="false" stroked="true" strokeweight=".48pt" strokecolor="#000000">
                <v:path arrowok="t"/>
              </v:shape>
            </v:group>
            <v:group style="position:absolute;left:8441;top:-6;width:1676;height:2" coordorigin="8441,-6" coordsize="1676,2">
              <v:shape style="position:absolute;left:8441;top:-6;width:1676;height:2" coordorigin="8441,-6" coordsize="1676,0" path="m8441,-6l10116,-6e" filled="false" stroked="true" strokeweight=".48pt" strokecolor="#000000">
                <v:path arrowok="t"/>
              </v:shape>
            </v:group>
            <w10:wrap type="none"/>
          </v:group>
        </w:pict>
      </w:r>
      <w:r>
        <w:rPr>
          <w:rFonts w:ascii="宋体" w:hAnsi="宋体" w:cs="宋体" w:eastAsia="宋体" w:hint="default"/>
          <w:sz w:val="20"/>
          <w:szCs w:val="20"/>
        </w:rPr>
        <w:t>原材料</w:t>
      </w:r>
    </w:p>
    <w:p>
      <w:pPr>
        <w:spacing w:line="240" w:lineRule="auto" w:before="8"/>
        <w:rPr>
          <w:rFonts w:ascii="宋体" w:hAnsi="宋体" w:cs="宋体" w:eastAsia="宋体" w:hint="default"/>
          <w:sz w:val="29"/>
          <w:szCs w:val="29"/>
        </w:rPr>
      </w:pPr>
      <w:r>
        <w:rPr/>
        <w:br w:type="column"/>
      </w:r>
      <w:r>
        <w:rPr>
          <w:rFonts w:ascii="宋体"/>
          <w:sz w:val="29"/>
        </w:rPr>
      </w:r>
    </w:p>
    <w:p>
      <w:pPr>
        <w:spacing w:before="0"/>
        <w:ind w:left="0" w:right="487" w:firstLine="0"/>
        <w:jc w:val="center"/>
        <w:rPr>
          <w:rFonts w:ascii="宋体" w:hAnsi="宋体" w:cs="宋体" w:eastAsia="宋体" w:hint="default"/>
          <w:sz w:val="20"/>
          <w:szCs w:val="20"/>
        </w:rPr>
      </w:pPr>
      <w:r>
        <w:rPr>
          <w:rFonts w:ascii="宋体" w:hAnsi="宋体" w:cs="宋体" w:eastAsia="宋体" w:hint="default"/>
          <w:sz w:val="20"/>
          <w:szCs w:val="20"/>
        </w:rPr>
        <w:t>期末余额</w:t>
      </w:r>
    </w:p>
    <w:p>
      <w:pPr>
        <w:spacing w:line="240" w:lineRule="auto" w:before="11"/>
        <w:rPr>
          <w:rFonts w:ascii="宋体" w:hAnsi="宋体" w:cs="宋体" w:eastAsia="宋体" w:hint="default"/>
          <w:sz w:val="4"/>
          <w:szCs w:val="4"/>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252.85pt;height:.5pt;mso-position-horizontal-relative:char;mso-position-vertical-relative:line" coordorigin="0,0" coordsize="5057,10">
            <v:group style="position:absolute;left:5;top:5;width:1680;height:2" coordorigin="5,5" coordsize="1680,2">
              <v:shape style="position:absolute;left:5;top:5;width:1680;height:2" coordorigin="5,5" coordsize="1680,0" path="m5,5l1685,5e" filled="false" stroked="true" strokeweight=".48pt" strokecolor="#000000">
                <v:path arrowok="t"/>
              </v:shape>
            </v:group>
            <v:group style="position:absolute;left:1685;top:5;width:10;height:2" coordorigin="1685,5" coordsize="10,2">
              <v:shape style="position:absolute;left:1685;top:5;width:10;height:2" coordorigin="1685,5" coordsize="10,0" path="m1685,5l1694,5e" filled="false" stroked="true" strokeweight=".48pt" strokecolor="#000000">
                <v:path arrowok="t"/>
              </v:shape>
            </v:group>
            <v:group style="position:absolute;left:1694;top:5;width:8;height:2" coordorigin="1694,5" coordsize="8,2">
              <v:shape style="position:absolute;left:1694;top:5;width:8;height:2" coordorigin="1694,5" coordsize="8,0" path="m1694,5l1702,5e" filled="false" stroked="true" strokeweight=".48pt" strokecolor="#000000">
                <v:path arrowok="t"/>
              </v:shape>
            </v:group>
            <v:group style="position:absolute;left:1702;top:5;width:10;height:2" coordorigin="1702,5" coordsize="10,2">
              <v:shape style="position:absolute;left:1702;top:5;width:10;height:2" coordorigin="1702,5" coordsize="10,0" path="m1702,5l1711,5e" filled="false" stroked="true" strokeweight=".48pt" strokecolor="#000000">
                <v:path arrowok="t"/>
              </v:shape>
            </v:group>
            <v:group style="position:absolute;left:1711;top:5;width:1647;height:2" coordorigin="1711,5" coordsize="1647,2">
              <v:shape style="position:absolute;left:1711;top:5;width:1647;height:2" coordorigin="1711,5" coordsize="1647,0" path="m1711,5l3358,5e" filled="false" stroked="true" strokeweight=".48pt" strokecolor="#000000">
                <v:path arrowok="t"/>
              </v:shape>
            </v:group>
            <v:group style="position:absolute;left:3358;top:5;width:10;height:2" coordorigin="3358,5" coordsize="10,2">
              <v:shape style="position:absolute;left:3358;top:5;width:10;height:2" coordorigin="3358,5" coordsize="10,0" path="m3358,5l3367,5e" filled="false" stroked="true" strokeweight=".48pt" strokecolor="#000000">
                <v:path arrowok="t"/>
              </v:shape>
            </v:group>
            <v:group style="position:absolute;left:3367;top:5;width:10;height:2" coordorigin="3367,5" coordsize="10,2">
              <v:shape style="position:absolute;left:3367;top:5;width:10;height:2" coordorigin="3367,5" coordsize="10,0" path="m3367,5l3377,5e" filled="false" stroked="true" strokeweight=".48pt" strokecolor="#000000">
                <v:path arrowok="t"/>
              </v:shape>
            </v:group>
            <v:group style="position:absolute;left:3377;top:5;width:10;height:2" coordorigin="3377,5" coordsize="10,2">
              <v:shape style="position:absolute;left:3377;top:5;width:10;height:2" coordorigin="3377,5" coordsize="10,0" path="m3377,5l3386,5e" filled="false" stroked="true" strokeweight=".48pt" strokecolor="#000000">
                <v:path arrowok="t"/>
              </v:shape>
            </v:group>
            <v:group style="position:absolute;left:3386;top:5;width:1666;height:2" coordorigin="3386,5" coordsize="1666,2">
              <v:shape style="position:absolute;left:3386;top:5;width:1666;height:2" coordorigin="3386,5" coordsize="1666,0" path="m3386,5l5052,5e" filled="false" stroked="true" strokeweight=".48pt" strokecolor="#000000">
                <v:path arrowok="t"/>
              </v:shape>
            </v:group>
          </v:group>
        </w:pict>
      </w:r>
      <w:r>
        <w:rPr>
          <w:rFonts w:ascii="宋体" w:hAnsi="宋体" w:cs="宋体" w:eastAsia="宋体" w:hint="default"/>
          <w:sz w:val="2"/>
          <w:szCs w:val="2"/>
        </w:rPr>
      </w:r>
    </w:p>
    <w:p>
      <w:pPr>
        <w:tabs>
          <w:tab w:pos="1687" w:val="left" w:leader="none"/>
          <w:tab w:pos="3369" w:val="left" w:leader="none"/>
        </w:tabs>
        <w:spacing w:before="0"/>
        <w:ind w:left="0" w:right="382"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380" w:bottom="1380" w:left="1160" w:right="1160"/>
          <w:cols w:num="2" w:equalWidth="0">
            <w:col w:w="2688" w:space="1073"/>
            <w:col w:w="5829"/>
          </w:cols>
        </w:sectPr>
      </w:pPr>
    </w:p>
    <w:p>
      <w:pPr>
        <w:tabs>
          <w:tab w:pos="4530" w:val="left" w:leader="none"/>
          <w:tab w:pos="7897" w:val="left" w:leader="none"/>
        </w:tabs>
        <w:spacing w:before="62"/>
        <w:ind w:left="63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自制半成品及在产品</w:t>
        <w:tab/>
      </w:r>
      <w:r>
        <w:rPr>
          <w:rFonts w:ascii="Times New Roman" w:hAnsi="Times New Roman" w:cs="Times New Roman" w:eastAsia="Times New Roman" w:hint="default"/>
          <w:w w:val="95"/>
          <w:sz w:val="20"/>
          <w:szCs w:val="20"/>
        </w:rPr>
        <w:t>2,586,252.43</w:t>
        <w:tab/>
      </w:r>
      <w:r>
        <w:rPr>
          <w:rFonts w:ascii="Times New Roman" w:hAnsi="Times New Roman" w:cs="Times New Roman" w:eastAsia="Times New Roman" w:hint="default"/>
          <w:sz w:val="20"/>
          <w:szCs w:val="20"/>
        </w:rPr>
        <w:t>2,586,252.43</w:t>
      </w:r>
    </w:p>
    <w:p>
      <w:pPr>
        <w:spacing w:line="300" w:lineRule="auto" w:before="49"/>
        <w:ind w:left="637" w:right="5729" w:firstLine="0"/>
        <w:jc w:val="left"/>
        <w:rPr>
          <w:rFonts w:ascii="宋体" w:hAnsi="宋体" w:cs="宋体" w:eastAsia="宋体" w:hint="default"/>
          <w:sz w:val="20"/>
          <w:szCs w:val="20"/>
        </w:rPr>
      </w:pPr>
      <w:r>
        <w:rPr>
          <w:rFonts w:ascii="宋体" w:hAnsi="宋体" w:cs="宋体" w:eastAsia="宋体" w:hint="default"/>
          <w:sz w:val="20"/>
          <w:szCs w:val="20"/>
        </w:rPr>
        <w:t>库存商品（产成品）</w:t>
      </w:r>
      <w:r>
        <w:rPr>
          <w:rFonts w:ascii="宋体" w:hAnsi="宋体" w:cs="宋体" w:eastAsia="宋体" w:hint="default"/>
          <w:w w:val="99"/>
          <w:sz w:val="20"/>
          <w:szCs w:val="20"/>
        </w:rPr>
        <w:t> </w:t>
      </w:r>
      <w:r>
        <w:rPr>
          <w:rFonts w:ascii="宋体" w:hAnsi="宋体" w:cs="宋体" w:eastAsia="宋体" w:hint="default"/>
          <w:sz w:val="20"/>
          <w:szCs w:val="20"/>
        </w:rPr>
        <w:t>周转材料（包装物、低值易耗品等）</w:t>
      </w:r>
      <w:r>
        <w:rPr>
          <w:rFonts w:ascii="宋体" w:hAnsi="宋体" w:cs="宋体" w:eastAsia="宋体" w:hint="default"/>
          <w:w w:val="99"/>
          <w:sz w:val="20"/>
          <w:szCs w:val="20"/>
        </w:rPr>
        <w:t> </w:t>
      </w:r>
      <w:r>
        <w:rPr>
          <w:rFonts w:ascii="宋体" w:hAnsi="宋体" w:cs="宋体" w:eastAsia="宋体" w:hint="default"/>
          <w:sz w:val="20"/>
          <w:szCs w:val="20"/>
        </w:rPr>
        <w:t>消耗性生物资产</w:t>
      </w:r>
      <w:r>
        <w:rPr>
          <w:rFonts w:ascii="宋体" w:hAnsi="宋体" w:cs="宋体" w:eastAsia="宋体" w:hint="default"/>
          <w:w w:val="99"/>
          <w:sz w:val="20"/>
          <w:szCs w:val="20"/>
        </w:rPr>
        <w:t> </w:t>
      </w:r>
      <w:r>
        <w:rPr>
          <w:rFonts w:ascii="宋体" w:hAnsi="宋体" w:cs="宋体" w:eastAsia="宋体" w:hint="default"/>
          <w:sz w:val="20"/>
          <w:szCs w:val="20"/>
        </w:rPr>
        <w:t>工程施工（已完工未结算款）</w:t>
      </w:r>
    </w:p>
    <w:p>
      <w:pPr>
        <w:spacing w:before="14"/>
        <w:ind w:left="637" w:right="0" w:firstLine="0"/>
        <w:jc w:val="left"/>
        <w:rPr>
          <w:rFonts w:ascii="宋体" w:hAnsi="宋体" w:cs="宋体" w:eastAsia="宋体" w:hint="default"/>
          <w:sz w:val="20"/>
          <w:szCs w:val="20"/>
        </w:rPr>
      </w:pPr>
      <w:r>
        <w:rPr>
          <w:rFonts w:ascii="宋体" w:hAnsi="宋体" w:cs="宋体" w:eastAsia="宋体" w:hint="default"/>
          <w:sz w:val="20"/>
          <w:szCs w:val="20"/>
        </w:rPr>
        <w:t>其他</w:t>
      </w:r>
    </w:p>
    <w:p>
      <w:pPr>
        <w:spacing w:after="0"/>
        <w:jc w:val="left"/>
        <w:rPr>
          <w:rFonts w:ascii="宋体" w:hAnsi="宋体" w:cs="宋体" w:eastAsia="宋体" w:hint="default"/>
          <w:sz w:val="20"/>
          <w:szCs w:val="20"/>
        </w:rPr>
        <w:sectPr>
          <w:type w:val="continuous"/>
          <w:pgSz w:w="11910" w:h="16840"/>
          <w:pgMar w:top="1380" w:bottom="1380" w:left="1160" w:right="1160"/>
        </w:sect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spacing w:line="215" w:lineRule="exact" w:before="34"/>
        <w:ind w:left="3271" w:right="0" w:firstLine="0"/>
        <w:jc w:val="center"/>
        <w:rPr>
          <w:rFonts w:ascii="宋体" w:hAnsi="宋体" w:cs="宋体" w:eastAsia="宋体" w:hint="default"/>
          <w:sz w:val="20"/>
          <w:szCs w:val="20"/>
        </w:rPr>
      </w:pPr>
      <w:r>
        <w:rPr>
          <w:rFonts w:ascii="宋体" w:hAnsi="宋体" w:cs="宋体" w:eastAsia="宋体" w:hint="default"/>
          <w:sz w:val="20"/>
          <w:szCs w:val="20"/>
        </w:rPr>
        <w:t>期末余额</w:t>
      </w:r>
    </w:p>
    <w:p>
      <w:pPr>
        <w:tabs>
          <w:tab w:pos="1987" w:val="left" w:leader="none"/>
        </w:tabs>
        <w:spacing w:line="168" w:lineRule="exact" w:before="0"/>
        <w:ind w:left="1486" w:right="0" w:firstLine="0"/>
        <w:jc w:val="left"/>
        <w:rPr>
          <w:rFonts w:ascii="宋体" w:hAnsi="宋体" w:cs="宋体" w:eastAsia="宋体" w:hint="default"/>
          <w:sz w:val="20"/>
          <w:szCs w:val="20"/>
        </w:rPr>
      </w:pPr>
      <w:r>
        <w:rPr/>
        <w:pict>
          <v:group style="position:absolute;margin-left:253.199997pt;margin-top:5.614874pt;width:252.85pt;height:.5pt;mso-position-horizontal-relative:page;mso-position-vertical-relative:paragraph;z-index:2608" coordorigin="5064,112" coordsize="5057,10">
            <v:group style="position:absolute;left:5069;top:117;width:1680;height:2" coordorigin="5069,117" coordsize="1680,2">
              <v:shape style="position:absolute;left:5069;top:117;width:1680;height:2" coordorigin="5069,117" coordsize="1680,0" path="m5069,117l6749,117e" filled="false" stroked="true" strokeweight=".48pt" strokecolor="#000000">
                <v:path arrowok="t"/>
              </v:shape>
            </v:group>
            <v:group style="position:absolute;left:6749;top:117;width:10;height:2" coordorigin="6749,117" coordsize="10,2">
              <v:shape style="position:absolute;left:6749;top:117;width:10;height:2" coordorigin="6749,117" coordsize="10,0" path="m6749,117l6758,117e" filled="false" stroked="true" strokeweight=".48pt" strokecolor="#000000">
                <v:path arrowok="t"/>
              </v:shape>
            </v:group>
            <v:group style="position:absolute;left:6758;top:117;width:8;height:2" coordorigin="6758,117" coordsize="8,2">
              <v:shape style="position:absolute;left:6758;top:117;width:8;height:2" coordorigin="6758,117" coordsize="8,0" path="m6758,117l6766,117e" filled="false" stroked="true" strokeweight=".48pt" strokecolor="#000000">
                <v:path arrowok="t"/>
              </v:shape>
            </v:group>
            <v:group style="position:absolute;left:6766;top:117;width:10;height:2" coordorigin="6766,117" coordsize="10,2">
              <v:shape style="position:absolute;left:6766;top:117;width:10;height:2" coordorigin="6766,117" coordsize="10,0" path="m6766,117l6775,117e" filled="false" stroked="true" strokeweight=".48pt" strokecolor="#000000">
                <v:path arrowok="t"/>
              </v:shape>
            </v:group>
            <v:group style="position:absolute;left:6775;top:117;width:1647;height:2" coordorigin="6775,117" coordsize="1647,2">
              <v:shape style="position:absolute;left:6775;top:117;width:1647;height:2" coordorigin="6775,117" coordsize="1647,0" path="m6775,117l8422,117e" filled="false" stroked="true" strokeweight=".48pt" strokecolor="#000000">
                <v:path arrowok="t"/>
              </v:shape>
            </v:group>
            <v:group style="position:absolute;left:8422;top:117;width:10;height:2" coordorigin="8422,117" coordsize="10,2">
              <v:shape style="position:absolute;left:8422;top:117;width:10;height:2" coordorigin="8422,117" coordsize="10,0" path="m8422,117l8431,117e" filled="false" stroked="true" strokeweight=".48pt" strokecolor="#000000">
                <v:path arrowok="t"/>
              </v:shape>
            </v:group>
            <v:group style="position:absolute;left:8431;top:117;width:10;height:2" coordorigin="8431,117" coordsize="10,2">
              <v:shape style="position:absolute;left:8431;top:117;width:10;height:2" coordorigin="8431,117" coordsize="10,0" path="m8431,117l8441,117e" filled="false" stroked="true" strokeweight=".48pt" strokecolor="#000000">
                <v:path arrowok="t"/>
              </v:shape>
            </v:group>
            <v:group style="position:absolute;left:8441;top:117;width:10;height:2" coordorigin="8441,117" coordsize="10,2">
              <v:shape style="position:absolute;left:8441;top:117;width:10;height:2" coordorigin="8441,117" coordsize="10,0" path="m8441,117l8450,117e" filled="false" stroked="true" strokeweight=".48pt" strokecolor="#000000">
                <v:path arrowok="t"/>
              </v:shape>
            </v:group>
            <v:group style="position:absolute;left:8450;top:117;width:1666;height:2" coordorigin="8450,117" coordsize="1666,2">
              <v:shape style="position:absolute;left:8450;top:117;width:1666;height:2" coordorigin="8450,117" coordsize="1666,0" path="m8450,117l10116,117e" filled="false" stroked="true" strokeweight=".48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5063" w:val="left" w:leader="none"/>
          <w:tab w:pos="6746" w:val="left" w:leader="none"/>
        </w:tabs>
        <w:spacing w:line="215" w:lineRule="exact" w:before="0"/>
        <w:ind w:left="3376" w:right="0"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line="240" w:lineRule="auto" w:before="13"/>
        <w:rPr>
          <w:rFonts w:ascii="宋体" w:hAnsi="宋体" w:cs="宋体" w:eastAsia="宋体" w:hint="default"/>
          <w:sz w:val="4"/>
          <w:szCs w:val="4"/>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16.8pt;height:.5pt;mso-position-horizontal-relative:char;mso-position-vertical-relative:line" coordorigin="0,0" coordsize="8336,10">
            <v:group style="position:absolute;left:5;top:5;width:3214;height:2" coordorigin="5,5" coordsize="3214,2">
              <v:shape style="position:absolute;left:5;top:5;width:3214;height:2" coordorigin="5,5" coordsize="3214,0" path="m5,5l3218,5e" filled="false" stroked="true" strokeweight=".48pt" strokecolor="#000000">
                <v:path arrowok="t"/>
              </v:shape>
            </v:group>
            <v:group style="position:absolute;left:3283;top:5;width:1680;height:2" coordorigin="3283,5" coordsize="1680,2">
              <v:shape style="position:absolute;left:3283;top:5;width:1680;height:2" coordorigin="3283,5" coordsize="1680,0" path="m3283,5l4963,5e" filled="false" stroked="true" strokeweight=".48pt" strokecolor="#000000">
                <v:path arrowok="t"/>
              </v:shape>
            </v:group>
            <v:group style="position:absolute;left:4980;top:5;width:1656;height:2" coordorigin="4980,5" coordsize="1656,2">
              <v:shape style="position:absolute;left:4980;top:5;width:1656;height:2" coordorigin="4980,5" coordsize="1656,0" path="m4980,5l6636,5e" filled="false" stroked="true" strokeweight=".48pt" strokecolor="#000000">
                <v:path arrowok="t"/>
              </v:shape>
            </v:group>
            <v:group style="position:absolute;left:6655;top:5;width:1676;height:2" coordorigin="6655,5" coordsize="1676,2">
              <v:shape style="position:absolute;left:6655;top:5;width:1676;height:2" coordorigin="6655,5" coordsize="1676,0" path="m6655,5l8330,5e" filled="false" stroked="true" strokeweight=".48pt" strokecolor="#000000">
                <v:path arrowok="t"/>
              </v:shape>
            </v:group>
          </v:group>
        </w:pict>
      </w:r>
      <w:r>
        <w:rPr>
          <w:rFonts w:ascii="宋体" w:hAnsi="宋体" w:cs="宋体" w:eastAsia="宋体" w:hint="default"/>
          <w:sz w:val="2"/>
          <w:szCs w:val="2"/>
        </w:rPr>
      </w:r>
    </w:p>
    <w:p>
      <w:pPr>
        <w:tabs>
          <w:tab w:pos="1836" w:val="left" w:leader="none"/>
          <w:tab w:pos="4030" w:val="left" w:leader="none"/>
          <w:tab w:pos="7397" w:val="left" w:leader="none"/>
        </w:tabs>
        <w:spacing w:before="0"/>
        <w:ind w:left="143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sz w:val="20"/>
          <w:szCs w:val="20"/>
        </w:rPr>
        <w:t>2,586,252.43</w:t>
        <w:tab/>
      </w:r>
      <w:r>
        <w:rPr>
          <w:rFonts w:ascii="Times New Roman" w:hAnsi="Times New Roman" w:cs="Times New Roman" w:eastAsia="Times New Roman" w:hint="default"/>
          <w:sz w:val="20"/>
          <w:szCs w:val="20"/>
        </w:rPr>
        <w:t>2,586,252.43</w:t>
      </w:r>
    </w:p>
    <w:p>
      <w:pPr>
        <w:spacing w:line="240" w:lineRule="auto" w:before="7"/>
        <w:rPr>
          <w:rFonts w:ascii="Times New Roman" w:hAnsi="Times New Roman" w:cs="Times New Roman" w:eastAsia="Times New Roman" w:hint="default"/>
          <w:sz w:val="4"/>
          <w:szCs w:val="4"/>
        </w:rPr>
      </w:pPr>
    </w:p>
    <w:p>
      <w:pPr>
        <w:spacing w:line="43" w:lineRule="exact"/>
        <w:ind w:left="3387"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53.8pt;height:2.2pt;mso-position-horizontal-relative:char;mso-position-vertical-relative:line" coordorigin="0,0" coordsize="5076,44">
            <v:group style="position:absolute;left:7;top:36;width:1695;height:2" coordorigin="7,36" coordsize="1695,2">
              <v:shape style="position:absolute;left:7;top:36;width:1695;height:2" coordorigin="7,36" coordsize="1695,0" path="m7,36l1702,36e" filled="false" stroked="true" strokeweight=".72pt" strokecolor="#000000">
                <v:path arrowok="t"/>
              </v:shape>
            </v:group>
            <v:group style="position:absolute;left:7;top:7;width:1695;height:2" coordorigin="7,7" coordsize="1695,2">
              <v:shape style="position:absolute;left:7;top:7;width:1695;height:2" coordorigin="7,7" coordsize="1695,0" path="m7,7l1702,7e" filled="false" stroked="true" strokeweight=".72pt" strokecolor="#000000">
                <v:path arrowok="t"/>
              </v:shape>
            </v:group>
            <v:group style="position:absolute;left:1704;top:36;width:1671;height:2" coordorigin="1704,36" coordsize="1671,2">
              <v:shape style="position:absolute;left:1704;top:36;width:1671;height:2" coordorigin="1704,36" coordsize="1671,0" path="m1704,36l3374,36e" filled="false" stroked="true" strokeweight=".72pt" strokecolor="#000000">
                <v:path arrowok="t"/>
              </v:shape>
            </v:group>
            <v:group style="position:absolute;left:1704;top:7;width:1671;height:2" coordorigin="1704,7" coordsize="1671,2">
              <v:shape style="position:absolute;left:1704;top:7;width:1671;height:2" coordorigin="1704,7" coordsize="1671,0" path="m1704,7l3374,7e" filled="false" stroked="true" strokeweight=".72pt" strokecolor="#000000">
                <v:path arrowok="t"/>
              </v:shape>
            </v:group>
            <v:group style="position:absolute;left:3379;top:36;width:1690;height:2" coordorigin="3379,36" coordsize="1690,2">
              <v:shape style="position:absolute;left:3379;top:36;width:1690;height:2" coordorigin="3379,36" coordsize="1690,0" path="m3379,36l5069,36e" filled="false" stroked="true" strokeweight=".72pt" strokecolor="#000000">
                <v:path arrowok="t"/>
              </v:shape>
            </v:group>
            <v:group style="position:absolute;left:3379;top:7;width:1690;height:2" coordorigin="3379,7" coordsize="1690,2">
              <v:shape style="position:absolute;left:3379;top:7;width:1690;height:2" coordorigin="3379,7" coordsize="1690,0" path="m3379,7l5069,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4"/>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1910" w:h="16840"/>
          <w:pgMar w:header="850" w:footer="979" w:top="1380" w:bottom="1160" w:left="1660" w:right="1660"/>
        </w:sectPr>
      </w:pPr>
    </w:p>
    <w:p>
      <w:pPr>
        <w:pStyle w:val="BodyText"/>
        <w:spacing w:line="240" w:lineRule="auto" w:before="26"/>
        <w:ind w:left="377" w:right="0"/>
        <w:jc w:val="left"/>
      </w:pPr>
      <w:r>
        <w:rPr/>
        <w:t>（续）</w:t>
      </w:r>
    </w:p>
    <w:p>
      <w:pPr>
        <w:tabs>
          <w:tab w:pos="501" w:val="left" w:leader="none"/>
        </w:tabs>
        <w:spacing w:before="212"/>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p>
      <w:pPr>
        <w:spacing w:line="240" w:lineRule="auto" w:before="5"/>
        <w:rPr>
          <w:rFonts w:ascii="宋体" w:hAnsi="宋体" w:cs="宋体" w:eastAsia="宋体" w:hint="default"/>
          <w:sz w:val="29"/>
          <w:szCs w:val="29"/>
        </w:rPr>
      </w:pPr>
      <w:r>
        <w:rPr/>
        <w:br w:type="column"/>
      </w:r>
      <w:r>
        <w:rPr>
          <w:rFonts w:ascii="宋体"/>
          <w:sz w:val="29"/>
        </w:rPr>
      </w:r>
    </w:p>
    <w:p>
      <w:pPr>
        <w:spacing w:before="0"/>
        <w:ind w:left="0" w:right="283" w:firstLine="0"/>
        <w:jc w:val="center"/>
        <w:rPr>
          <w:rFonts w:ascii="宋体" w:hAnsi="宋体" w:cs="宋体" w:eastAsia="宋体" w:hint="default"/>
          <w:sz w:val="20"/>
          <w:szCs w:val="20"/>
        </w:rPr>
      </w:pPr>
      <w:r>
        <w:rPr>
          <w:rFonts w:ascii="宋体" w:hAnsi="宋体" w:cs="宋体" w:eastAsia="宋体" w:hint="default"/>
          <w:sz w:val="20"/>
          <w:szCs w:val="20"/>
        </w:rPr>
        <w:t>期初余额</w:t>
      </w:r>
    </w:p>
    <w:p>
      <w:pPr>
        <w:spacing w:line="240" w:lineRule="auto" w:before="0"/>
        <w:rPr>
          <w:rFonts w:ascii="宋体" w:hAnsi="宋体" w:cs="宋体" w:eastAsia="宋体" w:hint="default"/>
          <w:sz w:val="5"/>
          <w:szCs w:val="5"/>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255.25pt;height:.5pt;mso-position-horizontal-relative:char;mso-position-vertical-relative:line" coordorigin="0,0" coordsize="5105,10">
            <v:group style="position:absolute;left:5;top:5;width:1755;height:2" coordorigin="5,5" coordsize="1755,2">
              <v:shape style="position:absolute;left:5;top:5;width:1755;height:2" coordorigin="5,5" coordsize="1755,0" path="m5,5l1759,5e" filled="false" stroked="true" strokeweight=".48pt" strokecolor="#000000">
                <v:path arrowok="t"/>
              </v:shape>
            </v:group>
            <v:group style="position:absolute;left:1759;top:5;width:10;height:2" coordorigin="1759,5" coordsize="10,2">
              <v:shape style="position:absolute;left:1759;top:5;width:10;height:2" coordorigin="1759,5" coordsize="10,0" path="m1759,5l1769,5e" filled="false" stroked="true" strokeweight=".48pt" strokecolor="#000000">
                <v:path arrowok="t"/>
              </v:shape>
            </v:group>
            <v:group style="position:absolute;left:1769;top:5;width:32;height:2" coordorigin="1769,5" coordsize="32,2">
              <v:shape style="position:absolute;left:1769;top:5;width:32;height:2" coordorigin="1769,5" coordsize="32,0" path="m1769,5l1800,5e" filled="false" stroked="true" strokeweight=".48pt" strokecolor="#000000">
                <v:path arrowok="t"/>
              </v:shape>
            </v:group>
            <v:group style="position:absolute;left:1800;top:5;width:10;height:2" coordorigin="1800,5" coordsize="10,2">
              <v:shape style="position:absolute;left:1800;top:5;width:10;height:2" coordorigin="1800,5" coordsize="10,0" path="m1800,5l1810,5e" filled="false" stroked="true" strokeweight=".48pt" strokecolor="#000000">
                <v:path arrowok="t"/>
              </v:shape>
            </v:group>
            <v:group style="position:absolute;left:1810;top:5;width:1556;height:2" coordorigin="1810,5" coordsize="1556,2">
              <v:shape style="position:absolute;left:1810;top:5;width:1556;height:2" coordorigin="1810,5" coordsize="1556,0" path="m1810,5l3365,5e" filled="false" stroked="true" strokeweight=".48pt" strokecolor="#000000">
                <v:path arrowok="t"/>
              </v:shape>
            </v:group>
            <v:group style="position:absolute;left:3365;top:5;width:10;height:2" coordorigin="3365,5" coordsize="10,2">
              <v:shape style="position:absolute;left:3365;top:5;width:10;height:2" coordorigin="3365,5" coordsize="10,0" path="m3365,5l3374,5e" filled="false" stroked="true" strokeweight=".48pt" strokecolor="#000000">
                <v:path arrowok="t"/>
              </v:shape>
            </v:group>
            <v:group style="position:absolute;left:3374;top:5;width:8;height:2" coordorigin="3374,5" coordsize="8,2">
              <v:shape style="position:absolute;left:3374;top:5;width:8;height:2" coordorigin="3374,5" coordsize="8,0" path="m3374,5l3382,5e" filled="false" stroked="true" strokeweight=".48pt" strokecolor="#000000">
                <v:path arrowok="t"/>
              </v:shape>
            </v:group>
            <v:group style="position:absolute;left:3382;top:5;width:10;height:2" coordorigin="3382,5" coordsize="10,2">
              <v:shape style="position:absolute;left:3382;top:5;width:10;height:2" coordorigin="3382,5" coordsize="10,0" path="m3382,5l3391,5e" filled="false" stroked="true" strokeweight=".48pt" strokecolor="#000000">
                <v:path arrowok="t"/>
              </v:shape>
            </v:group>
            <v:group style="position:absolute;left:3391;top:5;width:1709;height:2" coordorigin="3391,5" coordsize="1709,2">
              <v:shape style="position:absolute;left:3391;top:5;width:1709;height:2" coordorigin="3391,5" coordsize="1709,0" path="m3391,5l5100,5e" filled="false" stroked="true" strokeweight=".48pt" strokecolor="#000000">
                <v:path arrowok="t"/>
              </v:shape>
            </v:group>
          </v:group>
        </w:pict>
      </w:r>
      <w:r>
        <w:rPr>
          <w:rFonts w:ascii="宋体" w:hAnsi="宋体" w:cs="宋体" w:eastAsia="宋体" w:hint="default"/>
          <w:sz w:val="2"/>
          <w:szCs w:val="2"/>
        </w:rPr>
      </w:r>
    </w:p>
    <w:p>
      <w:pPr>
        <w:tabs>
          <w:tab w:pos="1696" w:val="left" w:leader="none"/>
          <w:tab w:pos="3355" w:val="left" w:leader="none"/>
        </w:tabs>
        <w:spacing w:before="0"/>
        <w:ind w:left="0" w:right="163"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380" w:bottom="1380" w:left="1660" w:right="1660"/>
          <w:cols w:num="2" w:equalWidth="0">
            <w:col w:w="2188" w:space="1326"/>
            <w:col w:w="5076"/>
          </w:cols>
        </w:sectPr>
      </w:pPr>
    </w:p>
    <w:p>
      <w:pPr>
        <w:spacing w:line="240" w:lineRule="auto" w:before="5"/>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3230"/>
        <w:gridCol w:w="2894"/>
        <w:gridCol w:w="2201"/>
      </w:tblGrid>
      <w:tr>
        <w:trPr>
          <w:trHeight w:val="661" w:hRule="exact"/>
        </w:trPr>
        <w:tc>
          <w:tcPr>
            <w:tcW w:w="3230" w:type="dxa"/>
            <w:tcBorders>
              <w:top w:val="single" w:sz="4" w:space="0" w:color="000000"/>
              <w:left w:val="nil" w:sz="6" w:space="0" w:color="auto"/>
              <w:bottom w:val="nil" w:sz="6" w:space="0" w:color="auto"/>
              <w:right w:val="nil" w:sz="6" w:space="0" w:color="auto"/>
            </w:tcBorders>
          </w:tcPr>
          <w:p>
            <w:pPr>
              <w:pStyle w:val="TableParagraph"/>
              <w:spacing w:line="300" w:lineRule="auto"/>
              <w:ind w:left="7" w:right="1423"/>
              <w:jc w:val="left"/>
              <w:rPr>
                <w:rFonts w:ascii="宋体" w:hAnsi="宋体" w:cs="宋体" w:eastAsia="宋体" w:hint="default"/>
                <w:sz w:val="20"/>
                <w:szCs w:val="20"/>
              </w:rPr>
            </w:pPr>
            <w:r>
              <w:rPr>
                <w:rFonts w:ascii="宋体" w:hAnsi="宋体" w:cs="宋体" w:eastAsia="宋体" w:hint="default"/>
                <w:sz w:val="20"/>
                <w:szCs w:val="20"/>
              </w:rPr>
              <w:t>原材料</w:t>
            </w:r>
            <w:r>
              <w:rPr>
                <w:rFonts w:ascii="宋体" w:hAnsi="宋体" w:cs="宋体" w:eastAsia="宋体" w:hint="default"/>
                <w:w w:val="99"/>
                <w:sz w:val="20"/>
                <w:szCs w:val="20"/>
              </w:rPr>
              <w:t> </w:t>
            </w:r>
            <w:r>
              <w:rPr>
                <w:rFonts w:ascii="宋体" w:hAnsi="宋体" w:cs="宋体" w:eastAsia="宋体" w:hint="default"/>
                <w:w w:val="95"/>
                <w:sz w:val="20"/>
                <w:szCs w:val="20"/>
              </w:rPr>
              <w:t>自制半成品及在产品</w:t>
            </w:r>
            <w:r>
              <w:rPr>
                <w:rFonts w:ascii="宋体" w:hAnsi="宋体" w:cs="宋体" w:eastAsia="宋体" w:hint="default"/>
                <w:sz w:val="20"/>
                <w:szCs w:val="20"/>
              </w:rPr>
            </w:r>
          </w:p>
        </w:tc>
        <w:tc>
          <w:tcPr>
            <w:tcW w:w="289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698" w:right="0"/>
              <w:jc w:val="left"/>
              <w:rPr>
                <w:rFonts w:ascii="Times New Roman" w:hAnsi="Times New Roman" w:cs="Times New Roman" w:eastAsia="Times New Roman" w:hint="default"/>
                <w:sz w:val="20"/>
                <w:szCs w:val="20"/>
              </w:rPr>
            </w:pPr>
            <w:r>
              <w:rPr>
                <w:rFonts w:ascii="Times New Roman"/>
                <w:sz w:val="20"/>
              </w:rPr>
              <w:t>1,466,492.47</w:t>
            </w:r>
          </w:p>
        </w:tc>
        <w:tc>
          <w:tcPr>
            <w:tcW w:w="22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w w:val="95"/>
                <w:sz w:val="20"/>
              </w:rPr>
              <w:t>1,466,492.47</w:t>
            </w:r>
            <w:r>
              <w:rPr>
                <w:rFonts w:ascii="Times New Roman"/>
                <w:sz w:val="20"/>
              </w:rPr>
            </w:r>
          </w:p>
        </w:tc>
      </w:tr>
      <w:tr>
        <w:trPr>
          <w:trHeight w:val="321"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57" w:lineRule="exact"/>
              <w:ind w:left="7" w:right="0"/>
              <w:jc w:val="left"/>
              <w:rPr>
                <w:rFonts w:ascii="宋体" w:hAnsi="宋体" w:cs="宋体" w:eastAsia="宋体" w:hint="default"/>
                <w:sz w:val="20"/>
                <w:szCs w:val="20"/>
              </w:rPr>
            </w:pPr>
            <w:r>
              <w:rPr>
                <w:rFonts w:ascii="宋体" w:hAnsi="宋体" w:cs="宋体" w:eastAsia="宋体" w:hint="default"/>
                <w:sz w:val="20"/>
                <w:szCs w:val="20"/>
              </w:rPr>
              <w:t>库存商品（产成品）</w:t>
            </w:r>
          </w:p>
        </w:tc>
        <w:tc>
          <w:tcPr>
            <w:tcW w:w="2894"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r>
      <w:tr>
        <w:trPr>
          <w:trHeight w:val="65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97" w:lineRule="auto" w:before="1"/>
              <w:ind w:left="7" w:right="24"/>
              <w:jc w:val="left"/>
              <w:rPr>
                <w:rFonts w:ascii="宋体" w:hAnsi="宋体" w:cs="宋体" w:eastAsia="宋体" w:hint="default"/>
                <w:sz w:val="20"/>
                <w:szCs w:val="20"/>
              </w:rPr>
            </w:pPr>
            <w:r>
              <w:rPr>
                <w:rFonts w:ascii="宋体" w:hAnsi="宋体" w:cs="宋体" w:eastAsia="宋体" w:hint="default"/>
                <w:w w:val="95"/>
                <w:sz w:val="20"/>
                <w:szCs w:val="20"/>
              </w:rPr>
              <w:t>周转材料（包装物、低值易耗品等）</w:t>
            </w:r>
            <w:r>
              <w:rPr>
                <w:rFonts w:ascii="宋体" w:hAnsi="宋体" w:cs="宋体" w:eastAsia="宋体" w:hint="default"/>
                <w:spacing w:val="60"/>
                <w:w w:val="95"/>
                <w:sz w:val="20"/>
                <w:szCs w:val="20"/>
              </w:rPr>
              <w:t> </w:t>
            </w:r>
            <w:r>
              <w:rPr>
                <w:rFonts w:ascii="宋体" w:hAnsi="宋体" w:cs="宋体" w:eastAsia="宋体" w:hint="default"/>
                <w:spacing w:val="60"/>
                <w:w w:val="95"/>
                <w:sz w:val="20"/>
                <w:szCs w:val="20"/>
              </w:rPr>
            </w:r>
            <w:r>
              <w:rPr>
                <w:rFonts w:ascii="宋体" w:hAnsi="宋体" w:cs="宋体" w:eastAsia="宋体" w:hint="default"/>
                <w:sz w:val="20"/>
                <w:szCs w:val="20"/>
              </w:rPr>
              <w:t>消耗性生物资产</w:t>
            </w:r>
          </w:p>
        </w:tc>
        <w:tc>
          <w:tcPr>
            <w:tcW w:w="2894"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r>
      <w:tr>
        <w:trPr>
          <w:trHeight w:val="326"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工程施工（已完工未结算款）</w:t>
            </w:r>
          </w:p>
        </w:tc>
        <w:tc>
          <w:tcPr>
            <w:tcW w:w="2894"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r>
      <w:tr>
        <w:trPr>
          <w:trHeight w:val="333"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94" w:type="dxa"/>
            <w:tcBorders>
              <w:top w:val="nil" w:sz="6" w:space="0" w:color="auto"/>
              <w:left w:val="nil" w:sz="6" w:space="0" w:color="auto"/>
              <w:bottom w:val="single" w:sz="4" w:space="0" w:color="000000"/>
              <w:right w:val="nil" w:sz="6" w:space="0" w:color="auto"/>
            </w:tcBorders>
          </w:tcPr>
          <w:p>
            <w:pPr/>
          </w:p>
        </w:tc>
        <w:tc>
          <w:tcPr>
            <w:tcW w:w="2201" w:type="dxa"/>
            <w:tcBorders>
              <w:top w:val="nil" w:sz="6" w:space="0" w:color="auto"/>
              <w:left w:val="nil" w:sz="6" w:space="0" w:color="auto"/>
              <w:bottom w:val="single" w:sz="4" w:space="0" w:color="000000"/>
              <w:right w:val="nil" w:sz="6" w:space="0" w:color="auto"/>
            </w:tcBorders>
          </w:tcPr>
          <w:p>
            <w:pPr/>
          </w:p>
        </w:tc>
      </w:tr>
      <w:tr>
        <w:trPr>
          <w:trHeight w:val="355" w:hRule="exact"/>
        </w:trPr>
        <w:tc>
          <w:tcPr>
            <w:tcW w:w="323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17"/>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894"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left="698" w:right="0"/>
              <w:jc w:val="left"/>
              <w:rPr>
                <w:rFonts w:ascii="Times New Roman" w:hAnsi="Times New Roman" w:cs="Times New Roman" w:eastAsia="Times New Roman" w:hint="default"/>
                <w:sz w:val="20"/>
                <w:szCs w:val="20"/>
              </w:rPr>
            </w:pPr>
            <w:r>
              <w:rPr>
                <w:rFonts w:ascii="Times New Roman"/>
                <w:sz w:val="20"/>
              </w:rPr>
              <w:t>1,466,492.47</w:t>
            </w:r>
          </w:p>
        </w:tc>
        <w:tc>
          <w:tcPr>
            <w:tcW w:w="22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1,466,492.47</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6"/>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2201"/>
        <w:gridCol w:w="1842"/>
        <w:gridCol w:w="1578"/>
        <w:gridCol w:w="1498"/>
        <w:gridCol w:w="1236"/>
      </w:tblGrid>
      <w:tr>
        <w:trPr>
          <w:trHeight w:val="260" w:hRule="exact"/>
        </w:trPr>
        <w:tc>
          <w:tcPr>
            <w:tcW w:w="2201" w:type="dxa"/>
            <w:tcBorders>
              <w:top w:val="nil" w:sz="6" w:space="0" w:color="auto"/>
              <w:left w:val="nil" w:sz="6" w:space="0" w:color="auto"/>
              <w:bottom w:val="single" w:sz="4" w:space="0" w:color="000000"/>
              <w:right w:val="nil" w:sz="6" w:space="0" w:color="auto"/>
            </w:tcBorders>
          </w:tcPr>
          <w:p>
            <w:pPr>
              <w:pStyle w:val="TableParagraph"/>
              <w:tabs>
                <w:tab w:pos="453" w:val="left" w:leader="none"/>
              </w:tabs>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2"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78" w:type="dxa"/>
            <w:tcBorders>
              <w:top w:val="nil" w:sz="6" w:space="0" w:color="auto"/>
              <w:left w:val="nil" w:sz="6" w:space="0" w:color="auto"/>
              <w:bottom w:val="single" w:sz="4" w:space="0" w:color="000000"/>
              <w:right w:val="nil" w:sz="6" w:space="0" w:color="auto"/>
            </w:tcBorders>
          </w:tcPr>
          <w:p>
            <w:pPr>
              <w:pStyle w:val="TableParagraph"/>
              <w:spacing w:line="180" w:lineRule="exact"/>
              <w:ind w:left="2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2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20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6"/>
              <w:jc w:val="right"/>
              <w:rPr>
                <w:rFonts w:ascii="Times New Roman" w:hAnsi="Times New Roman" w:cs="Times New Roman" w:eastAsia="Times New Roman" w:hint="default"/>
                <w:sz w:val="18"/>
                <w:szCs w:val="18"/>
              </w:rPr>
            </w:pPr>
            <w:r>
              <w:rPr>
                <w:rFonts w:ascii="Times New Roman"/>
                <w:spacing w:val="-1"/>
                <w:sz w:val="18"/>
              </w:rPr>
              <w:t>3,464,592.87</w:t>
            </w:r>
            <w:r>
              <w:rPr>
                <w:rFonts w:ascii="Times New Roman"/>
                <w:sz w:val="18"/>
              </w:rPr>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27"/>
              <w:jc w:val="right"/>
              <w:rPr>
                <w:rFonts w:ascii="Times New Roman" w:hAnsi="Times New Roman" w:cs="Times New Roman" w:eastAsia="Times New Roman" w:hint="default"/>
                <w:sz w:val="18"/>
                <w:szCs w:val="18"/>
              </w:rPr>
            </w:pPr>
            <w:r>
              <w:rPr>
                <w:rFonts w:ascii="Times New Roman"/>
                <w:spacing w:val="-1"/>
                <w:sz w:val="18"/>
              </w:rPr>
              <w:t>37,735,797.43</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77"/>
              <w:jc w:val="right"/>
              <w:rPr>
                <w:rFonts w:ascii="Times New Roman" w:hAnsi="Times New Roman" w:cs="Times New Roman" w:eastAsia="Times New Roman" w:hint="default"/>
                <w:sz w:val="18"/>
                <w:szCs w:val="18"/>
              </w:rPr>
            </w:pPr>
            <w:r>
              <w:rPr>
                <w:rFonts w:ascii="Times New Roman"/>
                <w:sz w:val="18"/>
              </w:rPr>
              <w:t>235,201.00</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pacing w:val="-1"/>
                <w:sz w:val="18"/>
              </w:rPr>
              <w:t>40,965,189.30</w:t>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其中：土地</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7"/>
              <w:jc w:val="right"/>
              <w:rPr>
                <w:rFonts w:ascii="Times New Roman" w:hAnsi="Times New Roman" w:cs="Times New Roman" w:eastAsia="Times New Roman" w:hint="default"/>
                <w:sz w:val="18"/>
                <w:szCs w:val="18"/>
              </w:rPr>
            </w:pPr>
            <w:r>
              <w:rPr>
                <w:rFonts w:ascii="Times New Roman"/>
                <w:spacing w:val="-1"/>
                <w:sz w:val="18"/>
              </w:rPr>
              <w:t>33,807,605.60</w:t>
            </w: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33,807,605.60</w:t>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6"/>
              <w:jc w:val="right"/>
              <w:rPr>
                <w:rFonts w:ascii="Times New Roman" w:hAnsi="Times New Roman" w:cs="Times New Roman" w:eastAsia="Times New Roman" w:hint="default"/>
                <w:sz w:val="18"/>
                <w:szCs w:val="18"/>
              </w:rPr>
            </w:pPr>
            <w:r>
              <w:rPr>
                <w:rFonts w:ascii="Times New Roman"/>
                <w:spacing w:val="-1"/>
                <w:sz w:val="18"/>
              </w:rPr>
              <w:t>1,677,804.46</w:t>
            </w:r>
            <w:r>
              <w:rPr>
                <w:rFonts w:ascii="Times New Roman"/>
                <w:sz w:val="18"/>
              </w:rPr>
            </w: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1,677,804.46</w:t>
            </w:r>
            <w:r>
              <w:rPr>
                <w:rFonts w:ascii="Times New Roman"/>
                <w:sz w:val="18"/>
              </w:rPr>
            </w: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pacing w:val="-1"/>
                <w:sz w:val="18"/>
              </w:rPr>
              <w:t>1,786,788.41</w:t>
            </w:r>
            <w:r>
              <w:rPr>
                <w:rFonts w:ascii="Times New Roman"/>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5"/>
              <w:jc w:val="right"/>
              <w:rPr>
                <w:rFonts w:ascii="Times New Roman" w:hAnsi="Times New Roman" w:cs="Times New Roman" w:eastAsia="Times New Roman" w:hint="default"/>
                <w:sz w:val="18"/>
                <w:szCs w:val="18"/>
              </w:rPr>
            </w:pPr>
            <w:r>
              <w:rPr>
                <w:rFonts w:ascii="Times New Roman"/>
                <w:spacing w:val="-1"/>
                <w:sz w:val="18"/>
              </w:rPr>
              <w:t>3,928,191.83</w:t>
            </w:r>
            <w:r>
              <w:rPr>
                <w:rFonts w:ascii="Times New Roman"/>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8"/>
                <w:szCs w:val="18"/>
              </w:rPr>
            </w:pPr>
            <w:r>
              <w:rPr>
                <w:rFonts w:ascii="Times New Roman"/>
                <w:sz w:val="18"/>
              </w:rPr>
              <w:t>235,201.00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5,479,779.24</w:t>
            </w:r>
            <w:r>
              <w:rPr>
                <w:rFonts w:ascii="Times New Roman"/>
                <w:sz w:val="18"/>
              </w:rPr>
            </w: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pacing w:val="-1"/>
                <w:sz w:val="18"/>
              </w:rPr>
              <w:t>1,532,047.98</w:t>
            </w:r>
            <w:r>
              <w:rPr>
                <w:rFonts w:ascii="Times New Roman"/>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5"/>
              <w:jc w:val="right"/>
              <w:rPr>
                <w:rFonts w:ascii="Times New Roman" w:hAnsi="Times New Roman" w:cs="Times New Roman" w:eastAsia="Times New Roman" w:hint="default"/>
                <w:sz w:val="18"/>
                <w:szCs w:val="18"/>
              </w:rPr>
            </w:pPr>
            <w:r>
              <w:rPr>
                <w:rFonts w:ascii="Times New Roman"/>
                <w:spacing w:val="-1"/>
                <w:sz w:val="18"/>
              </w:rPr>
              <w:t>1,411,596.35</w:t>
            </w:r>
            <w:r>
              <w:rPr>
                <w:rFonts w:ascii="Times New Roman"/>
                <w:sz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8"/>
                <w:szCs w:val="18"/>
              </w:rPr>
            </w:pPr>
            <w:r>
              <w:rPr>
                <w:rFonts w:ascii="Times New Roman"/>
                <w:sz w:val="18"/>
              </w:rPr>
              <w:t>218,024.02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2,725,620.31</w:t>
            </w:r>
            <w:r>
              <w:rPr>
                <w:rFonts w:ascii="Times New Roman"/>
                <w:sz w:val="18"/>
              </w:rPr>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其中：土地</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5"/>
              <w:jc w:val="right"/>
              <w:rPr>
                <w:rFonts w:ascii="Times New Roman" w:hAnsi="Times New Roman" w:cs="Times New Roman" w:eastAsia="Times New Roman" w:hint="default"/>
                <w:sz w:val="18"/>
                <w:szCs w:val="18"/>
              </w:rPr>
            </w:pPr>
            <w:r>
              <w:rPr>
                <w:rFonts w:ascii="Times New Roman"/>
                <w:sz w:val="18"/>
              </w:rPr>
              <w:t>466,545.06</w:t>
            </w: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z w:val="18"/>
              </w:rPr>
              <w:t>466,545.06</w:t>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6"/>
              <w:jc w:val="right"/>
              <w:rPr>
                <w:rFonts w:ascii="Times New Roman" w:hAnsi="Times New Roman" w:cs="Times New Roman" w:eastAsia="Times New Roman" w:hint="default"/>
                <w:sz w:val="18"/>
                <w:szCs w:val="18"/>
              </w:rPr>
            </w:pPr>
            <w:r>
              <w:rPr>
                <w:rFonts w:ascii="Times New Roman"/>
                <w:sz w:val="18"/>
              </w:rPr>
              <w:t>634,604.97</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5"/>
              <w:jc w:val="right"/>
              <w:rPr>
                <w:rFonts w:ascii="Times New Roman" w:hAnsi="Times New Roman" w:cs="Times New Roman" w:eastAsia="Times New Roman" w:hint="default"/>
                <w:sz w:val="18"/>
                <w:szCs w:val="18"/>
              </w:rPr>
            </w:pPr>
            <w:r>
              <w:rPr>
                <w:rFonts w:ascii="Times New Roman"/>
                <w:sz w:val="18"/>
              </w:rPr>
              <w:t>259,779.12</w:t>
            </w: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z w:val="18"/>
              </w:rPr>
              <w:t>894,384.09</w:t>
            </w: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z w:val="18"/>
              </w:rPr>
              <w:t>897,443.01</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5"/>
              <w:jc w:val="right"/>
              <w:rPr>
                <w:rFonts w:ascii="Times New Roman" w:hAnsi="Times New Roman" w:cs="Times New Roman" w:eastAsia="Times New Roman" w:hint="default"/>
                <w:sz w:val="18"/>
                <w:szCs w:val="18"/>
              </w:rPr>
            </w:pPr>
            <w:r>
              <w:rPr>
                <w:rFonts w:ascii="Times New Roman"/>
                <w:sz w:val="18"/>
              </w:rPr>
              <w:t>685,272.17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8"/>
                <w:szCs w:val="18"/>
              </w:rPr>
            </w:pPr>
            <w:r>
              <w:rPr>
                <w:rFonts w:ascii="Times New Roman"/>
                <w:sz w:val="18"/>
              </w:rPr>
              <w:t>218,024.02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1,364,691.16</w:t>
            </w:r>
            <w:r>
              <w:rPr>
                <w:rFonts w:ascii="Times New Roman"/>
                <w:sz w:val="18"/>
              </w:rPr>
            </w: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pacing w:val="-1"/>
                <w:sz w:val="18"/>
              </w:rPr>
              <w:t>1,932,544.89</w:t>
            </w:r>
            <w:r>
              <w:rPr>
                <w:rFonts w:ascii="Times New Roman"/>
                <w:sz w:val="18"/>
              </w:rPr>
            </w: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
              <w:jc w:val="right"/>
              <w:rPr>
                <w:rFonts w:ascii="Times New Roman" w:hAnsi="Times New Roman" w:cs="Times New Roman" w:eastAsia="Times New Roman" w:hint="default"/>
                <w:sz w:val="18"/>
                <w:szCs w:val="18"/>
              </w:rPr>
            </w:pPr>
            <w:r>
              <w:rPr>
                <w:rFonts w:ascii="Times New Roman"/>
                <w:spacing w:val="-1"/>
                <w:sz w:val="18"/>
              </w:rPr>
              <w:t>38,239,568.99</w:t>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其中：土地</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33,341,060.54</w:t>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4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6"/>
              <w:jc w:val="right"/>
              <w:rPr>
                <w:rFonts w:ascii="Times New Roman" w:hAnsi="Times New Roman" w:cs="Times New Roman" w:eastAsia="Times New Roman" w:hint="default"/>
                <w:sz w:val="18"/>
                <w:szCs w:val="18"/>
              </w:rPr>
            </w:pPr>
            <w:r>
              <w:rPr>
                <w:rFonts w:ascii="Times New Roman"/>
                <w:spacing w:val="-1"/>
                <w:sz w:val="18"/>
              </w:rPr>
              <w:t>1,043,199.49</w:t>
            </w:r>
            <w:r>
              <w:rPr>
                <w:rFonts w:ascii="Times New Roman"/>
                <w:sz w:val="18"/>
              </w:rPr>
            </w: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Times New Roman" w:hAnsi="Times New Roman" w:cs="Times New Roman" w:eastAsia="Times New Roman" w:hint="default"/>
                <w:sz w:val="18"/>
                <w:szCs w:val="18"/>
              </w:rPr>
            </w:pPr>
            <w:r>
              <w:rPr>
                <w:rFonts w:ascii="Times New Roman"/>
                <w:sz w:val="18"/>
              </w:rPr>
              <w:t>783,420.37</w:t>
            </w: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z w:val="18"/>
              </w:rPr>
              <w:t>889,345.40</w:t>
            </w: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4,115,088.08</w:t>
            </w:r>
            <w:r>
              <w:rPr>
                <w:rFonts w:ascii="Times New Roman"/>
                <w:sz w:val="18"/>
              </w:rPr>
            </w:r>
          </w:p>
        </w:tc>
      </w:tr>
      <w:tr>
        <w:trPr>
          <w:trHeight w:val="331"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其中：土地</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336"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r>
        <w:trPr>
          <w:trHeight w:val="258" w:hRule="exact"/>
        </w:trPr>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380" w:bottom="1380" w:left="1660" w:right="1660"/>
        </w:sectPr>
      </w:pPr>
    </w:p>
    <w:tbl>
      <w:tblPr>
        <w:tblW w:w="0" w:type="auto"/>
        <w:jc w:val="left"/>
        <w:tblInd w:w="108" w:type="dxa"/>
        <w:tblLayout w:type="fixed"/>
        <w:tblCellMar>
          <w:top w:w="0" w:type="dxa"/>
          <w:left w:w="0" w:type="dxa"/>
          <w:bottom w:w="0" w:type="dxa"/>
          <w:right w:w="0" w:type="dxa"/>
        </w:tblCellMar>
        <w:tblLook w:val="01E0"/>
      </w:tblPr>
      <w:tblGrid>
        <w:gridCol w:w="2208"/>
        <w:gridCol w:w="1842"/>
        <w:gridCol w:w="1382"/>
        <w:gridCol w:w="1564"/>
        <w:gridCol w:w="1373"/>
      </w:tblGrid>
      <w:tr>
        <w:trPr>
          <w:trHeight w:val="370" w:hRule="exact"/>
        </w:trPr>
        <w:tc>
          <w:tcPr>
            <w:tcW w:w="2208" w:type="dxa"/>
            <w:tcBorders>
              <w:top w:val="single" w:sz="6"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42"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55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2"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2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4"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4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3"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4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3" w:hRule="exact"/>
        </w:trPr>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2"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
        </w:tc>
        <w:tc>
          <w:tcPr>
            <w:tcW w:w="1564"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r>
      <w:tr>
        <w:trPr>
          <w:trHeight w:val="336"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341"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6"/>
              <w:jc w:val="right"/>
              <w:rPr>
                <w:rFonts w:ascii="Times New Roman" w:hAnsi="Times New Roman" w:cs="Times New Roman" w:eastAsia="Times New Roman" w:hint="default"/>
                <w:sz w:val="18"/>
                <w:szCs w:val="18"/>
              </w:rPr>
            </w:pPr>
            <w:r>
              <w:rPr>
                <w:rFonts w:ascii="Times New Roman"/>
                <w:spacing w:val="-1"/>
                <w:sz w:val="18"/>
              </w:rPr>
              <w:t>1,932,544.89</w:t>
            </w:r>
            <w:r>
              <w:rPr>
                <w:rFonts w:ascii="Times New Roman"/>
                <w:sz w:val="18"/>
              </w:rPr>
            </w: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18"/>
                <w:szCs w:val="18"/>
              </w:rPr>
            </w:pPr>
            <w:r>
              <w:rPr>
                <w:rFonts w:ascii="Times New Roman"/>
                <w:spacing w:val="-1"/>
                <w:sz w:val="18"/>
              </w:rPr>
              <w:t>38,239,568.99</w:t>
            </w:r>
          </w:p>
        </w:tc>
      </w:tr>
      <w:tr>
        <w:trPr>
          <w:trHeight w:val="331"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其中：土地</w:t>
            </w:r>
          </w:p>
        </w:tc>
        <w:tc>
          <w:tcPr>
            <w:tcW w:w="184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341"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18"/>
                <w:szCs w:val="18"/>
              </w:rPr>
            </w:pPr>
            <w:r>
              <w:rPr>
                <w:rFonts w:ascii="Times New Roman"/>
                <w:spacing w:val="-1"/>
                <w:sz w:val="18"/>
              </w:rPr>
              <w:t>33,341,060.54</w:t>
            </w:r>
          </w:p>
        </w:tc>
      </w:tr>
      <w:tr>
        <w:trPr>
          <w:trHeight w:val="331"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341"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6"/>
              <w:jc w:val="right"/>
              <w:rPr>
                <w:rFonts w:ascii="Times New Roman" w:hAnsi="Times New Roman" w:cs="Times New Roman" w:eastAsia="Times New Roman" w:hint="default"/>
                <w:sz w:val="18"/>
                <w:szCs w:val="18"/>
              </w:rPr>
            </w:pPr>
            <w:r>
              <w:rPr>
                <w:rFonts w:ascii="Times New Roman"/>
                <w:spacing w:val="-1"/>
                <w:sz w:val="18"/>
              </w:rPr>
              <w:t>1,043,199.49</w:t>
            </w:r>
            <w:r>
              <w:rPr>
                <w:rFonts w:ascii="Times New Roman"/>
                <w:sz w:val="18"/>
              </w:rPr>
            </w: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783,420.37</w:t>
            </w:r>
          </w:p>
        </w:tc>
      </w:tr>
      <w:tr>
        <w:trPr>
          <w:trHeight w:val="263" w:hRule="exact"/>
        </w:trPr>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Times New Roman" w:hAnsi="Times New Roman" w:cs="Times New Roman" w:eastAsia="Times New Roman" w:hint="default"/>
                <w:sz w:val="18"/>
                <w:szCs w:val="18"/>
              </w:rPr>
            </w:pPr>
            <w:r>
              <w:rPr>
                <w:rFonts w:ascii="Times New Roman"/>
                <w:sz w:val="18"/>
              </w:rPr>
              <w:t>889,345.40</w:t>
            </w:r>
          </w:p>
        </w:tc>
        <w:tc>
          <w:tcPr>
            <w:tcW w:w="13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Times New Roman" w:hAnsi="Times New Roman" w:cs="Times New Roman" w:eastAsia="Times New Roman" w:hint="default"/>
                <w:sz w:val="18"/>
                <w:szCs w:val="18"/>
              </w:rPr>
            </w:pPr>
            <w:r>
              <w:rPr>
                <w:rFonts w:ascii="Times New Roman"/>
                <w:spacing w:val="-1"/>
                <w:sz w:val="18"/>
              </w:rPr>
              <w:t>4,115,088.08</w:t>
            </w:r>
            <w:r>
              <w:rPr>
                <w:rFonts w:ascii="Times New Roman"/>
                <w:sz w:val="18"/>
              </w:rPr>
            </w:r>
          </w:p>
        </w:tc>
      </w:tr>
    </w:tbl>
    <w:p>
      <w:pPr>
        <w:spacing w:line="240" w:lineRule="auto" w:before="10"/>
        <w:rPr>
          <w:rFonts w:ascii="宋体" w:hAnsi="宋体" w:cs="宋体" w:eastAsia="宋体" w:hint="default"/>
          <w:b/>
          <w:bCs/>
          <w:sz w:val="10"/>
          <w:szCs w:val="10"/>
        </w:rPr>
      </w:pPr>
    </w:p>
    <w:p>
      <w:pPr>
        <w:pStyle w:val="BodyText"/>
        <w:spacing w:line="240" w:lineRule="auto" w:before="26"/>
        <w:ind w:left="617" w:right="0"/>
        <w:jc w:val="left"/>
      </w:pPr>
      <w:r>
        <w:rPr/>
        <w:t>注：本期折旧额为</w:t>
      </w:r>
      <w:r>
        <w:rPr>
          <w:spacing w:val="-60"/>
        </w:rPr>
        <w:t> </w:t>
      </w:r>
      <w:r>
        <w:rPr>
          <w:rFonts w:ascii="Times New Roman" w:hAnsi="Times New Roman" w:cs="Times New Roman" w:eastAsia="Times New Roman" w:hint="default"/>
        </w:rPr>
        <w:t>1,411,596.35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72"/>
        <w:ind w:right="0"/>
        <w:jc w:val="left"/>
        <w:rPr>
          <w:b w:val="0"/>
          <w:bCs w:val="0"/>
        </w:rPr>
      </w:pPr>
      <w:r>
        <w:rPr>
          <w:rFonts w:ascii="Times New Roman" w:hAnsi="Times New Roman" w:cs="Times New Roman" w:eastAsia="Times New Roman" w:hint="default"/>
        </w:rPr>
        <w:t>8</w:t>
      </w:r>
      <w:r>
        <w:rPr/>
        <w:t>、在建工程</w:t>
      </w:r>
      <w:r>
        <w:rPr>
          <w:b w:val="0"/>
          <w:bCs w:val="0"/>
        </w:rPr>
      </w:r>
    </w:p>
    <w:p>
      <w:pPr>
        <w:spacing w:line="240" w:lineRule="auto" w:before="10"/>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50" w:footer="979" w:top="1380" w:bottom="1160" w:left="1660" w:right="1660"/>
        </w:sectPr>
      </w:pPr>
    </w:p>
    <w:p>
      <w:pPr>
        <w:pStyle w:val="BodyText"/>
        <w:spacing w:line="240" w:lineRule="auto" w:before="26"/>
        <w:ind w:left="562" w:right="-20"/>
        <w:jc w:val="left"/>
      </w:pPr>
      <w:r>
        <w:rPr/>
        <w:t>在建工程基本情况</w:t>
      </w:r>
    </w:p>
    <w:p>
      <w:pPr>
        <w:spacing w:line="240" w:lineRule="auto" w:before="6"/>
        <w:rPr>
          <w:rFonts w:ascii="宋体" w:hAnsi="宋体" w:cs="宋体" w:eastAsia="宋体" w:hint="default"/>
          <w:sz w:val="17"/>
          <w:szCs w:val="17"/>
        </w:rPr>
      </w:pPr>
    </w:p>
    <w:p>
      <w:pPr>
        <w:spacing w:line="224" w:lineRule="exact" w:before="0"/>
        <w:ind w:left="677" w:right="-20" w:firstLine="0"/>
        <w:jc w:val="left"/>
        <w:rPr>
          <w:rFonts w:ascii="宋体" w:hAnsi="宋体" w:cs="宋体" w:eastAsia="宋体" w:hint="default"/>
          <w:sz w:val="18"/>
          <w:szCs w:val="18"/>
        </w:rPr>
      </w:pPr>
      <w:r>
        <w:rPr/>
        <w:pict>
          <v:group style="position:absolute;margin-left:176.759995pt;margin-top:7.151733pt;width:328.35pt;height:.5pt;mso-position-horizontal-relative:page;mso-position-vertical-relative:paragraph;z-index:2680" coordorigin="3535,143" coordsize="6567,10">
            <v:group style="position:absolute;left:3540;top:148;width:1102;height:2" coordorigin="3540,148" coordsize="1102,2">
              <v:shape style="position:absolute;left:3540;top:148;width:1102;height:2" coordorigin="3540,148" coordsize="1102,0" path="m3540,148l4642,148e" filled="false" stroked="true" strokeweight=".48pt" strokecolor="#000000">
                <v:path arrowok="t"/>
              </v:shape>
            </v:group>
            <v:group style="position:absolute;left:4642;top:148;width:10;height:2" coordorigin="4642,148" coordsize="10,2">
              <v:shape style="position:absolute;left:4642;top:148;width:10;height:2" coordorigin="4642,148" coordsize="10,0" path="m4642,148l4651,148e" filled="false" stroked="true" strokeweight=".48pt" strokecolor="#000000">
                <v:path arrowok="t"/>
              </v:shape>
            </v:group>
            <v:group style="position:absolute;left:4651;top:148;width:63;height:2" coordorigin="4651,148" coordsize="63,2">
              <v:shape style="position:absolute;left:4651;top:148;width:63;height:2" coordorigin="4651,148" coordsize="63,0" path="m4651,148l4714,148e" filled="false" stroked="true" strokeweight=".48pt" strokecolor="#000000">
                <v:path arrowok="t"/>
              </v:shape>
            </v:group>
            <v:group style="position:absolute;left:4714;top:148;width:10;height:2" coordorigin="4714,148" coordsize="10,2">
              <v:shape style="position:absolute;left:4714;top:148;width:10;height:2" coordorigin="4714,148" coordsize="10,0" path="m4714,148l4723,148e" filled="false" stroked="true" strokeweight=".48pt" strokecolor="#000000">
                <v:path arrowok="t"/>
              </v:shape>
            </v:group>
            <v:group style="position:absolute;left:4723;top:148;width:891;height:2" coordorigin="4723,148" coordsize="891,2">
              <v:shape style="position:absolute;left:4723;top:148;width:891;height:2" coordorigin="4723,148" coordsize="891,0" path="m4723,148l5614,148e" filled="false" stroked="true" strokeweight=".48pt" strokecolor="#000000">
                <v:path arrowok="t"/>
              </v:shape>
            </v:group>
            <v:group style="position:absolute;left:5614;top:148;width:10;height:2" coordorigin="5614,148" coordsize="10,2">
              <v:shape style="position:absolute;left:5614;top:148;width:10;height:2" coordorigin="5614,148" coordsize="10,0" path="m5614,148l5623,148e" filled="false" stroked="true" strokeweight=".48pt" strokecolor="#000000">
                <v:path arrowok="t"/>
              </v:shape>
            </v:group>
            <v:group style="position:absolute;left:5623;top:148;width:63;height:2" coordorigin="5623,148" coordsize="63,2">
              <v:shape style="position:absolute;left:5623;top:148;width:63;height:2" coordorigin="5623,148" coordsize="63,0" path="m5623,148l5686,148e" filled="false" stroked="true" strokeweight=".48pt" strokecolor="#000000">
                <v:path arrowok="t"/>
              </v:shape>
            </v:group>
            <v:group style="position:absolute;left:5686;top:148;width:10;height:2" coordorigin="5686,148" coordsize="10,2">
              <v:shape style="position:absolute;left:5686;top:148;width:10;height:2" coordorigin="5686,148" coordsize="10,0" path="m5686,148l5695,148e" filled="false" stroked="true" strokeweight=".48pt" strokecolor="#000000">
                <v:path arrowok="t"/>
              </v:shape>
            </v:group>
            <v:group style="position:absolute;left:5695;top:148;width:1140;height:2" coordorigin="5695,148" coordsize="1140,2">
              <v:shape style="position:absolute;left:5695;top:148;width:1140;height:2" coordorigin="5695,148" coordsize="1140,0" path="m5695,148l6835,148e" filled="false" stroked="true" strokeweight=".48pt" strokecolor="#000000">
                <v:path arrowok="t"/>
              </v:shape>
            </v:group>
            <v:group style="position:absolute;left:6910;top:148;width:1104;height:2" coordorigin="6910,148" coordsize="1104,2">
              <v:shape style="position:absolute;left:6910;top:148;width:1104;height:2" coordorigin="6910,148" coordsize="1104,0" path="m6910,148l8014,148e" filled="false" stroked="true" strokeweight=".48pt" strokecolor="#000000">
                <v:path arrowok="t"/>
              </v:shape>
            </v:group>
            <v:group style="position:absolute;left:8014;top:148;width:10;height:2" coordorigin="8014,148" coordsize="10,2">
              <v:shape style="position:absolute;left:8014;top:148;width:10;height:2" coordorigin="8014,148" coordsize="10,0" path="m8014,148l8023,148e" filled="false" stroked="true" strokeweight=".48pt" strokecolor="#000000">
                <v:path arrowok="t"/>
              </v:shape>
            </v:group>
            <v:group style="position:absolute;left:8023;top:148;width:108;height:2" coordorigin="8023,148" coordsize="108,2">
              <v:shape style="position:absolute;left:8023;top:148;width:108;height:2" coordorigin="8023,148" coordsize="108,0" path="m8023,148l8131,148e" filled="false" stroked="true" strokeweight=".48pt" strokecolor="#000000">
                <v:path arrowok="t"/>
              </v:shape>
            </v:group>
            <v:group style="position:absolute;left:8131;top:148;width:10;height:2" coordorigin="8131,148" coordsize="10,2">
              <v:shape style="position:absolute;left:8131;top:148;width:10;height:2" coordorigin="8131,148" coordsize="10,0" path="m8131,148l8141,148e" filled="false" stroked="true" strokeweight=".48pt" strokecolor="#000000">
                <v:path arrowok="t"/>
              </v:shape>
            </v:group>
            <v:group style="position:absolute;left:8141;top:148;width:860;height:2" coordorigin="8141,148" coordsize="860,2">
              <v:shape style="position:absolute;left:8141;top:148;width:860;height:2" coordorigin="8141,148" coordsize="860,0" path="m8141,148l9000,148e" filled="false" stroked="true" strokeweight=".48pt" strokecolor="#000000">
                <v:path arrowok="t"/>
              </v:shape>
            </v:group>
            <v:group style="position:absolute;left:9000;top:148;width:10;height:2" coordorigin="9000,148" coordsize="10,2">
              <v:shape style="position:absolute;left:9000;top:148;width:10;height:2" coordorigin="9000,148" coordsize="10,0" path="m9000,148l9010,148e" filled="false" stroked="true" strokeweight=".48pt" strokecolor="#000000">
                <v:path arrowok="t"/>
              </v:shape>
            </v:group>
            <v:group style="position:absolute;left:9010;top:148;width:12;height:2" coordorigin="9010,148" coordsize="12,2">
              <v:shape style="position:absolute;left:9010;top:148;width:12;height:2" coordorigin="9010,148" coordsize="12,0" path="m9010,148l9022,148e" filled="false" stroked="true" strokeweight=".48pt" strokecolor="#000000">
                <v:path arrowok="t"/>
              </v:shape>
            </v:group>
            <v:group style="position:absolute;left:9022;top:148;width:10;height:2" coordorigin="9022,148" coordsize="10,2">
              <v:shape style="position:absolute;left:9022;top:148;width:10;height:2" coordorigin="9022,148" coordsize="10,0" path="m9022,148l9031,148e" filled="false" stroked="true" strokeweight=".48pt" strokecolor="#000000">
                <v:path arrowok="t"/>
              </v:shape>
            </v:group>
            <v:group style="position:absolute;left:9031;top:148;width:1066;height:2" coordorigin="9031,148" coordsize="1066,2">
              <v:shape style="position:absolute;left:9031;top:148;width:1066;height:2" coordorigin="9031,148" coordsize="1066,0" path="m9031,148l10097,148e" filled="false" stroked="true" strokeweight=".48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tabs>
          <w:tab w:pos="3876" w:val="left" w:leader="none"/>
        </w:tabs>
        <w:spacing w:before="0"/>
        <w:ind w:left="562" w:right="0" w:firstLine="0"/>
        <w:jc w:val="lef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2"/>
          <w:sz w:val="18"/>
          <w:szCs w:val="18"/>
        </w:rPr>
        <w:t> </w:t>
      </w:r>
      <w:r>
        <w:rPr>
          <w:rFonts w:ascii="宋体" w:hAnsi="宋体" w:cs="宋体" w:eastAsia="宋体" w:hint="default"/>
          <w:sz w:val="18"/>
          <w:szCs w:val="18"/>
        </w:rPr>
        <w:t>数</w:t>
        <w:tab/>
        <w:t>期 初</w:t>
      </w:r>
      <w:r>
        <w:rPr>
          <w:rFonts w:ascii="宋体" w:hAnsi="宋体" w:cs="宋体" w:eastAsia="宋体" w:hint="default"/>
          <w:spacing w:val="2"/>
          <w:sz w:val="18"/>
          <w:szCs w:val="18"/>
        </w:rPr>
        <w:t> </w:t>
      </w:r>
      <w:r>
        <w:rPr>
          <w:rFonts w:ascii="宋体" w:hAnsi="宋体" w:cs="宋体" w:eastAsia="宋体" w:hint="default"/>
          <w:sz w:val="18"/>
          <w:szCs w:val="18"/>
        </w:rPr>
        <w:t>数</w:t>
      </w:r>
    </w:p>
    <w:p>
      <w:pPr>
        <w:spacing w:after="0"/>
        <w:jc w:val="left"/>
        <w:rPr>
          <w:rFonts w:ascii="宋体" w:hAnsi="宋体" w:cs="宋体" w:eastAsia="宋体" w:hint="default"/>
          <w:sz w:val="18"/>
          <w:szCs w:val="18"/>
        </w:rPr>
        <w:sectPr>
          <w:type w:val="continuous"/>
          <w:pgSz w:w="11910" w:h="16840"/>
          <w:pgMar w:top="1380" w:bottom="1380" w:left="1660" w:right="1660"/>
          <w:cols w:num="2" w:equalWidth="0">
            <w:col w:w="2483" w:space="121"/>
            <w:col w:w="5986"/>
          </w:cols>
        </w:sectPr>
      </w:pPr>
    </w:p>
    <w:p>
      <w:pPr>
        <w:tabs>
          <w:tab w:pos="3142" w:val="left" w:leader="none"/>
          <w:tab w:pos="4239" w:val="left" w:leader="none"/>
          <w:tab w:pos="5439" w:val="left" w:leader="none"/>
          <w:tab w:pos="6543" w:val="left" w:leader="none"/>
          <w:tab w:pos="7546" w:val="left" w:leader="none"/>
        </w:tabs>
        <w:spacing w:line="180" w:lineRule="exact" w:before="0"/>
        <w:ind w:left="2070" w:right="0" w:firstLine="0"/>
        <w:jc w:val="left"/>
        <w:rPr>
          <w:rFonts w:ascii="宋体" w:hAnsi="宋体" w:cs="宋体" w:eastAsia="宋体" w:hint="default"/>
          <w:sz w:val="18"/>
          <w:szCs w:val="18"/>
        </w:rPr>
      </w:pPr>
      <w:r>
        <w:rPr/>
        <w:pict>
          <v:group style="position:absolute;margin-left:345.480011pt;margin-top:29.814375pt;width:55.2pt;height:.1pt;mso-position-horizontal-relative:page;mso-position-vertical-relative:paragraph;z-index:2704" coordorigin="6910,596" coordsize="1104,2">
            <v:shape style="position:absolute;left:6910;top:596;width:1104;height:2" coordorigin="6910,596" coordsize="1104,0" path="m6910,596l8014,596e" filled="false" stroked="true" strokeweight=".48pt" strokecolor="#000000">
              <v:path arrowok="t"/>
            </v:shape>
            <w10:wrap type="none"/>
          </v:group>
        </w:pict>
      </w:r>
      <w:r>
        <w:rPr/>
        <w:pict>
          <v:group style="position:absolute;margin-left:406.320007pt;margin-top:29.574375pt;width:99.75pt;height:.5pt;mso-position-horizontal-relative:page;mso-position-vertical-relative:paragraph;z-index:2728" coordorigin="8126,591" coordsize="1995,10">
            <v:group style="position:absolute;left:8131;top:596;width:869;height:2" coordorigin="8131,596" coordsize="869,2">
              <v:shape style="position:absolute;left:8131;top:596;width:869;height:2" coordorigin="8131,596" coordsize="869,0" path="m8131,596l9000,596e" filled="false" stroked="true" strokeweight=".48pt" strokecolor="#000000">
                <v:path arrowok="t"/>
              </v:shape>
            </v:group>
            <v:group style="position:absolute;left:9022;top:596;width:1095;height:2" coordorigin="9022,596" coordsize="1095,2">
              <v:shape style="position:absolute;left:9022;top:596;width:1095;height:2" coordorigin="9022,596" coordsize="1095,0" path="m9022,596l10116,596e" filled="false" stroked="true" strokeweight=".48pt" strokecolor="#000000">
                <v:path arrowok="t"/>
              </v:shape>
            </v:group>
            <w10:wrap type="none"/>
          </v:group>
        </w:pict>
      </w:r>
      <w:r>
        <w:rPr/>
        <w:pict>
          <v:group style="position:absolute;margin-left:175.919998pt;margin-top:46.494373pt;width:225.15pt;height:2.2pt;mso-position-horizontal-relative:page;mso-position-vertical-relative:paragraph;z-index:-604840" coordorigin="3518,930" coordsize="4503,44">
            <v:group style="position:absolute;left:3526;top:966;width:1116;height:2" coordorigin="3526,966" coordsize="1116,2">
              <v:shape style="position:absolute;left:3526;top:966;width:1116;height:2" coordorigin="3526,966" coordsize="1116,0" path="m3526,966l4642,966e" filled="false" stroked="true" strokeweight=".72pt" strokecolor="#000000">
                <v:path arrowok="t"/>
              </v:shape>
            </v:group>
            <v:group style="position:absolute;left:3526;top:937;width:1116;height:2" coordorigin="3526,937" coordsize="1116,2">
              <v:shape style="position:absolute;left:3526;top:937;width:1116;height:2" coordorigin="3526,937" coordsize="1116,0" path="m3526,937l4642,937e" filled="false" stroked="true" strokeweight=".72pt" strokecolor="#000000">
                <v:path arrowok="t"/>
              </v:shape>
            </v:group>
            <v:group style="position:absolute;left:4699;top:966;width:915;height:2" coordorigin="4699,966" coordsize="915,2">
              <v:shape style="position:absolute;left:4699;top:966;width:915;height:2" coordorigin="4699,966" coordsize="915,0" path="m4699,966l5614,966e" filled="false" stroked="true" strokeweight=".72pt" strokecolor="#000000">
                <v:path arrowok="t"/>
              </v:shape>
            </v:group>
            <v:group style="position:absolute;left:4699;top:937;width:915;height:2" coordorigin="4699,937" coordsize="915,2">
              <v:shape style="position:absolute;left:4699;top:937;width:915;height:2" coordorigin="4699,937" coordsize="915,0" path="m4699,937l5614,937e" filled="false" stroked="true" strokeweight=".72pt" strokecolor="#000000">
                <v:path arrowok="t"/>
              </v:shape>
            </v:group>
            <v:group style="position:absolute;left:5671;top:966;width:1164;height:2" coordorigin="5671,966" coordsize="1164,2">
              <v:shape style="position:absolute;left:5671;top:966;width:1164;height:2" coordorigin="5671,966" coordsize="1164,0" path="m5671,966l6835,966e" filled="false" stroked="true" strokeweight=".72pt" strokecolor="#000000">
                <v:path arrowok="t"/>
              </v:shape>
            </v:group>
            <v:group style="position:absolute;left:5671;top:937;width:1164;height:2" coordorigin="5671,937" coordsize="1164,2">
              <v:shape style="position:absolute;left:5671;top:937;width:1164;height:2" coordorigin="5671,937" coordsize="1164,0" path="m5671,937l6835,937e" filled="false" stroked="true" strokeweight=".72pt" strokecolor="#000000">
                <v:path arrowok="t"/>
              </v:shape>
            </v:group>
            <v:group style="position:absolute;left:6895;top:966;width:1119;height:2" coordorigin="6895,966" coordsize="1119,2">
              <v:shape style="position:absolute;left:6895;top:966;width:1119;height:2" coordorigin="6895,966" coordsize="1119,0" path="m6895,966l8014,966e" filled="false" stroked="true" strokeweight=".72pt" strokecolor="#000000">
                <v:path arrowok="t"/>
              </v:shape>
            </v:group>
            <v:group style="position:absolute;left:6895;top:937;width:1119;height:2" coordorigin="6895,937" coordsize="1119,2">
              <v:shape style="position:absolute;left:6895;top:937;width:1119;height:2" coordorigin="6895,937" coordsize="1119,0" path="m6895,937l8014,937e" filled="false" stroked="true" strokeweight=".72pt" strokecolor="#000000">
                <v:path arrowok="t"/>
              </v:shape>
            </v:group>
            <w10:wrap type="none"/>
          </v:group>
        </w:pict>
      </w:r>
      <w:r>
        <w:rPr/>
        <w:pict>
          <v:group style="position:absolute;margin-left:405.480011pt;margin-top:46.494373pt;width:100.7pt;height:2.2pt;mso-position-horizontal-relative:page;mso-position-vertical-relative:paragraph;z-index:2776" coordorigin="8110,930" coordsize="2014,44">
            <v:group style="position:absolute;left:8117;top:966;width:884;height:2" coordorigin="8117,966" coordsize="884,2">
              <v:shape style="position:absolute;left:8117;top:966;width:884;height:2" coordorigin="8117,966" coordsize="884,0" path="m8117,966l9000,966e" filled="false" stroked="true" strokeweight=".72pt" strokecolor="#000000">
                <v:path arrowok="t"/>
              </v:shape>
            </v:group>
            <v:group style="position:absolute;left:8117;top:937;width:884;height:2" coordorigin="8117,937" coordsize="884,2">
              <v:shape style="position:absolute;left:8117;top:937;width:884;height:2" coordorigin="8117,937" coordsize="884,0" path="m8117,937l9000,937e" filled="false" stroked="true" strokeweight=".72pt" strokecolor="#000000">
                <v:path arrowok="t"/>
              </v:shape>
            </v:group>
            <v:group style="position:absolute;left:9007;top:966;width:1109;height:2" coordorigin="9007,966" coordsize="1109,2">
              <v:shape style="position:absolute;left:9007;top:966;width:1109;height:2" coordorigin="9007,966" coordsize="1109,0" path="m9007,966l10116,966e" filled="false" stroked="true" strokeweight=".72pt" strokecolor="#000000">
                <v:path arrowok="t"/>
              </v:shape>
            </v:group>
            <v:group style="position:absolute;left:9007;top:937;width:1109;height:2" coordorigin="9007,937" coordsize="1109,2">
              <v:shape style="position:absolute;left:9007;top:937;width:1109;height:2" coordorigin="9007,937" coordsize="1109,0" path="m9007,937l10116,937e" filled="false" stroked="true" strokeweight=".72pt" strokecolor="#000000">
                <v:path arrowok="t"/>
              </v:shape>
            </v:group>
            <w10:wrap type="none"/>
          </v:group>
        </w:pict>
      </w:r>
      <w:r>
        <w:rPr>
          <w:rFonts w:ascii="宋体" w:hAnsi="宋体" w:cs="宋体" w:eastAsia="宋体" w:hint="default"/>
          <w:sz w:val="18"/>
          <w:szCs w:val="18"/>
        </w:rPr>
        <w:t>账面余额</w:t>
        <w:tab/>
        <w:t>减值准备</w:t>
        <w:tab/>
        <w:t>账面价值</w:t>
        <w:tab/>
        <w:t>账面余额</w:t>
        <w:tab/>
        <w:t>减值准备</w:t>
        <w:tab/>
        <w:t>账面价值</w:t>
      </w:r>
    </w:p>
    <w:p>
      <w:pPr>
        <w:spacing w:line="240" w:lineRule="auto" w:before="10"/>
        <w:rPr>
          <w:rFonts w:ascii="宋体" w:hAnsi="宋体" w:cs="宋体" w:eastAsia="宋体" w:hint="default"/>
          <w:sz w:val="5"/>
          <w:szCs w:val="5"/>
        </w:rPr>
      </w:pPr>
    </w:p>
    <w:p>
      <w:pPr>
        <w:spacing w:line="696" w:lineRule="exact"/>
        <w:ind w:left="130" w:right="0" w:firstLine="0"/>
        <w:rPr>
          <w:rFonts w:ascii="宋体" w:hAnsi="宋体" w:cs="宋体" w:eastAsia="宋体" w:hint="default"/>
          <w:sz w:val="2"/>
          <w:szCs w:val="2"/>
        </w:rPr>
      </w:pPr>
      <w:r>
        <w:rPr>
          <w:rFonts w:ascii="宋体"/>
          <w:position w:val="-13"/>
          <w:sz w:val="20"/>
        </w:rPr>
        <w:pict>
          <v:shape style="width:252.25pt;height:34.6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634"/>
                    <w:gridCol w:w="108"/>
                    <w:gridCol w:w="1109"/>
                    <w:gridCol w:w="1008"/>
                    <w:gridCol w:w="1186"/>
                  </w:tblGrid>
                  <w:tr>
                    <w:trPr>
                      <w:trHeight w:val="336" w:hRule="exact"/>
                    </w:trPr>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数据采集车改装项目</w:t>
                        </w:r>
                      </w:p>
                    </w:tc>
                    <w:tc>
                      <w:tcPr>
                        <w:tcW w:w="108"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450,032.52</w:t>
                        </w:r>
                      </w:p>
                    </w:tc>
                    <w:tc>
                      <w:tcPr>
                        <w:tcW w:w="1008" w:type="dxa"/>
                        <w:tcBorders>
                          <w:top w:val="single" w:sz="4" w:space="0" w:color="000000"/>
                          <w:left w:val="nil" w:sz="6" w:space="0" w:color="auto"/>
                          <w:bottom w:val="single" w:sz="4" w:space="0" w:color="000000"/>
                          <w:right w:val="nil" w:sz="6" w:space="0" w:color="auto"/>
                        </w:tcBorders>
                      </w:tcPr>
                      <w:p>
                        <w:pPr/>
                      </w:p>
                    </w:tc>
                    <w:tc>
                      <w:tcPr>
                        <w:tcW w:w="118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450,032.52</w:t>
                        </w:r>
                      </w:p>
                    </w:tc>
                  </w:tr>
                  <w:tr>
                    <w:trPr>
                      <w:trHeight w:val="355"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8"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450,032.52</w:t>
                        </w:r>
                      </w:p>
                    </w:tc>
                    <w:tc>
                      <w:tcPr>
                        <w:tcW w:w="1008"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z w:val="18"/>
                          </w:rPr>
                          <w:t>450,032.52</w:t>
                        </w:r>
                      </w:p>
                    </w:tc>
                  </w:tr>
                </w:tbl>
                <w:p>
                  <w:pPr/>
                </w:p>
              </w:txbxContent>
            </v:textbox>
          </v:shape>
        </w:pict>
      </w:r>
      <w:r>
        <w:rPr>
          <w:rFonts w:ascii="宋体"/>
          <w:position w:val="-13"/>
          <w:sz w:val="20"/>
        </w:rPr>
      </w:r>
      <w:r>
        <w:rPr>
          <w:rFonts w:ascii="Times New Roman"/>
          <w:spacing w:val="69"/>
          <w:position w:val="-13"/>
          <w:sz w:val="2"/>
        </w:rPr>
        <w:t> </w:t>
      </w:r>
      <w:r>
        <w:rPr>
          <w:rFonts w:ascii="宋体"/>
          <w:spacing w:val="69"/>
          <w:position w:val="55"/>
          <w:sz w:val="2"/>
        </w:rPr>
        <w:pict>
          <v:group style="width:55.7pt;height:.5pt;mso-position-horizontal-relative:char;mso-position-vertical-relative:line" coordorigin="0,0" coordsize="1114,10">
            <v:group style="position:absolute;left:5;top:5;width:1104;height:2" coordorigin="5,5" coordsize="1104,2">
              <v:shape style="position:absolute;left:5;top:5;width:1104;height:2" coordorigin="5,5" coordsize="1104,0" path="m5,5l1109,5e" filled="false" stroked="true" strokeweight=".48pt" strokecolor="#000000">
                <v:path arrowok="t"/>
              </v:shape>
            </v:group>
          </v:group>
        </w:pict>
      </w:r>
      <w:r>
        <w:rPr>
          <w:rFonts w:ascii="宋体"/>
          <w:spacing w:val="69"/>
          <w:position w:val="55"/>
          <w:sz w:val="2"/>
        </w:rPr>
      </w:r>
      <w:r>
        <w:rPr>
          <w:rFonts w:ascii="Times New Roman"/>
          <w:spacing w:val="97"/>
          <w:position w:val="55"/>
          <w:sz w:val="2"/>
        </w:rPr>
        <w:t> </w:t>
      </w:r>
      <w:r>
        <w:rPr>
          <w:rFonts w:ascii="宋体"/>
          <w:spacing w:val="97"/>
          <w:position w:val="55"/>
          <w:sz w:val="2"/>
        </w:rPr>
        <w:pict>
          <v:group style="width:99.75pt;height:.5pt;mso-position-horizontal-relative:char;mso-position-vertical-relative:line" coordorigin="0,0" coordsize="1995,10">
            <v:group style="position:absolute;left:5;top:5;width:869;height:2" coordorigin="5,5" coordsize="869,2">
              <v:shape style="position:absolute;left:5;top:5;width:869;height:2" coordorigin="5,5" coordsize="869,0" path="m5,5l874,5e" filled="false" stroked="true" strokeweight=".48pt" strokecolor="#000000">
                <v:path arrowok="t"/>
              </v:shape>
            </v:group>
            <v:group style="position:absolute;left:895;top:5;width:1095;height:2" coordorigin="895,5" coordsize="1095,2">
              <v:shape style="position:absolute;left:895;top:5;width:1095;height:2" coordorigin="895,5" coordsize="1095,0" path="m895,5l1990,5e" filled="false" stroked="true" strokeweight=".48pt" strokecolor="#000000">
                <v:path arrowok="t"/>
              </v:shape>
            </v:group>
          </v:group>
        </w:pict>
      </w:r>
      <w:r>
        <w:rPr>
          <w:rFonts w:ascii="宋体"/>
          <w:spacing w:val="97"/>
          <w:position w:val="5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3"/>
        <w:spacing w:line="240" w:lineRule="auto"/>
        <w:ind w:left="624" w:right="0"/>
        <w:jc w:val="left"/>
        <w:rPr>
          <w:b w:val="0"/>
          <w:bCs w:val="0"/>
        </w:rPr>
      </w:pPr>
      <w:r>
        <w:rPr>
          <w:rFonts w:ascii="Times New Roman" w:hAnsi="Times New Roman" w:cs="Times New Roman" w:eastAsia="Times New Roman" w:hint="default"/>
        </w:rPr>
        <w:t>9</w:t>
      </w:r>
      <w:r>
        <w:rPr/>
        <w:t>、无形资产</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619" w:right="0"/>
        <w:jc w:val="left"/>
      </w:pPr>
      <w:r>
        <w:rPr/>
        <w:t>（</w:t>
      </w:r>
      <w:r>
        <w:rPr>
          <w:rFonts w:ascii="Times New Roman" w:hAnsi="Times New Roman" w:cs="Times New Roman" w:eastAsia="Times New Roman" w:hint="default"/>
        </w:rPr>
        <w:t>1</w:t>
      </w:r>
      <w:r>
        <w:rPr/>
        <w:t>）无形资产情况</w:t>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6"/>
        <w:gridCol w:w="1435"/>
        <w:gridCol w:w="106"/>
        <w:gridCol w:w="1411"/>
        <w:gridCol w:w="1339"/>
        <w:gridCol w:w="1452"/>
      </w:tblGrid>
      <w:tr>
        <w:trPr>
          <w:trHeight w:val="277" w:hRule="exact"/>
        </w:trPr>
        <w:tc>
          <w:tcPr>
            <w:tcW w:w="2626"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7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199" w:lineRule="exact"/>
              <w:ind w:left="41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199" w:lineRule="exact"/>
              <w:ind w:left="30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199" w:lineRule="exact"/>
              <w:ind w:left="314"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199" w:lineRule="exact"/>
              <w:ind w:left="460"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55" w:hRule="exact"/>
        </w:trPr>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2"/>
              <w:jc w:val="right"/>
              <w:rPr>
                <w:rFonts w:ascii="Times New Roman" w:hAnsi="Times New Roman" w:cs="Times New Roman" w:eastAsia="Times New Roman" w:hint="default"/>
                <w:sz w:val="20"/>
                <w:szCs w:val="20"/>
              </w:rPr>
            </w:pPr>
            <w:r>
              <w:rPr>
                <w:rFonts w:ascii="Times New Roman"/>
                <w:w w:val="95"/>
                <w:sz w:val="20"/>
              </w:rPr>
              <w:t>1,410,000.00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
        </w:tc>
        <w:tc>
          <w:tcPr>
            <w:tcW w:w="1339" w:type="dxa"/>
            <w:tcBorders>
              <w:top w:val="single" w:sz="4" w:space="0" w:color="000000"/>
              <w:left w:val="nil" w:sz="6" w:space="0" w:color="auto"/>
              <w:bottom w:val="single" w:sz="4" w:space="0" w:color="000000"/>
              <w:right w:val="nil" w:sz="6" w:space="0" w:color="auto"/>
            </w:tcBorders>
          </w:tcPr>
          <w:p>
            <w:pP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4"/>
              <w:jc w:val="right"/>
              <w:rPr>
                <w:rFonts w:ascii="Times New Roman" w:hAnsi="Times New Roman" w:cs="Times New Roman" w:eastAsia="Times New Roman" w:hint="default"/>
                <w:sz w:val="20"/>
                <w:szCs w:val="20"/>
              </w:rPr>
            </w:pPr>
            <w:r>
              <w:rPr>
                <w:rFonts w:ascii="Times New Roman"/>
                <w:w w:val="95"/>
                <w:sz w:val="20"/>
              </w:rPr>
              <w:t>1,410,000.00</w:t>
            </w:r>
            <w:r>
              <w:rPr>
                <w:rFonts w:ascii="Times New Roman"/>
                <w:sz w:val="20"/>
              </w:rPr>
            </w:r>
          </w:p>
        </w:tc>
      </w:tr>
      <w:tr>
        <w:trPr>
          <w:trHeight w:val="355"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计算机软件</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2"/>
              <w:jc w:val="right"/>
              <w:rPr>
                <w:rFonts w:ascii="Times New Roman" w:hAnsi="Times New Roman" w:cs="Times New Roman" w:eastAsia="Times New Roman" w:hint="default"/>
                <w:sz w:val="20"/>
                <w:szCs w:val="20"/>
              </w:rPr>
            </w:pPr>
            <w:r>
              <w:rPr>
                <w:rFonts w:ascii="Times New Roman"/>
                <w:w w:val="95"/>
                <w:sz w:val="20"/>
              </w:rPr>
              <w:t>1,410,000.00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Times New Roman" w:hAnsi="Times New Roman" w:cs="Times New Roman" w:eastAsia="Times New Roman" w:hint="default"/>
                <w:sz w:val="20"/>
                <w:szCs w:val="20"/>
              </w:rPr>
            </w:pPr>
            <w:r>
              <w:rPr>
                <w:rFonts w:ascii="Times New Roman"/>
                <w:w w:val="95"/>
                <w:sz w:val="20"/>
              </w:rPr>
              <w:t>1,410,000.00</w:t>
            </w:r>
            <w:r>
              <w:rPr>
                <w:rFonts w:ascii="Times New Roman"/>
                <w:sz w:val="20"/>
              </w:rPr>
            </w:r>
          </w:p>
        </w:tc>
      </w:tr>
      <w:tr>
        <w:trPr>
          <w:trHeight w:val="346"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二、累计折耗合计</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70,500.00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282,000.00</w:t>
            </w:r>
            <w:r>
              <w:rPr>
                <w:rFonts w:ascii="Times New Roman"/>
                <w:sz w:val="20"/>
              </w:rPr>
            </w:r>
          </w:p>
        </w:tc>
        <w:tc>
          <w:tcPr>
            <w:tcW w:w="1339"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20"/>
                <w:szCs w:val="20"/>
              </w:rPr>
            </w:pPr>
            <w:r>
              <w:rPr>
                <w:rFonts w:ascii="Times New Roman"/>
                <w:w w:val="95"/>
                <w:sz w:val="20"/>
              </w:rPr>
              <w:t>352,500.00</w:t>
            </w:r>
            <w:r>
              <w:rPr>
                <w:rFonts w:ascii="Times New Roman"/>
                <w:sz w:val="20"/>
              </w:rPr>
            </w:r>
          </w:p>
        </w:tc>
      </w:tr>
      <w:tr>
        <w:trPr>
          <w:trHeight w:val="35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计算机软件</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3"/>
              <w:jc w:val="right"/>
              <w:rPr>
                <w:rFonts w:ascii="Times New Roman" w:hAnsi="Times New Roman" w:cs="Times New Roman" w:eastAsia="Times New Roman" w:hint="default"/>
                <w:sz w:val="20"/>
                <w:szCs w:val="20"/>
              </w:rPr>
            </w:pPr>
            <w:r>
              <w:rPr>
                <w:rFonts w:ascii="Times New Roman"/>
                <w:w w:val="95"/>
                <w:sz w:val="20"/>
              </w:rPr>
              <w:t>70,500.00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282,000.00</w:t>
            </w:r>
            <w:r>
              <w:rPr>
                <w:rFonts w:ascii="Times New Roman"/>
                <w:sz w:val="20"/>
              </w:rPr>
            </w:r>
          </w:p>
        </w:tc>
        <w:tc>
          <w:tcPr>
            <w:tcW w:w="1339"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352,500.00</w:t>
            </w:r>
            <w:r>
              <w:rPr>
                <w:rFonts w:ascii="Times New Roman"/>
                <w:sz w:val="20"/>
              </w:rPr>
            </w:r>
          </w:p>
        </w:tc>
      </w:tr>
      <w:tr>
        <w:trPr>
          <w:trHeight w:val="347" w:hRule="exact"/>
        </w:trPr>
        <w:tc>
          <w:tcPr>
            <w:tcW w:w="40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三、减值准备累计金额合计</w:t>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
        </w:tc>
      </w:tr>
      <w:tr>
        <w:trPr>
          <w:trHeight w:val="39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 w:right="0"/>
              <w:jc w:val="left"/>
              <w:rPr>
                <w:rFonts w:ascii="宋体" w:hAnsi="宋体" w:cs="宋体" w:eastAsia="宋体" w:hint="default"/>
                <w:sz w:val="20"/>
                <w:szCs w:val="20"/>
              </w:rPr>
            </w:pPr>
            <w:r>
              <w:rPr>
                <w:rFonts w:ascii="宋体" w:hAnsi="宋体" w:cs="宋体" w:eastAsia="宋体" w:hint="default"/>
                <w:sz w:val="20"/>
                <w:szCs w:val="20"/>
              </w:rPr>
              <w:t>计算机软件</w:t>
            </w:r>
          </w:p>
        </w:tc>
        <w:tc>
          <w:tcPr>
            <w:tcW w:w="1435"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
        </w:tc>
      </w:tr>
      <w:tr>
        <w:trPr>
          <w:trHeight w:val="376"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z w:val="20"/>
                <w:szCs w:val="20"/>
              </w:rPr>
              <w:t>四、账面价值合计</w:t>
            </w:r>
          </w:p>
        </w:tc>
        <w:tc>
          <w:tcPr>
            <w:tcW w:w="1435"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22"/>
              <w:jc w:val="right"/>
              <w:rPr>
                <w:rFonts w:ascii="Times New Roman" w:hAnsi="Times New Roman" w:cs="Times New Roman" w:eastAsia="Times New Roman" w:hint="default"/>
                <w:sz w:val="20"/>
                <w:szCs w:val="20"/>
              </w:rPr>
            </w:pPr>
            <w:r>
              <w:rPr>
                <w:rFonts w:ascii="Times New Roman"/>
                <w:w w:val="95"/>
                <w:sz w:val="20"/>
              </w:rPr>
              <w:t>1,339,500.00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
        </w:tc>
        <w:tc>
          <w:tcPr>
            <w:tcW w:w="1339" w:type="dxa"/>
            <w:tcBorders>
              <w:top w:val="nil" w:sz="6" w:space="0" w:color="auto"/>
              <w:left w:val="nil" w:sz="6" w:space="0" w:color="auto"/>
              <w:bottom w:val="single" w:sz="12" w:space="0" w:color="000000"/>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24"/>
              <w:jc w:val="right"/>
              <w:rPr>
                <w:rFonts w:ascii="Times New Roman" w:hAnsi="Times New Roman" w:cs="Times New Roman" w:eastAsia="Times New Roman" w:hint="default"/>
                <w:sz w:val="20"/>
                <w:szCs w:val="20"/>
              </w:rPr>
            </w:pPr>
            <w:r>
              <w:rPr>
                <w:rFonts w:ascii="Times New Roman"/>
                <w:w w:val="95"/>
                <w:sz w:val="20"/>
              </w:rPr>
              <w:t>1,057,500.00</w:t>
            </w:r>
            <w:r>
              <w:rPr>
                <w:rFonts w:ascii="Times New Roman"/>
                <w:sz w:val="20"/>
              </w:rPr>
            </w:r>
          </w:p>
        </w:tc>
      </w:tr>
      <w:tr>
        <w:trPr>
          <w:trHeight w:val="296"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计算机软件</w:t>
            </w:r>
          </w:p>
        </w:tc>
        <w:tc>
          <w:tcPr>
            <w:tcW w:w="143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2"/>
              <w:jc w:val="right"/>
              <w:rPr>
                <w:rFonts w:ascii="Times New Roman" w:hAnsi="Times New Roman" w:cs="Times New Roman" w:eastAsia="Times New Roman" w:hint="default"/>
                <w:sz w:val="20"/>
                <w:szCs w:val="20"/>
              </w:rPr>
            </w:pPr>
            <w:r>
              <w:rPr>
                <w:rFonts w:ascii="Times New Roman"/>
                <w:w w:val="95"/>
                <w:sz w:val="20"/>
              </w:rPr>
              <w:t>1,339,500.00</w:t>
            </w:r>
            <w:r>
              <w:rPr>
                <w:rFonts w:ascii="Times New Roman"/>
                <w:sz w:val="20"/>
              </w:rPr>
            </w:r>
          </w:p>
        </w:tc>
        <w:tc>
          <w:tcPr>
            <w:tcW w:w="106" w:type="dxa"/>
            <w:tcBorders>
              <w:top w:val="nil" w:sz="6" w:space="0" w:color="auto"/>
              <w:left w:val="nil" w:sz="6" w:space="0" w:color="auto"/>
              <w:bottom w:val="nil" w:sz="6" w:space="0" w:color="auto"/>
              <w:right w:val="nil" w:sz="6" w:space="0" w:color="auto"/>
            </w:tcBorders>
          </w:tcPr>
          <w:p>
            <w:pPr/>
          </w:p>
        </w:tc>
        <w:tc>
          <w:tcPr>
            <w:tcW w:w="1411" w:type="dxa"/>
            <w:tcBorders>
              <w:top w:val="single" w:sz="12" w:space="0" w:color="000000"/>
              <w:left w:val="nil" w:sz="6" w:space="0" w:color="auto"/>
              <w:bottom w:val="nil" w:sz="6" w:space="0" w:color="auto"/>
              <w:right w:val="nil" w:sz="6" w:space="0" w:color="auto"/>
            </w:tcBorders>
          </w:tcPr>
          <w:p>
            <w:pPr/>
          </w:p>
        </w:tc>
        <w:tc>
          <w:tcPr>
            <w:tcW w:w="1339" w:type="dxa"/>
            <w:tcBorders>
              <w:top w:val="single" w:sz="12" w:space="0" w:color="000000"/>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1,057,500.00</w:t>
            </w:r>
            <w:r>
              <w:rPr>
                <w:rFonts w:ascii="Times New Roman"/>
                <w:sz w:val="20"/>
              </w:rPr>
            </w:r>
          </w:p>
        </w:tc>
      </w:tr>
    </w:tbl>
    <w:p>
      <w:pPr>
        <w:spacing w:line="240" w:lineRule="auto" w:before="5"/>
        <w:rPr>
          <w:rFonts w:ascii="宋体" w:hAnsi="宋体" w:cs="宋体" w:eastAsia="宋体" w:hint="default"/>
          <w:sz w:val="18"/>
          <w:szCs w:val="18"/>
        </w:rPr>
      </w:pPr>
    </w:p>
    <w:p>
      <w:pPr>
        <w:pStyle w:val="BodyText"/>
        <w:spacing w:line="240" w:lineRule="auto" w:before="26"/>
        <w:ind w:left="617" w:right="0"/>
        <w:jc w:val="left"/>
      </w:pPr>
      <w:r>
        <w:rPr/>
        <w:t>注：报告期摊销金额为</w:t>
      </w:r>
      <w:r>
        <w:rPr>
          <w:spacing w:val="-60"/>
        </w:rPr>
        <w:t> </w:t>
      </w:r>
      <w:r>
        <w:rPr>
          <w:rFonts w:ascii="Times New Roman" w:hAnsi="Times New Roman" w:cs="Times New Roman" w:eastAsia="Times New Roman" w:hint="default"/>
        </w:rPr>
        <w:t>282,000.00 </w:t>
      </w:r>
      <w:r>
        <w:rPr/>
        <w:t>元。</w:t>
      </w:r>
    </w:p>
    <w:p>
      <w:pPr>
        <w:spacing w:line="240" w:lineRule="auto" w:before="9"/>
        <w:rPr>
          <w:rFonts w:ascii="宋体" w:hAnsi="宋体" w:cs="宋体" w:eastAsia="宋体" w:hint="default"/>
          <w:sz w:val="17"/>
          <w:szCs w:val="17"/>
        </w:rPr>
      </w:pPr>
    </w:p>
    <w:p>
      <w:pPr>
        <w:pStyle w:val="BodyText"/>
        <w:spacing w:line="240" w:lineRule="auto"/>
        <w:ind w:left="620" w:right="0"/>
        <w:jc w:val="left"/>
      </w:pPr>
      <w:r>
        <w:rPr/>
        <w:pict>
          <v:group style="position:absolute;margin-left:88.559998pt;margin-top:68.375618pt;width:418.2pt;height:.5pt;mso-position-horizontal-relative:page;mso-position-vertical-relative:paragraph;z-index:-604792" coordorigin="1771,1368" coordsize="8364,10">
            <v:group style="position:absolute;left:1776;top:1372;width:3238;height:2" coordorigin="1776,1372" coordsize="3238,2">
              <v:shape style="position:absolute;left:1776;top:1372;width:3238;height:2" coordorigin="1776,1372" coordsize="3238,0" path="m1776,1372l5014,1372e" filled="false" stroked="true" strokeweight=".48pt" strokecolor="#000000">
                <v:path arrowok="t"/>
              </v:shape>
            </v:group>
            <v:group style="position:absolute;left:5052;top:1372;width:977;height:2" coordorigin="5052,1372" coordsize="977,2">
              <v:shape style="position:absolute;left:5052;top:1372;width:977;height:2" coordorigin="5052,1372" coordsize="977,0" path="m5052,1372l6029,1372e" filled="false" stroked="true" strokeweight=".48pt" strokecolor="#000000">
                <v:path arrowok="t"/>
              </v:shape>
            </v:group>
            <v:group style="position:absolute;left:6067;top:1372;width:1066;height:2" coordorigin="6067,1372" coordsize="1066,2">
              <v:shape style="position:absolute;left:6067;top:1372;width:1066;height:2" coordorigin="6067,1372" coordsize="1066,0" path="m6067,1372l7133,1372e" filled="false" stroked="true" strokeweight=".48pt" strokecolor="#000000">
                <v:path arrowok="t"/>
              </v:shape>
            </v:group>
            <v:group style="position:absolute;left:7171;top:1372;width:778;height:2" coordorigin="7171,1372" coordsize="778,2">
              <v:shape style="position:absolute;left:7171;top:1372;width:778;height:2" coordorigin="7171,1372" coordsize="778,0" path="m7171,1372l7949,1372e" filled="false" stroked="true" strokeweight=".48pt" strokecolor="#000000">
                <v:path arrowok="t"/>
              </v:shape>
            </v:group>
            <v:group style="position:absolute;left:7987;top:1372;width:1035;height:2" coordorigin="7987,1372" coordsize="1035,2">
              <v:shape style="position:absolute;left:7987;top:1372;width:1035;height:2" coordorigin="7987,1372" coordsize="1035,0" path="m7987,1372l9022,1372e" filled="false" stroked="true" strokeweight=".48pt" strokecolor="#000000">
                <v:path arrowok="t"/>
              </v:shape>
            </v:group>
            <v:group style="position:absolute;left:9058;top:1372;width:1073;height:2" coordorigin="9058,1372" coordsize="1073,2">
              <v:shape style="position:absolute;left:9058;top:1372;width:1073;height:2" coordorigin="9058,1372" coordsize="1073,0" path="m9058,1372l10130,1372e" filled="false" stroked="true" strokeweight=".48pt" strokecolor="#000000">
                <v:path arrowok="t"/>
              </v:shape>
            </v:group>
            <w10:wrap type="none"/>
          </v:group>
        </w:pict>
      </w:r>
      <w:r>
        <w:rPr/>
        <w:t>（</w:t>
      </w:r>
      <w:r>
        <w:rPr>
          <w:rFonts w:ascii="Times New Roman" w:hAnsi="Times New Roman" w:cs="Times New Roman" w:eastAsia="Times New Roman" w:hint="default"/>
        </w:rPr>
        <w:t>2</w:t>
      </w:r>
      <w:r>
        <w:rPr/>
        <w:t>）开发支出情况</w:t>
      </w:r>
    </w:p>
    <w:p>
      <w:pPr>
        <w:spacing w:line="240" w:lineRule="auto" w:before="7"/>
        <w:rPr>
          <w:rFonts w:ascii="宋体" w:hAnsi="宋体" w:cs="宋体" w:eastAsia="宋体" w:hint="default"/>
          <w:sz w:val="7"/>
          <w:szCs w:val="7"/>
        </w:rPr>
      </w:pPr>
    </w:p>
    <w:tbl>
      <w:tblPr>
        <w:tblW w:w="0" w:type="auto"/>
        <w:jc w:val="left"/>
        <w:tblInd w:w="1185" w:type="dxa"/>
        <w:tblLayout w:type="fixed"/>
        <w:tblCellMar>
          <w:top w:w="0" w:type="dxa"/>
          <w:left w:w="0" w:type="dxa"/>
          <w:bottom w:w="0" w:type="dxa"/>
          <w:right w:w="0" w:type="dxa"/>
        </w:tblCellMar>
        <w:tblLook w:val="01E0"/>
      </w:tblPr>
      <w:tblGrid>
        <w:gridCol w:w="1647"/>
        <w:gridCol w:w="1525"/>
        <w:gridCol w:w="1153"/>
        <w:gridCol w:w="760"/>
        <w:gridCol w:w="1091"/>
        <w:gridCol w:w="1109"/>
      </w:tblGrid>
      <w:tr>
        <w:trPr>
          <w:trHeight w:val="270" w:hRule="exact"/>
        </w:trPr>
        <w:tc>
          <w:tcPr>
            <w:tcW w:w="7285" w:type="dxa"/>
            <w:gridSpan w:val="6"/>
            <w:tcBorders>
              <w:top w:val="nil" w:sz="6" w:space="0" w:color="auto"/>
              <w:left w:val="nil" w:sz="6" w:space="0" w:color="auto"/>
              <w:bottom w:val="nil" w:sz="6" w:space="0" w:color="auto"/>
              <w:right w:val="nil" w:sz="6" w:space="0" w:color="auto"/>
            </w:tcBorders>
          </w:tcPr>
          <w:p>
            <w:pPr>
              <w:pStyle w:val="TableParagraph"/>
              <w:spacing w:line="199" w:lineRule="exact"/>
              <w:ind w:left="4851" w:right="0"/>
              <w:jc w:val="left"/>
              <w:rPr>
                <w:rFonts w:ascii="宋体" w:hAnsi="宋体" w:cs="宋体" w:eastAsia="宋体" w:hint="default"/>
                <w:sz w:val="20"/>
                <w:szCs w:val="20"/>
              </w:rPr>
            </w:pPr>
            <w:r>
              <w:rPr>
                <w:rFonts w:ascii="宋体" w:hAnsi="宋体" w:cs="宋体" w:eastAsia="宋体" w:hint="default"/>
                <w:sz w:val="20"/>
                <w:szCs w:val="20"/>
              </w:rPr>
              <w:t>本期减少</w:t>
            </w:r>
          </w:p>
        </w:tc>
      </w:tr>
      <w:tr>
        <w:trPr>
          <w:trHeight w:val="672" w:hRule="exact"/>
        </w:trPr>
        <w:tc>
          <w:tcPr>
            <w:tcW w:w="1647"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240" w:lineRule="auto" w:before="4"/>
              <w:ind w:left="20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
              <w:ind w:left="746"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1"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760" w:type="dxa"/>
            <w:tcBorders>
              <w:top w:val="single" w:sz="4" w:space="0" w:color="000000"/>
              <w:left w:val="nil" w:sz="6" w:space="0" w:color="auto"/>
              <w:bottom w:val="nil" w:sz="6" w:space="0" w:color="auto"/>
              <w:right w:val="nil" w:sz="6" w:space="0" w:color="auto"/>
            </w:tcBorders>
          </w:tcPr>
          <w:p>
            <w:pPr>
              <w:pStyle w:val="TableParagraph"/>
              <w:spacing w:line="297" w:lineRule="auto" w:before="11"/>
              <w:ind w:left="88" w:right="71"/>
              <w:jc w:val="left"/>
              <w:rPr>
                <w:rFonts w:ascii="宋体" w:hAnsi="宋体" w:cs="宋体" w:eastAsia="宋体" w:hint="default"/>
                <w:sz w:val="20"/>
                <w:szCs w:val="20"/>
              </w:rPr>
            </w:pPr>
            <w:r>
              <w:rPr>
                <w:rFonts w:ascii="宋体" w:hAnsi="宋体" w:cs="宋体" w:eastAsia="宋体" w:hint="default"/>
                <w:w w:val="95"/>
                <w:sz w:val="20"/>
                <w:szCs w:val="20"/>
              </w:rPr>
              <w:t>计入当</w:t>
            </w:r>
            <w:r>
              <w:rPr>
                <w:rFonts w:ascii="宋体" w:hAnsi="宋体" w:cs="宋体" w:eastAsia="宋体" w:hint="default"/>
                <w:spacing w:val="-68"/>
                <w:w w:val="95"/>
                <w:sz w:val="20"/>
                <w:szCs w:val="20"/>
              </w:rPr>
              <w:t> </w:t>
            </w:r>
            <w:r>
              <w:rPr>
                <w:rFonts w:ascii="宋体" w:hAnsi="宋体" w:cs="宋体" w:eastAsia="宋体" w:hint="default"/>
                <w:w w:val="95"/>
                <w:sz w:val="20"/>
                <w:szCs w:val="20"/>
              </w:rPr>
              <w:t>期损益</w:t>
            </w:r>
            <w:r>
              <w:rPr>
                <w:rFonts w:ascii="宋体" w:hAnsi="宋体" w:cs="宋体" w:eastAsia="宋体" w:hint="default"/>
                <w:sz w:val="20"/>
                <w:szCs w:val="20"/>
              </w:rPr>
            </w:r>
          </w:p>
        </w:tc>
        <w:tc>
          <w:tcPr>
            <w:tcW w:w="1091" w:type="dxa"/>
            <w:tcBorders>
              <w:top w:val="single" w:sz="4" w:space="0" w:color="000000"/>
              <w:left w:val="nil" w:sz="6" w:space="0" w:color="auto"/>
              <w:bottom w:val="nil" w:sz="6" w:space="0" w:color="auto"/>
              <w:right w:val="nil" w:sz="6" w:space="0" w:color="auto"/>
            </w:tcBorders>
          </w:tcPr>
          <w:p>
            <w:pPr>
              <w:pStyle w:val="TableParagraph"/>
              <w:spacing w:line="297" w:lineRule="auto" w:before="11"/>
              <w:ind w:left="373" w:right="17" w:hanging="300"/>
              <w:jc w:val="left"/>
              <w:rPr>
                <w:rFonts w:ascii="宋体" w:hAnsi="宋体" w:cs="宋体" w:eastAsia="宋体" w:hint="default"/>
                <w:sz w:val="20"/>
                <w:szCs w:val="20"/>
              </w:rPr>
            </w:pPr>
            <w:r>
              <w:rPr>
                <w:rFonts w:ascii="宋体" w:hAnsi="宋体" w:cs="宋体" w:eastAsia="宋体" w:hint="default"/>
                <w:w w:val="95"/>
                <w:sz w:val="20"/>
                <w:szCs w:val="20"/>
              </w:rPr>
              <w:t>确认为无形</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资产</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8" w:right="0"/>
              <w:jc w:val="left"/>
              <w:rPr>
                <w:rFonts w:ascii="宋体" w:hAnsi="宋体" w:cs="宋体" w:eastAsia="宋体" w:hint="default"/>
                <w:sz w:val="20"/>
                <w:szCs w:val="20"/>
              </w:rPr>
            </w:pPr>
            <w:r>
              <w:rPr>
                <w:rFonts w:ascii="宋体" w:hAnsi="宋体" w:cs="宋体" w:eastAsia="宋体" w:hint="default"/>
                <w:sz w:val="20"/>
                <w:szCs w:val="20"/>
              </w:rPr>
              <w:t>期末数</w:t>
            </w:r>
          </w:p>
        </w:tc>
      </w:tr>
    </w:tbl>
    <w:p>
      <w:pPr>
        <w:spacing w:after="0" w:line="240" w:lineRule="auto"/>
        <w:jc w:val="left"/>
        <w:rPr>
          <w:rFonts w:ascii="宋体" w:hAnsi="宋体" w:cs="宋体" w:eastAsia="宋体" w:hint="default"/>
          <w:sz w:val="20"/>
          <w:szCs w:val="20"/>
        </w:rPr>
        <w:sectPr>
          <w:type w:val="continuous"/>
          <w:pgSz w:w="11910" w:h="16840"/>
          <w:pgMar w:top="1380" w:bottom="1380" w:left="1660" w:right="1660"/>
        </w:sectPr>
      </w:pPr>
    </w:p>
    <w:tbl>
      <w:tblPr>
        <w:tblW w:w="0" w:type="auto"/>
        <w:jc w:val="left"/>
        <w:tblInd w:w="108" w:type="dxa"/>
        <w:tblLayout w:type="fixed"/>
        <w:tblCellMar>
          <w:top w:w="0" w:type="dxa"/>
          <w:left w:w="0" w:type="dxa"/>
          <w:bottom w:w="0" w:type="dxa"/>
          <w:right w:w="0" w:type="dxa"/>
        </w:tblCellMar>
        <w:tblLook w:val="01E0"/>
      </w:tblPr>
      <w:tblGrid>
        <w:gridCol w:w="3283"/>
        <w:gridCol w:w="996"/>
        <w:gridCol w:w="1123"/>
        <w:gridCol w:w="760"/>
        <w:gridCol w:w="1091"/>
        <w:gridCol w:w="1116"/>
      </w:tblGrid>
      <w:tr>
        <w:trPr>
          <w:trHeight w:val="370" w:hRule="exact"/>
        </w:trPr>
        <w:tc>
          <w:tcPr>
            <w:tcW w:w="8369" w:type="dxa"/>
            <w:gridSpan w:val="6"/>
            <w:tcBorders>
              <w:top w:val="single" w:sz="6" w:space="0" w:color="000000"/>
              <w:left w:val="nil" w:sz="6" w:space="0" w:color="auto"/>
              <w:bottom w:val="nil" w:sz="6" w:space="0" w:color="auto"/>
              <w:right w:val="nil" w:sz="6" w:space="0" w:color="auto"/>
            </w:tcBorders>
          </w:tcPr>
          <w:p>
            <w:pPr>
              <w:pStyle w:val="TableParagraph"/>
              <w:spacing w:line="240" w:lineRule="auto" w:before="30"/>
              <w:ind w:right="1643"/>
              <w:jc w:val="right"/>
              <w:rPr>
                <w:rFonts w:ascii="宋体" w:hAnsi="宋体" w:cs="宋体" w:eastAsia="宋体" w:hint="default"/>
                <w:sz w:val="20"/>
                <w:szCs w:val="20"/>
              </w:rPr>
            </w:pPr>
            <w:r>
              <w:rPr>
                <w:rFonts w:ascii="宋体" w:hAnsi="宋体" w:cs="宋体" w:eastAsia="宋体" w:hint="default"/>
                <w:w w:val="95"/>
                <w:sz w:val="20"/>
                <w:szCs w:val="20"/>
              </w:rPr>
              <w:t>本期减少</w:t>
            </w:r>
            <w:r>
              <w:rPr>
                <w:rFonts w:ascii="宋体" w:hAnsi="宋体" w:cs="宋体" w:eastAsia="宋体" w:hint="default"/>
                <w:sz w:val="20"/>
                <w:szCs w:val="20"/>
              </w:rPr>
            </w:r>
          </w:p>
        </w:tc>
      </w:tr>
      <w:tr>
        <w:trPr>
          <w:trHeight w:val="672" w:hRule="exact"/>
        </w:trPr>
        <w:tc>
          <w:tcPr>
            <w:tcW w:w="3283"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40" w:lineRule="auto" w:before="4"/>
              <w:ind w:right="26"/>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8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51"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760" w:type="dxa"/>
            <w:tcBorders>
              <w:top w:val="single" w:sz="4" w:space="0" w:color="000000"/>
              <w:left w:val="nil" w:sz="6" w:space="0" w:color="auto"/>
              <w:bottom w:val="single" w:sz="4" w:space="0" w:color="000000"/>
              <w:right w:val="nil" w:sz="6" w:space="0" w:color="auto"/>
            </w:tcBorders>
          </w:tcPr>
          <w:p>
            <w:pPr>
              <w:pStyle w:val="TableParagraph"/>
              <w:spacing w:line="300" w:lineRule="auto" w:before="9"/>
              <w:ind w:left="88" w:right="71"/>
              <w:jc w:val="left"/>
              <w:rPr>
                <w:rFonts w:ascii="宋体" w:hAnsi="宋体" w:cs="宋体" w:eastAsia="宋体" w:hint="default"/>
                <w:sz w:val="20"/>
                <w:szCs w:val="20"/>
              </w:rPr>
            </w:pPr>
            <w:r>
              <w:rPr>
                <w:rFonts w:ascii="宋体" w:hAnsi="宋体" w:cs="宋体" w:eastAsia="宋体" w:hint="default"/>
                <w:w w:val="95"/>
                <w:sz w:val="20"/>
                <w:szCs w:val="20"/>
              </w:rPr>
              <w:t>计入当</w:t>
            </w:r>
            <w:r>
              <w:rPr>
                <w:rFonts w:ascii="宋体" w:hAnsi="宋体" w:cs="宋体" w:eastAsia="宋体" w:hint="default"/>
                <w:spacing w:val="-68"/>
                <w:w w:val="95"/>
                <w:sz w:val="20"/>
                <w:szCs w:val="20"/>
              </w:rPr>
              <w:t> </w:t>
            </w:r>
            <w:r>
              <w:rPr>
                <w:rFonts w:ascii="宋体" w:hAnsi="宋体" w:cs="宋体" w:eastAsia="宋体" w:hint="default"/>
                <w:w w:val="95"/>
                <w:sz w:val="20"/>
                <w:szCs w:val="20"/>
              </w:rPr>
              <w:t>期损益</w:t>
            </w:r>
            <w:r>
              <w:rPr>
                <w:rFonts w:ascii="宋体" w:hAnsi="宋体" w:cs="宋体" w:eastAsia="宋体" w:hint="default"/>
                <w:sz w:val="20"/>
                <w:szCs w:val="20"/>
              </w:rPr>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300" w:lineRule="auto" w:before="9"/>
              <w:ind w:left="373" w:right="17" w:hanging="300"/>
              <w:jc w:val="left"/>
              <w:rPr>
                <w:rFonts w:ascii="宋体" w:hAnsi="宋体" w:cs="宋体" w:eastAsia="宋体" w:hint="default"/>
                <w:sz w:val="20"/>
                <w:szCs w:val="20"/>
              </w:rPr>
            </w:pPr>
            <w:r>
              <w:rPr>
                <w:rFonts w:ascii="宋体" w:hAnsi="宋体" w:cs="宋体" w:eastAsia="宋体" w:hint="default"/>
                <w:w w:val="95"/>
                <w:sz w:val="20"/>
                <w:szCs w:val="20"/>
              </w:rPr>
              <w:t>确认为无形</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资产</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6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49" w:hRule="exact"/>
        </w:trPr>
        <w:tc>
          <w:tcPr>
            <w:tcW w:w="328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金土工程</w:t>
            </w:r>
            <w:r>
              <w:rPr>
                <w:rFonts w:ascii="Times New Roman" w:hAnsi="Times New Roman" w:cs="Times New Roman" w:eastAsia="Times New Roman" w:hint="default"/>
                <w:sz w:val="20"/>
                <w:szCs w:val="20"/>
              </w:rPr>
              <w:t>“</w:t>
            </w:r>
            <w:r>
              <w:rPr>
                <w:rFonts w:ascii="宋体" w:hAnsi="宋体" w:cs="宋体" w:eastAsia="宋体" w:hint="default"/>
                <w:sz w:val="20"/>
                <w:szCs w:val="20"/>
              </w:rPr>
              <w:t>一张图</w:t>
            </w:r>
            <w:r>
              <w:rPr>
                <w:rFonts w:ascii="Times New Roman" w:hAnsi="Times New Roman" w:cs="Times New Roman" w:eastAsia="Times New Roman" w:hint="default"/>
                <w:sz w:val="20"/>
                <w:szCs w:val="20"/>
              </w:rPr>
              <w:t>”</w:t>
            </w:r>
            <w:r>
              <w:rPr>
                <w:rFonts w:ascii="宋体" w:hAnsi="宋体" w:cs="宋体" w:eastAsia="宋体" w:hint="default"/>
                <w:sz w:val="20"/>
                <w:szCs w:val="20"/>
              </w:rPr>
              <w:t>监管系统</w:t>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1"/>
              <w:jc w:val="right"/>
              <w:rPr>
                <w:rFonts w:ascii="Times New Roman" w:hAnsi="Times New Roman" w:cs="Times New Roman" w:eastAsia="Times New Roman" w:hint="default"/>
                <w:sz w:val="18"/>
                <w:szCs w:val="18"/>
              </w:rPr>
            </w:pPr>
            <w:r>
              <w:rPr>
                <w:rFonts w:ascii="Times New Roman"/>
                <w:sz w:val="18"/>
              </w:rPr>
              <w:t>215,326.72</w:t>
            </w: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50"/>
              <w:jc w:val="right"/>
              <w:rPr>
                <w:rFonts w:ascii="Times New Roman" w:hAnsi="Times New Roman" w:cs="Times New Roman" w:eastAsia="Times New Roman" w:hint="default"/>
                <w:sz w:val="18"/>
                <w:szCs w:val="18"/>
              </w:rPr>
            </w:pPr>
            <w:r>
              <w:rPr>
                <w:rFonts w:ascii="Times New Roman"/>
                <w:spacing w:val="-1"/>
                <w:sz w:val="18"/>
              </w:rPr>
              <w:t>3,484,385.73</w:t>
            </w:r>
            <w:r>
              <w:rPr>
                <w:rFonts w:ascii="Times New Roman"/>
                <w:sz w:val="18"/>
              </w:rPr>
            </w:r>
          </w:p>
        </w:tc>
        <w:tc>
          <w:tcPr>
            <w:tcW w:w="760" w:type="dxa"/>
            <w:tcBorders>
              <w:top w:val="single" w:sz="4" w:space="0" w:color="000000"/>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3,699,712.45</w:t>
            </w:r>
            <w:r>
              <w:rPr>
                <w:rFonts w:ascii="Times New Roman"/>
                <w:sz w:val="18"/>
              </w:rPr>
            </w:r>
          </w:p>
        </w:tc>
      </w:tr>
      <w:tr>
        <w:trPr>
          <w:trHeight w:val="33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新一代</w:t>
            </w:r>
            <w:r>
              <w:rPr>
                <w:rFonts w:ascii="Times New Roman" w:hAnsi="Times New Roman" w:cs="Times New Roman" w:eastAsia="Times New Roman" w:hint="default"/>
                <w:sz w:val="20"/>
                <w:szCs w:val="20"/>
              </w:rPr>
              <w:t>”</w:t>
            </w:r>
            <w:r>
              <w:rPr>
                <w:rFonts w:ascii="宋体" w:hAnsi="宋体" w:cs="宋体" w:eastAsia="宋体" w:hint="default"/>
                <w:sz w:val="20"/>
                <w:szCs w:val="20"/>
              </w:rPr>
              <w:t>数字城管</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Times New Roman" w:hAnsi="Times New Roman" w:cs="Times New Roman" w:eastAsia="Times New Roman" w:hint="default"/>
                <w:sz w:val="18"/>
                <w:szCs w:val="18"/>
              </w:rPr>
            </w:pPr>
            <w:r>
              <w:rPr>
                <w:rFonts w:ascii="Times New Roman"/>
                <w:spacing w:val="-1"/>
                <w:sz w:val="18"/>
              </w:rPr>
              <w:t>1,713,801.79</w:t>
            </w:r>
            <w:r>
              <w:rPr>
                <w:rFonts w:ascii="Times New Roman"/>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right"/>
              <w:rPr>
                <w:rFonts w:ascii="Times New Roman" w:hAnsi="Times New Roman" w:cs="Times New Roman" w:eastAsia="Times New Roman" w:hint="default"/>
                <w:sz w:val="18"/>
                <w:szCs w:val="18"/>
              </w:rPr>
            </w:pPr>
            <w:r>
              <w:rPr>
                <w:rFonts w:ascii="Times New Roman"/>
                <w:spacing w:val="-1"/>
                <w:sz w:val="18"/>
              </w:rPr>
              <w:t>4,394,665.24</w:t>
            </w:r>
            <w:r>
              <w:rPr>
                <w:rFonts w:ascii="Times New Roman"/>
                <w:sz w:val="18"/>
              </w:rPr>
            </w:r>
          </w:p>
        </w:tc>
        <w:tc>
          <w:tcPr>
            <w:tcW w:w="76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Times New Roman" w:hAnsi="Times New Roman" w:cs="Times New Roman" w:eastAsia="Times New Roman" w:hint="default"/>
                <w:sz w:val="18"/>
                <w:szCs w:val="18"/>
              </w:rPr>
            </w:pPr>
            <w:r>
              <w:rPr>
                <w:rFonts w:ascii="Times New Roman"/>
                <w:spacing w:val="-1"/>
                <w:sz w:val="18"/>
              </w:rPr>
              <w:t>6,108,467.03</w:t>
            </w:r>
            <w:r>
              <w:rPr>
                <w:rFonts w:ascii="Times New Roman"/>
                <w:sz w:val="18"/>
              </w:rPr>
            </w:r>
          </w:p>
        </w:tc>
      </w:tr>
      <w:tr>
        <w:trPr>
          <w:trHeight w:val="331"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数字社区研发</w:t>
            </w:r>
          </w:p>
        </w:tc>
        <w:tc>
          <w:tcPr>
            <w:tcW w:w="99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right"/>
              <w:rPr>
                <w:rFonts w:ascii="Times New Roman" w:hAnsi="Times New Roman" w:cs="Times New Roman" w:eastAsia="Times New Roman" w:hint="default"/>
                <w:sz w:val="18"/>
                <w:szCs w:val="18"/>
              </w:rPr>
            </w:pPr>
            <w:r>
              <w:rPr>
                <w:rFonts w:ascii="Times New Roman"/>
                <w:spacing w:val="-1"/>
                <w:sz w:val="18"/>
              </w:rPr>
              <w:t>1,093,624.49</w:t>
            </w:r>
            <w:r>
              <w:rPr>
                <w:rFonts w:ascii="Times New Roman"/>
                <w:sz w:val="18"/>
              </w:rPr>
            </w:r>
          </w:p>
        </w:tc>
        <w:tc>
          <w:tcPr>
            <w:tcW w:w="76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Times New Roman" w:hAnsi="Times New Roman" w:cs="Times New Roman" w:eastAsia="Times New Roman" w:hint="default"/>
                <w:sz w:val="18"/>
                <w:szCs w:val="18"/>
              </w:rPr>
            </w:pPr>
            <w:r>
              <w:rPr>
                <w:rFonts w:ascii="Times New Roman"/>
                <w:spacing w:val="-1"/>
                <w:sz w:val="18"/>
              </w:rPr>
              <w:t>1,093,624.49</w:t>
            </w:r>
            <w:r>
              <w:rPr>
                <w:rFonts w:ascii="Times New Roman"/>
                <w:sz w:val="18"/>
              </w:rPr>
            </w:r>
          </w:p>
        </w:tc>
      </w:tr>
      <w:tr>
        <w:trPr>
          <w:trHeight w:val="33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专业网格化</w:t>
            </w:r>
          </w:p>
        </w:tc>
        <w:tc>
          <w:tcPr>
            <w:tcW w:w="99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z w:val="18"/>
              </w:rPr>
              <w:t>661,910.77</w:t>
            </w:r>
          </w:p>
        </w:tc>
        <w:tc>
          <w:tcPr>
            <w:tcW w:w="76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661,910.77</w:t>
            </w:r>
          </w:p>
        </w:tc>
      </w:tr>
      <w:tr>
        <w:trPr>
          <w:trHeight w:val="33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城市数字化城管市区一体化平台</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
              <w:jc w:val="right"/>
              <w:rPr>
                <w:rFonts w:ascii="Times New Roman" w:hAnsi="Times New Roman" w:cs="Times New Roman" w:eastAsia="Times New Roman" w:hint="default"/>
                <w:sz w:val="18"/>
                <w:szCs w:val="18"/>
              </w:rPr>
            </w:pPr>
            <w:r>
              <w:rPr>
                <w:rFonts w:ascii="Times New Roman"/>
                <w:spacing w:val="-1"/>
                <w:sz w:val="18"/>
              </w:rPr>
              <w:t>1,861,119.37</w:t>
            </w:r>
            <w:r>
              <w:rPr>
                <w:rFonts w:ascii="Times New Roman"/>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
              <w:jc w:val="right"/>
              <w:rPr>
                <w:rFonts w:ascii="Times New Roman" w:hAnsi="Times New Roman" w:cs="Times New Roman" w:eastAsia="Times New Roman" w:hint="default"/>
                <w:sz w:val="18"/>
                <w:szCs w:val="18"/>
              </w:rPr>
            </w:pPr>
            <w:r>
              <w:rPr>
                <w:rFonts w:ascii="Times New Roman"/>
                <w:spacing w:val="-1"/>
                <w:sz w:val="18"/>
              </w:rPr>
              <w:t>28,880.63</w:t>
            </w:r>
          </w:p>
        </w:tc>
        <w:tc>
          <w:tcPr>
            <w:tcW w:w="76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pacing w:val="-1"/>
                <w:sz w:val="18"/>
              </w:rPr>
              <w:t>1,890,000.00</w:t>
            </w:r>
            <w:r>
              <w:rPr>
                <w:rFonts w:ascii="Times New Roman"/>
                <w:sz w:val="18"/>
              </w:rPr>
            </w:r>
          </w:p>
        </w:tc>
      </w:tr>
      <w:tr>
        <w:trPr>
          <w:trHeight w:val="348"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城镇体系规划遥感监测管理信息系统</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1"/>
              <w:jc w:val="right"/>
              <w:rPr>
                <w:rFonts w:ascii="Times New Roman" w:hAnsi="Times New Roman" w:cs="Times New Roman" w:eastAsia="Times New Roman" w:hint="default"/>
                <w:sz w:val="18"/>
                <w:szCs w:val="18"/>
              </w:rPr>
            </w:pPr>
            <w:r>
              <w:rPr>
                <w:rFonts w:ascii="Times New Roman"/>
                <w:sz w:val="18"/>
              </w:rPr>
              <w:t>468,538.73</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50"/>
              <w:jc w:val="right"/>
              <w:rPr>
                <w:rFonts w:ascii="Times New Roman" w:hAnsi="Times New Roman" w:cs="Times New Roman" w:eastAsia="Times New Roman" w:hint="default"/>
                <w:sz w:val="18"/>
                <w:szCs w:val="18"/>
              </w:rPr>
            </w:pPr>
            <w:r>
              <w:rPr>
                <w:rFonts w:ascii="Times New Roman"/>
                <w:sz w:val="18"/>
              </w:rPr>
              <w:t>231,461.27</w:t>
            </w:r>
          </w:p>
        </w:tc>
        <w:tc>
          <w:tcPr>
            <w:tcW w:w="760" w:type="dxa"/>
            <w:tcBorders>
              <w:top w:val="nil" w:sz="6" w:space="0" w:color="auto"/>
              <w:left w:val="nil" w:sz="6" w:space="0" w:color="auto"/>
              <w:bottom w:val="single" w:sz="4" w:space="0" w:color="000000"/>
              <w:right w:val="nil" w:sz="6" w:space="0" w:color="auto"/>
            </w:tcBorders>
          </w:tcPr>
          <w:p>
            <w:pPr/>
          </w:p>
        </w:tc>
        <w:tc>
          <w:tcPr>
            <w:tcW w:w="1091" w:type="dxa"/>
            <w:tcBorders>
              <w:top w:val="nil" w:sz="6" w:space="0" w:color="auto"/>
              <w:left w:val="nil" w:sz="6" w:space="0" w:color="auto"/>
              <w:bottom w:val="single" w:sz="4" w:space="0" w:color="000000"/>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700,000.00</w:t>
            </w:r>
          </w:p>
        </w:tc>
      </w:tr>
      <w:tr>
        <w:trPr>
          <w:trHeight w:val="353" w:hRule="exact"/>
        </w:trPr>
        <w:tc>
          <w:tcPr>
            <w:tcW w:w="3283"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4"/>
              <w:ind w:right="24"/>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9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31"/>
              <w:jc w:val="right"/>
              <w:rPr>
                <w:rFonts w:ascii="Times New Roman" w:hAnsi="Times New Roman" w:cs="Times New Roman" w:eastAsia="Times New Roman" w:hint="default"/>
                <w:sz w:val="18"/>
                <w:szCs w:val="18"/>
              </w:rPr>
            </w:pPr>
            <w:r>
              <w:rPr>
                <w:rFonts w:ascii="Times New Roman"/>
                <w:spacing w:val="-1"/>
                <w:sz w:val="18"/>
              </w:rPr>
              <w:t>4,258,786.61</w:t>
            </w:r>
            <w:r>
              <w:rPr>
                <w:rFonts w:ascii="Times New Roman"/>
                <w:sz w:val="18"/>
              </w:rPr>
            </w: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52"/>
              <w:jc w:val="right"/>
              <w:rPr>
                <w:rFonts w:ascii="Times New Roman" w:hAnsi="Times New Roman" w:cs="Times New Roman" w:eastAsia="Times New Roman" w:hint="default"/>
                <w:sz w:val="18"/>
                <w:szCs w:val="18"/>
              </w:rPr>
            </w:pPr>
            <w:r>
              <w:rPr>
                <w:rFonts w:ascii="Times New Roman"/>
                <w:spacing w:val="-1"/>
                <w:sz w:val="18"/>
              </w:rPr>
              <w:t>14,443,812.77</w:t>
            </w:r>
          </w:p>
        </w:tc>
        <w:tc>
          <w:tcPr>
            <w:tcW w:w="760" w:type="dxa"/>
            <w:tcBorders>
              <w:top w:val="single" w:sz="4" w:space="0" w:color="000000"/>
              <w:left w:val="nil" w:sz="6" w:space="0" w:color="auto"/>
              <w:bottom w:val="single" w:sz="17" w:space="0" w:color="000000"/>
              <w:right w:val="nil" w:sz="6" w:space="0" w:color="auto"/>
            </w:tcBorders>
          </w:tcPr>
          <w:p>
            <w:pPr/>
          </w:p>
        </w:tc>
        <w:tc>
          <w:tcPr>
            <w:tcW w:w="2207"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1143" w:right="0"/>
              <w:jc w:val="left"/>
              <w:rPr>
                <w:rFonts w:ascii="Times New Roman" w:hAnsi="Times New Roman" w:cs="Times New Roman" w:eastAsia="Times New Roman" w:hint="default"/>
                <w:sz w:val="18"/>
                <w:szCs w:val="18"/>
              </w:rPr>
            </w:pPr>
            <w:r>
              <w:rPr>
                <w:rFonts w:ascii="Times New Roman"/>
                <w:sz w:val="18"/>
              </w:rPr>
              <w:t>14,153,714.74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、长期待摊费用</w:t>
      </w:r>
      <w:r>
        <w:rPr>
          <w:b w:val="0"/>
          <w:bCs w:val="0"/>
        </w:rPr>
      </w:r>
    </w:p>
    <w:p>
      <w:pPr>
        <w:spacing w:line="240" w:lineRule="auto" w:before="9"/>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1910"/>
        <w:gridCol w:w="756"/>
        <w:gridCol w:w="1047"/>
        <w:gridCol w:w="990"/>
        <w:gridCol w:w="1020"/>
        <w:gridCol w:w="954"/>
        <w:gridCol w:w="1678"/>
      </w:tblGrid>
      <w:tr>
        <w:trPr>
          <w:trHeight w:val="270" w:hRule="exact"/>
        </w:trPr>
        <w:tc>
          <w:tcPr>
            <w:tcW w:w="1910" w:type="dxa"/>
            <w:tcBorders>
              <w:top w:val="nil" w:sz="6" w:space="0" w:color="auto"/>
              <w:left w:val="nil" w:sz="6" w:space="0" w:color="auto"/>
              <w:bottom w:val="single" w:sz="4" w:space="0" w:color="000000"/>
              <w:right w:val="nil" w:sz="6" w:space="0" w:color="auto"/>
            </w:tcBorders>
          </w:tcPr>
          <w:p>
            <w:pPr>
              <w:pStyle w:val="TableParagraph"/>
              <w:spacing w:line="199" w:lineRule="exact"/>
              <w:ind w:right="36"/>
              <w:jc w:val="center"/>
              <w:rPr>
                <w:rFonts w:ascii="宋体" w:hAnsi="宋体" w:cs="宋体" w:eastAsia="宋体" w:hint="default"/>
                <w:sz w:val="20"/>
                <w:szCs w:val="20"/>
              </w:rPr>
            </w:pPr>
            <w:r>
              <w:rPr>
                <w:rFonts w:ascii="宋体" w:hAnsi="宋体" w:cs="宋体" w:eastAsia="宋体" w:hint="default"/>
                <w:sz w:val="20"/>
                <w:szCs w:val="20"/>
              </w:rPr>
              <w:t>项目</w:t>
            </w:r>
          </w:p>
        </w:tc>
        <w:tc>
          <w:tcPr>
            <w:tcW w:w="756" w:type="dxa"/>
            <w:tcBorders>
              <w:top w:val="nil" w:sz="6" w:space="0" w:color="auto"/>
              <w:left w:val="nil" w:sz="6" w:space="0" w:color="auto"/>
              <w:bottom w:val="single" w:sz="4" w:space="0" w:color="000000"/>
              <w:right w:val="nil" w:sz="6" w:space="0" w:color="auto"/>
            </w:tcBorders>
          </w:tcPr>
          <w:p>
            <w:pPr>
              <w:pStyle w:val="TableParagraph"/>
              <w:spacing w:line="199" w:lineRule="exact"/>
              <w:ind w:left="57"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199" w:lineRule="exact"/>
              <w:ind w:left="100"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990" w:type="dxa"/>
            <w:tcBorders>
              <w:top w:val="nil" w:sz="6" w:space="0" w:color="auto"/>
              <w:left w:val="nil" w:sz="6" w:space="0" w:color="auto"/>
              <w:bottom w:val="single" w:sz="4" w:space="0" w:color="000000"/>
              <w:right w:val="nil" w:sz="6" w:space="0" w:color="auto"/>
            </w:tcBorders>
          </w:tcPr>
          <w:p>
            <w:pPr>
              <w:pStyle w:val="TableParagraph"/>
              <w:spacing w:line="199" w:lineRule="exact"/>
              <w:ind w:left="64"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199" w:lineRule="exact"/>
              <w:ind w:left="65"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954" w:type="dxa"/>
            <w:tcBorders>
              <w:top w:val="nil" w:sz="6" w:space="0" w:color="auto"/>
              <w:left w:val="nil" w:sz="6" w:space="0" w:color="auto"/>
              <w:bottom w:val="single" w:sz="4" w:space="0" w:color="000000"/>
              <w:right w:val="nil" w:sz="6" w:space="0" w:color="auto"/>
            </w:tcBorders>
          </w:tcPr>
          <w:p>
            <w:pPr>
              <w:pStyle w:val="TableParagraph"/>
              <w:spacing w:line="199" w:lineRule="exact"/>
              <w:ind w:left="157"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678" w:type="dxa"/>
            <w:tcBorders>
              <w:top w:val="nil" w:sz="6" w:space="0" w:color="auto"/>
              <w:left w:val="nil" w:sz="6" w:space="0" w:color="auto"/>
              <w:bottom w:val="single" w:sz="4" w:space="0" w:color="000000"/>
              <w:right w:val="nil" w:sz="6" w:space="0" w:color="auto"/>
            </w:tcBorders>
          </w:tcPr>
          <w:p>
            <w:pPr>
              <w:pStyle w:val="TableParagraph"/>
              <w:spacing w:line="199"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其他减少的原因</w:t>
            </w:r>
          </w:p>
        </w:tc>
      </w:tr>
      <w:tr>
        <w:trPr>
          <w:trHeight w:val="355" w:hRule="exact"/>
        </w:trPr>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689"/>
              <w:jc w:val="right"/>
              <w:rPr>
                <w:rFonts w:ascii="宋体" w:hAnsi="宋体" w:cs="宋体" w:eastAsia="宋体" w:hint="default"/>
                <w:sz w:val="20"/>
                <w:szCs w:val="20"/>
              </w:rPr>
            </w:pPr>
            <w:r>
              <w:rPr>
                <w:rFonts w:ascii="宋体" w:hAnsi="宋体" w:cs="宋体" w:eastAsia="宋体" w:hint="default"/>
                <w:w w:val="95"/>
                <w:sz w:val="20"/>
                <w:szCs w:val="20"/>
              </w:rPr>
              <w:t>房屋维修基金</w:t>
            </w:r>
            <w:r>
              <w:rPr>
                <w:rFonts w:ascii="宋体" w:hAnsi="宋体" w:cs="宋体" w:eastAsia="宋体" w:hint="default"/>
                <w:sz w:val="20"/>
                <w:szCs w:val="20"/>
              </w:rPr>
            </w:r>
          </w:p>
        </w:tc>
        <w:tc>
          <w:tcPr>
            <w:tcW w:w="756" w:type="dxa"/>
            <w:tcBorders>
              <w:top w:val="single" w:sz="4" w:space="0" w:color="000000"/>
              <w:left w:val="nil" w:sz="6" w:space="0" w:color="auto"/>
              <w:bottom w:val="single" w:sz="4" w:space="0" w:color="000000"/>
              <w:right w:val="nil" w:sz="6" w:space="0" w:color="auto"/>
            </w:tcBorders>
          </w:tcPr>
          <w:p>
            <w:pPr/>
          </w:p>
        </w:tc>
        <w:tc>
          <w:tcPr>
            <w:tcW w:w="1047"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62"/>
              <w:jc w:val="right"/>
              <w:rPr>
                <w:rFonts w:ascii="Times New Roman" w:hAnsi="Times New Roman" w:cs="Times New Roman" w:eastAsia="Times New Roman" w:hint="default"/>
                <w:sz w:val="16"/>
                <w:szCs w:val="16"/>
              </w:rPr>
            </w:pPr>
            <w:r>
              <w:rPr>
                <w:rFonts w:ascii="Times New Roman"/>
                <w:spacing w:val="-1"/>
                <w:sz w:val="16"/>
              </w:rPr>
              <w:t>632,870.40</w:t>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63"/>
              <w:jc w:val="right"/>
              <w:rPr>
                <w:rFonts w:ascii="Times New Roman" w:hAnsi="Times New Roman" w:cs="Times New Roman" w:eastAsia="Times New Roman" w:hint="default"/>
                <w:sz w:val="16"/>
                <w:szCs w:val="16"/>
              </w:rPr>
            </w:pPr>
            <w:r>
              <w:rPr>
                <w:rFonts w:ascii="Times New Roman"/>
                <w:spacing w:val="-1"/>
                <w:sz w:val="16"/>
              </w:rPr>
              <w:t>63,287.04</w:t>
            </w:r>
          </w:p>
        </w:tc>
        <w:tc>
          <w:tcPr>
            <w:tcW w:w="1020" w:type="dxa"/>
            <w:tcBorders>
              <w:top w:val="single" w:sz="4" w:space="0" w:color="000000"/>
              <w:left w:val="nil" w:sz="6" w:space="0" w:color="auto"/>
              <w:bottom w:val="single" w:sz="4" w:space="0" w:color="000000"/>
              <w:right w:val="nil" w:sz="6" w:space="0" w:color="auto"/>
            </w:tcBorders>
          </w:tcPr>
          <w:p>
            <w:pPr/>
          </w:p>
        </w:tc>
        <w:tc>
          <w:tcPr>
            <w:tcW w:w="954"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219" w:right="0"/>
              <w:jc w:val="left"/>
              <w:rPr>
                <w:rFonts w:ascii="Times New Roman" w:hAnsi="Times New Roman" w:cs="Times New Roman" w:eastAsia="Times New Roman" w:hint="default"/>
                <w:sz w:val="16"/>
                <w:szCs w:val="16"/>
              </w:rPr>
            </w:pPr>
            <w:r>
              <w:rPr>
                <w:rFonts w:ascii="Times New Roman"/>
                <w:sz w:val="16"/>
              </w:rPr>
              <w:t>569,583.36</w:t>
            </w:r>
          </w:p>
        </w:tc>
        <w:tc>
          <w:tcPr>
            <w:tcW w:w="1678" w:type="dxa"/>
            <w:tcBorders>
              <w:top w:val="single" w:sz="4" w:space="0" w:color="000000"/>
              <w:left w:val="nil" w:sz="6" w:space="0" w:color="auto"/>
              <w:bottom w:val="nil" w:sz="6" w:space="0" w:color="auto"/>
              <w:right w:val="nil" w:sz="6" w:space="0" w:color="auto"/>
            </w:tcBorders>
          </w:tcPr>
          <w:p>
            <w:pPr/>
          </w:p>
        </w:tc>
      </w:tr>
      <w:tr>
        <w:trPr>
          <w:trHeight w:val="353" w:hRule="exact"/>
        </w:trPr>
        <w:tc>
          <w:tcPr>
            <w:tcW w:w="191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67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756" w:type="dxa"/>
            <w:tcBorders>
              <w:top w:val="single" w:sz="4" w:space="0" w:color="000000"/>
              <w:left w:val="nil" w:sz="6" w:space="0" w:color="auto"/>
              <w:bottom w:val="single" w:sz="17" w:space="0" w:color="000000"/>
              <w:right w:val="nil" w:sz="6" w:space="0" w:color="auto"/>
            </w:tcBorders>
          </w:tcPr>
          <w:p>
            <w:pPr/>
          </w:p>
        </w:tc>
        <w:tc>
          <w:tcPr>
            <w:tcW w:w="1047"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62"/>
              <w:jc w:val="right"/>
              <w:rPr>
                <w:rFonts w:ascii="Times New Roman" w:hAnsi="Times New Roman" w:cs="Times New Roman" w:eastAsia="Times New Roman" w:hint="default"/>
                <w:sz w:val="16"/>
                <w:szCs w:val="16"/>
              </w:rPr>
            </w:pPr>
            <w:r>
              <w:rPr>
                <w:rFonts w:ascii="Times New Roman"/>
                <w:spacing w:val="-1"/>
                <w:sz w:val="16"/>
              </w:rPr>
              <w:t>632,870.40</w:t>
            </w:r>
          </w:p>
        </w:tc>
        <w:tc>
          <w:tcPr>
            <w:tcW w:w="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63"/>
              <w:jc w:val="right"/>
              <w:rPr>
                <w:rFonts w:ascii="Times New Roman" w:hAnsi="Times New Roman" w:cs="Times New Roman" w:eastAsia="Times New Roman" w:hint="default"/>
                <w:sz w:val="16"/>
                <w:szCs w:val="16"/>
              </w:rPr>
            </w:pPr>
            <w:r>
              <w:rPr>
                <w:rFonts w:ascii="Times New Roman"/>
                <w:spacing w:val="-1"/>
                <w:sz w:val="16"/>
              </w:rPr>
              <w:t>63,287.04</w:t>
            </w:r>
          </w:p>
        </w:tc>
        <w:tc>
          <w:tcPr>
            <w:tcW w:w="1020" w:type="dxa"/>
            <w:tcBorders>
              <w:top w:val="single" w:sz="4" w:space="0" w:color="000000"/>
              <w:left w:val="nil" w:sz="6" w:space="0" w:color="auto"/>
              <w:bottom w:val="single" w:sz="17" w:space="0" w:color="000000"/>
              <w:right w:val="nil" w:sz="6" w:space="0" w:color="auto"/>
            </w:tcBorders>
          </w:tcPr>
          <w:p>
            <w:pPr/>
          </w:p>
        </w:tc>
        <w:tc>
          <w:tcPr>
            <w:tcW w:w="95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219" w:right="0"/>
              <w:jc w:val="left"/>
              <w:rPr>
                <w:rFonts w:ascii="Times New Roman" w:hAnsi="Times New Roman" w:cs="Times New Roman" w:eastAsia="Times New Roman" w:hint="default"/>
                <w:sz w:val="16"/>
                <w:szCs w:val="16"/>
              </w:rPr>
            </w:pPr>
            <w:r>
              <w:rPr>
                <w:rFonts w:ascii="Times New Roman"/>
                <w:sz w:val="16"/>
              </w:rPr>
              <w:t>569,583.36</w:t>
            </w:r>
          </w:p>
        </w:tc>
        <w:tc>
          <w:tcPr>
            <w:tcW w:w="167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11</w:t>
      </w:r>
      <w:r>
        <w:rPr>
          <w:rFonts w:ascii="宋体" w:hAnsi="宋体" w:cs="宋体" w:eastAsia="宋体" w:hint="default"/>
          <w:b/>
          <w:bCs/>
          <w:sz w:val="24"/>
          <w:szCs w:val="24"/>
        </w:rPr>
        <w:t>、递延所得税资产及递延所得税负债</w:t>
      </w:r>
      <w:r>
        <w:rPr>
          <w:rFonts w:ascii="宋体" w:hAnsi="宋体" w:cs="宋体" w:eastAsia="宋体" w:hint="default"/>
          <w:sz w:val="24"/>
          <w:szCs w:val="24"/>
        </w:rPr>
      </w:r>
    </w:p>
    <w:p>
      <w:pPr>
        <w:spacing w:line="240" w:lineRule="auto" w:before="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39"/>
          <w:pgSz w:w="11910" w:h="16840"/>
          <w:pgMar w:footer="979" w:header="850" w:top="1380" w:bottom="1160" w:left="1660" w:right="1660"/>
        </w:sectPr>
      </w:pPr>
    </w:p>
    <w:p>
      <w:pPr>
        <w:pStyle w:val="BodyText"/>
        <w:spacing w:line="240" w:lineRule="auto" w:before="26"/>
        <w:ind w:left="620" w:right="-20"/>
        <w:jc w:val="left"/>
      </w:pPr>
      <w:r>
        <w:rPr/>
        <w:t>已确认的递延所得税资产</w:t>
      </w:r>
    </w:p>
    <w:p>
      <w:pPr>
        <w:spacing w:line="240" w:lineRule="auto" w:before="5"/>
        <w:rPr>
          <w:rFonts w:ascii="宋体" w:hAnsi="宋体" w:cs="宋体" w:eastAsia="宋体" w:hint="default"/>
          <w:sz w:val="29"/>
          <w:szCs w:val="29"/>
        </w:rPr>
      </w:pPr>
      <w:r>
        <w:rPr/>
        <w:br w:type="column"/>
      </w:r>
      <w:r>
        <w:rPr>
          <w:rFonts w:ascii="宋体"/>
          <w:sz w:val="29"/>
        </w:rPr>
      </w:r>
    </w:p>
    <w:p>
      <w:pPr>
        <w:tabs>
          <w:tab w:pos="3293" w:val="left" w:leader="none"/>
        </w:tabs>
        <w:spacing w:before="0"/>
        <w:ind w:left="101" w:right="0" w:firstLine="0"/>
        <w:jc w:val="left"/>
        <w:rPr>
          <w:rFonts w:ascii="宋体" w:hAnsi="宋体" w:cs="宋体" w:eastAsia="宋体" w:hint="default"/>
          <w:sz w:val="20"/>
          <w:szCs w:val="20"/>
        </w:rPr>
      </w:pPr>
      <w:r>
        <w:rPr/>
        <w:pict>
          <v:group style="position:absolute;margin-left:191.399994pt;margin-top:16.363159pt;width:153.6pt;height:.5pt;mso-position-horizontal-relative:page;mso-position-vertical-relative:paragraph;z-index:-604768" coordorigin="3828,327" coordsize="3072,10">
            <v:group style="position:absolute;left:3833;top:332;width:1601;height:2" coordorigin="3833,332" coordsize="1601,2">
              <v:shape style="position:absolute;left:3833;top:332;width:1601;height:2" coordorigin="3833,332" coordsize="1601,0" path="m3833,332l5434,332e" filled="false" stroked="true" strokeweight=".48pt" strokecolor="#000000">
                <v:path arrowok="t"/>
              </v:shape>
            </v:group>
            <v:group style="position:absolute;left:5434;top:332;width:10;height:2" coordorigin="5434,332" coordsize="10,2">
              <v:shape style="position:absolute;left:5434;top:332;width:10;height:2" coordorigin="5434,332" coordsize="10,0" path="m5434,332l5443,332e" filled="false" stroked="true" strokeweight=".48pt" strokecolor="#000000">
                <v:path arrowok="t"/>
              </v:shape>
            </v:group>
            <v:group style="position:absolute;left:5443;top:332;width:77;height:2" coordorigin="5443,332" coordsize="77,2">
              <v:shape style="position:absolute;left:5443;top:332;width:77;height:2" coordorigin="5443,332" coordsize="77,0" path="m5443,332l5520,332e" filled="false" stroked="true" strokeweight=".48pt" strokecolor="#000000">
                <v:path arrowok="t"/>
              </v:shape>
            </v:group>
            <v:group style="position:absolute;left:5520;top:332;width:10;height:2" coordorigin="5520,332" coordsize="10,2">
              <v:shape style="position:absolute;left:5520;top:332;width:10;height:2" coordorigin="5520,332" coordsize="10,0" path="m5520,332l5530,332e" filled="false" stroked="true" strokeweight=".48pt" strokecolor="#000000">
                <v:path arrowok="t"/>
              </v:shape>
            </v:group>
            <v:group style="position:absolute;left:5530;top:332;width:1366;height:2" coordorigin="5530,332" coordsize="1366,2">
              <v:shape style="position:absolute;left:5530;top:332;width:1366;height:2" coordorigin="5530,332" coordsize="1366,0" path="m5530,332l6895,332e" filled="false" stroked="true" strokeweight=".48pt" strokecolor="#000000">
                <v:path arrowok="t"/>
              </v:shape>
            </v:group>
            <w10:wrap type="none"/>
          </v:group>
        </w:pict>
      </w:r>
      <w:r>
        <w:rPr/>
        <w:pict>
          <v:group style="position:absolute;margin-left:349.320007pt;margin-top:16.363159pt;width:157pt;height:.5pt;mso-position-horizontal-relative:page;mso-position-vertical-relative:paragraph;z-index:-604744" coordorigin="6986,327" coordsize="3140,10">
            <v:group style="position:absolute;left:6991;top:332;width:1409;height:2" coordorigin="6991,332" coordsize="1409,2">
              <v:shape style="position:absolute;left:6991;top:332;width:1409;height:2" coordorigin="6991,332" coordsize="1409,0" path="m6991,332l8400,332e" filled="false" stroked="true" strokeweight=".48pt" strokecolor="#000000">
                <v:path arrowok="t"/>
              </v:shape>
            </v:group>
            <v:group style="position:absolute;left:8400;top:332;width:10;height:2" coordorigin="8400,332" coordsize="10,2">
              <v:shape style="position:absolute;left:8400;top:332;width:10;height:2" coordorigin="8400,332" coordsize="10,0" path="m8400,332l8410,332e" filled="false" stroked="true" strokeweight=".48pt" strokecolor="#000000">
                <v:path arrowok="t"/>
              </v:shape>
            </v:group>
            <v:group style="position:absolute;left:8410;top:332;width:56;height:2" coordorigin="8410,332" coordsize="56,2">
              <v:shape style="position:absolute;left:8410;top:332;width:56;height:2" coordorigin="8410,332" coordsize="56,0" path="m8410,332l8465,332e" filled="false" stroked="true" strokeweight=".48pt" strokecolor="#000000">
                <v:path arrowok="t"/>
              </v:shape>
            </v:group>
            <v:group style="position:absolute;left:8465;top:332;width:10;height:2" coordorigin="8465,332" coordsize="10,2">
              <v:shape style="position:absolute;left:8465;top:332;width:10;height:2" coordorigin="8465,332" coordsize="10,0" path="m8465,332l8474,332e" filled="false" stroked="true" strokeweight=".48pt" strokecolor="#000000">
                <v:path arrowok="t"/>
              </v:shape>
            </v:group>
            <v:group style="position:absolute;left:8474;top:332;width:1647;height:2" coordorigin="8474,332" coordsize="1647,2">
              <v:shape style="position:absolute;left:8474;top:332;width:1647;height:2" coordorigin="8474,332" coordsize="1647,0" path="m8474,332l10121,332e" filled="false" stroked="true" strokeweight=".48pt" strokecolor="#000000">
                <v:path arrowok="t"/>
              </v:shape>
            </v:group>
            <w10:wrap type="none"/>
          </v:group>
        </w:pict>
      </w: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type w:val="continuous"/>
          <w:pgSz w:w="11910" w:h="16840"/>
          <w:pgMar w:top="1380" w:bottom="1380" w:left="1660" w:right="1660"/>
          <w:cols w:num="2" w:equalWidth="0">
            <w:col w:w="3261" w:space="40"/>
            <w:col w:w="5289"/>
          </w:cols>
        </w:sectPr>
      </w:pPr>
    </w:p>
    <w:p>
      <w:pPr>
        <w:spacing w:line="215" w:lineRule="exact" w:before="69"/>
        <w:ind w:left="948" w:right="0"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15" w:lineRule="exact" w:before="0"/>
        <w:ind w:left="2268"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300" w:lineRule="auto" w:before="74"/>
        <w:ind w:left="9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可抵扣暂时性差</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异及可抵扣亏损</w:t>
      </w:r>
      <w:r>
        <w:rPr>
          <w:rFonts w:ascii="宋体" w:hAnsi="宋体" w:cs="宋体" w:eastAsia="宋体" w:hint="default"/>
          <w:sz w:val="20"/>
          <w:szCs w:val="20"/>
        </w:rPr>
      </w:r>
    </w:p>
    <w:p>
      <w:pPr>
        <w:spacing w:line="240" w:lineRule="auto" w:before="2"/>
        <w:rPr>
          <w:rFonts w:ascii="宋体" w:hAnsi="宋体" w:cs="宋体" w:eastAsia="宋体" w:hint="default"/>
          <w:sz w:val="18"/>
          <w:szCs w:val="18"/>
        </w:rPr>
      </w:pPr>
      <w:r>
        <w:rPr/>
        <w:br w:type="column"/>
      </w:r>
      <w:r>
        <w:rPr>
          <w:rFonts w:ascii="宋体"/>
          <w:sz w:val="18"/>
        </w:rPr>
      </w:r>
    </w:p>
    <w:p>
      <w:pPr>
        <w:spacing w:before="0"/>
        <w:ind w:left="68"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300" w:lineRule="auto" w:before="74"/>
        <w:ind w:left="293" w:right="133" w:hanging="202"/>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99"/>
          <w:sz w:val="20"/>
          <w:szCs w:val="20"/>
        </w:rPr>
        <w:t> </w:t>
      </w:r>
      <w:r>
        <w:rPr>
          <w:rFonts w:ascii="宋体" w:hAnsi="宋体" w:cs="宋体" w:eastAsia="宋体" w:hint="default"/>
          <w:sz w:val="20"/>
          <w:szCs w:val="20"/>
        </w:rPr>
        <w:t>及可抵扣亏损</w:t>
      </w:r>
    </w:p>
    <w:p>
      <w:pPr>
        <w:spacing w:after="0" w:line="300" w:lineRule="auto"/>
        <w:jc w:val="left"/>
        <w:rPr>
          <w:rFonts w:ascii="宋体" w:hAnsi="宋体" w:cs="宋体" w:eastAsia="宋体" w:hint="default"/>
          <w:sz w:val="20"/>
          <w:szCs w:val="20"/>
        </w:rPr>
        <w:sectPr>
          <w:type w:val="continuous"/>
          <w:pgSz w:w="11910" w:h="16840"/>
          <w:pgMar w:top="1380" w:bottom="1380" w:left="1660" w:right="1660"/>
          <w:cols w:num="4" w:equalWidth="0">
            <w:col w:w="3666" w:space="40"/>
            <w:col w:w="1492" w:space="40"/>
            <w:col w:w="1465" w:space="40"/>
            <w:col w:w="1847"/>
          </w:cols>
        </w:sectPr>
      </w:pPr>
    </w:p>
    <w:tbl>
      <w:tblPr>
        <w:tblW w:w="0" w:type="auto"/>
        <w:jc w:val="left"/>
        <w:tblInd w:w="125" w:type="dxa"/>
        <w:tblLayout w:type="fixed"/>
        <w:tblCellMar>
          <w:top w:w="0" w:type="dxa"/>
          <w:left w:w="0" w:type="dxa"/>
          <w:bottom w:w="0" w:type="dxa"/>
          <w:right w:w="0" w:type="dxa"/>
        </w:tblCellMar>
        <w:tblLook w:val="01E0"/>
      </w:tblPr>
      <w:tblGrid>
        <w:gridCol w:w="2047"/>
        <w:gridCol w:w="1601"/>
        <w:gridCol w:w="1462"/>
        <w:gridCol w:w="1904"/>
        <w:gridCol w:w="1321"/>
      </w:tblGrid>
      <w:tr>
        <w:trPr>
          <w:trHeight w:val="335" w:hRule="exact"/>
        </w:trPr>
        <w:tc>
          <w:tcPr>
            <w:tcW w:w="2047" w:type="dxa"/>
            <w:tcBorders>
              <w:top w:val="single" w:sz="4" w:space="0" w:color="000000"/>
              <w:left w:val="nil" w:sz="6" w:space="0" w:color="auto"/>
              <w:bottom w:val="nil" w:sz="6" w:space="0" w:color="auto"/>
              <w:right w:val="nil" w:sz="6" w:space="0" w:color="auto"/>
            </w:tcBorders>
          </w:tcPr>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资产减值准备</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
              <w:jc w:val="right"/>
              <w:rPr>
                <w:rFonts w:ascii="Times New Roman" w:hAnsi="Times New Roman" w:cs="Times New Roman" w:eastAsia="Times New Roman" w:hint="default"/>
                <w:sz w:val="20"/>
                <w:szCs w:val="20"/>
              </w:rPr>
            </w:pPr>
            <w:r>
              <w:rPr>
                <w:rFonts w:ascii="Times New Roman"/>
                <w:w w:val="95"/>
                <w:sz w:val="20"/>
              </w:rPr>
              <w:t>324,620.64</w:t>
            </w:r>
            <w:r>
              <w:rPr>
                <w:rFonts w:ascii="Times New Roman"/>
                <w:sz w:val="20"/>
              </w:rPr>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2,164,137.57</w:t>
            </w:r>
            <w:r>
              <w:rPr>
                <w:rFonts w:ascii="Times New Roman"/>
                <w:sz w:val="20"/>
              </w:rPr>
            </w: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08"/>
              <w:jc w:val="right"/>
              <w:rPr>
                <w:rFonts w:ascii="Times New Roman" w:hAnsi="Times New Roman" w:cs="Times New Roman" w:eastAsia="Times New Roman" w:hint="default"/>
                <w:sz w:val="20"/>
                <w:szCs w:val="20"/>
              </w:rPr>
            </w:pPr>
            <w:r>
              <w:rPr>
                <w:rFonts w:ascii="Times New Roman"/>
                <w:w w:val="95"/>
                <w:sz w:val="20"/>
              </w:rPr>
              <w:t>78,451.50</w:t>
            </w:r>
            <w:r>
              <w:rPr>
                <w:rFonts w:ascii="Times New Roman"/>
                <w:sz w:val="20"/>
              </w:rPr>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523,010.00</w:t>
            </w:r>
            <w:r>
              <w:rPr>
                <w:rFonts w:ascii="Times New Roman"/>
                <w:sz w:val="20"/>
              </w:rPr>
            </w:r>
          </w:p>
        </w:tc>
      </w:tr>
      <w:tr>
        <w:trPr>
          <w:trHeight w:val="328"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1"/>
              <w:jc w:val="right"/>
              <w:rPr>
                <w:rFonts w:ascii="Times New Roman" w:hAnsi="Times New Roman" w:cs="Times New Roman" w:eastAsia="Times New Roman" w:hint="default"/>
                <w:sz w:val="20"/>
                <w:szCs w:val="20"/>
              </w:rPr>
            </w:pPr>
            <w:r>
              <w:rPr>
                <w:rFonts w:ascii="Times New Roman"/>
                <w:w w:val="95"/>
                <w:sz w:val="20"/>
              </w:rPr>
              <w:t>51,314.81</w:t>
            </w:r>
            <w:r>
              <w:rPr>
                <w:rFonts w:ascii="Times New Roman"/>
                <w:sz w:val="20"/>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5"/>
              <w:jc w:val="right"/>
              <w:rPr>
                <w:rFonts w:ascii="Times New Roman" w:hAnsi="Times New Roman" w:cs="Times New Roman" w:eastAsia="Times New Roman" w:hint="default"/>
                <w:sz w:val="20"/>
                <w:szCs w:val="20"/>
              </w:rPr>
            </w:pPr>
            <w:r>
              <w:rPr>
                <w:rFonts w:ascii="Times New Roman"/>
                <w:w w:val="95"/>
                <w:sz w:val="20"/>
              </w:rPr>
              <w:t>342,098.73</w:t>
            </w:r>
            <w:r>
              <w:rPr>
                <w:rFonts w:ascii="Times New Roman"/>
                <w:sz w:val="20"/>
              </w:rPr>
            </w: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07"/>
              <w:jc w:val="right"/>
              <w:rPr>
                <w:rFonts w:ascii="Times New Roman" w:hAnsi="Times New Roman" w:cs="Times New Roman" w:eastAsia="Times New Roman" w:hint="default"/>
                <w:sz w:val="20"/>
                <w:szCs w:val="20"/>
              </w:rPr>
            </w:pPr>
            <w:r>
              <w:rPr>
                <w:rFonts w:ascii="Times New Roman"/>
                <w:sz w:val="20"/>
              </w:rPr>
              <w:t>5,287.50</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8"/>
              <w:jc w:val="right"/>
              <w:rPr>
                <w:rFonts w:ascii="Times New Roman" w:hAnsi="Times New Roman" w:cs="Times New Roman" w:eastAsia="Times New Roman" w:hint="default"/>
                <w:sz w:val="20"/>
                <w:szCs w:val="20"/>
              </w:rPr>
            </w:pPr>
            <w:r>
              <w:rPr>
                <w:rFonts w:ascii="Times New Roman"/>
                <w:w w:val="95"/>
                <w:sz w:val="20"/>
              </w:rPr>
              <w:t>35,250.00</w:t>
            </w:r>
            <w:r>
              <w:rPr>
                <w:rFonts w:ascii="Times New Roman"/>
                <w:sz w:val="20"/>
              </w:rPr>
            </w:r>
          </w:p>
        </w:tc>
      </w:tr>
      <w:tr>
        <w:trPr>
          <w:trHeight w:val="355"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0"/>
              <w:jc w:val="right"/>
              <w:rPr>
                <w:rFonts w:ascii="Times New Roman" w:hAnsi="Times New Roman" w:cs="Times New Roman" w:eastAsia="Times New Roman" w:hint="default"/>
                <w:sz w:val="20"/>
                <w:szCs w:val="20"/>
              </w:rPr>
            </w:pPr>
            <w:r>
              <w:rPr>
                <w:rFonts w:ascii="Times New Roman"/>
                <w:w w:val="95"/>
                <w:sz w:val="20"/>
              </w:rPr>
              <w:t>375,935.45</w:t>
            </w:r>
            <w:r>
              <w:rPr>
                <w:rFonts w:ascii="Times New Roman"/>
                <w:sz w:val="20"/>
              </w:rPr>
            </w:r>
          </w:p>
        </w:tc>
        <w:tc>
          <w:tcPr>
            <w:tcW w:w="1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2,506,236.30</w:t>
            </w:r>
            <w:r>
              <w:rPr>
                <w:rFonts w:ascii="Times New Roman"/>
                <w:sz w:val="20"/>
              </w:rPr>
            </w:r>
          </w:p>
        </w:tc>
        <w:tc>
          <w:tcPr>
            <w:tcW w:w="1904"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408"/>
              <w:jc w:val="right"/>
              <w:rPr>
                <w:rFonts w:ascii="Times New Roman" w:hAnsi="Times New Roman" w:cs="Times New Roman" w:eastAsia="Times New Roman" w:hint="default"/>
                <w:sz w:val="20"/>
                <w:szCs w:val="20"/>
              </w:rPr>
            </w:pPr>
            <w:r>
              <w:rPr>
                <w:rFonts w:ascii="Times New Roman"/>
                <w:w w:val="95"/>
                <w:sz w:val="20"/>
              </w:rPr>
              <w:t>83,739.00</w:t>
            </w:r>
            <w:r>
              <w:rPr>
                <w:rFonts w:ascii="Times New Roman"/>
                <w:sz w:val="20"/>
              </w:rPr>
            </w:r>
          </w:p>
        </w:tc>
        <w:tc>
          <w:tcPr>
            <w:tcW w:w="1321"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558,260.00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pict>
          <v:group style="position:absolute;margin-left:359.640015pt;margin-top:36.435619pt;width:79pt;height:.1pt;mso-position-horizontal-relative:page;mso-position-vertical-relative:paragraph;z-index:-604720" coordorigin="7193,729" coordsize="1580,2">
            <v:shape style="position:absolute;left:7193;top:729;width:1580;height:2" coordorigin="7193,729" coordsize="1580,0" path="m7193,729l8772,729e" filled="false" stroked="true" strokeweight=".48pt" strokecolor="#000000">
              <v:path arrowok="t"/>
            </v:shape>
            <w10:wrap type="none"/>
          </v:group>
        </w:pict>
      </w:r>
      <w:r>
        <w:rPr>
          <w:rFonts w:ascii="Times New Roman" w:hAnsi="Times New Roman" w:cs="Times New Roman" w:eastAsia="Times New Roman" w:hint="default"/>
        </w:rPr>
        <w:t>12</w:t>
      </w:r>
      <w:r>
        <w:rPr/>
        <w:t>、资产减值准备明细</w:t>
      </w:r>
      <w:r>
        <w:rPr>
          <w:b w:val="0"/>
          <w:bCs w:val="0"/>
        </w:rPr>
      </w:r>
    </w:p>
    <w:p>
      <w:pPr>
        <w:spacing w:line="240" w:lineRule="auto" w:before="6"/>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2580"/>
        <w:gridCol w:w="1799"/>
        <w:gridCol w:w="1821"/>
        <w:gridCol w:w="2154"/>
      </w:tblGrid>
      <w:tr>
        <w:trPr>
          <w:trHeight w:val="172" w:hRule="exact"/>
        </w:trPr>
        <w:tc>
          <w:tcPr>
            <w:tcW w:w="258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318"/>
              <w:jc w:val="center"/>
              <w:rPr>
                <w:rFonts w:ascii="宋体" w:hAnsi="宋体" w:cs="宋体" w:eastAsia="宋体" w:hint="default"/>
                <w:sz w:val="18"/>
                <w:szCs w:val="18"/>
              </w:rPr>
            </w:pPr>
            <w:r>
              <w:rPr>
                <w:rFonts w:ascii="宋体" w:hAnsi="宋体" w:cs="宋体" w:eastAsia="宋体" w:hint="default"/>
                <w:sz w:val="18"/>
                <w:szCs w:val="18"/>
              </w:rPr>
              <w:t>本期减少</w:t>
            </w:r>
          </w:p>
        </w:tc>
      </w:tr>
      <w:tr>
        <w:trPr>
          <w:trHeight w:val="175" w:hRule="exact"/>
        </w:trPr>
        <w:tc>
          <w:tcPr>
            <w:tcW w:w="2580" w:type="dxa"/>
            <w:tcBorders>
              <w:top w:val="nil" w:sz="6" w:space="0" w:color="auto"/>
              <w:left w:val="nil" w:sz="6" w:space="0" w:color="auto"/>
              <w:bottom w:val="nil" w:sz="6" w:space="0" w:color="auto"/>
              <w:right w:val="nil" w:sz="6" w:space="0" w:color="auto"/>
            </w:tcBorders>
          </w:tcPr>
          <w:p>
            <w:pPr>
              <w:pStyle w:val="TableParagraph"/>
              <w:tabs>
                <w:tab w:pos="1612" w:val="left" w:leader="none"/>
              </w:tabs>
              <w:spacing w:line="191" w:lineRule="exact"/>
              <w:ind w:left="111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799" w:type="dxa"/>
            <w:tcBorders>
              <w:top w:val="nil" w:sz="6" w:space="0" w:color="auto"/>
              <w:left w:val="nil" w:sz="6" w:space="0" w:color="auto"/>
              <w:bottom w:val="nil" w:sz="6" w:space="0" w:color="auto"/>
              <w:right w:val="nil" w:sz="6" w:space="0" w:color="auto"/>
            </w:tcBorders>
          </w:tcPr>
          <w:p>
            <w:pPr>
              <w:pStyle w:val="TableParagraph"/>
              <w:spacing w:line="181" w:lineRule="exact"/>
              <w:ind w:left="76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21" w:type="dxa"/>
            <w:tcBorders>
              <w:top w:val="nil" w:sz="6" w:space="0" w:color="auto"/>
              <w:left w:val="nil" w:sz="6" w:space="0" w:color="auto"/>
              <w:bottom w:val="nil" w:sz="6" w:space="0" w:color="auto"/>
              <w:right w:val="nil" w:sz="6" w:space="0" w:color="auto"/>
            </w:tcBorders>
          </w:tcPr>
          <w:p>
            <w:pPr>
              <w:pStyle w:val="TableParagraph"/>
              <w:spacing w:line="181" w:lineRule="exact"/>
              <w:ind w:left="1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54" w:type="dxa"/>
            <w:tcBorders>
              <w:top w:val="nil" w:sz="6" w:space="0" w:color="auto"/>
              <w:left w:val="nil" w:sz="6" w:space="0" w:color="auto"/>
              <w:bottom w:val="nil" w:sz="6" w:space="0" w:color="auto"/>
              <w:right w:val="nil" w:sz="6" w:space="0" w:color="auto"/>
            </w:tcBorders>
          </w:tcPr>
          <w:p>
            <w:pPr>
              <w:pStyle w:val="TableParagraph"/>
              <w:spacing w:line="181" w:lineRule="exact"/>
              <w:ind w:left="12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59" w:hRule="exact"/>
        </w:trPr>
        <w:tc>
          <w:tcPr>
            <w:tcW w:w="2580" w:type="dxa"/>
            <w:tcBorders>
              <w:top w:val="nil" w:sz="6" w:space="0" w:color="auto"/>
              <w:left w:val="nil" w:sz="6" w:space="0" w:color="auto"/>
              <w:bottom w:val="single" w:sz="4" w:space="0" w:color="000000"/>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
        </w:tc>
        <w:tc>
          <w:tcPr>
            <w:tcW w:w="1821" w:type="dxa"/>
            <w:tcBorders>
              <w:top w:val="nil" w:sz="6" w:space="0" w:color="auto"/>
              <w:left w:val="nil" w:sz="6" w:space="0" w:color="auto"/>
              <w:bottom w:val="single" w:sz="4" w:space="0" w:color="000000"/>
              <w:right w:val="nil" w:sz="6" w:space="0" w:color="auto"/>
            </w:tcBorders>
          </w:tcPr>
          <w:p>
            <w:pPr>
              <w:pStyle w:val="TableParagraph"/>
              <w:spacing w:line="189" w:lineRule="exact"/>
              <w:ind w:left="1119"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2154" w:type="dxa"/>
            <w:tcBorders>
              <w:top w:val="nil" w:sz="6" w:space="0" w:color="auto"/>
              <w:left w:val="nil" w:sz="6" w:space="0" w:color="auto"/>
              <w:bottom w:val="single" w:sz="4" w:space="0" w:color="000000"/>
              <w:right w:val="nil" w:sz="6" w:space="0" w:color="auto"/>
            </w:tcBorders>
          </w:tcPr>
          <w:p>
            <w:pPr>
              <w:pStyle w:val="TableParagraph"/>
              <w:spacing w:line="189" w:lineRule="exact"/>
              <w:ind w:left="104" w:right="0"/>
              <w:jc w:val="left"/>
              <w:rPr>
                <w:rFonts w:ascii="宋体" w:hAnsi="宋体" w:cs="宋体" w:eastAsia="宋体" w:hint="default"/>
                <w:sz w:val="20"/>
                <w:szCs w:val="20"/>
              </w:rPr>
            </w:pPr>
            <w:r>
              <w:rPr>
                <w:rFonts w:ascii="宋体" w:hAnsi="宋体" w:cs="宋体" w:eastAsia="宋体" w:hint="default"/>
                <w:sz w:val="20"/>
                <w:szCs w:val="20"/>
              </w:rPr>
              <w:t>转销数</w:t>
            </w:r>
          </w:p>
        </w:tc>
      </w:tr>
      <w:tr>
        <w:trPr>
          <w:trHeight w:val="343" w:hRule="exact"/>
        </w:trPr>
        <w:tc>
          <w:tcPr>
            <w:tcW w:w="258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967" w:right="0"/>
              <w:jc w:val="left"/>
              <w:rPr>
                <w:rFonts w:ascii="Times New Roman" w:hAnsi="Times New Roman" w:cs="Times New Roman" w:eastAsia="Times New Roman" w:hint="default"/>
                <w:sz w:val="16"/>
                <w:szCs w:val="16"/>
              </w:rPr>
            </w:pPr>
            <w:r>
              <w:rPr>
                <w:rFonts w:ascii="Times New Roman"/>
                <w:sz w:val="16"/>
              </w:rPr>
              <w:t>523,010.00</w:t>
            </w:r>
          </w:p>
        </w:tc>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44" w:right="0"/>
              <w:jc w:val="left"/>
              <w:rPr>
                <w:rFonts w:ascii="Times New Roman" w:hAnsi="Times New Roman" w:cs="Times New Roman" w:eastAsia="Times New Roman" w:hint="default"/>
                <w:sz w:val="16"/>
                <w:szCs w:val="16"/>
              </w:rPr>
            </w:pPr>
            <w:r>
              <w:rPr>
                <w:rFonts w:ascii="Times New Roman"/>
                <w:sz w:val="16"/>
              </w:rPr>
              <w:t>1,641,127.57</w:t>
            </w:r>
          </w:p>
        </w:tc>
        <w:tc>
          <w:tcPr>
            <w:tcW w:w="215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292" w:right="0"/>
              <w:jc w:val="left"/>
              <w:rPr>
                <w:rFonts w:ascii="Times New Roman" w:hAnsi="Times New Roman" w:cs="Times New Roman" w:eastAsia="Times New Roman" w:hint="default"/>
                <w:sz w:val="16"/>
                <w:szCs w:val="16"/>
              </w:rPr>
            </w:pPr>
            <w:r>
              <w:rPr>
                <w:rFonts w:ascii="Times New Roman"/>
                <w:sz w:val="16"/>
              </w:rPr>
              <w:t>2,164,137.57</w:t>
            </w: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336"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r>
        <w:trPr>
          <w:trHeight w:val="258" w:hRule="exact"/>
        </w:trPr>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799"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380" w:bottom="1380" w:left="1660" w:right="1660"/>
        </w:sectPr>
      </w:pPr>
    </w:p>
    <w:tbl>
      <w:tblPr>
        <w:tblW w:w="0" w:type="auto"/>
        <w:jc w:val="left"/>
        <w:tblInd w:w="108" w:type="dxa"/>
        <w:tblLayout w:type="fixed"/>
        <w:tblCellMar>
          <w:top w:w="0" w:type="dxa"/>
          <w:left w:w="0" w:type="dxa"/>
          <w:bottom w:w="0" w:type="dxa"/>
          <w:right w:w="0" w:type="dxa"/>
        </w:tblCellMar>
        <w:tblLook w:val="01E0"/>
      </w:tblPr>
      <w:tblGrid>
        <w:gridCol w:w="2964"/>
        <w:gridCol w:w="1422"/>
        <w:gridCol w:w="1821"/>
        <w:gridCol w:w="2161"/>
      </w:tblGrid>
      <w:tr>
        <w:trPr>
          <w:trHeight w:val="281" w:hRule="exact"/>
        </w:trPr>
        <w:tc>
          <w:tcPr>
            <w:tcW w:w="2964" w:type="dxa"/>
            <w:tcBorders>
              <w:top w:val="single" w:sz="6" w:space="0" w:color="000000"/>
              <w:left w:val="nil" w:sz="6" w:space="0" w:color="auto"/>
              <w:bottom w:val="nil" w:sz="6" w:space="0" w:color="auto"/>
              <w:right w:val="nil" w:sz="6" w:space="0" w:color="auto"/>
            </w:tcBorders>
          </w:tcPr>
          <w:p>
            <w:pPr/>
          </w:p>
        </w:tc>
        <w:tc>
          <w:tcPr>
            <w:tcW w:w="1422" w:type="dxa"/>
            <w:tcBorders>
              <w:top w:val="single" w:sz="6" w:space="0" w:color="000000"/>
              <w:left w:val="nil" w:sz="6" w:space="0" w:color="auto"/>
              <w:bottom w:val="nil" w:sz="6" w:space="0" w:color="auto"/>
              <w:right w:val="nil" w:sz="6" w:space="0" w:color="auto"/>
            </w:tcBorders>
          </w:tcPr>
          <w:p>
            <w:pPr/>
          </w:p>
        </w:tc>
        <w:tc>
          <w:tcPr>
            <w:tcW w:w="398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46"/>
              <w:ind w:right="325"/>
              <w:jc w:val="center"/>
              <w:rPr>
                <w:rFonts w:ascii="宋体" w:hAnsi="宋体" w:cs="宋体" w:eastAsia="宋体" w:hint="default"/>
                <w:sz w:val="18"/>
                <w:szCs w:val="18"/>
              </w:rPr>
            </w:pPr>
            <w:r>
              <w:rPr>
                <w:rFonts w:ascii="宋体" w:hAnsi="宋体" w:cs="宋体" w:eastAsia="宋体" w:hint="default"/>
                <w:sz w:val="18"/>
                <w:szCs w:val="18"/>
              </w:rPr>
              <w:t>本期减少</w:t>
            </w:r>
          </w:p>
        </w:tc>
      </w:tr>
      <w:tr>
        <w:trPr>
          <w:trHeight w:val="175"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191" w:lineRule="exact"/>
              <w:ind w:right="24"/>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22" w:type="dxa"/>
            <w:tcBorders>
              <w:top w:val="nil" w:sz="6" w:space="0" w:color="auto"/>
              <w:left w:val="nil" w:sz="6" w:space="0" w:color="auto"/>
              <w:bottom w:val="nil" w:sz="6" w:space="0" w:color="auto"/>
              <w:right w:val="nil" w:sz="6" w:space="0" w:color="auto"/>
            </w:tcBorders>
          </w:tcPr>
          <w:p>
            <w:pPr>
              <w:pStyle w:val="TableParagraph"/>
              <w:spacing w:line="181" w:lineRule="exact"/>
              <w:ind w:left="3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21" w:type="dxa"/>
            <w:tcBorders>
              <w:top w:val="nil" w:sz="6" w:space="0" w:color="auto"/>
              <w:left w:val="nil" w:sz="6" w:space="0" w:color="auto"/>
              <w:bottom w:val="nil" w:sz="6" w:space="0" w:color="auto"/>
              <w:right w:val="nil" w:sz="6" w:space="0" w:color="auto"/>
            </w:tcBorders>
          </w:tcPr>
          <w:p>
            <w:pPr>
              <w:pStyle w:val="TableParagraph"/>
              <w:spacing w:line="181" w:lineRule="exact"/>
              <w:ind w:left="1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61" w:type="dxa"/>
            <w:tcBorders>
              <w:top w:val="nil" w:sz="6" w:space="0" w:color="auto"/>
              <w:left w:val="nil" w:sz="6" w:space="0" w:color="auto"/>
              <w:bottom w:val="nil" w:sz="6" w:space="0" w:color="auto"/>
              <w:right w:val="nil" w:sz="6" w:space="0" w:color="auto"/>
            </w:tcBorders>
          </w:tcPr>
          <w:p>
            <w:pPr>
              <w:pStyle w:val="TableParagraph"/>
              <w:spacing w:line="181" w:lineRule="exact"/>
              <w:ind w:left="12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59" w:hRule="exact"/>
        </w:trPr>
        <w:tc>
          <w:tcPr>
            <w:tcW w:w="2964" w:type="dxa"/>
            <w:tcBorders>
              <w:top w:val="nil" w:sz="6" w:space="0" w:color="auto"/>
              <w:left w:val="nil" w:sz="6" w:space="0" w:color="auto"/>
              <w:bottom w:val="single" w:sz="4" w:space="0" w:color="000000"/>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
        </w:tc>
        <w:tc>
          <w:tcPr>
            <w:tcW w:w="1821" w:type="dxa"/>
            <w:tcBorders>
              <w:top w:val="nil" w:sz="6" w:space="0" w:color="auto"/>
              <w:left w:val="nil" w:sz="6" w:space="0" w:color="auto"/>
              <w:bottom w:val="single" w:sz="4" w:space="0" w:color="000000"/>
              <w:right w:val="nil" w:sz="6" w:space="0" w:color="auto"/>
            </w:tcBorders>
          </w:tcPr>
          <w:p>
            <w:pPr>
              <w:pStyle w:val="TableParagraph"/>
              <w:spacing w:line="189" w:lineRule="exact"/>
              <w:ind w:left="1119"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2161" w:type="dxa"/>
            <w:tcBorders>
              <w:top w:val="nil" w:sz="6" w:space="0" w:color="auto"/>
              <w:left w:val="nil" w:sz="6" w:space="0" w:color="auto"/>
              <w:bottom w:val="single" w:sz="4" w:space="0" w:color="000000"/>
              <w:right w:val="nil" w:sz="6" w:space="0" w:color="auto"/>
            </w:tcBorders>
          </w:tcPr>
          <w:p>
            <w:pPr>
              <w:pStyle w:val="TableParagraph"/>
              <w:spacing w:line="189" w:lineRule="exact"/>
              <w:ind w:left="104" w:right="0"/>
              <w:jc w:val="left"/>
              <w:rPr>
                <w:rFonts w:ascii="宋体" w:hAnsi="宋体" w:cs="宋体" w:eastAsia="宋体" w:hint="default"/>
                <w:sz w:val="20"/>
                <w:szCs w:val="20"/>
              </w:rPr>
            </w:pPr>
            <w:r>
              <w:rPr>
                <w:rFonts w:ascii="宋体" w:hAnsi="宋体" w:cs="宋体" w:eastAsia="宋体" w:hint="default"/>
                <w:sz w:val="20"/>
                <w:szCs w:val="20"/>
              </w:rPr>
              <w:t>转销数</w:t>
            </w:r>
          </w:p>
        </w:tc>
      </w:tr>
      <w:tr>
        <w:trPr>
          <w:trHeight w:val="343" w:hRule="exact"/>
        </w:trPr>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422" w:type="dxa"/>
            <w:tcBorders>
              <w:top w:val="single" w:sz="4" w:space="0" w:color="000000"/>
              <w:left w:val="nil" w:sz="6" w:space="0" w:color="auto"/>
              <w:bottom w:val="nil" w:sz="6" w:space="0" w:color="auto"/>
              <w:right w:val="nil" w:sz="6" w:space="0" w:color="auto"/>
            </w:tcBorders>
          </w:tcPr>
          <w:p>
            <w:pPr/>
          </w:p>
        </w:tc>
        <w:tc>
          <w:tcPr>
            <w:tcW w:w="1821" w:type="dxa"/>
            <w:tcBorders>
              <w:top w:val="single" w:sz="4" w:space="0" w:color="000000"/>
              <w:left w:val="nil" w:sz="6" w:space="0" w:color="auto"/>
              <w:bottom w:val="nil" w:sz="6" w:space="0" w:color="auto"/>
              <w:right w:val="nil" w:sz="6" w:space="0" w:color="auto"/>
            </w:tcBorders>
          </w:tcPr>
          <w:p>
            <w:pPr/>
          </w:p>
        </w:tc>
        <w:tc>
          <w:tcPr>
            <w:tcW w:w="2161" w:type="dxa"/>
            <w:tcBorders>
              <w:top w:val="single" w:sz="4" w:space="0" w:color="000000"/>
              <w:left w:val="nil" w:sz="6" w:space="0" w:color="auto"/>
              <w:bottom w:val="nil" w:sz="6" w:space="0" w:color="auto"/>
              <w:right w:val="nil" w:sz="6" w:space="0" w:color="auto"/>
            </w:tcBorders>
          </w:tcPr>
          <w:p>
            <w:pPr/>
          </w:p>
        </w:tc>
      </w:tr>
      <w:tr>
        <w:trPr>
          <w:trHeight w:val="33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422"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
        </w:tc>
      </w:tr>
      <w:tr>
        <w:trPr>
          <w:trHeight w:val="336" w:hRule="exact"/>
        </w:trPr>
        <w:tc>
          <w:tcPr>
            <w:tcW w:w="836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r>
      <w:tr>
        <w:trPr>
          <w:trHeight w:val="33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422"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
        </w:tc>
      </w:tr>
      <w:tr>
        <w:trPr>
          <w:trHeight w:val="33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422"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
        </w:tc>
      </w:tr>
      <w:tr>
        <w:trPr>
          <w:trHeight w:val="336"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422"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
        </w:tc>
      </w:tr>
      <w:tr>
        <w:trPr>
          <w:trHeight w:val="34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422" w:type="dxa"/>
            <w:tcBorders>
              <w:top w:val="nil" w:sz="6" w:space="0" w:color="auto"/>
              <w:left w:val="nil" w:sz="6" w:space="0" w:color="auto"/>
              <w:bottom w:val="single" w:sz="4" w:space="0" w:color="000000"/>
              <w:right w:val="nil" w:sz="6" w:space="0" w:color="auto"/>
            </w:tcBorders>
          </w:tcPr>
          <w:p>
            <w:pPr/>
          </w:p>
        </w:tc>
        <w:tc>
          <w:tcPr>
            <w:tcW w:w="1821" w:type="dxa"/>
            <w:tcBorders>
              <w:top w:val="nil" w:sz="6" w:space="0" w:color="auto"/>
              <w:left w:val="nil" w:sz="6" w:space="0" w:color="auto"/>
              <w:bottom w:val="single" w:sz="4" w:space="0" w:color="000000"/>
              <w:right w:val="nil" w:sz="6" w:space="0" w:color="auto"/>
            </w:tcBorders>
          </w:tcPr>
          <w:p>
            <w:pPr/>
          </w:p>
        </w:tc>
        <w:tc>
          <w:tcPr>
            <w:tcW w:w="2161" w:type="dxa"/>
            <w:tcBorders>
              <w:top w:val="nil" w:sz="6" w:space="0" w:color="auto"/>
              <w:left w:val="nil" w:sz="6" w:space="0" w:color="auto"/>
              <w:bottom w:val="single" w:sz="4" w:space="0" w:color="000000"/>
              <w:right w:val="nil" w:sz="6" w:space="0" w:color="auto"/>
            </w:tcBorders>
          </w:tcPr>
          <w:p>
            <w:pPr/>
          </w:p>
        </w:tc>
      </w:tr>
      <w:tr>
        <w:trPr>
          <w:trHeight w:val="353" w:hRule="exact"/>
        </w:trPr>
        <w:tc>
          <w:tcPr>
            <w:tcW w:w="296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24"/>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590" w:right="0"/>
              <w:jc w:val="left"/>
              <w:rPr>
                <w:rFonts w:ascii="Times New Roman" w:hAnsi="Times New Roman" w:cs="Times New Roman" w:eastAsia="Times New Roman" w:hint="default"/>
                <w:sz w:val="16"/>
                <w:szCs w:val="16"/>
              </w:rPr>
            </w:pPr>
            <w:r>
              <w:rPr>
                <w:rFonts w:ascii="Times New Roman"/>
                <w:sz w:val="16"/>
              </w:rPr>
              <w:t>523,010.00</w:t>
            </w:r>
          </w:p>
        </w:tc>
        <w:tc>
          <w:tcPr>
            <w:tcW w:w="182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144" w:right="0"/>
              <w:jc w:val="left"/>
              <w:rPr>
                <w:rFonts w:ascii="Times New Roman" w:hAnsi="Times New Roman" w:cs="Times New Roman" w:eastAsia="Times New Roman" w:hint="default"/>
                <w:sz w:val="16"/>
                <w:szCs w:val="16"/>
              </w:rPr>
            </w:pPr>
            <w:r>
              <w:rPr>
                <w:rFonts w:ascii="Times New Roman"/>
                <w:sz w:val="16"/>
              </w:rPr>
              <w:t>1,641,127.57</w:t>
            </w:r>
          </w:p>
        </w:tc>
        <w:tc>
          <w:tcPr>
            <w:tcW w:w="216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left="1292" w:right="0"/>
              <w:jc w:val="left"/>
              <w:rPr>
                <w:rFonts w:ascii="Times New Roman" w:hAnsi="Times New Roman" w:cs="Times New Roman" w:eastAsia="Times New Roman" w:hint="default"/>
                <w:sz w:val="16"/>
                <w:szCs w:val="16"/>
              </w:rPr>
            </w:pPr>
            <w:r>
              <w:rPr>
                <w:rFonts w:ascii="Times New Roman"/>
                <w:sz w:val="16"/>
              </w:rPr>
              <w:t>2,164,137.57</w:t>
            </w:r>
          </w:p>
        </w:tc>
      </w:tr>
    </w:tbl>
    <w:p>
      <w:pPr>
        <w:spacing w:line="240" w:lineRule="auto" w:before="0"/>
        <w:rPr>
          <w:rFonts w:ascii="宋体" w:hAnsi="宋体" w:cs="宋体" w:eastAsia="宋体" w:hint="default"/>
          <w:b/>
          <w:bCs/>
          <w:sz w:val="20"/>
          <w:szCs w:val="20"/>
        </w:rPr>
      </w:pPr>
      <w:r>
        <w:rPr/>
        <w:pict>
          <v:group style="position:absolute;margin-left:359.640015pt;margin-top:89.039986pt;width:79pt;height:.1pt;mso-position-horizontal-relative:page;mso-position-vertical-relative:page;z-index:-604696" coordorigin="7193,1781" coordsize="1580,2">
            <v:shape style="position:absolute;left:7193;top:1781;width:1580;height:2" coordorigin="7193,1781" coordsize="1580,0" path="m7193,1781l8772,1781e" filled="false" stroked="true" strokeweight=".48pt" strokecolor="#000000">
              <v:path arrowok="t"/>
            </v:shape>
            <w10:wrap type="none"/>
          </v:group>
        </w:pict>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13</w:t>
      </w:r>
      <w:r>
        <w:rPr/>
        <w:t>、应付账款</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617" w:right="0"/>
        <w:jc w:val="left"/>
      </w:pPr>
      <w:r>
        <w:rPr/>
        <w:t>（</w:t>
      </w:r>
      <w:r>
        <w:rPr>
          <w:rFonts w:ascii="Times New Roman" w:hAnsi="Times New Roman" w:cs="Times New Roman" w:eastAsia="Times New Roman" w:hint="default"/>
        </w:rPr>
        <w:t>1</w:t>
      </w:r>
      <w:r>
        <w:rPr/>
        <w:t>）应付账款账龄分析</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959"/>
        <w:gridCol w:w="2767"/>
        <w:gridCol w:w="2628"/>
      </w:tblGrid>
      <w:tr>
        <w:trPr>
          <w:trHeight w:val="270" w:hRule="exact"/>
        </w:trPr>
        <w:tc>
          <w:tcPr>
            <w:tcW w:w="2959"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199" w:lineRule="exact"/>
              <w:ind w:left="96"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628" w:type="dxa"/>
            <w:tcBorders>
              <w:top w:val="nil" w:sz="6" w:space="0" w:color="auto"/>
              <w:left w:val="nil" w:sz="6" w:space="0" w:color="auto"/>
              <w:bottom w:val="single" w:sz="4" w:space="0" w:color="000000"/>
              <w:right w:val="nil" w:sz="6" w:space="0" w:color="auto"/>
            </w:tcBorders>
          </w:tcPr>
          <w:p>
            <w:pPr>
              <w:pStyle w:val="TableParagraph"/>
              <w:spacing w:line="199" w:lineRule="exact"/>
              <w:ind w:left="86"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9" w:hRule="exact"/>
        </w:trPr>
        <w:tc>
          <w:tcPr>
            <w:tcW w:w="295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2"/>
              <w:jc w:val="right"/>
              <w:rPr>
                <w:rFonts w:ascii="Times New Roman" w:hAnsi="Times New Roman" w:cs="Times New Roman" w:eastAsia="Times New Roman" w:hint="default"/>
                <w:sz w:val="20"/>
                <w:szCs w:val="20"/>
              </w:rPr>
            </w:pPr>
            <w:r>
              <w:rPr>
                <w:rFonts w:ascii="Times New Roman"/>
                <w:w w:val="95"/>
                <w:sz w:val="20"/>
              </w:rPr>
              <w:t>777,269.85</w:t>
            </w:r>
            <w:r>
              <w:rPr>
                <w:rFonts w:ascii="Times New Roman"/>
                <w:sz w:val="20"/>
              </w:rPr>
            </w: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w w:val="95"/>
                <w:sz w:val="20"/>
              </w:rPr>
              <w:t>1,681,764.80</w:t>
            </w:r>
            <w:r>
              <w:rPr>
                <w:rFonts w:ascii="Times New Roman"/>
                <w:sz w:val="20"/>
              </w:rPr>
            </w:r>
          </w:p>
        </w:tc>
      </w:tr>
      <w:tr>
        <w:trPr>
          <w:trHeight w:val="336"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
              <w:jc w:val="right"/>
              <w:rPr>
                <w:rFonts w:ascii="Times New Roman" w:hAnsi="Times New Roman" w:cs="Times New Roman" w:eastAsia="Times New Roman" w:hint="default"/>
                <w:sz w:val="20"/>
                <w:szCs w:val="20"/>
              </w:rPr>
            </w:pPr>
            <w:r>
              <w:rPr>
                <w:rFonts w:ascii="Times New Roman"/>
                <w:w w:val="95"/>
                <w:sz w:val="20"/>
              </w:rPr>
              <w:t>47,800.00</w:t>
            </w:r>
            <w:r>
              <w:rPr>
                <w:rFonts w:ascii="Times New Roman"/>
                <w:sz w:val="20"/>
              </w:rPr>
            </w:r>
          </w:p>
        </w:tc>
        <w:tc>
          <w:tcPr>
            <w:tcW w:w="2628" w:type="dxa"/>
            <w:tcBorders>
              <w:top w:val="nil" w:sz="6" w:space="0" w:color="auto"/>
              <w:left w:val="nil" w:sz="6" w:space="0" w:color="auto"/>
              <w:bottom w:val="nil" w:sz="6" w:space="0" w:color="auto"/>
              <w:right w:val="nil" w:sz="6" w:space="0" w:color="auto"/>
            </w:tcBorders>
          </w:tcPr>
          <w:p>
            <w:pPr/>
          </w:p>
        </w:tc>
      </w:tr>
      <w:tr>
        <w:trPr>
          <w:trHeight w:val="336"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
              <w:jc w:val="right"/>
              <w:rPr>
                <w:rFonts w:ascii="Times New Roman" w:hAnsi="Times New Roman" w:cs="Times New Roman" w:eastAsia="Times New Roman" w:hint="default"/>
                <w:sz w:val="20"/>
                <w:szCs w:val="20"/>
              </w:rPr>
            </w:pPr>
            <w:r>
              <w:rPr>
                <w:rFonts w:ascii="Times New Roman"/>
                <w:w w:val="95"/>
                <w:sz w:val="20"/>
              </w:rPr>
              <w:t>499,800.00</w:t>
            </w:r>
            <w:r>
              <w:rPr>
                <w:rFonts w:ascii="Times New Roman"/>
                <w:sz w:val="20"/>
              </w:rPr>
            </w:r>
          </w:p>
        </w:tc>
      </w:tr>
      <w:tr>
        <w:trPr>
          <w:trHeight w:val="342"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767" w:type="dxa"/>
            <w:tcBorders>
              <w:top w:val="nil" w:sz="6" w:space="0" w:color="auto"/>
              <w:left w:val="nil" w:sz="6" w:space="0" w:color="auto"/>
              <w:bottom w:val="single" w:sz="4" w:space="0" w:color="000000"/>
              <w:right w:val="nil" w:sz="6" w:space="0" w:color="auto"/>
            </w:tcBorders>
          </w:tcPr>
          <w:p>
            <w:pPr/>
          </w:p>
        </w:tc>
        <w:tc>
          <w:tcPr>
            <w:tcW w:w="2628" w:type="dxa"/>
            <w:tcBorders>
              <w:top w:val="nil" w:sz="6" w:space="0" w:color="auto"/>
              <w:left w:val="nil" w:sz="6" w:space="0" w:color="auto"/>
              <w:bottom w:val="single" w:sz="4" w:space="0" w:color="000000"/>
              <w:right w:val="nil" w:sz="6" w:space="0" w:color="auto"/>
            </w:tcBorders>
          </w:tcPr>
          <w:p>
            <w:pPr/>
          </w:p>
        </w:tc>
      </w:tr>
      <w:tr>
        <w:trPr>
          <w:trHeight w:val="353" w:hRule="exact"/>
        </w:trPr>
        <w:tc>
          <w:tcPr>
            <w:tcW w:w="2959"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6"/>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6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825,069.85</w:t>
            </w:r>
            <w:r>
              <w:rPr>
                <w:rFonts w:ascii="Times New Roman"/>
                <w:sz w:val="20"/>
              </w:rPr>
            </w:r>
          </w:p>
        </w:tc>
        <w:tc>
          <w:tcPr>
            <w:tcW w:w="2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2,181,564.80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90" w:lineRule="auto" w:before="26"/>
        <w:ind w:right="119" w:firstLine="480"/>
        <w:jc w:val="left"/>
      </w:pPr>
      <w:r>
        <w:rPr/>
        <w:t>（</w:t>
      </w:r>
      <w:r>
        <w:rPr>
          <w:rFonts w:ascii="Times New Roman" w:hAnsi="Times New Roman" w:cs="Times New Roman" w:eastAsia="Times New Roman" w:hint="default"/>
        </w:rPr>
        <w:t>2</w:t>
      </w:r>
      <w:r>
        <w:rPr/>
        <w:t>）本公司无应付持有公司</w:t>
      </w:r>
      <w:r>
        <w:rPr>
          <w:spacing w:val="-65"/>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）以上表决权股份的股东单位或关 联方的款项。</w:t>
      </w:r>
    </w:p>
    <w:p>
      <w:pPr>
        <w:pStyle w:val="BodyText"/>
        <w:spacing w:line="240" w:lineRule="auto" w:before="197"/>
        <w:ind w:left="619" w:right="0"/>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年的主要应付账款</w:t>
      </w:r>
    </w:p>
    <w:p>
      <w:pPr>
        <w:spacing w:line="240" w:lineRule="auto" w:before="9"/>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564"/>
        <w:gridCol w:w="833"/>
        <w:gridCol w:w="1642"/>
        <w:gridCol w:w="2316"/>
      </w:tblGrid>
      <w:tr>
        <w:trPr>
          <w:trHeight w:val="270" w:hRule="exact"/>
        </w:trPr>
        <w:tc>
          <w:tcPr>
            <w:tcW w:w="3564" w:type="dxa"/>
            <w:tcBorders>
              <w:top w:val="nil" w:sz="6" w:space="0" w:color="auto"/>
              <w:left w:val="nil" w:sz="6" w:space="0" w:color="auto"/>
              <w:bottom w:val="single" w:sz="4" w:space="0" w:color="000000"/>
              <w:right w:val="nil" w:sz="6" w:space="0" w:color="auto"/>
            </w:tcBorders>
          </w:tcPr>
          <w:p>
            <w:pPr>
              <w:pStyle w:val="TableParagraph"/>
              <w:spacing w:line="199" w:lineRule="exact"/>
              <w:ind w:right="29"/>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833" w:type="dxa"/>
            <w:tcBorders>
              <w:top w:val="nil" w:sz="6" w:space="0" w:color="auto"/>
              <w:left w:val="nil" w:sz="6" w:space="0" w:color="auto"/>
              <w:bottom w:val="single" w:sz="4" w:space="0" w:color="000000"/>
              <w:right w:val="nil" w:sz="6" w:space="0" w:color="auto"/>
            </w:tcBorders>
          </w:tcPr>
          <w:p>
            <w:pPr>
              <w:pStyle w:val="TableParagraph"/>
              <w:spacing w:line="199" w:lineRule="exact"/>
              <w:ind w:left="26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199" w:lineRule="exact"/>
              <w:ind w:left="153" w:right="0"/>
              <w:jc w:val="left"/>
              <w:rPr>
                <w:rFonts w:ascii="宋体" w:hAnsi="宋体" w:cs="宋体" w:eastAsia="宋体" w:hint="default"/>
                <w:sz w:val="20"/>
                <w:szCs w:val="20"/>
              </w:rPr>
            </w:pPr>
            <w:r>
              <w:rPr>
                <w:rFonts w:ascii="宋体" w:hAnsi="宋体" w:cs="宋体" w:eastAsia="宋体" w:hint="default"/>
                <w:sz w:val="20"/>
                <w:szCs w:val="20"/>
              </w:rPr>
              <w:t>未偿还的原因</w:t>
            </w:r>
          </w:p>
        </w:tc>
        <w:tc>
          <w:tcPr>
            <w:tcW w:w="2316" w:type="dxa"/>
            <w:tcBorders>
              <w:top w:val="nil" w:sz="6" w:space="0" w:color="auto"/>
              <w:left w:val="nil" w:sz="6" w:space="0" w:color="auto"/>
              <w:bottom w:val="single" w:sz="4" w:space="0" w:color="000000"/>
              <w:right w:val="nil" w:sz="6" w:space="0" w:color="auto"/>
            </w:tcBorders>
          </w:tcPr>
          <w:p>
            <w:pPr>
              <w:pStyle w:val="TableParagraph"/>
              <w:spacing w:line="199" w:lineRule="exact"/>
              <w:ind w:right="137"/>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682" w:hRule="exact"/>
        </w:trPr>
        <w:tc>
          <w:tcPr>
            <w:tcW w:w="3564" w:type="dxa"/>
            <w:tcBorders>
              <w:top w:val="single" w:sz="4" w:space="0" w:color="000000"/>
              <w:left w:val="nil" w:sz="6" w:space="0" w:color="auto"/>
              <w:bottom w:val="nil" w:sz="6" w:space="0" w:color="auto"/>
              <w:right w:val="nil" w:sz="6" w:space="0" w:color="auto"/>
            </w:tcBorders>
          </w:tcPr>
          <w:p>
            <w:pPr>
              <w:pStyle w:val="TableParagraph"/>
              <w:spacing w:line="300" w:lineRule="auto" w:before="9"/>
              <w:ind w:left="21" w:right="142"/>
              <w:jc w:val="left"/>
              <w:rPr>
                <w:rFonts w:ascii="宋体" w:hAnsi="宋体" w:cs="宋体" w:eastAsia="宋体" w:hint="default"/>
                <w:sz w:val="20"/>
                <w:szCs w:val="20"/>
              </w:rPr>
            </w:pPr>
            <w:r>
              <w:rPr>
                <w:rFonts w:ascii="宋体" w:hAnsi="宋体" w:cs="宋体" w:eastAsia="宋体" w:hint="default"/>
                <w:w w:val="95"/>
                <w:sz w:val="20"/>
                <w:szCs w:val="20"/>
              </w:rPr>
              <w:t>浙江省公众信息产业有限公司台州分公</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司</w:t>
            </w:r>
          </w:p>
        </w:tc>
        <w:tc>
          <w:tcPr>
            <w:tcW w:w="8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 w:right="0"/>
              <w:jc w:val="left"/>
              <w:rPr>
                <w:rFonts w:ascii="Times New Roman" w:hAnsi="Times New Roman" w:cs="Times New Roman" w:eastAsia="Times New Roman" w:hint="default"/>
                <w:sz w:val="20"/>
                <w:szCs w:val="20"/>
              </w:rPr>
            </w:pPr>
            <w:r>
              <w:rPr>
                <w:rFonts w:ascii="Times New Roman"/>
                <w:sz w:val="20"/>
              </w:rPr>
              <w:t>47,800.00</w:t>
            </w:r>
          </w:p>
        </w:tc>
        <w:tc>
          <w:tcPr>
            <w:tcW w:w="1642" w:type="dxa"/>
            <w:tcBorders>
              <w:top w:val="single" w:sz="4" w:space="0" w:color="000000"/>
              <w:left w:val="nil" w:sz="6" w:space="0" w:color="auto"/>
              <w:bottom w:val="nil" w:sz="6" w:space="0" w:color="auto"/>
              <w:right w:val="nil" w:sz="6" w:space="0" w:color="auto"/>
            </w:tcBorders>
          </w:tcPr>
          <w:p>
            <w:pPr/>
          </w:p>
        </w:tc>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239"/>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3" w:hRule="exact"/>
        </w:trPr>
        <w:tc>
          <w:tcPr>
            <w:tcW w:w="356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29"/>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8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left="16" w:right="0"/>
              <w:jc w:val="left"/>
              <w:rPr>
                <w:rFonts w:ascii="Times New Roman" w:hAnsi="Times New Roman" w:cs="Times New Roman" w:eastAsia="Times New Roman" w:hint="default"/>
                <w:sz w:val="20"/>
                <w:szCs w:val="20"/>
              </w:rPr>
            </w:pPr>
            <w:r>
              <w:rPr>
                <w:rFonts w:ascii="Times New Roman"/>
                <w:sz w:val="20"/>
              </w:rPr>
              <w:t>47,800.00</w:t>
            </w:r>
          </w:p>
        </w:tc>
        <w:tc>
          <w:tcPr>
            <w:tcW w:w="1642"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ind w:left="624" w:right="0"/>
        <w:jc w:val="left"/>
        <w:rPr>
          <w:b w:val="0"/>
          <w:bCs w:val="0"/>
        </w:rPr>
      </w:pPr>
      <w:r>
        <w:rPr>
          <w:rFonts w:ascii="Times New Roman" w:hAnsi="Times New Roman" w:cs="Times New Roman" w:eastAsia="Times New Roman" w:hint="default"/>
        </w:rPr>
        <w:t>14</w:t>
      </w:r>
      <w:r>
        <w:rPr/>
        <w:t>、应付职工薪酬</w:t>
      </w:r>
      <w:r>
        <w:rPr>
          <w:b w:val="0"/>
          <w:bCs w:val="0"/>
        </w:rPr>
      </w:r>
    </w:p>
    <w:p>
      <w:pPr>
        <w:spacing w:line="240" w:lineRule="auto" w:before="9"/>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3343"/>
        <w:gridCol w:w="1685"/>
        <w:gridCol w:w="1156"/>
        <w:gridCol w:w="1148"/>
        <w:gridCol w:w="1012"/>
      </w:tblGrid>
      <w:tr>
        <w:trPr>
          <w:trHeight w:val="270" w:hRule="exact"/>
        </w:trPr>
        <w:tc>
          <w:tcPr>
            <w:tcW w:w="3343" w:type="dxa"/>
            <w:tcBorders>
              <w:top w:val="nil" w:sz="6" w:space="0" w:color="auto"/>
              <w:left w:val="nil" w:sz="6" w:space="0" w:color="auto"/>
              <w:bottom w:val="single" w:sz="4" w:space="0" w:color="000000"/>
              <w:right w:val="nil" w:sz="6" w:space="0" w:color="auto"/>
            </w:tcBorders>
          </w:tcPr>
          <w:p>
            <w:pPr>
              <w:pStyle w:val="TableParagraph"/>
              <w:tabs>
                <w:tab w:pos="2083" w:val="left" w:leader="none"/>
              </w:tabs>
              <w:spacing w:line="199" w:lineRule="exact"/>
              <w:ind w:left="158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199" w:lineRule="exact"/>
              <w:ind w:left="76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199" w:lineRule="exact"/>
              <w:ind w:left="13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148" w:type="dxa"/>
            <w:tcBorders>
              <w:top w:val="nil" w:sz="6" w:space="0" w:color="auto"/>
              <w:left w:val="nil" w:sz="6" w:space="0" w:color="auto"/>
              <w:bottom w:val="single" w:sz="4" w:space="0" w:color="000000"/>
              <w:right w:val="nil" w:sz="6" w:space="0" w:color="auto"/>
            </w:tcBorders>
          </w:tcPr>
          <w:p>
            <w:pPr>
              <w:pStyle w:val="TableParagraph"/>
              <w:spacing w:line="199" w:lineRule="exact"/>
              <w:ind w:left="13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199" w:lineRule="exact"/>
              <w:ind w:left="170"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44" w:hRule="exact"/>
        </w:trPr>
        <w:tc>
          <w:tcPr>
            <w:tcW w:w="334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16"/>
              <w:jc w:val="right"/>
              <w:rPr>
                <w:rFonts w:ascii="Times New Roman" w:hAnsi="Times New Roman" w:cs="Times New Roman" w:eastAsia="Times New Roman" w:hint="default"/>
                <w:sz w:val="16"/>
                <w:szCs w:val="16"/>
              </w:rPr>
            </w:pPr>
            <w:r>
              <w:rPr>
                <w:rFonts w:ascii="Times New Roman"/>
                <w:spacing w:val="-1"/>
                <w:sz w:val="16"/>
              </w:rPr>
              <w:t>1,941,178.21</w:t>
            </w:r>
            <w:r>
              <w:rPr>
                <w:rFonts w:ascii="Times New Roman"/>
                <w:sz w:val="16"/>
              </w:rPr>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17" w:right="0"/>
              <w:jc w:val="left"/>
              <w:rPr>
                <w:rFonts w:ascii="Times New Roman" w:hAnsi="Times New Roman" w:cs="Times New Roman" w:eastAsia="Times New Roman" w:hint="default"/>
                <w:sz w:val="16"/>
                <w:szCs w:val="16"/>
              </w:rPr>
            </w:pPr>
            <w:r>
              <w:rPr>
                <w:rFonts w:ascii="Times New Roman"/>
                <w:sz w:val="16"/>
              </w:rPr>
              <w:t>23,254,913.19</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18" w:right="0"/>
              <w:jc w:val="left"/>
              <w:rPr>
                <w:rFonts w:ascii="Times New Roman" w:hAnsi="Times New Roman" w:cs="Times New Roman" w:eastAsia="Times New Roman" w:hint="default"/>
                <w:sz w:val="16"/>
                <w:szCs w:val="16"/>
              </w:rPr>
            </w:pPr>
            <w:r>
              <w:rPr>
                <w:rFonts w:ascii="Times New Roman"/>
                <w:sz w:val="16"/>
              </w:rPr>
              <w:t>23,551,572.30</w:t>
            </w:r>
          </w:p>
        </w:tc>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60"/>
              <w:jc w:val="right"/>
              <w:rPr>
                <w:rFonts w:ascii="Times New Roman" w:hAnsi="Times New Roman" w:cs="Times New Roman" w:eastAsia="Times New Roman" w:hint="default"/>
                <w:sz w:val="16"/>
                <w:szCs w:val="16"/>
              </w:rPr>
            </w:pPr>
            <w:r>
              <w:rPr>
                <w:rFonts w:ascii="Times New Roman"/>
                <w:spacing w:val="-1"/>
                <w:sz w:val="16"/>
              </w:rPr>
              <w:t>1,644,519.10</w:t>
            </w:r>
            <w:r>
              <w:rPr>
                <w:rFonts w:ascii="Times New Roman"/>
                <w:sz w:val="16"/>
              </w:rPr>
            </w:r>
          </w:p>
        </w:tc>
      </w:tr>
      <w:tr>
        <w:trPr>
          <w:trHeight w:val="336"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68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Times New Roman" w:hAnsi="Times New Roman" w:cs="Times New Roman" w:eastAsia="Times New Roman" w:hint="default"/>
                <w:sz w:val="16"/>
                <w:szCs w:val="16"/>
              </w:rPr>
            </w:pPr>
            <w:r>
              <w:rPr>
                <w:rFonts w:ascii="Times New Roman"/>
                <w:spacing w:val="-1"/>
                <w:sz w:val="16"/>
              </w:rPr>
              <w:t>714,286.15</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6"/>
                <w:szCs w:val="16"/>
              </w:rPr>
            </w:pPr>
            <w:r>
              <w:rPr>
                <w:rFonts w:ascii="Times New Roman"/>
                <w:spacing w:val="-1"/>
                <w:sz w:val="16"/>
              </w:rPr>
              <w:t>714,286.15</w:t>
            </w:r>
          </w:p>
        </w:tc>
        <w:tc>
          <w:tcPr>
            <w:tcW w:w="1012" w:type="dxa"/>
            <w:tcBorders>
              <w:top w:val="nil" w:sz="6" w:space="0" w:color="auto"/>
              <w:left w:val="nil" w:sz="6" w:space="0" w:color="auto"/>
              <w:bottom w:val="nil" w:sz="6" w:space="0" w:color="auto"/>
              <w:right w:val="nil" w:sz="6" w:space="0" w:color="auto"/>
            </w:tcBorders>
          </w:tcPr>
          <w:p>
            <w:pPr/>
          </w:p>
        </w:tc>
      </w:tr>
      <w:tr>
        <w:trPr>
          <w:trHeight w:val="336"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6"/>
                <w:szCs w:val="16"/>
              </w:rPr>
            </w:pPr>
            <w:r>
              <w:rPr>
                <w:rFonts w:ascii="Times New Roman"/>
                <w:spacing w:val="-1"/>
                <w:sz w:val="16"/>
              </w:rPr>
              <w:t>132,163.61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Times New Roman" w:hAnsi="Times New Roman" w:cs="Times New Roman" w:eastAsia="Times New Roman" w:hint="default"/>
                <w:sz w:val="16"/>
                <w:szCs w:val="16"/>
              </w:rPr>
            </w:pPr>
            <w:r>
              <w:rPr>
                <w:rFonts w:ascii="Times New Roman"/>
                <w:spacing w:val="-1"/>
                <w:sz w:val="16"/>
              </w:rPr>
              <w:t>4,531,069.11</w:t>
            </w:r>
            <w:r>
              <w:rPr>
                <w:rFonts w:ascii="Times New Roman"/>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6"/>
                <w:szCs w:val="16"/>
              </w:rPr>
            </w:pPr>
            <w:r>
              <w:rPr>
                <w:rFonts w:ascii="Times New Roman"/>
                <w:spacing w:val="-1"/>
                <w:sz w:val="16"/>
              </w:rPr>
              <w:t>4,505,865.10</w:t>
            </w:r>
            <w:r>
              <w:rPr>
                <w:rFonts w:ascii="Times New Roman"/>
                <w:sz w:val="16"/>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9"/>
              <w:jc w:val="right"/>
              <w:rPr>
                <w:rFonts w:ascii="Times New Roman" w:hAnsi="Times New Roman" w:cs="Times New Roman" w:eastAsia="Times New Roman" w:hint="default"/>
                <w:sz w:val="16"/>
                <w:szCs w:val="16"/>
              </w:rPr>
            </w:pPr>
            <w:r>
              <w:rPr>
                <w:rFonts w:ascii="Times New Roman"/>
                <w:spacing w:val="-1"/>
                <w:sz w:val="16"/>
              </w:rPr>
              <w:t>157,367.62</w:t>
            </w:r>
          </w:p>
        </w:tc>
      </w:tr>
      <w:tr>
        <w:trPr>
          <w:trHeight w:val="336"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19"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68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Times New Roman" w:hAnsi="Times New Roman" w:cs="Times New Roman" w:eastAsia="Times New Roman" w:hint="default"/>
                <w:sz w:val="16"/>
                <w:szCs w:val="16"/>
              </w:rPr>
            </w:pPr>
            <w:r>
              <w:rPr>
                <w:rFonts w:ascii="Times New Roman"/>
                <w:spacing w:val="-1"/>
                <w:sz w:val="16"/>
              </w:rPr>
              <w:t>1,432,019.08</w:t>
            </w:r>
            <w:r>
              <w:rPr>
                <w:rFonts w:ascii="Times New Roman"/>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6"/>
                <w:szCs w:val="16"/>
              </w:rPr>
            </w:pPr>
            <w:r>
              <w:rPr>
                <w:rFonts w:ascii="Times New Roman"/>
                <w:spacing w:val="-1"/>
                <w:sz w:val="16"/>
              </w:rPr>
              <w:t>1,367,584.85</w:t>
            </w:r>
            <w:r>
              <w:rPr>
                <w:rFonts w:ascii="Times New Roman"/>
                <w:sz w:val="16"/>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9"/>
              <w:jc w:val="right"/>
              <w:rPr>
                <w:rFonts w:ascii="Times New Roman" w:hAnsi="Times New Roman" w:cs="Times New Roman" w:eastAsia="Times New Roman" w:hint="default"/>
                <w:sz w:val="16"/>
                <w:szCs w:val="16"/>
              </w:rPr>
            </w:pPr>
            <w:r>
              <w:rPr>
                <w:rFonts w:ascii="Times New Roman"/>
                <w:spacing w:val="-1"/>
                <w:sz w:val="16"/>
              </w:rPr>
              <w:t>64,434.23</w:t>
            </w:r>
          </w:p>
        </w:tc>
      </w:tr>
      <w:tr>
        <w:trPr>
          <w:trHeight w:val="268"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19" w:right="0"/>
              <w:jc w:val="left"/>
              <w:rPr>
                <w:rFonts w:ascii="宋体" w:hAnsi="宋体" w:cs="宋体" w:eastAsia="宋体" w:hint="default"/>
                <w:sz w:val="20"/>
                <w:szCs w:val="20"/>
              </w:rPr>
            </w:pPr>
            <w:r>
              <w:rPr>
                <w:rFonts w:ascii="宋体" w:hAnsi="宋体" w:cs="宋体" w:eastAsia="宋体" w:hint="default"/>
                <w:sz w:val="20"/>
                <w:szCs w:val="20"/>
              </w:rPr>
              <w:t>基本养老保险费</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6"/>
                <w:szCs w:val="16"/>
              </w:rPr>
            </w:pPr>
            <w:r>
              <w:rPr>
                <w:rFonts w:ascii="Times New Roman"/>
                <w:spacing w:val="-1"/>
                <w:sz w:val="16"/>
              </w:rPr>
              <w:t>132,163.61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Times New Roman" w:hAnsi="Times New Roman" w:cs="Times New Roman" w:eastAsia="Times New Roman" w:hint="default"/>
                <w:sz w:val="16"/>
                <w:szCs w:val="16"/>
              </w:rPr>
            </w:pPr>
            <w:r>
              <w:rPr>
                <w:rFonts w:ascii="Times New Roman"/>
                <w:spacing w:val="-1"/>
                <w:sz w:val="16"/>
              </w:rPr>
              <w:t>2,808,646.26</w:t>
            </w:r>
            <w:r>
              <w:rPr>
                <w:rFonts w:ascii="Times New Roman"/>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6"/>
                <w:szCs w:val="16"/>
              </w:rPr>
            </w:pPr>
            <w:r>
              <w:rPr>
                <w:rFonts w:ascii="Times New Roman"/>
                <w:spacing w:val="-1"/>
                <w:sz w:val="16"/>
              </w:rPr>
              <w:t>2,864,967.26</w:t>
            </w:r>
            <w:r>
              <w:rPr>
                <w:rFonts w:ascii="Times New Roman"/>
                <w:sz w:val="16"/>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9"/>
              <w:jc w:val="right"/>
              <w:rPr>
                <w:rFonts w:ascii="Times New Roman" w:hAnsi="Times New Roman" w:cs="Times New Roman" w:eastAsia="Times New Roman" w:hint="default"/>
                <w:sz w:val="16"/>
                <w:szCs w:val="16"/>
              </w:rPr>
            </w:pPr>
            <w:r>
              <w:rPr>
                <w:rFonts w:ascii="Times New Roman"/>
                <w:spacing w:val="-1"/>
                <w:sz w:val="16"/>
              </w:rPr>
              <w:t>75,842.61</w:t>
            </w:r>
          </w:p>
        </w:tc>
      </w:tr>
    </w:tbl>
    <w:p>
      <w:pPr>
        <w:spacing w:after="0" w:line="240" w:lineRule="auto"/>
        <w:jc w:val="right"/>
        <w:rPr>
          <w:rFonts w:ascii="Times New Roman" w:hAnsi="Times New Roman" w:cs="Times New Roman" w:eastAsia="Times New Roman" w:hint="default"/>
          <w:sz w:val="16"/>
          <w:szCs w:val="16"/>
        </w:rPr>
        <w:sectPr>
          <w:footerReference w:type="default" r:id="rId40"/>
          <w:pgSz w:w="11910" w:h="16840"/>
          <w:pgMar w:footer="979" w:header="850" w:top="1380" w:bottom="1160" w:left="1660" w:right="1660"/>
          <w:pgNumType w:start="111"/>
        </w:sectPr>
      </w:pPr>
    </w:p>
    <w:tbl>
      <w:tblPr>
        <w:tblW w:w="0" w:type="auto"/>
        <w:jc w:val="left"/>
        <w:tblInd w:w="108" w:type="dxa"/>
        <w:tblLayout w:type="fixed"/>
        <w:tblCellMar>
          <w:top w:w="0" w:type="dxa"/>
          <w:left w:w="0" w:type="dxa"/>
          <w:bottom w:w="0" w:type="dxa"/>
          <w:right w:w="0" w:type="dxa"/>
        </w:tblCellMar>
        <w:tblLook w:val="01E0"/>
      </w:tblPr>
      <w:tblGrid>
        <w:gridCol w:w="3902"/>
        <w:gridCol w:w="1138"/>
        <w:gridCol w:w="1156"/>
        <w:gridCol w:w="1148"/>
        <w:gridCol w:w="1024"/>
      </w:tblGrid>
      <w:tr>
        <w:trPr>
          <w:trHeight w:val="370" w:hRule="exact"/>
        </w:trPr>
        <w:tc>
          <w:tcPr>
            <w:tcW w:w="3902" w:type="dxa"/>
            <w:tcBorders>
              <w:top w:val="single" w:sz="6" w:space="0" w:color="000000"/>
              <w:left w:val="nil" w:sz="6" w:space="0" w:color="auto"/>
              <w:bottom w:val="single" w:sz="4" w:space="0" w:color="000000"/>
              <w:right w:val="nil" w:sz="6" w:space="0" w:color="auto"/>
            </w:tcBorders>
          </w:tcPr>
          <w:p>
            <w:pPr>
              <w:pStyle w:val="TableParagraph"/>
              <w:tabs>
                <w:tab w:pos="501" w:val="left" w:leader="none"/>
              </w:tabs>
              <w:spacing w:line="240" w:lineRule="auto" w:before="30"/>
              <w:ind w:right="1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38"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216"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56"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136"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148"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13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024"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169"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49" w:hRule="exact"/>
        </w:trPr>
        <w:tc>
          <w:tcPr>
            <w:tcW w:w="390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3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年金缴费</w:t>
            </w:r>
            <w:r>
              <w:rPr>
                <w:rFonts w:ascii="Times New Roman" w:hAnsi="Times New Roman" w:cs="Times New Roman" w:eastAsia="Times New Roman" w:hint="default"/>
                <w:sz w:val="20"/>
                <w:szCs w:val="20"/>
              </w:rPr>
              <w:t>(</w:t>
            </w:r>
            <w:r>
              <w:rPr>
                <w:rFonts w:ascii="宋体" w:hAnsi="宋体" w:cs="宋体" w:eastAsia="宋体" w:hint="default"/>
                <w:sz w:val="20"/>
                <w:szCs w:val="20"/>
              </w:rPr>
              <w:t>补充养老</w:t>
            </w:r>
            <w:r>
              <w:rPr>
                <w:rFonts w:ascii="Times New Roman" w:hAnsi="Times New Roman" w:cs="Times New Roman" w:eastAsia="Times New Roman" w:hint="default"/>
                <w:sz w:val="20"/>
                <w:szCs w:val="20"/>
              </w:rPr>
              <w:t>)</w:t>
            </w:r>
          </w:p>
        </w:tc>
        <w:tc>
          <w:tcPr>
            <w:tcW w:w="1138" w:type="dxa"/>
            <w:tcBorders>
              <w:top w:val="single" w:sz="4" w:space="0" w:color="000000"/>
              <w:left w:val="nil" w:sz="6" w:space="0" w:color="auto"/>
              <w:bottom w:val="nil" w:sz="6" w:space="0" w:color="auto"/>
              <w:right w:val="nil" w:sz="6" w:space="0" w:color="auto"/>
            </w:tcBorders>
          </w:tcPr>
          <w:p>
            <w:pPr/>
          </w:p>
        </w:tc>
        <w:tc>
          <w:tcPr>
            <w:tcW w:w="1156" w:type="dxa"/>
            <w:tcBorders>
              <w:top w:val="single" w:sz="4" w:space="0" w:color="000000"/>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
        </w:tc>
      </w:tr>
      <w:tr>
        <w:trPr>
          <w:trHeight w:val="331"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ind w:left="1031"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6"/>
              <w:jc w:val="right"/>
              <w:rPr>
                <w:rFonts w:ascii="Times New Roman" w:hAnsi="Times New Roman" w:cs="Times New Roman" w:eastAsia="Times New Roman" w:hint="default"/>
                <w:sz w:val="16"/>
                <w:szCs w:val="16"/>
              </w:rPr>
            </w:pPr>
            <w:r>
              <w:rPr>
                <w:rFonts w:ascii="Times New Roman"/>
                <w:spacing w:val="-1"/>
                <w:sz w:val="16"/>
              </w:rPr>
              <w:t>186,784.15</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8"/>
              <w:jc w:val="right"/>
              <w:rPr>
                <w:rFonts w:ascii="Times New Roman" w:hAnsi="Times New Roman" w:cs="Times New Roman" w:eastAsia="Times New Roman" w:hint="default"/>
                <w:sz w:val="16"/>
                <w:szCs w:val="16"/>
              </w:rPr>
            </w:pPr>
            <w:r>
              <w:rPr>
                <w:rFonts w:ascii="Times New Roman"/>
                <w:spacing w:val="-1"/>
                <w:sz w:val="16"/>
              </w:rPr>
              <w:t>162,603.43</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1"/>
              <w:jc w:val="right"/>
              <w:rPr>
                <w:rFonts w:ascii="Times New Roman" w:hAnsi="Times New Roman" w:cs="Times New Roman" w:eastAsia="Times New Roman" w:hint="default"/>
                <w:sz w:val="16"/>
                <w:szCs w:val="16"/>
              </w:rPr>
            </w:pPr>
            <w:r>
              <w:rPr>
                <w:rFonts w:ascii="Times New Roman"/>
                <w:spacing w:val="-1"/>
                <w:sz w:val="16"/>
              </w:rPr>
              <w:t>24,180.72</w:t>
            </w: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31"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Times New Roman" w:hAnsi="Times New Roman" w:cs="Times New Roman" w:eastAsia="Times New Roman" w:hint="default"/>
                <w:sz w:val="16"/>
                <w:szCs w:val="16"/>
              </w:rPr>
            </w:pPr>
            <w:r>
              <w:rPr>
                <w:rFonts w:ascii="Times New Roman"/>
                <w:spacing w:val="-1"/>
                <w:sz w:val="16"/>
              </w:rPr>
              <w:t>49,968.77</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6"/>
                <w:szCs w:val="16"/>
              </w:rPr>
            </w:pPr>
            <w:r>
              <w:rPr>
                <w:rFonts w:ascii="Times New Roman"/>
                <w:spacing w:val="-1"/>
                <w:sz w:val="16"/>
              </w:rPr>
              <w:t>51,088.52</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1"/>
              <w:jc w:val="right"/>
              <w:rPr>
                <w:rFonts w:ascii="Times New Roman" w:hAnsi="Times New Roman" w:cs="Times New Roman" w:eastAsia="Times New Roman" w:hint="default"/>
                <w:sz w:val="16"/>
                <w:szCs w:val="16"/>
              </w:rPr>
            </w:pPr>
            <w:r>
              <w:rPr>
                <w:rFonts w:ascii="Times New Roman"/>
                <w:spacing w:val="-1"/>
                <w:sz w:val="16"/>
              </w:rPr>
              <w:t>-1,119.75</w:t>
            </w: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31"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Times New Roman" w:hAnsi="Times New Roman" w:cs="Times New Roman" w:eastAsia="Times New Roman" w:hint="default"/>
                <w:sz w:val="16"/>
                <w:szCs w:val="16"/>
              </w:rPr>
            </w:pPr>
            <w:r>
              <w:rPr>
                <w:rFonts w:ascii="Times New Roman"/>
                <w:spacing w:val="-1"/>
                <w:sz w:val="16"/>
              </w:rPr>
              <w:t>53,650.85</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6"/>
                <w:szCs w:val="16"/>
              </w:rPr>
            </w:pPr>
            <w:r>
              <w:rPr>
                <w:rFonts w:ascii="Times New Roman"/>
                <w:spacing w:val="-1"/>
                <w:sz w:val="16"/>
              </w:rPr>
              <w:t>59,621.04</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1"/>
              <w:jc w:val="right"/>
              <w:rPr>
                <w:rFonts w:ascii="Times New Roman" w:hAnsi="Times New Roman" w:cs="Times New Roman" w:eastAsia="Times New Roman" w:hint="default"/>
                <w:sz w:val="16"/>
                <w:szCs w:val="16"/>
              </w:rPr>
            </w:pPr>
            <w:r>
              <w:rPr>
                <w:rFonts w:ascii="Times New Roman"/>
                <w:spacing w:val="-1"/>
                <w:sz w:val="16"/>
              </w:rPr>
              <w:t>-5,970.19</w:t>
            </w: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5"/>
              <w:jc w:val="right"/>
              <w:rPr>
                <w:rFonts w:ascii="Times New Roman" w:hAnsi="Times New Roman" w:cs="Times New Roman" w:eastAsia="Times New Roman" w:hint="default"/>
                <w:sz w:val="16"/>
                <w:szCs w:val="16"/>
              </w:rPr>
            </w:pPr>
            <w:r>
              <w:rPr>
                <w:rFonts w:ascii="Times New Roman"/>
                <w:spacing w:val="-1"/>
                <w:sz w:val="16"/>
              </w:rPr>
              <w:t>81,450.00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Times New Roman" w:hAnsi="Times New Roman" w:cs="Times New Roman" w:eastAsia="Times New Roman" w:hint="default"/>
                <w:sz w:val="16"/>
                <w:szCs w:val="16"/>
              </w:rPr>
            </w:pPr>
            <w:r>
              <w:rPr>
                <w:rFonts w:ascii="Times New Roman"/>
                <w:spacing w:val="-1"/>
                <w:sz w:val="16"/>
              </w:rPr>
              <w:t>1,165,509.20</w:t>
            </w:r>
            <w:r>
              <w:rPr>
                <w:rFonts w:ascii="Times New Roman"/>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6"/>
                <w:szCs w:val="16"/>
              </w:rPr>
            </w:pPr>
            <w:r>
              <w:rPr>
                <w:rFonts w:ascii="Times New Roman"/>
                <w:spacing w:val="-1"/>
                <w:sz w:val="16"/>
              </w:rPr>
              <w:t>1,194,571.80</w:t>
            </w:r>
            <w:r>
              <w:rPr>
                <w:rFonts w:ascii="Times New Roman"/>
                <w:sz w:val="16"/>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1"/>
              <w:jc w:val="right"/>
              <w:rPr>
                <w:rFonts w:ascii="Times New Roman" w:hAnsi="Times New Roman" w:cs="Times New Roman" w:eastAsia="Times New Roman" w:hint="default"/>
                <w:sz w:val="16"/>
                <w:szCs w:val="16"/>
              </w:rPr>
            </w:pPr>
            <w:r>
              <w:rPr>
                <w:rFonts w:ascii="Times New Roman"/>
                <w:spacing w:val="-1"/>
                <w:sz w:val="16"/>
              </w:rPr>
              <w:t>52,387.40</w:t>
            </w: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五、工会经费和职工教育经费</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七、辞退福利及内退补偿</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其中：因解除劳动关系给予的补偿</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662"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300" w:lineRule="auto" w:before="6"/>
              <w:ind w:left="628" w:right="672" w:firstLine="2"/>
              <w:jc w:val="left"/>
              <w:rPr>
                <w:rFonts w:ascii="宋体" w:hAnsi="宋体" w:cs="宋体" w:eastAsia="宋体" w:hint="default"/>
                <w:sz w:val="20"/>
                <w:szCs w:val="20"/>
              </w:rPr>
            </w:pPr>
            <w:r>
              <w:rPr>
                <w:rFonts w:ascii="宋体" w:hAnsi="宋体" w:cs="宋体" w:eastAsia="宋体" w:hint="default"/>
                <w:w w:val="95"/>
                <w:sz w:val="20"/>
                <w:szCs w:val="20"/>
              </w:rPr>
              <w:t>离退休人员及内退人员的补充</w:t>
            </w:r>
            <w:r>
              <w:rPr>
                <w:rFonts w:ascii="宋体" w:hAnsi="宋体" w:cs="宋体" w:eastAsia="宋体" w:hint="default"/>
                <w:spacing w:val="26"/>
                <w:w w:val="95"/>
                <w:sz w:val="20"/>
                <w:szCs w:val="20"/>
              </w:rPr>
              <w:t> </w:t>
            </w:r>
            <w:r>
              <w:rPr>
                <w:rFonts w:ascii="宋体" w:hAnsi="宋体" w:cs="宋体" w:eastAsia="宋体" w:hint="default"/>
                <w:spacing w:val="26"/>
                <w:w w:val="95"/>
                <w:sz w:val="20"/>
                <w:szCs w:val="20"/>
              </w:rPr>
            </w:r>
            <w:r>
              <w:rPr>
                <w:rFonts w:ascii="宋体" w:hAnsi="宋体" w:cs="宋体" w:eastAsia="宋体" w:hint="default"/>
                <w:sz w:val="20"/>
                <w:szCs w:val="20"/>
              </w:rPr>
              <w:t>退休福利和离岗薪酬持续福利</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八、其他</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6"/>
              <w:jc w:val="right"/>
              <w:rPr>
                <w:rFonts w:ascii="Times New Roman" w:hAnsi="Times New Roman" w:cs="Times New Roman" w:eastAsia="Times New Roman" w:hint="default"/>
                <w:sz w:val="16"/>
                <w:szCs w:val="16"/>
              </w:rPr>
            </w:pPr>
            <w:r>
              <w:rPr>
                <w:rFonts w:ascii="Times New Roman"/>
                <w:spacing w:val="-1"/>
                <w:sz w:val="16"/>
              </w:rPr>
              <w:t>26,905.35</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6"/>
                <w:szCs w:val="16"/>
              </w:rPr>
            </w:pPr>
            <w:r>
              <w:rPr>
                <w:rFonts w:ascii="Times New Roman"/>
                <w:spacing w:val="-1"/>
                <w:sz w:val="16"/>
              </w:rPr>
              <w:t>23,430.40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1"/>
              <w:jc w:val="right"/>
              <w:rPr>
                <w:rFonts w:ascii="Times New Roman" w:hAnsi="Times New Roman" w:cs="Times New Roman" w:eastAsia="Times New Roman" w:hint="default"/>
                <w:sz w:val="16"/>
                <w:szCs w:val="16"/>
              </w:rPr>
            </w:pPr>
            <w:r>
              <w:rPr>
                <w:rFonts w:ascii="Times New Roman"/>
                <w:spacing w:val="-1"/>
                <w:sz w:val="16"/>
              </w:rPr>
              <w:t>3,474.95</w:t>
            </w:r>
          </w:p>
        </w:tc>
      </w:tr>
      <w:tr>
        <w:trPr>
          <w:trHeight w:val="336"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宋体" w:hAnsi="宋体" w:cs="宋体" w:eastAsia="宋体" w:hint="default"/>
                <w:sz w:val="20"/>
                <w:szCs w:val="20"/>
              </w:rPr>
            </w:pPr>
            <w:r>
              <w:rPr>
                <w:rFonts w:ascii="宋体" w:hAnsi="宋体" w:cs="宋体" w:eastAsia="宋体" w:hint="default"/>
                <w:sz w:val="20"/>
                <w:szCs w:val="20"/>
              </w:rPr>
              <w:t>其中：以现金结算的股份支付</w:t>
            </w:r>
          </w:p>
        </w:tc>
        <w:tc>
          <w:tcPr>
            <w:tcW w:w="1138"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r>
      <w:tr>
        <w:trPr>
          <w:trHeight w:val="348" w:hRule="exact"/>
        </w:trPr>
        <w:tc>
          <w:tcPr>
            <w:tcW w:w="39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31" w:right="0"/>
              <w:jc w:val="left"/>
              <w:rPr>
                <w:rFonts w:ascii="宋体" w:hAnsi="宋体" w:cs="宋体" w:eastAsia="宋体" w:hint="default"/>
                <w:sz w:val="20"/>
                <w:szCs w:val="20"/>
              </w:rPr>
            </w:pPr>
            <w:r>
              <w:rPr>
                <w:rFonts w:ascii="宋体" w:hAnsi="宋体" w:cs="宋体" w:eastAsia="宋体" w:hint="default"/>
                <w:sz w:val="20"/>
                <w:szCs w:val="20"/>
              </w:rPr>
              <w:t>劳务用工费</w:t>
            </w:r>
          </w:p>
        </w:tc>
        <w:tc>
          <w:tcPr>
            <w:tcW w:w="1138" w:type="dxa"/>
            <w:tcBorders>
              <w:top w:val="nil" w:sz="6" w:space="0" w:color="auto"/>
              <w:left w:val="nil" w:sz="6" w:space="0" w:color="auto"/>
              <w:bottom w:val="single" w:sz="4" w:space="0" w:color="000000"/>
              <w:right w:val="nil" w:sz="6" w:space="0" w:color="auto"/>
            </w:tcBorders>
          </w:tcPr>
          <w:p>
            <w:pPr/>
          </w:p>
        </w:tc>
        <w:tc>
          <w:tcPr>
            <w:tcW w:w="1156"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
        </w:tc>
        <w:tc>
          <w:tcPr>
            <w:tcW w:w="1024" w:type="dxa"/>
            <w:tcBorders>
              <w:top w:val="nil" w:sz="6" w:space="0" w:color="auto"/>
              <w:left w:val="nil" w:sz="6" w:space="0" w:color="auto"/>
              <w:bottom w:val="single" w:sz="4" w:space="0" w:color="000000"/>
              <w:right w:val="nil" w:sz="6" w:space="0" w:color="auto"/>
            </w:tcBorders>
          </w:tcPr>
          <w:p>
            <w:pPr/>
          </w:p>
        </w:tc>
      </w:tr>
      <w:tr>
        <w:trPr>
          <w:trHeight w:val="353" w:hRule="exact"/>
        </w:trPr>
        <w:tc>
          <w:tcPr>
            <w:tcW w:w="390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4"/>
              <w:ind w:right="12"/>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116"/>
              <w:jc w:val="right"/>
              <w:rPr>
                <w:rFonts w:ascii="Times New Roman" w:hAnsi="Times New Roman" w:cs="Times New Roman" w:eastAsia="Times New Roman" w:hint="default"/>
                <w:sz w:val="16"/>
                <w:szCs w:val="16"/>
              </w:rPr>
            </w:pPr>
            <w:r>
              <w:rPr>
                <w:rFonts w:ascii="Times New Roman"/>
                <w:spacing w:val="-1"/>
                <w:sz w:val="16"/>
              </w:rPr>
              <w:t>2,154,791.82</w:t>
            </w:r>
            <w:r>
              <w:rPr>
                <w:rFonts w:ascii="Times New Roman"/>
                <w:sz w:val="16"/>
              </w:rPr>
            </w: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17" w:right="0"/>
              <w:jc w:val="left"/>
              <w:rPr>
                <w:rFonts w:ascii="Times New Roman" w:hAnsi="Times New Roman" w:cs="Times New Roman" w:eastAsia="Times New Roman" w:hint="default"/>
                <w:sz w:val="16"/>
                <w:szCs w:val="16"/>
              </w:rPr>
            </w:pPr>
            <w:r>
              <w:rPr>
                <w:rFonts w:ascii="Times New Roman"/>
                <w:sz w:val="16"/>
              </w:rPr>
              <w:t>29,692,683.00</w:t>
            </w:r>
          </w:p>
        </w:tc>
        <w:tc>
          <w:tcPr>
            <w:tcW w:w="11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left="118" w:right="0"/>
              <w:jc w:val="left"/>
              <w:rPr>
                <w:rFonts w:ascii="Times New Roman" w:hAnsi="Times New Roman" w:cs="Times New Roman" w:eastAsia="Times New Roman" w:hint="default"/>
                <w:sz w:val="16"/>
                <w:szCs w:val="16"/>
              </w:rPr>
            </w:pPr>
            <w:r>
              <w:rPr>
                <w:rFonts w:ascii="Times New Roman"/>
                <w:sz w:val="16"/>
              </w:rPr>
              <w:t>29,989,725.75</w:t>
            </w:r>
          </w:p>
        </w:tc>
        <w:tc>
          <w:tcPr>
            <w:tcW w:w="10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72"/>
              <w:jc w:val="right"/>
              <w:rPr>
                <w:rFonts w:ascii="Times New Roman" w:hAnsi="Times New Roman" w:cs="Times New Roman" w:eastAsia="Times New Roman" w:hint="default"/>
                <w:sz w:val="16"/>
                <w:szCs w:val="16"/>
              </w:rPr>
            </w:pPr>
            <w:r>
              <w:rPr>
                <w:rFonts w:ascii="Times New Roman"/>
                <w:spacing w:val="-1"/>
                <w:sz w:val="16"/>
              </w:rPr>
              <w:t>1,857,749.07</w:t>
            </w:r>
            <w:r>
              <w:rPr>
                <w:rFonts w:ascii="Times New Roman"/>
                <w:sz w:val="16"/>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before="26"/>
        <w:ind w:left="624"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、应交税费</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4056"/>
        <w:gridCol w:w="2515"/>
        <w:gridCol w:w="1773"/>
      </w:tblGrid>
      <w:tr>
        <w:trPr>
          <w:trHeight w:val="270" w:hRule="exact"/>
        </w:trPr>
        <w:tc>
          <w:tcPr>
            <w:tcW w:w="405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750"/>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515" w:type="dxa"/>
            <w:tcBorders>
              <w:top w:val="nil" w:sz="6" w:space="0" w:color="auto"/>
              <w:left w:val="nil" w:sz="6" w:space="0" w:color="auto"/>
              <w:bottom w:val="single" w:sz="4" w:space="0" w:color="000000"/>
              <w:right w:val="nil" w:sz="6" w:space="0" w:color="auto"/>
            </w:tcBorders>
          </w:tcPr>
          <w:p>
            <w:pPr>
              <w:pStyle w:val="TableParagraph"/>
              <w:spacing w:line="199" w:lineRule="exact"/>
              <w:ind w:left="756"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199" w:lineRule="exact"/>
              <w:ind w:left="407"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46" w:hRule="exact"/>
        </w:trPr>
        <w:tc>
          <w:tcPr>
            <w:tcW w:w="405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51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405"/>
              <w:jc w:val="right"/>
              <w:rPr>
                <w:rFonts w:ascii="Times New Roman" w:hAnsi="Times New Roman" w:cs="Times New Roman" w:eastAsia="Times New Roman" w:hint="default"/>
                <w:sz w:val="18"/>
                <w:szCs w:val="18"/>
              </w:rPr>
            </w:pPr>
            <w:r>
              <w:rPr>
                <w:rFonts w:ascii="Times New Roman"/>
                <w:spacing w:val="-1"/>
                <w:sz w:val="18"/>
              </w:rPr>
              <w:t>1,132,816.74</w:t>
            </w:r>
            <w:r>
              <w:rPr>
                <w:rFonts w:ascii="Times New Roman"/>
                <w:sz w:val="18"/>
              </w:rPr>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2"/>
              <w:jc w:val="right"/>
              <w:rPr>
                <w:rFonts w:ascii="Times New Roman" w:hAnsi="Times New Roman" w:cs="Times New Roman" w:eastAsia="Times New Roman" w:hint="default"/>
                <w:sz w:val="18"/>
                <w:szCs w:val="18"/>
              </w:rPr>
            </w:pPr>
            <w:r>
              <w:rPr>
                <w:rFonts w:ascii="Times New Roman"/>
                <w:spacing w:val="-1"/>
                <w:sz w:val="18"/>
              </w:rPr>
              <w:t>3,685,972.57</w:t>
            </w:r>
            <w:r>
              <w:rPr>
                <w:rFonts w:ascii="Times New Roman"/>
                <w:sz w:val="18"/>
              </w:rPr>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5"/>
              <w:jc w:val="right"/>
              <w:rPr>
                <w:rFonts w:ascii="Times New Roman" w:hAnsi="Times New Roman" w:cs="Times New Roman" w:eastAsia="Times New Roman" w:hint="default"/>
                <w:sz w:val="18"/>
                <w:szCs w:val="18"/>
              </w:rPr>
            </w:pPr>
            <w:r>
              <w:rPr>
                <w:rFonts w:ascii="Times New Roman"/>
                <w:spacing w:val="-1"/>
                <w:sz w:val="18"/>
              </w:rPr>
              <w:t>6,656,115.51</w:t>
            </w:r>
            <w:r>
              <w:rPr>
                <w:rFonts w:ascii="Times New Roman"/>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pacing w:val="-1"/>
                <w:sz w:val="18"/>
              </w:rPr>
              <w:t>4,374,513.69</w:t>
            </w:r>
            <w:r>
              <w:rPr>
                <w:rFonts w:ascii="Times New Roman"/>
                <w:sz w:val="18"/>
              </w:rPr>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5"/>
              <w:jc w:val="right"/>
              <w:rPr>
                <w:rFonts w:ascii="Times New Roman" w:hAnsi="Times New Roman" w:cs="Times New Roman" w:eastAsia="Times New Roman" w:hint="default"/>
                <w:sz w:val="18"/>
                <w:szCs w:val="18"/>
              </w:rPr>
            </w:pPr>
            <w:r>
              <w:rPr>
                <w:rFonts w:ascii="Times New Roman"/>
                <w:sz w:val="18"/>
              </w:rPr>
              <w:t>175,702.40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1,500.00</w:t>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7"/>
              <w:jc w:val="right"/>
              <w:rPr>
                <w:rFonts w:ascii="Times New Roman" w:hAnsi="Times New Roman" w:cs="Times New Roman" w:eastAsia="Times New Roman" w:hint="default"/>
                <w:sz w:val="18"/>
                <w:szCs w:val="18"/>
              </w:rPr>
            </w:pPr>
            <w:r>
              <w:rPr>
                <w:rFonts w:ascii="Times New Roman"/>
                <w:spacing w:val="-1"/>
                <w:sz w:val="18"/>
              </w:rPr>
              <w:t>81,425.40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264,797.78</w:t>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教费附加</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8"/>
              <w:jc w:val="right"/>
              <w:rPr>
                <w:rFonts w:ascii="Times New Roman" w:hAnsi="Times New Roman" w:cs="Times New Roman" w:eastAsia="Times New Roman" w:hint="default"/>
                <w:sz w:val="18"/>
                <w:szCs w:val="18"/>
              </w:rPr>
            </w:pPr>
            <w:r>
              <w:rPr>
                <w:rFonts w:ascii="Times New Roman"/>
                <w:spacing w:val="-1"/>
                <w:sz w:val="18"/>
              </w:rPr>
              <w:t>34,896.60</w:t>
            </w:r>
            <w:r>
              <w:rPr>
                <w:rFonts w:ascii="Times New Roman"/>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113,484.77</w:t>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矿产资源补偿费</w:t>
            </w:r>
          </w:p>
        </w:tc>
        <w:tc>
          <w:tcPr>
            <w:tcW w:w="2515"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代扣代缴个人所得税</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07"/>
              <w:jc w:val="right"/>
              <w:rPr>
                <w:rFonts w:ascii="Times New Roman" w:hAnsi="Times New Roman" w:cs="Times New Roman" w:eastAsia="Times New Roman" w:hint="default"/>
                <w:sz w:val="18"/>
                <w:szCs w:val="18"/>
              </w:rPr>
            </w:pPr>
            <w:r>
              <w:rPr>
                <w:rFonts w:ascii="Times New Roman"/>
                <w:spacing w:val="-1"/>
                <w:sz w:val="18"/>
              </w:rPr>
              <w:t>92,421.47</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49,982.65</w:t>
            </w:r>
          </w:p>
        </w:tc>
      </w:tr>
      <w:tr>
        <w:trPr>
          <w:trHeight w:val="336"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515"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345" w:hRule="exact"/>
        </w:trPr>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15" w:type="dxa"/>
            <w:tcBorders>
              <w:top w:val="nil" w:sz="6" w:space="0" w:color="auto"/>
              <w:left w:val="nil" w:sz="6" w:space="0" w:color="auto"/>
              <w:bottom w:val="single" w:sz="4" w:space="0" w:color="000000"/>
              <w:right w:val="nil" w:sz="6" w:space="0" w:color="auto"/>
            </w:tcBorders>
          </w:tcPr>
          <w:p>
            <w:pPr/>
          </w:p>
        </w:tc>
        <w:tc>
          <w:tcPr>
            <w:tcW w:w="1773" w:type="dxa"/>
            <w:tcBorders>
              <w:top w:val="nil" w:sz="6" w:space="0" w:color="auto"/>
              <w:left w:val="nil" w:sz="6" w:space="0" w:color="auto"/>
              <w:bottom w:val="single" w:sz="4" w:space="0" w:color="000000"/>
              <w:right w:val="nil" w:sz="6" w:space="0" w:color="auto"/>
            </w:tcBorders>
          </w:tcPr>
          <w:p>
            <w:pPr/>
          </w:p>
        </w:tc>
      </w:tr>
      <w:tr>
        <w:trPr>
          <w:trHeight w:val="353" w:hRule="exact"/>
        </w:trPr>
        <w:tc>
          <w:tcPr>
            <w:tcW w:w="405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1750"/>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51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405"/>
              <w:jc w:val="right"/>
              <w:rPr>
                <w:rFonts w:ascii="Times New Roman" w:hAnsi="Times New Roman" w:cs="Times New Roman" w:eastAsia="Times New Roman" w:hint="default"/>
                <w:sz w:val="18"/>
                <w:szCs w:val="18"/>
              </w:rPr>
            </w:pPr>
            <w:r>
              <w:rPr>
                <w:rFonts w:ascii="Times New Roman"/>
                <w:spacing w:val="-1"/>
                <w:sz w:val="18"/>
              </w:rPr>
              <w:t>8,173,378.12</w:t>
            </w:r>
            <w:r>
              <w:rPr>
                <w:rFonts w:ascii="Times New Roman"/>
                <w:sz w:val="18"/>
              </w:rPr>
            </w:r>
          </w:p>
        </w:tc>
        <w:tc>
          <w:tcPr>
            <w:tcW w:w="1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8,490,251.46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、其他应付款</w:t>
      </w:r>
      <w:r>
        <w:rPr>
          <w:rFonts w:ascii="宋体" w:hAnsi="宋体" w:cs="宋体" w:eastAsia="宋体" w:hint="default"/>
          <w:sz w:val="24"/>
          <w:szCs w:val="24"/>
        </w:rPr>
      </w:r>
    </w:p>
    <w:p>
      <w:pPr>
        <w:spacing w:line="240" w:lineRule="auto" w:before="9"/>
        <w:rPr>
          <w:rFonts w:ascii="宋体" w:hAnsi="宋体" w:cs="宋体" w:eastAsia="宋体" w:hint="default"/>
          <w:b/>
          <w:bCs/>
          <w:sz w:val="17"/>
          <w:szCs w:val="17"/>
        </w:rPr>
      </w:pPr>
    </w:p>
    <w:p>
      <w:pPr>
        <w:pStyle w:val="BodyText"/>
        <w:spacing w:line="240" w:lineRule="auto"/>
        <w:ind w:left="624" w:right="0"/>
        <w:jc w:val="left"/>
      </w:pPr>
      <w:r>
        <w:rPr/>
        <w:t>（</w:t>
      </w:r>
      <w:r>
        <w:rPr>
          <w:rFonts w:ascii="Times New Roman" w:hAnsi="Times New Roman" w:cs="Times New Roman" w:eastAsia="Times New Roman" w:hint="default"/>
        </w:rPr>
        <w:t>1</w:t>
      </w:r>
      <w:r>
        <w:rPr/>
        <w:t>）其他应付款明细情况</w:t>
      </w:r>
    </w:p>
    <w:p>
      <w:pPr>
        <w:spacing w:line="240" w:lineRule="auto" w:before="7"/>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959"/>
        <w:gridCol w:w="2767"/>
        <w:gridCol w:w="2628"/>
      </w:tblGrid>
      <w:tr>
        <w:trPr>
          <w:trHeight w:val="270" w:hRule="exact"/>
        </w:trPr>
        <w:tc>
          <w:tcPr>
            <w:tcW w:w="2959"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199" w:lineRule="exact"/>
              <w:ind w:left="96"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628" w:type="dxa"/>
            <w:tcBorders>
              <w:top w:val="nil" w:sz="6" w:space="0" w:color="auto"/>
              <w:left w:val="nil" w:sz="6" w:space="0" w:color="auto"/>
              <w:bottom w:val="single" w:sz="4" w:space="0" w:color="000000"/>
              <w:right w:val="nil" w:sz="6" w:space="0" w:color="auto"/>
            </w:tcBorders>
          </w:tcPr>
          <w:p>
            <w:pPr>
              <w:pStyle w:val="TableParagraph"/>
              <w:spacing w:line="199" w:lineRule="exact"/>
              <w:ind w:left="86"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51" w:hRule="exact"/>
        </w:trPr>
        <w:tc>
          <w:tcPr>
            <w:tcW w:w="295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w w:val="95"/>
                <w:sz w:val="20"/>
              </w:rPr>
              <w:t>389,266.92</w:t>
            </w:r>
            <w:r>
              <w:rPr>
                <w:rFonts w:ascii="Times New Roman"/>
                <w:sz w:val="20"/>
              </w:rPr>
            </w: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7"/>
              <w:jc w:val="right"/>
              <w:rPr>
                <w:rFonts w:ascii="Times New Roman" w:hAnsi="Times New Roman" w:cs="Times New Roman" w:eastAsia="Times New Roman" w:hint="default"/>
                <w:sz w:val="20"/>
                <w:szCs w:val="20"/>
              </w:rPr>
            </w:pPr>
            <w:r>
              <w:rPr>
                <w:rFonts w:ascii="Times New Roman"/>
                <w:w w:val="95"/>
                <w:sz w:val="20"/>
              </w:rPr>
              <w:t>261,268.87</w:t>
            </w:r>
            <w:r>
              <w:rPr>
                <w:rFonts w:ascii="Times New Roman"/>
                <w:sz w:val="20"/>
              </w:rPr>
            </w:r>
          </w:p>
        </w:tc>
      </w:tr>
      <w:tr>
        <w:trPr>
          <w:trHeight w:val="336"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
              <w:jc w:val="right"/>
              <w:rPr>
                <w:rFonts w:ascii="Times New Roman" w:hAnsi="Times New Roman" w:cs="Times New Roman" w:eastAsia="Times New Roman" w:hint="default"/>
                <w:sz w:val="20"/>
                <w:szCs w:val="20"/>
              </w:rPr>
            </w:pPr>
            <w:r>
              <w:rPr>
                <w:rFonts w:ascii="Times New Roman"/>
                <w:w w:val="95"/>
                <w:sz w:val="20"/>
              </w:rPr>
              <w:t>25,649.86</w:t>
            </w:r>
            <w:r>
              <w:rPr>
                <w:rFonts w:ascii="Times New Roman"/>
                <w:sz w:val="20"/>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
              <w:jc w:val="right"/>
              <w:rPr>
                <w:rFonts w:ascii="Times New Roman" w:hAnsi="Times New Roman" w:cs="Times New Roman" w:eastAsia="Times New Roman" w:hint="default"/>
                <w:sz w:val="20"/>
                <w:szCs w:val="20"/>
              </w:rPr>
            </w:pPr>
            <w:r>
              <w:rPr>
                <w:rFonts w:ascii="Times New Roman"/>
                <w:w w:val="95"/>
                <w:sz w:val="20"/>
              </w:rPr>
              <w:t>66,366.49</w:t>
            </w:r>
            <w:r>
              <w:rPr>
                <w:rFonts w:ascii="Times New Roman"/>
                <w:sz w:val="20"/>
              </w:rPr>
            </w:r>
          </w:p>
        </w:tc>
      </w:tr>
      <w:tr>
        <w:trPr>
          <w:trHeight w:val="336"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r>
              <w:rPr>
                <w:rFonts w:ascii="宋体" w:hAnsi="宋体" w:cs="宋体" w:eastAsia="宋体" w:hint="default"/>
                <w:sz w:val="20"/>
                <w:szCs w:val="20"/>
              </w:rPr>
              <w:t>含</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276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273" w:hRule="exact"/>
        </w:trPr>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767"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79" w:top="1380" w:bottom="1160" w:left="1660" w:right="1660"/>
        </w:sectPr>
      </w:pPr>
    </w:p>
    <w:tbl>
      <w:tblPr>
        <w:tblW w:w="0" w:type="auto"/>
        <w:jc w:val="left"/>
        <w:tblInd w:w="488" w:type="dxa"/>
        <w:tblLayout w:type="fixed"/>
        <w:tblCellMar>
          <w:top w:w="0" w:type="dxa"/>
          <w:left w:w="0" w:type="dxa"/>
          <w:bottom w:w="0" w:type="dxa"/>
          <w:right w:w="0" w:type="dxa"/>
        </w:tblCellMar>
        <w:tblLook w:val="01E0"/>
      </w:tblPr>
      <w:tblGrid>
        <w:gridCol w:w="2966"/>
        <w:gridCol w:w="2767"/>
        <w:gridCol w:w="2635"/>
      </w:tblGrid>
      <w:tr>
        <w:trPr>
          <w:trHeight w:val="379" w:hRule="exact"/>
        </w:trPr>
        <w:tc>
          <w:tcPr>
            <w:tcW w:w="2966"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14" w:right="0"/>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tc>
        <w:tc>
          <w:tcPr>
            <w:tcW w:w="2767"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left="96"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635"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left="79"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62" w:hRule="exact"/>
        </w:trPr>
        <w:tc>
          <w:tcPr>
            <w:tcW w:w="2966" w:type="dxa"/>
            <w:tcBorders>
              <w:top w:val="single" w:sz="4" w:space="0" w:color="000000"/>
              <w:left w:val="nil" w:sz="6" w:space="0" w:color="auto"/>
              <w:bottom w:val="nil" w:sz="6" w:space="0" w:color="auto"/>
              <w:right w:val="nil" w:sz="6" w:space="0" w:color="auto"/>
            </w:tcBorders>
          </w:tcPr>
          <w:p>
            <w:pPr>
              <w:pStyle w:val="TableParagraph"/>
              <w:tabs>
                <w:tab w:pos="515" w:val="left" w:leader="none"/>
              </w:tabs>
              <w:spacing w:line="240" w:lineRule="auto" w:before="18"/>
              <w:ind w:left="1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67" w:type="dxa"/>
            <w:tcBorders>
              <w:top w:val="single" w:sz="12" w:space="0" w:color="000000"/>
              <w:left w:val="nil" w:sz="6" w:space="0" w:color="auto"/>
              <w:bottom w:val="single" w:sz="17" w:space="0" w:color="000000"/>
              <w:right w:val="nil" w:sz="6" w:space="0" w:color="auto"/>
            </w:tcBorders>
          </w:tcPr>
          <w:p>
            <w:pPr>
              <w:pStyle w:val="TableParagraph"/>
              <w:spacing w:line="240" w:lineRule="auto" w:before="46"/>
              <w:ind w:right="12"/>
              <w:jc w:val="right"/>
              <w:rPr>
                <w:rFonts w:ascii="Times New Roman" w:hAnsi="Times New Roman" w:cs="Times New Roman" w:eastAsia="Times New Roman" w:hint="default"/>
                <w:sz w:val="20"/>
                <w:szCs w:val="20"/>
              </w:rPr>
            </w:pPr>
            <w:r>
              <w:rPr>
                <w:rFonts w:ascii="Times New Roman"/>
                <w:w w:val="95"/>
                <w:sz w:val="20"/>
              </w:rPr>
              <w:t>414,916.78</w:t>
            </w:r>
            <w:r>
              <w:rPr>
                <w:rFonts w:ascii="Times New Roman"/>
                <w:sz w:val="20"/>
              </w:rPr>
            </w:r>
          </w:p>
        </w:tc>
        <w:tc>
          <w:tcPr>
            <w:tcW w:w="2635" w:type="dxa"/>
            <w:tcBorders>
              <w:top w:val="single" w:sz="12" w:space="0" w:color="000000"/>
              <w:left w:val="nil" w:sz="6" w:space="0" w:color="auto"/>
              <w:bottom w:val="single" w:sz="17" w:space="0" w:color="000000"/>
              <w:right w:val="nil" w:sz="6" w:space="0" w:color="auto"/>
            </w:tcBorders>
          </w:tcPr>
          <w:p>
            <w:pPr>
              <w:pStyle w:val="TableParagraph"/>
              <w:spacing w:line="240" w:lineRule="auto" w:before="46"/>
              <w:ind w:left="1706" w:right="0"/>
              <w:jc w:val="left"/>
              <w:rPr>
                <w:rFonts w:ascii="Times New Roman" w:hAnsi="Times New Roman" w:cs="Times New Roman" w:eastAsia="Times New Roman" w:hint="default"/>
                <w:sz w:val="20"/>
                <w:szCs w:val="20"/>
              </w:rPr>
            </w:pPr>
            <w:r>
              <w:rPr>
                <w:rFonts w:ascii="Times New Roman"/>
                <w:sz w:val="20"/>
              </w:rPr>
              <w:t>327,635.36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88" w:lineRule="auto" w:before="26"/>
        <w:ind w:left="517" w:right="499" w:firstLine="480"/>
        <w:jc w:val="left"/>
      </w:pPr>
      <w:r>
        <w:rPr/>
        <w:t>（</w:t>
      </w:r>
      <w:r>
        <w:rPr>
          <w:rFonts w:ascii="Times New Roman" w:hAnsi="Times New Roman" w:cs="Times New Roman" w:eastAsia="Times New Roman" w:hint="default"/>
        </w:rPr>
        <w:t>2</w:t>
      </w:r>
      <w:r>
        <w:rPr/>
        <w:t>）本公司无应付持有公司</w:t>
      </w:r>
      <w:r>
        <w:rPr>
          <w:spacing w:val="-65"/>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）以上表决权股份的股东单位或关 联方的款项。</w:t>
      </w:r>
    </w:p>
    <w:p>
      <w:pPr>
        <w:pStyle w:val="BodyText"/>
        <w:spacing w:line="240" w:lineRule="auto" w:before="202"/>
        <w:ind w:left="1004" w:right="499"/>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年的大额其他应付款情况的说明</w:t>
      </w:r>
    </w:p>
    <w:p>
      <w:pPr>
        <w:spacing w:line="240" w:lineRule="auto" w:before="9"/>
        <w:rPr>
          <w:rFonts w:ascii="宋体" w:hAnsi="宋体" w:cs="宋体" w:eastAsia="宋体" w:hint="default"/>
          <w:sz w:val="7"/>
          <w:szCs w:val="7"/>
        </w:rPr>
      </w:pPr>
    </w:p>
    <w:tbl>
      <w:tblPr>
        <w:tblW w:w="0" w:type="auto"/>
        <w:jc w:val="left"/>
        <w:tblInd w:w="495" w:type="dxa"/>
        <w:tblLayout w:type="fixed"/>
        <w:tblCellMar>
          <w:top w:w="0" w:type="dxa"/>
          <w:left w:w="0" w:type="dxa"/>
          <w:bottom w:w="0" w:type="dxa"/>
          <w:right w:w="0" w:type="dxa"/>
        </w:tblCellMar>
        <w:tblLook w:val="01E0"/>
      </w:tblPr>
      <w:tblGrid>
        <w:gridCol w:w="2782"/>
        <w:gridCol w:w="1116"/>
        <w:gridCol w:w="2004"/>
        <w:gridCol w:w="2453"/>
      </w:tblGrid>
      <w:tr>
        <w:trPr>
          <w:trHeight w:val="270" w:hRule="exact"/>
        </w:trPr>
        <w:tc>
          <w:tcPr>
            <w:tcW w:w="2782" w:type="dxa"/>
            <w:tcBorders>
              <w:top w:val="nil" w:sz="6" w:space="0" w:color="auto"/>
              <w:left w:val="nil" w:sz="6" w:space="0" w:color="auto"/>
              <w:bottom w:val="single" w:sz="4" w:space="0" w:color="000000"/>
              <w:right w:val="nil" w:sz="6" w:space="0" w:color="auto"/>
            </w:tcBorders>
          </w:tcPr>
          <w:p>
            <w:pPr>
              <w:pStyle w:val="TableParagraph"/>
              <w:spacing w:line="199" w:lineRule="exact"/>
              <w:ind w:left="868" w:right="0"/>
              <w:jc w:val="left"/>
              <w:rPr>
                <w:rFonts w:ascii="宋体" w:hAnsi="宋体" w:cs="宋体" w:eastAsia="宋体" w:hint="default"/>
                <w:sz w:val="20"/>
                <w:szCs w:val="20"/>
              </w:rPr>
            </w:pPr>
            <w:r>
              <w:rPr>
                <w:rFonts w:ascii="宋体" w:hAnsi="宋体" w:cs="宋体" w:eastAsia="宋体" w:hint="default"/>
                <w:sz w:val="20"/>
                <w:szCs w:val="20"/>
              </w:rPr>
              <w:t>债权人名称</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199" w:lineRule="exact"/>
              <w:ind w:left="40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199" w:lineRule="exact"/>
              <w:ind w:left="391" w:right="0"/>
              <w:jc w:val="left"/>
              <w:rPr>
                <w:rFonts w:ascii="宋体" w:hAnsi="宋体" w:cs="宋体" w:eastAsia="宋体" w:hint="default"/>
                <w:sz w:val="20"/>
                <w:szCs w:val="20"/>
              </w:rPr>
            </w:pPr>
            <w:r>
              <w:rPr>
                <w:rFonts w:ascii="宋体" w:hAnsi="宋体" w:cs="宋体" w:eastAsia="宋体" w:hint="default"/>
                <w:sz w:val="20"/>
                <w:szCs w:val="20"/>
              </w:rPr>
              <w:t>未偿还的原因</w:t>
            </w:r>
          </w:p>
        </w:tc>
        <w:tc>
          <w:tcPr>
            <w:tcW w:w="2453" w:type="dxa"/>
            <w:tcBorders>
              <w:top w:val="nil" w:sz="6" w:space="0" w:color="auto"/>
              <w:left w:val="nil" w:sz="6" w:space="0" w:color="auto"/>
              <w:bottom w:val="single" w:sz="4" w:space="0" w:color="000000"/>
              <w:right w:val="nil" w:sz="6" w:space="0" w:color="auto"/>
            </w:tcBorders>
          </w:tcPr>
          <w:p>
            <w:pPr>
              <w:pStyle w:val="TableParagraph"/>
              <w:spacing w:line="199" w:lineRule="exact"/>
              <w:ind w:right="24"/>
              <w:jc w:val="center"/>
              <w:rPr>
                <w:rFonts w:ascii="宋体" w:hAnsi="宋体" w:cs="宋体" w:eastAsia="宋体" w:hint="default"/>
                <w:sz w:val="20"/>
                <w:szCs w:val="20"/>
              </w:rPr>
            </w:pPr>
            <w:r>
              <w:rPr>
                <w:rFonts w:ascii="宋体" w:hAnsi="宋体" w:cs="宋体" w:eastAsia="宋体" w:hint="default"/>
                <w:sz w:val="20"/>
                <w:szCs w:val="20"/>
              </w:rPr>
              <w:t>报表日后是否归还</w:t>
            </w:r>
          </w:p>
        </w:tc>
      </w:tr>
      <w:tr>
        <w:trPr>
          <w:trHeight w:val="355" w:hRule="exact"/>
        </w:trPr>
        <w:tc>
          <w:tcPr>
            <w:tcW w:w="278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上海浦东新区监督中心</w:t>
            </w:r>
          </w:p>
        </w:tc>
        <w:tc>
          <w:tcPr>
            <w:tcW w:w="111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13"/>
              <w:jc w:val="right"/>
              <w:rPr>
                <w:rFonts w:ascii="Times New Roman" w:hAnsi="Times New Roman" w:cs="Times New Roman" w:eastAsia="Times New Roman" w:hint="default"/>
                <w:sz w:val="20"/>
                <w:szCs w:val="20"/>
              </w:rPr>
            </w:pPr>
            <w:r>
              <w:rPr>
                <w:rFonts w:ascii="Times New Roman"/>
                <w:w w:val="95"/>
                <w:sz w:val="20"/>
              </w:rPr>
              <w:t>25,649.86</w:t>
            </w:r>
            <w:r>
              <w:rPr>
                <w:rFonts w:ascii="Times New Roman"/>
                <w:sz w:val="20"/>
              </w:rPr>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课题尚未结束</w:t>
            </w:r>
          </w:p>
        </w:tc>
        <w:tc>
          <w:tcPr>
            <w:tcW w:w="245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25"/>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3" w:hRule="exact"/>
        </w:trPr>
        <w:tc>
          <w:tcPr>
            <w:tcW w:w="278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4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16"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13"/>
              <w:jc w:val="right"/>
              <w:rPr>
                <w:rFonts w:ascii="Times New Roman" w:hAnsi="Times New Roman" w:cs="Times New Roman" w:eastAsia="Times New Roman" w:hint="default"/>
                <w:sz w:val="20"/>
                <w:szCs w:val="20"/>
              </w:rPr>
            </w:pPr>
            <w:r>
              <w:rPr>
                <w:rFonts w:ascii="Times New Roman"/>
                <w:w w:val="95"/>
                <w:sz w:val="20"/>
              </w:rPr>
              <w:t>25,649.86</w:t>
            </w:r>
            <w:r>
              <w:rPr>
                <w:rFonts w:ascii="Times New Roman"/>
                <w:sz w:val="20"/>
              </w:rPr>
            </w:r>
          </w:p>
        </w:tc>
        <w:tc>
          <w:tcPr>
            <w:tcW w:w="200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26"/>
        <w:ind w:left="944" w:right="499"/>
        <w:jc w:val="left"/>
      </w:pPr>
      <w:r>
        <w:rPr/>
        <w:t>（</w:t>
      </w:r>
      <w:r>
        <w:rPr>
          <w:rFonts w:ascii="Times New Roman" w:hAnsi="Times New Roman" w:cs="Times New Roman" w:eastAsia="Times New Roman" w:hint="default"/>
        </w:rPr>
        <w:t>4</w:t>
      </w:r>
      <w:r>
        <w:rPr/>
        <w:t>）对于金额较大的其他应付款的说明</w:t>
      </w:r>
    </w:p>
    <w:p>
      <w:pPr>
        <w:spacing w:line="240" w:lineRule="auto" w:before="7"/>
        <w:rPr>
          <w:rFonts w:ascii="宋体" w:hAnsi="宋体" w:cs="宋体" w:eastAsia="宋体" w:hint="default"/>
          <w:sz w:val="7"/>
          <w:szCs w:val="7"/>
        </w:rPr>
      </w:pPr>
    </w:p>
    <w:tbl>
      <w:tblPr>
        <w:tblW w:w="0" w:type="auto"/>
        <w:jc w:val="left"/>
        <w:tblInd w:w="495" w:type="dxa"/>
        <w:tblLayout w:type="fixed"/>
        <w:tblCellMar>
          <w:top w:w="0" w:type="dxa"/>
          <w:left w:w="0" w:type="dxa"/>
          <w:bottom w:w="0" w:type="dxa"/>
          <w:right w:w="0" w:type="dxa"/>
        </w:tblCellMar>
        <w:tblLook w:val="01E0"/>
      </w:tblPr>
      <w:tblGrid>
        <w:gridCol w:w="3326"/>
        <w:gridCol w:w="2870"/>
        <w:gridCol w:w="2158"/>
      </w:tblGrid>
      <w:tr>
        <w:trPr>
          <w:trHeight w:val="270" w:hRule="exact"/>
        </w:trPr>
        <w:tc>
          <w:tcPr>
            <w:tcW w:w="3326" w:type="dxa"/>
            <w:tcBorders>
              <w:top w:val="nil" w:sz="6" w:space="0" w:color="auto"/>
              <w:left w:val="nil" w:sz="6" w:space="0" w:color="auto"/>
              <w:bottom w:val="single" w:sz="4" w:space="0" w:color="000000"/>
              <w:right w:val="nil" w:sz="6" w:space="0" w:color="auto"/>
            </w:tcBorders>
          </w:tcPr>
          <w:p>
            <w:pPr>
              <w:pStyle w:val="TableParagraph"/>
              <w:spacing w:line="199" w:lineRule="exact"/>
              <w:ind w:right="1188"/>
              <w:jc w:val="right"/>
              <w:rPr>
                <w:rFonts w:ascii="宋体" w:hAnsi="宋体" w:cs="宋体" w:eastAsia="宋体" w:hint="default"/>
                <w:sz w:val="20"/>
                <w:szCs w:val="20"/>
              </w:rPr>
            </w:pPr>
            <w:r>
              <w:rPr>
                <w:rFonts w:ascii="宋体" w:hAnsi="宋体" w:cs="宋体" w:eastAsia="宋体" w:hint="default"/>
                <w:w w:val="95"/>
                <w:sz w:val="20"/>
                <w:szCs w:val="20"/>
              </w:rPr>
              <w:t>债权人名称</w:t>
            </w:r>
            <w:r>
              <w:rPr>
                <w:rFonts w:ascii="宋体" w:hAnsi="宋体" w:cs="宋体" w:eastAsia="宋体" w:hint="default"/>
                <w:sz w:val="20"/>
                <w:szCs w:val="20"/>
              </w:rPr>
            </w:r>
          </w:p>
        </w:tc>
        <w:tc>
          <w:tcPr>
            <w:tcW w:w="2870" w:type="dxa"/>
            <w:tcBorders>
              <w:top w:val="nil" w:sz="6" w:space="0" w:color="auto"/>
              <w:left w:val="nil" w:sz="6" w:space="0" w:color="auto"/>
              <w:bottom w:val="single" w:sz="4" w:space="0" w:color="000000"/>
              <w:right w:val="nil" w:sz="6" w:space="0" w:color="auto"/>
            </w:tcBorders>
          </w:tcPr>
          <w:p>
            <w:pPr>
              <w:pStyle w:val="TableParagraph"/>
              <w:spacing w:line="199" w:lineRule="exact"/>
              <w:ind w:right="326"/>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199" w:lineRule="exact"/>
              <w:ind w:left="441" w:right="0"/>
              <w:jc w:val="left"/>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44" w:hRule="exact"/>
        </w:trPr>
        <w:tc>
          <w:tcPr>
            <w:tcW w:w="332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仝仲峰</w:t>
            </w:r>
          </w:p>
        </w:tc>
        <w:tc>
          <w:tcPr>
            <w:tcW w:w="287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39"/>
              <w:jc w:val="right"/>
              <w:rPr>
                <w:rFonts w:ascii="Times New Roman" w:hAnsi="Times New Roman" w:cs="Times New Roman" w:eastAsia="Times New Roman" w:hint="default"/>
                <w:sz w:val="18"/>
                <w:szCs w:val="18"/>
              </w:rPr>
            </w:pPr>
            <w:r>
              <w:rPr>
                <w:rFonts w:ascii="Times New Roman"/>
                <w:sz w:val="18"/>
              </w:rPr>
              <w:t>2,000.00</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9"/>
              <w:jc w:val="right"/>
              <w:rPr>
                <w:rFonts w:ascii="宋体" w:hAnsi="宋体" w:cs="宋体" w:eastAsia="宋体" w:hint="default"/>
                <w:sz w:val="18"/>
                <w:szCs w:val="18"/>
              </w:rPr>
            </w:pPr>
            <w:r>
              <w:rPr>
                <w:rFonts w:ascii="宋体" w:hAnsi="宋体" w:cs="宋体" w:eastAsia="宋体" w:hint="default"/>
                <w:sz w:val="18"/>
                <w:szCs w:val="18"/>
              </w:rPr>
              <w:t>电脑押金</w:t>
            </w:r>
          </w:p>
        </w:tc>
      </w:tr>
      <w:tr>
        <w:trPr>
          <w:trHeight w:val="33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李长园</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Times New Roman" w:hAnsi="Times New Roman" w:cs="Times New Roman" w:eastAsia="Times New Roman" w:hint="default"/>
                <w:sz w:val="18"/>
                <w:szCs w:val="18"/>
              </w:rPr>
            </w:pPr>
            <w:r>
              <w:rPr>
                <w:rFonts w:ascii="Times New Roman"/>
                <w:sz w:val="18"/>
              </w:rPr>
              <w:t>2,000.00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电脑押金</w:t>
            </w:r>
          </w:p>
        </w:tc>
      </w:tr>
      <w:tr>
        <w:trPr>
          <w:trHeight w:val="33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刘艳玲</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Times New Roman" w:hAnsi="Times New Roman" w:cs="Times New Roman" w:eastAsia="Times New Roman" w:hint="default"/>
                <w:sz w:val="18"/>
                <w:szCs w:val="18"/>
              </w:rPr>
            </w:pPr>
            <w:r>
              <w:rPr>
                <w:rFonts w:ascii="Times New Roman"/>
                <w:sz w:val="18"/>
              </w:rPr>
              <w:t>2,000.00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电脑押金</w:t>
            </w:r>
          </w:p>
        </w:tc>
      </w:tr>
      <w:tr>
        <w:trPr>
          <w:trHeight w:val="33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余晓坡</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Times New Roman" w:hAnsi="Times New Roman" w:cs="Times New Roman" w:eastAsia="Times New Roman" w:hint="default"/>
                <w:sz w:val="18"/>
                <w:szCs w:val="18"/>
              </w:rPr>
            </w:pPr>
            <w:r>
              <w:rPr>
                <w:rFonts w:ascii="Times New Roman"/>
                <w:sz w:val="18"/>
              </w:rPr>
              <w:t>2,000.00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电脑押金</w:t>
            </w:r>
          </w:p>
        </w:tc>
      </w:tr>
      <w:tr>
        <w:trPr>
          <w:trHeight w:val="33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代缴保险</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Times New Roman" w:hAnsi="Times New Roman" w:cs="Times New Roman" w:eastAsia="Times New Roman" w:hint="default"/>
                <w:sz w:val="18"/>
                <w:szCs w:val="18"/>
              </w:rPr>
            </w:pPr>
            <w:r>
              <w:rPr>
                <w:rFonts w:ascii="Times New Roman"/>
                <w:sz w:val="18"/>
              </w:rPr>
              <w:t>156,827.65</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社保</w:t>
            </w:r>
          </w:p>
        </w:tc>
      </w:tr>
      <w:tr>
        <w:trPr>
          <w:trHeight w:val="33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代扣个人所得税手续费</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0"/>
              <w:jc w:val="right"/>
              <w:rPr>
                <w:rFonts w:ascii="Times New Roman" w:hAnsi="Times New Roman" w:cs="Times New Roman" w:eastAsia="Times New Roman" w:hint="default"/>
                <w:sz w:val="18"/>
                <w:szCs w:val="18"/>
              </w:rPr>
            </w:pPr>
            <w:r>
              <w:rPr>
                <w:rFonts w:ascii="Times New Roman"/>
                <w:spacing w:val="-1"/>
                <w:sz w:val="18"/>
              </w:rPr>
              <w:t>54,610.94</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手续费</w:t>
            </w:r>
          </w:p>
        </w:tc>
      </w:tr>
      <w:tr>
        <w:trPr>
          <w:trHeight w:val="348"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7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39"/>
              <w:jc w:val="right"/>
              <w:rPr>
                <w:rFonts w:ascii="Times New Roman" w:hAnsi="Times New Roman" w:cs="Times New Roman" w:eastAsia="Times New Roman" w:hint="default"/>
                <w:sz w:val="18"/>
                <w:szCs w:val="18"/>
              </w:rPr>
            </w:pPr>
            <w:r>
              <w:rPr>
                <w:rFonts w:ascii="Times New Roman"/>
                <w:sz w:val="18"/>
              </w:rPr>
              <w:t>195,478.19</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报销款</w:t>
            </w:r>
          </w:p>
        </w:tc>
      </w:tr>
      <w:tr>
        <w:trPr>
          <w:trHeight w:val="353" w:hRule="exact"/>
        </w:trPr>
        <w:tc>
          <w:tcPr>
            <w:tcW w:w="3326"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6"/>
              <w:ind w:right="1234"/>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439"/>
              <w:jc w:val="right"/>
              <w:rPr>
                <w:rFonts w:ascii="Times New Roman" w:hAnsi="Times New Roman" w:cs="Times New Roman" w:eastAsia="Times New Roman" w:hint="default"/>
                <w:sz w:val="18"/>
                <w:szCs w:val="18"/>
              </w:rPr>
            </w:pPr>
            <w:r>
              <w:rPr>
                <w:rFonts w:ascii="Times New Roman"/>
                <w:sz w:val="18"/>
              </w:rPr>
              <w:t>414,916.78</w:t>
            </w:r>
          </w:p>
        </w:tc>
        <w:tc>
          <w:tcPr>
            <w:tcW w:w="2158" w:type="dxa"/>
            <w:tcBorders>
              <w:top w:val="single" w:sz="4" w:space="0" w:color="000000"/>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ind w:left="1004" w:right="499"/>
        <w:jc w:val="left"/>
        <w:rPr>
          <w:b w:val="0"/>
          <w:bCs w:val="0"/>
        </w:rPr>
      </w:pPr>
      <w:r>
        <w:rPr>
          <w:rFonts w:ascii="Times New Roman" w:hAnsi="Times New Roman" w:cs="Times New Roman" w:eastAsia="Times New Roman" w:hint="default"/>
        </w:rPr>
        <w:t>17</w:t>
      </w:r>
      <w:r>
        <w:rPr/>
        <w:t>、其他流动负债</w:t>
      </w:r>
      <w:r>
        <w:rPr>
          <w:b w:val="0"/>
          <w:bCs w:val="0"/>
        </w:rPr>
      </w:r>
    </w:p>
    <w:p>
      <w:pPr>
        <w:spacing w:line="240" w:lineRule="auto" w:before="9"/>
        <w:rPr>
          <w:rFonts w:ascii="宋体" w:hAnsi="宋体" w:cs="宋体" w:eastAsia="宋体" w:hint="default"/>
          <w:b/>
          <w:bCs/>
          <w:sz w:val="7"/>
          <w:szCs w:val="7"/>
        </w:rPr>
      </w:pPr>
    </w:p>
    <w:tbl>
      <w:tblPr>
        <w:tblW w:w="0" w:type="auto"/>
        <w:jc w:val="left"/>
        <w:tblInd w:w="495" w:type="dxa"/>
        <w:tblLayout w:type="fixed"/>
        <w:tblCellMar>
          <w:top w:w="0" w:type="dxa"/>
          <w:left w:w="0" w:type="dxa"/>
          <w:bottom w:w="0" w:type="dxa"/>
          <w:right w:w="0" w:type="dxa"/>
        </w:tblCellMar>
        <w:tblLook w:val="01E0"/>
      </w:tblPr>
      <w:tblGrid>
        <w:gridCol w:w="1645"/>
        <w:gridCol w:w="3839"/>
        <w:gridCol w:w="1279"/>
        <w:gridCol w:w="1591"/>
      </w:tblGrid>
      <w:tr>
        <w:trPr>
          <w:trHeight w:val="270" w:hRule="exact"/>
        </w:trPr>
        <w:tc>
          <w:tcPr>
            <w:tcW w:w="1645" w:type="dxa"/>
            <w:tcBorders>
              <w:top w:val="nil" w:sz="6" w:space="0" w:color="auto"/>
              <w:left w:val="nil" w:sz="6" w:space="0" w:color="auto"/>
              <w:bottom w:val="single" w:sz="4" w:space="0" w:color="000000"/>
              <w:right w:val="nil" w:sz="6" w:space="0" w:color="auto"/>
            </w:tcBorders>
          </w:tcPr>
          <w:p>
            <w:pPr>
              <w:pStyle w:val="TableParagraph"/>
              <w:tabs>
                <w:tab w:pos="1207" w:val="left" w:leader="none"/>
              </w:tabs>
              <w:spacing w:line="199" w:lineRule="exact"/>
              <w:ind w:left="40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839" w:type="dxa"/>
            <w:tcBorders>
              <w:top w:val="nil" w:sz="6" w:space="0" w:color="auto"/>
              <w:left w:val="nil" w:sz="6" w:space="0" w:color="auto"/>
              <w:bottom w:val="single" w:sz="4" w:space="0" w:color="000000"/>
              <w:right w:val="nil" w:sz="6" w:space="0" w:color="auto"/>
            </w:tcBorders>
          </w:tcPr>
          <w:p>
            <w:pPr>
              <w:pStyle w:val="TableParagraph"/>
              <w:tabs>
                <w:tab w:pos="769" w:val="left" w:leader="none"/>
              </w:tabs>
              <w:spacing w:line="199" w:lineRule="exact"/>
              <w:ind w:left="166" w:right="0"/>
              <w:jc w:val="center"/>
              <w:rPr>
                <w:rFonts w:ascii="宋体" w:hAnsi="宋体" w:cs="宋体" w:eastAsia="宋体" w:hint="default"/>
                <w:sz w:val="20"/>
                <w:szCs w:val="20"/>
              </w:rPr>
            </w:pPr>
            <w:r>
              <w:rPr>
                <w:rFonts w:ascii="宋体" w:hAnsi="宋体" w:cs="宋体" w:eastAsia="宋体" w:hint="default"/>
                <w:w w:val="95"/>
                <w:sz w:val="20"/>
                <w:szCs w:val="20"/>
              </w:rPr>
              <w:t>内</w:t>
              <w:tab/>
            </w:r>
            <w:r>
              <w:rPr>
                <w:rFonts w:ascii="宋体" w:hAnsi="宋体" w:cs="宋体" w:eastAsia="宋体" w:hint="default"/>
                <w:sz w:val="20"/>
                <w:szCs w:val="20"/>
              </w:rPr>
              <w:t>容</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199" w:lineRule="exact"/>
              <w:ind w:left="249"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199" w:lineRule="exact"/>
              <w:ind w:left="431"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55" w:hRule="exact"/>
        </w:trPr>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83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38" w:right="0"/>
              <w:jc w:val="left"/>
              <w:rPr>
                <w:rFonts w:ascii="宋体" w:hAnsi="宋体" w:cs="宋体" w:eastAsia="宋体" w:hint="default"/>
                <w:sz w:val="20"/>
                <w:szCs w:val="20"/>
              </w:rPr>
            </w:pPr>
            <w:r>
              <w:rPr>
                <w:rFonts w:ascii="宋体" w:hAnsi="宋体" w:cs="宋体" w:eastAsia="宋体" w:hint="default"/>
                <w:sz w:val="20"/>
                <w:szCs w:val="20"/>
              </w:rPr>
              <w:t>数字社区服务信息平台</w:t>
            </w:r>
          </w:p>
        </w:tc>
        <w:tc>
          <w:tcPr>
            <w:tcW w:w="1279" w:type="dxa"/>
            <w:tcBorders>
              <w:top w:val="single" w:sz="4" w:space="0" w:color="000000"/>
              <w:left w:val="nil" w:sz="6" w:space="0" w:color="auto"/>
              <w:bottom w:val="single" w:sz="4" w:space="0" w:color="000000"/>
              <w:right w:val="nil" w:sz="6" w:space="0" w:color="auto"/>
            </w:tcBorders>
          </w:tcPr>
          <w:p>
            <w:pP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16"/>
              <w:jc w:val="right"/>
              <w:rPr>
                <w:rFonts w:ascii="Times New Roman" w:hAnsi="Times New Roman" w:cs="Times New Roman" w:eastAsia="Times New Roman" w:hint="default"/>
                <w:sz w:val="18"/>
                <w:szCs w:val="18"/>
              </w:rPr>
            </w:pPr>
            <w:r>
              <w:rPr>
                <w:rFonts w:ascii="Times New Roman"/>
                <w:spacing w:val="-1"/>
                <w:sz w:val="18"/>
              </w:rPr>
              <w:t>1,339,500.00</w:t>
            </w:r>
            <w:r>
              <w:rPr>
                <w:rFonts w:ascii="Times New Roman"/>
                <w:sz w:val="18"/>
              </w:rPr>
            </w:r>
          </w:p>
        </w:tc>
      </w:tr>
      <w:tr>
        <w:trPr>
          <w:trHeight w:val="353" w:hRule="exact"/>
        </w:trPr>
        <w:tc>
          <w:tcPr>
            <w:tcW w:w="1645" w:type="dxa"/>
            <w:tcBorders>
              <w:top w:val="nil" w:sz="6" w:space="0" w:color="auto"/>
              <w:left w:val="nil" w:sz="6" w:space="0" w:color="auto"/>
              <w:bottom w:val="nil" w:sz="6" w:space="0" w:color="auto"/>
              <w:right w:val="nil" w:sz="6" w:space="0" w:color="auto"/>
            </w:tcBorders>
          </w:tcPr>
          <w:p>
            <w:pPr>
              <w:pStyle w:val="TableParagraph"/>
              <w:tabs>
                <w:tab w:pos="1007" w:val="left" w:leader="none"/>
              </w:tabs>
              <w:spacing w:line="240" w:lineRule="auto" w:before="4"/>
              <w:ind w:left="60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839"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7" w:space="0" w:color="000000"/>
              <w:right w:val="nil" w:sz="6" w:space="0" w:color="auto"/>
            </w:tcBorders>
          </w:tcPr>
          <w:p>
            <w:pPr/>
          </w:p>
        </w:tc>
        <w:tc>
          <w:tcPr>
            <w:tcW w:w="159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pacing w:val="-1"/>
                <w:sz w:val="18"/>
              </w:rPr>
              <w:t>1,339,500.00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1004" w:right="4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、专项应付款</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888"/>
        <w:gridCol w:w="1243"/>
        <w:gridCol w:w="1099"/>
        <w:gridCol w:w="1134"/>
        <w:gridCol w:w="1046"/>
        <w:gridCol w:w="716"/>
      </w:tblGrid>
      <w:tr>
        <w:trPr>
          <w:trHeight w:val="270" w:hRule="exact"/>
        </w:trPr>
        <w:tc>
          <w:tcPr>
            <w:tcW w:w="3888"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4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199" w:lineRule="exact"/>
              <w:ind w:left="215"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199" w:lineRule="exact"/>
              <w:ind w:left="12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199" w:lineRule="exact"/>
              <w:ind w:left="165"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199" w:lineRule="exact"/>
              <w:ind w:left="212"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716" w:type="dxa"/>
            <w:tcBorders>
              <w:top w:val="nil" w:sz="6" w:space="0" w:color="auto"/>
              <w:left w:val="nil" w:sz="6" w:space="0" w:color="auto"/>
              <w:bottom w:val="single" w:sz="4" w:space="0" w:color="000000"/>
              <w:right w:val="nil" w:sz="6" w:space="0" w:color="auto"/>
            </w:tcBorders>
          </w:tcPr>
          <w:p>
            <w:pPr>
              <w:pStyle w:val="TableParagraph"/>
              <w:spacing w:line="199" w:lineRule="exact"/>
              <w:ind w:left="236" w:right="0"/>
              <w:jc w:val="left"/>
              <w:rPr>
                <w:rFonts w:ascii="宋体" w:hAnsi="宋体" w:cs="宋体" w:eastAsia="宋体" w:hint="default"/>
                <w:sz w:val="20"/>
                <w:szCs w:val="20"/>
              </w:rPr>
            </w:pPr>
            <w:r>
              <w:rPr>
                <w:rFonts w:ascii="宋体" w:hAnsi="宋体" w:cs="宋体" w:eastAsia="宋体" w:hint="default"/>
                <w:sz w:val="20"/>
                <w:szCs w:val="20"/>
              </w:rPr>
              <w:t>备注</w:t>
            </w:r>
          </w:p>
        </w:tc>
      </w:tr>
      <w:tr>
        <w:trPr>
          <w:trHeight w:val="344" w:hRule="exact"/>
        </w:trPr>
        <w:tc>
          <w:tcPr>
            <w:tcW w:w="388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城市数字化关键技术研究与示范</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65" w:right="0"/>
              <w:jc w:val="left"/>
              <w:rPr>
                <w:rFonts w:ascii="Times New Roman" w:hAnsi="Times New Roman" w:cs="Times New Roman" w:eastAsia="Times New Roman" w:hint="default"/>
                <w:sz w:val="18"/>
                <w:szCs w:val="18"/>
              </w:rPr>
            </w:pPr>
            <w:r>
              <w:rPr>
                <w:rFonts w:ascii="Times New Roman"/>
                <w:sz w:val="18"/>
              </w:rPr>
              <w:t>1,800,000.00</w:t>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1"/>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1"/>
              <w:jc w:val="right"/>
              <w:rPr>
                <w:rFonts w:ascii="Times New Roman" w:hAnsi="Times New Roman" w:cs="Times New Roman" w:eastAsia="Times New Roman" w:hint="default"/>
                <w:sz w:val="18"/>
                <w:szCs w:val="18"/>
              </w:rPr>
            </w:pPr>
            <w:r>
              <w:rPr>
                <w:rFonts w:ascii="Times New Roman"/>
                <w:spacing w:val="-1"/>
                <w:sz w:val="18"/>
              </w:rPr>
              <w:t>60,000.00</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1,890,000.00</w:t>
            </w:r>
            <w:r>
              <w:rPr>
                <w:rFonts w:ascii="Times New Roman"/>
                <w:sz w:val="18"/>
              </w:rPr>
            </w:r>
          </w:p>
        </w:tc>
        <w:tc>
          <w:tcPr>
            <w:tcW w:w="716" w:type="dxa"/>
            <w:tcBorders>
              <w:top w:val="single" w:sz="4" w:space="0" w:color="000000"/>
              <w:left w:val="nil" w:sz="6" w:space="0" w:color="auto"/>
              <w:bottom w:val="nil" w:sz="6" w:space="0" w:color="auto"/>
              <w:right w:val="nil" w:sz="6" w:space="0" w:color="auto"/>
            </w:tcBorders>
          </w:tcPr>
          <w:p>
            <w:pPr/>
          </w:p>
        </w:tc>
      </w:tr>
      <w:tr>
        <w:trPr>
          <w:trHeight w:val="336"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城镇体系规划监测关键技术研究</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7"/>
              <w:jc w:val="right"/>
              <w:rPr>
                <w:rFonts w:ascii="Times New Roman" w:hAnsi="Times New Roman" w:cs="Times New Roman" w:eastAsia="Times New Roman" w:hint="default"/>
                <w:sz w:val="18"/>
                <w:szCs w:val="18"/>
              </w:rPr>
            </w:pPr>
            <w:r>
              <w:rPr>
                <w:rFonts w:ascii="Times New Roman"/>
                <w:sz w:val="18"/>
              </w:rPr>
              <w:t>700,000.00</w:t>
            </w:r>
          </w:p>
        </w:tc>
        <w:tc>
          <w:tcPr>
            <w:tcW w:w="109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700,000.00</w:t>
            </w:r>
          </w:p>
        </w:tc>
        <w:tc>
          <w:tcPr>
            <w:tcW w:w="716" w:type="dxa"/>
            <w:tcBorders>
              <w:top w:val="nil" w:sz="6" w:space="0" w:color="auto"/>
              <w:left w:val="nil" w:sz="6" w:space="0" w:color="auto"/>
              <w:bottom w:val="nil" w:sz="6" w:space="0" w:color="auto"/>
              <w:right w:val="nil" w:sz="6" w:space="0" w:color="auto"/>
            </w:tcBorders>
          </w:tcPr>
          <w:p>
            <w:pPr/>
          </w:p>
        </w:tc>
      </w:tr>
      <w:tr>
        <w:trPr>
          <w:trHeight w:val="662"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83" w:lineRule="auto" w:before="6"/>
              <w:ind w:left="21" w:right="163" w:hanging="1"/>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3G</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无线通信的数字化城市管理系统开</w:t>
            </w:r>
            <w:r>
              <w:rPr>
                <w:rFonts w:ascii="宋体" w:hAnsi="宋体" w:cs="宋体" w:eastAsia="宋体" w:hint="default"/>
                <w:w w:val="99"/>
                <w:sz w:val="20"/>
                <w:szCs w:val="20"/>
              </w:rPr>
              <w:t> </w:t>
            </w:r>
            <w:r>
              <w:rPr>
                <w:rFonts w:ascii="宋体" w:hAnsi="宋体" w:cs="宋体" w:eastAsia="宋体" w:hint="default"/>
                <w:sz w:val="20"/>
                <w:szCs w:val="20"/>
              </w:rPr>
              <w:t>发</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500,000.00</w:t>
            </w:r>
          </w:p>
        </w:tc>
        <w:tc>
          <w:tcPr>
            <w:tcW w:w="109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500,000.00</w:t>
            </w:r>
          </w:p>
        </w:tc>
        <w:tc>
          <w:tcPr>
            <w:tcW w:w="10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r>
      <w:tr>
        <w:trPr>
          <w:trHeight w:val="662"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83" w:lineRule="auto" w:before="6"/>
              <w:ind w:left="21" w:right="173"/>
              <w:jc w:val="left"/>
              <w:rPr>
                <w:rFonts w:ascii="宋体" w:hAnsi="宋体" w:cs="宋体" w:eastAsia="宋体" w:hint="default"/>
                <w:sz w:val="20"/>
                <w:szCs w:val="20"/>
              </w:rPr>
            </w:pPr>
            <w:r>
              <w:rPr>
                <w:rFonts w:ascii="Times New Roman" w:hAnsi="Times New Roman" w:cs="Times New Roman" w:eastAsia="Times New Roman" w:hint="default"/>
                <w:sz w:val="20"/>
                <w:szCs w:val="20"/>
              </w:rPr>
              <w:t>TD-SCDMA</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行业信息化应用方案开发及产</w:t>
            </w:r>
            <w:r>
              <w:rPr>
                <w:rFonts w:ascii="宋体" w:hAnsi="宋体" w:cs="宋体" w:eastAsia="宋体" w:hint="default"/>
                <w:w w:val="99"/>
                <w:sz w:val="20"/>
                <w:szCs w:val="20"/>
              </w:rPr>
              <w:t> </w:t>
            </w:r>
            <w:r>
              <w:rPr>
                <w:rFonts w:ascii="宋体" w:hAnsi="宋体" w:cs="宋体" w:eastAsia="宋体" w:hint="default"/>
                <w:sz w:val="20"/>
                <w:szCs w:val="20"/>
              </w:rPr>
              <w:t>业化</w:t>
            </w:r>
          </w:p>
        </w:tc>
        <w:tc>
          <w:tcPr>
            <w:tcW w:w="1243"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3,325,000.00</w:t>
            </w:r>
            <w:r>
              <w:rPr>
                <w:rFonts w:ascii="Times New Roman"/>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2,249,903.92</w:t>
            </w:r>
            <w:r>
              <w:rPr>
                <w:rFonts w:ascii="Times New Roman"/>
                <w:sz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1,075,096.08</w:t>
            </w:r>
            <w:r>
              <w:rPr>
                <w:rFonts w:ascii="Times New Roman"/>
                <w:sz w:val="18"/>
              </w:rPr>
            </w:r>
          </w:p>
        </w:tc>
        <w:tc>
          <w:tcPr>
            <w:tcW w:w="716" w:type="dxa"/>
            <w:tcBorders>
              <w:top w:val="nil" w:sz="6" w:space="0" w:color="auto"/>
              <w:left w:val="nil" w:sz="6" w:space="0" w:color="auto"/>
              <w:bottom w:val="nil" w:sz="6" w:space="0" w:color="auto"/>
              <w:right w:val="nil" w:sz="6" w:space="0" w:color="auto"/>
            </w:tcBorders>
          </w:tcPr>
          <w:p>
            <w:pPr/>
          </w:p>
        </w:tc>
      </w:tr>
      <w:tr>
        <w:trPr>
          <w:trHeight w:val="278" w:hRule="exact"/>
        </w:trPr>
        <w:tc>
          <w:tcPr>
            <w:tcW w:w="38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3G</w:t>
            </w:r>
            <w:r>
              <w:rPr>
                <w:rFonts w:ascii="Times New Roman" w:hAnsi="Times New Roman" w:cs="Times New Roman" w:eastAsia="Times New Roman" w:hint="default"/>
                <w:spacing w:val="-22"/>
                <w:sz w:val="20"/>
                <w:szCs w:val="20"/>
              </w:rPr>
              <w:t> </w:t>
            </w:r>
            <w:r>
              <w:rPr>
                <w:rFonts w:ascii="宋体" w:hAnsi="宋体" w:cs="宋体" w:eastAsia="宋体" w:hint="default"/>
                <w:sz w:val="20"/>
                <w:szCs w:val="20"/>
              </w:rPr>
              <w:t>网络的只能化城市管理系统及专用</w:t>
            </w:r>
          </w:p>
        </w:tc>
        <w:tc>
          <w:tcPr>
            <w:tcW w:w="1243"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1"/>
              <w:jc w:val="right"/>
              <w:rPr>
                <w:rFonts w:ascii="Times New Roman" w:hAnsi="Times New Roman" w:cs="Times New Roman" w:eastAsia="Times New Roman" w:hint="default"/>
                <w:sz w:val="18"/>
                <w:szCs w:val="18"/>
              </w:rPr>
            </w:pPr>
            <w:r>
              <w:rPr>
                <w:rFonts w:ascii="Times New Roman"/>
                <w:spacing w:val="-1"/>
                <w:sz w:val="18"/>
              </w:rPr>
              <w:t>2,210,000.00</w:t>
            </w:r>
            <w:r>
              <w:rPr>
                <w:rFonts w:ascii="Times New Roman"/>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0"/>
              <w:jc w:val="right"/>
              <w:rPr>
                <w:rFonts w:ascii="Times New Roman" w:hAnsi="Times New Roman" w:cs="Times New Roman" w:eastAsia="Times New Roman" w:hint="default"/>
                <w:sz w:val="18"/>
                <w:szCs w:val="18"/>
              </w:rPr>
            </w:pPr>
            <w:r>
              <w:rPr>
                <w:rFonts w:ascii="Times New Roman"/>
                <w:spacing w:val="-1"/>
                <w:sz w:val="18"/>
              </w:rPr>
              <w:t>1,798,980.72</w:t>
            </w:r>
            <w:r>
              <w:rPr>
                <w:rFonts w:ascii="Times New Roman"/>
                <w:sz w:val="18"/>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z w:val="18"/>
              </w:rPr>
              <w:t>411,019.28</w:t>
            </w:r>
          </w:p>
        </w:tc>
        <w:tc>
          <w:tcPr>
            <w:tcW w:w="7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79" w:top="1380" w:bottom="1160" w:left="1280" w:right="1280"/>
        </w:sectPr>
      </w:pPr>
    </w:p>
    <w:tbl>
      <w:tblPr>
        <w:tblW w:w="0" w:type="auto"/>
        <w:jc w:val="left"/>
        <w:tblInd w:w="351" w:type="dxa"/>
        <w:tblLayout w:type="fixed"/>
        <w:tblCellMar>
          <w:top w:w="0" w:type="dxa"/>
          <w:left w:w="0" w:type="dxa"/>
          <w:bottom w:w="0" w:type="dxa"/>
          <w:right w:w="0" w:type="dxa"/>
        </w:tblCellMar>
        <w:tblLook w:val="01E0"/>
      </w:tblPr>
      <w:tblGrid>
        <w:gridCol w:w="3970"/>
        <w:gridCol w:w="1303"/>
        <w:gridCol w:w="1135"/>
        <w:gridCol w:w="1134"/>
        <w:gridCol w:w="1055"/>
        <w:gridCol w:w="329"/>
      </w:tblGrid>
      <w:tr>
        <w:trPr>
          <w:trHeight w:val="363" w:hRule="exact"/>
        </w:trPr>
        <w:tc>
          <w:tcPr>
            <w:tcW w:w="3970"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20"/>
                <w:szCs w:val="20"/>
              </w:rPr>
            </w:pPr>
            <w:r>
              <w:rPr>
                <w:rFonts w:ascii="宋体" w:hAnsi="宋体" w:cs="宋体" w:eastAsia="宋体" w:hint="default"/>
                <w:sz w:val="20"/>
                <w:szCs w:val="20"/>
              </w:rPr>
              <w:t>智能终端开发</w:t>
            </w:r>
          </w:p>
        </w:tc>
        <w:tc>
          <w:tcPr>
            <w:tcW w:w="1303" w:type="dxa"/>
            <w:tcBorders>
              <w:top w:val="single" w:sz="6" w:space="0" w:color="000000"/>
              <w:left w:val="nil" w:sz="6" w:space="0" w:color="auto"/>
              <w:bottom w:val="nil" w:sz="6" w:space="0" w:color="auto"/>
              <w:right w:val="nil" w:sz="6" w:space="0" w:color="auto"/>
            </w:tcBorders>
          </w:tcPr>
          <w:p>
            <w:pPr/>
          </w:p>
        </w:tc>
        <w:tc>
          <w:tcPr>
            <w:tcW w:w="1135" w:type="dxa"/>
            <w:tcBorders>
              <w:top w:val="single" w:sz="6" w:space="0" w:color="000000"/>
              <w:left w:val="nil" w:sz="6" w:space="0" w:color="auto"/>
              <w:bottom w:val="nil" w:sz="6" w:space="0" w:color="auto"/>
              <w:right w:val="nil" w:sz="6" w:space="0" w:color="auto"/>
            </w:tcBorders>
          </w:tcPr>
          <w:p>
            <w:pPr/>
          </w:p>
        </w:tc>
        <w:tc>
          <w:tcPr>
            <w:tcW w:w="1134" w:type="dxa"/>
            <w:tcBorders>
              <w:top w:val="single" w:sz="6" w:space="0" w:color="000000"/>
              <w:left w:val="nil" w:sz="6" w:space="0" w:color="auto"/>
              <w:bottom w:val="nil" w:sz="6" w:space="0" w:color="auto"/>
              <w:right w:val="nil" w:sz="6" w:space="0" w:color="auto"/>
            </w:tcBorders>
          </w:tcPr>
          <w:p>
            <w:pPr/>
          </w:p>
        </w:tc>
        <w:tc>
          <w:tcPr>
            <w:tcW w:w="1055" w:type="dxa"/>
            <w:tcBorders>
              <w:top w:val="single" w:sz="6" w:space="0" w:color="000000"/>
              <w:left w:val="nil" w:sz="6" w:space="0" w:color="auto"/>
              <w:bottom w:val="nil" w:sz="6" w:space="0" w:color="auto"/>
              <w:right w:val="nil" w:sz="6" w:space="0" w:color="auto"/>
            </w:tcBorders>
          </w:tcPr>
          <w:p>
            <w:pPr/>
          </w:p>
        </w:tc>
        <w:tc>
          <w:tcPr>
            <w:tcW w:w="329" w:type="dxa"/>
            <w:tcBorders>
              <w:top w:val="single" w:sz="6" w:space="0" w:color="000000"/>
              <w:left w:val="nil" w:sz="6" w:space="0" w:color="auto"/>
              <w:bottom w:val="nil" w:sz="6" w:space="0" w:color="auto"/>
              <w:right w:val="nil" w:sz="6" w:space="0" w:color="auto"/>
            </w:tcBorders>
          </w:tcPr>
          <w:p>
            <w:pPr/>
          </w:p>
        </w:tc>
      </w:tr>
      <w:tr>
        <w:trPr>
          <w:trHeight w:val="348" w:hRule="exact"/>
        </w:trPr>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自适应威胁管理安全防护系统</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ATMSYS</w:t>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1"/>
              <w:jc w:val="right"/>
              <w:rPr>
                <w:rFonts w:ascii="Times New Roman" w:hAnsi="Times New Roman" w:cs="Times New Roman" w:eastAsia="Times New Roman" w:hint="default"/>
                <w:sz w:val="18"/>
                <w:szCs w:val="18"/>
              </w:rPr>
            </w:pPr>
            <w:r>
              <w:rPr>
                <w:rFonts w:ascii="Times New Roman"/>
                <w:sz w:val="18"/>
              </w:rPr>
              <w:t>197,612.00</w:t>
            </w:r>
          </w:p>
        </w:tc>
        <w:tc>
          <w:tcPr>
            <w:tcW w:w="1135"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197,612.00</w:t>
            </w:r>
          </w:p>
        </w:tc>
        <w:tc>
          <w:tcPr>
            <w:tcW w:w="329" w:type="dxa"/>
            <w:tcBorders>
              <w:top w:val="nil" w:sz="6" w:space="0" w:color="auto"/>
              <w:left w:val="nil" w:sz="6" w:space="0" w:color="auto"/>
              <w:bottom w:val="nil" w:sz="6" w:space="0" w:color="auto"/>
              <w:right w:val="nil" w:sz="6" w:space="0" w:color="auto"/>
            </w:tcBorders>
          </w:tcPr>
          <w:p>
            <w:pPr/>
          </w:p>
        </w:tc>
      </w:tr>
      <w:tr>
        <w:trPr>
          <w:trHeight w:val="353" w:hRule="exact"/>
        </w:trPr>
        <w:tc>
          <w:tcPr>
            <w:tcW w:w="3970" w:type="dxa"/>
            <w:tcBorders>
              <w:top w:val="nil" w:sz="6" w:space="0" w:color="auto"/>
              <w:left w:val="nil" w:sz="6" w:space="0" w:color="auto"/>
              <w:bottom w:val="nil" w:sz="6" w:space="0" w:color="auto"/>
              <w:right w:val="nil" w:sz="6" w:space="0" w:color="auto"/>
            </w:tcBorders>
          </w:tcPr>
          <w:p>
            <w:pPr>
              <w:pStyle w:val="TableParagraph"/>
              <w:tabs>
                <w:tab w:pos="531" w:val="left" w:leader="none"/>
              </w:tabs>
              <w:spacing w:line="240" w:lineRule="auto" w:before="4"/>
              <w:ind w:left="13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0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91"/>
              <w:jc w:val="right"/>
              <w:rPr>
                <w:rFonts w:ascii="Times New Roman" w:hAnsi="Times New Roman" w:cs="Times New Roman" w:eastAsia="Times New Roman" w:hint="default"/>
                <w:sz w:val="18"/>
                <w:szCs w:val="18"/>
              </w:rPr>
            </w:pPr>
            <w:r>
              <w:rPr>
                <w:rFonts w:ascii="Times New Roman"/>
                <w:spacing w:val="-1"/>
                <w:sz w:val="18"/>
              </w:rPr>
              <w:t>3,197,612.00</w:t>
            </w:r>
            <w:r>
              <w:rPr>
                <w:rFonts w:ascii="Times New Roman"/>
                <w:sz w:val="18"/>
              </w:rPr>
            </w:r>
          </w:p>
        </w:tc>
        <w:tc>
          <w:tcPr>
            <w:tcW w:w="113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93" w:right="0"/>
              <w:jc w:val="left"/>
              <w:rPr>
                <w:rFonts w:ascii="Times New Roman" w:hAnsi="Times New Roman" w:cs="Times New Roman" w:eastAsia="Times New Roman" w:hint="default"/>
                <w:sz w:val="18"/>
                <w:szCs w:val="18"/>
              </w:rPr>
            </w:pPr>
            <w:r>
              <w:rPr>
                <w:rFonts w:ascii="Times New Roman"/>
                <w:sz w:val="18"/>
              </w:rPr>
              <w:t>5,685,000.00</w:t>
            </w:r>
          </w:p>
        </w:tc>
        <w:tc>
          <w:tcPr>
            <w:tcW w:w="11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93" w:right="0"/>
              <w:jc w:val="left"/>
              <w:rPr>
                <w:rFonts w:ascii="Times New Roman" w:hAnsi="Times New Roman" w:cs="Times New Roman" w:eastAsia="Times New Roman" w:hint="default"/>
                <w:sz w:val="18"/>
                <w:szCs w:val="18"/>
              </w:rPr>
            </w:pPr>
            <w:r>
              <w:rPr>
                <w:rFonts w:ascii="Times New Roman"/>
                <w:sz w:val="18"/>
              </w:rPr>
              <w:t>4,608,884.64</w:t>
            </w:r>
          </w:p>
        </w:tc>
        <w:tc>
          <w:tcPr>
            <w:tcW w:w="10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4,273,727.36</w:t>
            </w:r>
            <w:r>
              <w:rPr>
                <w:rFonts w:ascii="Times New Roman"/>
                <w:sz w:val="18"/>
              </w:rPr>
            </w:r>
          </w:p>
        </w:tc>
        <w:tc>
          <w:tcPr>
            <w:tcW w:w="32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spacing w:before="26"/>
        <w:ind w:left="14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宋体" w:hAnsi="宋体" w:cs="宋体" w:eastAsia="宋体" w:hint="default"/>
          <w:b/>
          <w:bCs/>
          <w:sz w:val="24"/>
          <w:szCs w:val="24"/>
        </w:rPr>
        <w:t>、其他非流动负债</w:t>
      </w:r>
      <w:r>
        <w:rPr>
          <w:rFonts w:ascii="宋体" w:hAnsi="宋体" w:cs="宋体" w:eastAsia="宋体" w:hint="default"/>
          <w:sz w:val="24"/>
          <w:szCs w:val="24"/>
        </w:rPr>
      </w:r>
    </w:p>
    <w:p>
      <w:pPr>
        <w:spacing w:line="240" w:lineRule="auto" w:before="4"/>
        <w:rPr>
          <w:rFonts w:ascii="宋体" w:hAnsi="宋体" w:cs="宋体" w:eastAsia="宋体" w:hint="default"/>
          <w:b/>
          <w:bCs/>
          <w:sz w:val="7"/>
          <w:szCs w:val="7"/>
        </w:rPr>
      </w:pPr>
    </w:p>
    <w:tbl>
      <w:tblPr>
        <w:tblW w:w="0" w:type="auto"/>
        <w:jc w:val="left"/>
        <w:tblInd w:w="915" w:type="dxa"/>
        <w:tblLayout w:type="fixed"/>
        <w:tblCellMar>
          <w:top w:w="0" w:type="dxa"/>
          <w:left w:w="0" w:type="dxa"/>
          <w:bottom w:w="0" w:type="dxa"/>
          <w:right w:w="0" w:type="dxa"/>
        </w:tblCellMar>
        <w:tblLook w:val="01E0"/>
      </w:tblPr>
      <w:tblGrid>
        <w:gridCol w:w="1645"/>
        <w:gridCol w:w="3839"/>
        <w:gridCol w:w="1580"/>
        <w:gridCol w:w="1290"/>
      </w:tblGrid>
      <w:tr>
        <w:trPr>
          <w:trHeight w:val="270" w:hRule="exact"/>
        </w:trPr>
        <w:tc>
          <w:tcPr>
            <w:tcW w:w="1645" w:type="dxa"/>
            <w:tcBorders>
              <w:top w:val="nil" w:sz="6" w:space="0" w:color="auto"/>
              <w:left w:val="nil" w:sz="6" w:space="0" w:color="auto"/>
              <w:bottom w:val="single" w:sz="4" w:space="0" w:color="000000"/>
              <w:right w:val="nil" w:sz="6" w:space="0" w:color="auto"/>
            </w:tcBorders>
          </w:tcPr>
          <w:p>
            <w:pPr>
              <w:pStyle w:val="TableParagraph"/>
              <w:tabs>
                <w:tab w:pos="1207" w:val="left" w:leader="none"/>
              </w:tabs>
              <w:spacing w:line="199" w:lineRule="exact"/>
              <w:ind w:left="40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839" w:type="dxa"/>
            <w:tcBorders>
              <w:top w:val="nil" w:sz="6" w:space="0" w:color="auto"/>
              <w:left w:val="nil" w:sz="6" w:space="0" w:color="auto"/>
              <w:bottom w:val="single" w:sz="4" w:space="0" w:color="000000"/>
              <w:right w:val="nil" w:sz="6" w:space="0" w:color="auto"/>
            </w:tcBorders>
          </w:tcPr>
          <w:p>
            <w:pPr>
              <w:pStyle w:val="TableParagraph"/>
              <w:tabs>
                <w:tab w:pos="769" w:val="left" w:leader="none"/>
              </w:tabs>
              <w:spacing w:line="199" w:lineRule="exact"/>
              <w:ind w:left="166" w:right="0"/>
              <w:jc w:val="center"/>
              <w:rPr>
                <w:rFonts w:ascii="宋体" w:hAnsi="宋体" w:cs="宋体" w:eastAsia="宋体" w:hint="default"/>
                <w:sz w:val="20"/>
                <w:szCs w:val="20"/>
              </w:rPr>
            </w:pPr>
            <w:r>
              <w:rPr>
                <w:rFonts w:ascii="宋体" w:hAnsi="宋体" w:cs="宋体" w:eastAsia="宋体" w:hint="default"/>
                <w:w w:val="95"/>
                <w:sz w:val="20"/>
                <w:szCs w:val="20"/>
              </w:rPr>
              <w:t>内</w:t>
              <w:tab/>
            </w:r>
            <w:r>
              <w:rPr>
                <w:rFonts w:ascii="宋体" w:hAnsi="宋体" w:cs="宋体" w:eastAsia="宋体" w:hint="default"/>
                <w:sz w:val="20"/>
                <w:szCs w:val="20"/>
              </w:rPr>
              <w:t>容</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199" w:lineRule="exact"/>
              <w:ind w:left="549"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199" w:lineRule="exact"/>
              <w:ind w:left="433" w:right="0"/>
              <w:jc w:val="left"/>
              <w:rPr>
                <w:rFonts w:ascii="宋体" w:hAnsi="宋体" w:cs="宋体" w:eastAsia="宋体" w:hint="default"/>
                <w:sz w:val="20"/>
                <w:szCs w:val="20"/>
              </w:rPr>
            </w:pPr>
            <w:r>
              <w:rPr>
                <w:rFonts w:ascii="宋体" w:hAnsi="宋体" w:cs="宋体" w:eastAsia="宋体" w:hint="default"/>
                <w:sz w:val="20"/>
                <w:szCs w:val="20"/>
              </w:rPr>
              <w:t>期初数</w:t>
            </w:r>
          </w:p>
        </w:tc>
      </w:tr>
      <w:tr>
        <w:trPr>
          <w:trHeight w:val="355" w:hRule="exact"/>
        </w:trPr>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83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38" w:right="0"/>
              <w:jc w:val="left"/>
              <w:rPr>
                <w:rFonts w:ascii="宋体" w:hAnsi="宋体" w:cs="宋体" w:eastAsia="宋体" w:hint="default"/>
                <w:sz w:val="20"/>
                <w:szCs w:val="20"/>
              </w:rPr>
            </w:pPr>
            <w:r>
              <w:rPr>
                <w:rFonts w:ascii="宋体" w:hAnsi="宋体" w:cs="宋体" w:eastAsia="宋体" w:hint="default"/>
                <w:sz w:val="20"/>
                <w:szCs w:val="20"/>
              </w:rPr>
              <w:t>数字社区服务信息平台</w:t>
            </w:r>
          </w:p>
        </w:tc>
        <w:tc>
          <w:tcPr>
            <w:tcW w:w="287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741" w:right="0"/>
              <w:jc w:val="left"/>
              <w:rPr>
                <w:rFonts w:ascii="Times New Roman" w:hAnsi="Times New Roman" w:cs="Times New Roman" w:eastAsia="Times New Roman" w:hint="default"/>
                <w:sz w:val="18"/>
                <w:szCs w:val="18"/>
              </w:rPr>
            </w:pPr>
            <w:r>
              <w:rPr>
                <w:rFonts w:ascii="Times New Roman"/>
                <w:sz w:val="18"/>
              </w:rPr>
              <w:t>1,057,500.00</w:t>
            </w:r>
          </w:p>
        </w:tc>
      </w:tr>
      <w:tr>
        <w:trPr>
          <w:trHeight w:val="353" w:hRule="exact"/>
        </w:trPr>
        <w:tc>
          <w:tcPr>
            <w:tcW w:w="1645" w:type="dxa"/>
            <w:tcBorders>
              <w:top w:val="nil" w:sz="6" w:space="0" w:color="auto"/>
              <w:left w:val="nil" w:sz="6" w:space="0" w:color="auto"/>
              <w:bottom w:val="nil" w:sz="6" w:space="0" w:color="auto"/>
              <w:right w:val="nil" w:sz="6" w:space="0" w:color="auto"/>
            </w:tcBorders>
          </w:tcPr>
          <w:p>
            <w:pPr>
              <w:pStyle w:val="TableParagraph"/>
              <w:tabs>
                <w:tab w:pos="1007" w:val="left" w:leader="none"/>
              </w:tabs>
              <w:spacing w:line="240" w:lineRule="auto" w:before="4"/>
              <w:ind w:left="60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839" w:type="dxa"/>
            <w:tcBorders>
              <w:top w:val="nil" w:sz="6" w:space="0" w:color="auto"/>
              <w:left w:val="nil" w:sz="6" w:space="0" w:color="auto"/>
              <w:bottom w:val="nil" w:sz="6" w:space="0" w:color="auto"/>
              <w:right w:val="nil" w:sz="6" w:space="0" w:color="auto"/>
            </w:tcBorders>
          </w:tcPr>
          <w:p>
            <w:pPr/>
          </w:p>
        </w:tc>
        <w:tc>
          <w:tcPr>
            <w:tcW w:w="2870"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741" w:right="0"/>
              <w:jc w:val="left"/>
              <w:rPr>
                <w:rFonts w:ascii="Times New Roman" w:hAnsi="Times New Roman" w:cs="Times New Roman" w:eastAsia="Times New Roman" w:hint="default"/>
                <w:sz w:val="18"/>
                <w:szCs w:val="18"/>
              </w:rPr>
            </w:pPr>
            <w:r>
              <w:rPr>
                <w:rFonts w:ascii="Times New Roman"/>
                <w:sz w:val="18"/>
              </w:rPr>
              <w:t>1,057,500.00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50" w:footer="979" w:top="1380" w:bottom="1160" w:left="860" w:right="860"/>
        </w:sectPr>
      </w:pPr>
    </w:p>
    <w:p>
      <w:pPr>
        <w:spacing w:before="26"/>
        <w:ind w:left="1420"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20</w:t>
      </w:r>
      <w:r>
        <w:rPr>
          <w:rFonts w:ascii="宋体" w:hAnsi="宋体" w:cs="宋体" w:eastAsia="宋体" w:hint="default"/>
          <w:b/>
          <w:bCs/>
          <w:w w:val="95"/>
          <w:sz w:val="24"/>
          <w:szCs w:val="24"/>
        </w:rPr>
        <w:t>、股本</w:t>
      </w:r>
      <w:r>
        <w:rPr>
          <w:rFonts w:ascii="宋体" w:hAnsi="宋体" w:cs="宋体" w:eastAsia="宋体" w:hint="default"/>
          <w:sz w:val="24"/>
          <w:szCs w:val="24"/>
        </w:rPr>
      </w:r>
    </w:p>
    <w:p>
      <w:pPr>
        <w:spacing w:line="240" w:lineRule="auto" w:before="9"/>
        <w:rPr>
          <w:rFonts w:ascii="宋体" w:hAnsi="宋体" w:cs="宋体" w:eastAsia="宋体" w:hint="default"/>
          <w:b/>
          <w:bCs/>
          <w:sz w:val="29"/>
          <w:szCs w:val="29"/>
        </w:rPr>
      </w:pPr>
    </w:p>
    <w:p>
      <w:pPr>
        <w:spacing w:before="0"/>
        <w:ind w:left="745" w:right="0" w:firstLine="0"/>
        <w:jc w:val="left"/>
        <w:rPr>
          <w:rFonts w:ascii="宋体" w:hAnsi="宋体" w:cs="宋体" w:eastAsia="宋体" w:hint="default"/>
          <w:sz w:val="18"/>
          <w:szCs w:val="18"/>
        </w:rPr>
      </w:pPr>
      <w:r>
        <w:rPr/>
        <w:pict>
          <v:group style="position:absolute;margin-left:134.399994pt;margin-top:-.168293pt;width:305.55pt;height:.5pt;mso-position-horizontal-relative:page;mso-position-vertical-relative:paragraph;z-index:-604408" coordorigin="2688,-3" coordsize="6111,10">
            <v:group style="position:absolute;left:2693;top:1;width:1085;height:2" coordorigin="2693,1" coordsize="1085,2">
              <v:shape style="position:absolute;left:2693;top:1;width:1085;height:2" coordorigin="2693,1" coordsize="1085,0" path="m2693,1l3778,1e" filled="false" stroked="true" strokeweight=".48pt" strokecolor="#000000">
                <v:path arrowok="t"/>
              </v:shape>
            </v:group>
            <v:group style="position:absolute;left:3778;top:1;width:10;height:2" coordorigin="3778,1" coordsize="10,2">
              <v:shape style="position:absolute;left:3778;top:1;width:10;height:2" coordorigin="3778,1" coordsize="10,0" path="m3778,1l3787,1e" filled="false" stroked="true" strokeweight=".48pt" strokecolor="#000000">
                <v:path arrowok="t"/>
              </v:shape>
            </v:group>
            <v:group style="position:absolute;left:3787;top:1;width:65;height:2" coordorigin="3787,1" coordsize="65,2">
              <v:shape style="position:absolute;left:3787;top:1;width:65;height:2" coordorigin="3787,1" coordsize="65,0" path="m3787,1l3852,1e" filled="false" stroked="true" strokeweight=".48pt" strokecolor="#000000">
                <v:path arrowok="t"/>
              </v:shape>
            </v:group>
            <v:group style="position:absolute;left:3852;top:1;width:10;height:2" coordorigin="3852,1" coordsize="10,2">
              <v:shape style="position:absolute;left:3852;top:1;width:10;height:2" coordorigin="3852,1" coordsize="10,0" path="m3852,1l3862,1e" filled="false" stroked="true" strokeweight=".48pt" strokecolor="#000000">
                <v:path arrowok="t"/>
              </v:shape>
            </v:group>
            <v:group style="position:absolute;left:3862;top:1;width:780;height:2" coordorigin="3862,1" coordsize="780,2">
              <v:shape style="position:absolute;left:3862;top:1;width:780;height:2" coordorigin="3862,1" coordsize="780,0" path="m3862,1l4642,1e" filled="false" stroked="true" strokeweight=".48pt" strokecolor="#000000">
                <v:path arrowok="t"/>
              </v:shape>
            </v:group>
            <v:group style="position:absolute;left:4716;top:1;width:1148;height:2" coordorigin="4716,1" coordsize="1148,2">
              <v:shape style="position:absolute;left:4716;top:1;width:1148;height:2" coordorigin="4716,1" coordsize="1148,0" path="m4716,1l5863,1e" filled="false" stroked="true" strokeweight=".48pt" strokecolor="#000000">
                <v:path arrowok="t"/>
              </v:shape>
            </v:group>
            <v:group style="position:absolute;left:5863;top:1;width:10;height:2" coordorigin="5863,1" coordsize="10,2">
              <v:shape style="position:absolute;left:5863;top:1;width:10;height:2" coordorigin="5863,1" coordsize="10,0" path="m5863,1l5873,1e" filled="false" stroked="true" strokeweight=".48pt" strokecolor="#000000">
                <v:path arrowok="t"/>
              </v:shape>
            </v:group>
            <v:group style="position:absolute;left:5873;top:1;width:75;height:2" coordorigin="5873,1" coordsize="75,2">
              <v:shape style="position:absolute;left:5873;top:1;width:75;height:2" coordorigin="5873,1" coordsize="75,0" path="m5873,1l5947,1e" filled="false" stroked="true" strokeweight=".48pt" strokecolor="#000000">
                <v:path arrowok="t"/>
              </v:shape>
            </v:group>
            <v:group style="position:absolute;left:5947;top:1;width:10;height:2" coordorigin="5947,1" coordsize="10,2">
              <v:shape style="position:absolute;left:5947;top:1;width:10;height:2" coordorigin="5947,1" coordsize="10,0" path="m5947,1l5957,1e" filled="false" stroked="true" strokeweight=".48pt" strokecolor="#000000">
                <v:path arrowok="t"/>
              </v:shape>
            </v:group>
            <v:group style="position:absolute;left:5957;top:1;width:416;height:2" coordorigin="5957,1" coordsize="416,2">
              <v:shape style="position:absolute;left:5957;top:1;width:416;height:2" coordorigin="5957,1" coordsize="416,0" path="m5957,1l6372,1e" filled="false" stroked="true" strokeweight=".48pt" strokecolor="#000000">
                <v:path arrowok="t"/>
              </v:shape>
            </v:group>
            <v:group style="position:absolute;left:6372;top:1;width:10;height:2" coordorigin="6372,1" coordsize="10,2">
              <v:shape style="position:absolute;left:6372;top:1;width:10;height:2" coordorigin="6372,1" coordsize="10,0" path="m6372,1l6382,1e" filled="false" stroked="true" strokeweight=".48pt" strokecolor="#000000">
                <v:path arrowok="t"/>
              </v:shape>
            </v:group>
            <v:group style="position:absolute;left:6382;top:1;width:68;height:2" coordorigin="6382,1" coordsize="68,2">
              <v:shape style="position:absolute;left:6382;top:1;width:68;height:2" coordorigin="6382,1" coordsize="68,0" path="m6382,1l6449,1e" filled="false" stroked="true" strokeweight=".48pt" strokecolor="#000000">
                <v:path arrowok="t"/>
              </v:shape>
            </v:group>
            <v:group style="position:absolute;left:6449;top:1;width:10;height:2" coordorigin="6449,1" coordsize="10,2">
              <v:shape style="position:absolute;left:6449;top:1;width:10;height:2" coordorigin="6449,1" coordsize="10,0" path="m6449,1l6458,1e" filled="false" stroked="true" strokeweight=".48pt" strokecolor="#000000">
                <v:path arrowok="t"/>
              </v:shape>
            </v:group>
            <v:group style="position:absolute;left:6458;top:1;width:624;height:2" coordorigin="6458,1" coordsize="624,2">
              <v:shape style="position:absolute;left:6458;top:1;width:624;height:2" coordorigin="6458,1" coordsize="624,0" path="m6458,1l7082,1e" filled="false" stroked="true" strokeweight=".48pt" strokecolor="#000000">
                <v:path arrowok="t"/>
              </v:shape>
            </v:group>
            <v:group style="position:absolute;left:7082;top:1;width:10;height:2" coordorigin="7082,1" coordsize="10,2">
              <v:shape style="position:absolute;left:7082;top:1;width:10;height:2" coordorigin="7082,1" coordsize="10,0" path="m7082,1l7092,1e" filled="false" stroked="true" strokeweight=".48pt" strokecolor="#000000">
                <v:path arrowok="t"/>
              </v:shape>
            </v:group>
            <v:group style="position:absolute;left:7092;top:1;width:68;height:2" coordorigin="7092,1" coordsize="68,2">
              <v:shape style="position:absolute;left:7092;top:1;width:68;height:2" coordorigin="7092,1" coordsize="68,0" path="m7092,1l7159,1e" filled="false" stroked="true" strokeweight=".48pt" strokecolor="#000000">
                <v:path arrowok="t"/>
              </v:shape>
            </v:group>
            <v:group style="position:absolute;left:7159;top:1;width:10;height:2" coordorigin="7159,1" coordsize="10,2">
              <v:shape style="position:absolute;left:7159;top:1;width:10;height:2" coordorigin="7159,1" coordsize="10,0" path="m7159,1l7169,1e" filled="false" stroked="true" strokeweight=".48pt" strokecolor="#000000">
                <v:path arrowok="t"/>
              </v:shape>
            </v:group>
            <v:group style="position:absolute;left:7169;top:1;width:480;height:2" coordorigin="7169,1" coordsize="480,2">
              <v:shape style="position:absolute;left:7169;top:1;width:480;height:2" coordorigin="7169,1" coordsize="480,0" path="m7169,1l7649,1e" filled="false" stroked="true" strokeweight=".48pt" strokecolor="#000000">
                <v:path arrowok="t"/>
              </v:shape>
            </v:group>
            <v:group style="position:absolute;left:7649;top:1;width:10;height:2" coordorigin="7649,1" coordsize="10,2">
              <v:shape style="position:absolute;left:7649;top:1;width:10;height:2" coordorigin="7649,1" coordsize="10,0" path="m7649,1l7658,1e" filled="false" stroked="true" strokeweight=".48pt" strokecolor="#000000">
                <v:path arrowok="t"/>
              </v:shape>
            </v:group>
            <v:group style="position:absolute;left:7658;top:1;width:75;height:2" coordorigin="7658,1" coordsize="75,2">
              <v:shape style="position:absolute;left:7658;top:1;width:75;height:2" coordorigin="7658,1" coordsize="75,0" path="m7658,1l7733,1e" filled="false" stroked="true" strokeweight=".48pt" strokecolor="#000000">
                <v:path arrowok="t"/>
              </v:shape>
            </v:group>
            <v:group style="position:absolute;left:7733;top:1;width:10;height:2" coordorigin="7733,1" coordsize="10,2">
              <v:shape style="position:absolute;left:7733;top:1;width:10;height:2" coordorigin="7733,1" coordsize="10,0" path="m7733,1l7742,1e" filled="false" stroked="true" strokeweight=".48pt" strokecolor="#000000">
                <v:path arrowok="t"/>
              </v:shape>
            </v:group>
            <v:group style="position:absolute;left:7742;top:1;width:1052;height:2" coordorigin="7742,1" coordsize="1052,2">
              <v:shape style="position:absolute;left:7742;top:1;width:1052;height:2" coordorigin="7742,1" coordsize="1052,0" path="m7742,1l8794,1e" filled="false" stroked="true" strokeweight=".48pt" strokecolor="#000000">
                <v:path arrowok="t"/>
              </v:shape>
            </v:group>
            <w10:wrap type="none"/>
          </v:group>
        </w:pict>
      </w:r>
      <w:r>
        <w:rPr>
          <w:rFonts w:ascii="宋体" w:hAnsi="宋体" w:cs="宋体" w:eastAsia="宋体" w:hint="default"/>
          <w:sz w:val="18"/>
          <w:szCs w:val="18"/>
        </w:rPr>
        <w:t>项目</w:t>
      </w:r>
    </w:p>
    <w:p>
      <w:pPr>
        <w:spacing w:line="240" w:lineRule="auto" w:before="10"/>
        <w:rPr>
          <w:rFonts w:ascii="宋体" w:hAnsi="宋体" w:cs="宋体" w:eastAsia="宋体" w:hint="default"/>
          <w:sz w:val="24"/>
          <w:szCs w:val="24"/>
        </w:rPr>
      </w:pPr>
      <w:r>
        <w:rPr/>
        <w:br w:type="column"/>
      </w:r>
      <w:r>
        <w:rPr>
          <w:rFonts w:ascii="宋体"/>
          <w:sz w:val="24"/>
        </w:rPr>
      </w:r>
    </w:p>
    <w:p>
      <w:pPr>
        <w:tabs>
          <w:tab w:pos="2580" w:val="left" w:leader="none"/>
          <w:tab w:pos="6363" w:val="left" w:leader="none"/>
        </w:tabs>
        <w:spacing w:line="340" w:lineRule="atLeast" w:before="0"/>
        <w:ind w:left="3212" w:right="858" w:hanging="3099"/>
        <w:jc w:val="left"/>
        <w:rPr>
          <w:rFonts w:ascii="宋体" w:hAnsi="宋体" w:cs="宋体" w:eastAsia="宋体" w:hint="default"/>
          <w:sz w:val="18"/>
          <w:szCs w:val="18"/>
        </w:rPr>
      </w:pPr>
      <w:r>
        <w:rPr/>
        <w:pict>
          <v:group style="position:absolute;margin-left:444.600006pt;margin-top:20.933208pt;width:102.5pt;height:.5pt;mso-position-horizontal-relative:page;mso-position-vertical-relative:paragraph;z-index:-604384" coordorigin="8892,419" coordsize="2050,10">
            <v:group style="position:absolute;left:8897;top:423;width:1164;height:2" coordorigin="8897,423" coordsize="1164,2">
              <v:shape style="position:absolute;left:8897;top:423;width:1164;height:2" coordorigin="8897,423" coordsize="1164,0" path="m8897,423l10061,423e" filled="false" stroked="true" strokeweight=".48pt" strokecolor="#000000">
                <v:path arrowok="t"/>
              </v:shape>
            </v:group>
            <v:group style="position:absolute;left:10061;top:423;width:10;height:2" coordorigin="10061,423" coordsize="10,2">
              <v:shape style="position:absolute;left:10061;top:423;width:10;height:2" coordorigin="10061,423" coordsize="10,0" path="m10061,423l10070,423e" filled="false" stroked="true" strokeweight=".48pt" strokecolor="#000000">
                <v:path arrowok="t"/>
              </v:shape>
            </v:group>
            <v:group style="position:absolute;left:10070;top:423;width:87;height:2" coordorigin="10070,423" coordsize="87,2">
              <v:shape style="position:absolute;left:10070;top:423;width:87;height:2" coordorigin="10070,423" coordsize="87,0" path="m10070,423l10157,423e" filled="false" stroked="true" strokeweight=".48pt" strokecolor="#000000">
                <v:path arrowok="t"/>
              </v:shape>
            </v:group>
            <v:group style="position:absolute;left:10157;top:423;width:10;height:2" coordorigin="10157,423" coordsize="10,2">
              <v:shape style="position:absolute;left:10157;top:423;width:10;height:2" coordorigin="10157,423" coordsize="10,0" path="m10157,423l10166,423e" filled="false" stroked="true" strokeweight=".48pt" strokecolor="#000000">
                <v:path arrowok="t"/>
              </v:shape>
            </v:group>
            <v:group style="position:absolute;left:10166;top:423;width:771;height:2" coordorigin="10166,423" coordsize="771,2">
              <v:shape style="position:absolute;left:10166;top:423;width:771;height:2" coordorigin="10166,423" coordsize="771,0" path="m10166,423l10937,423e" filled="false" stroked="true" strokeweight=".48pt" strokecolor="#000000">
                <v:path arrowok="t"/>
              </v:shape>
            </v:group>
            <w10:wrap type="none"/>
          </v:group>
        </w:pict>
      </w:r>
      <w:r>
        <w:rPr>
          <w:rFonts w:ascii="宋体" w:hAnsi="宋体" w:cs="宋体" w:eastAsia="宋体" w:hint="default"/>
          <w:sz w:val="18"/>
          <w:szCs w:val="18"/>
        </w:rPr>
        <w:t>期初数</w:t>
        <w:tab/>
      </w:r>
      <w:r>
        <w:rPr>
          <w:rFonts w:ascii="宋体" w:hAnsi="宋体" w:cs="宋体" w:eastAsia="宋体" w:hint="default"/>
          <w:spacing w:val="-1"/>
          <w:sz w:val="18"/>
          <w:szCs w:val="18"/>
        </w:rPr>
        <w:t>本期增减变动（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期末数 公积金</w:t>
      </w:r>
    </w:p>
    <w:p>
      <w:pPr>
        <w:spacing w:after="0" w:line="340" w:lineRule="atLeast"/>
        <w:jc w:val="left"/>
        <w:rPr>
          <w:rFonts w:ascii="宋体" w:hAnsi="宋体" w:cs="宋体" w:eastAsia="宋体" w:hint="default"/>
          <w:sz w:val="18"/>
          <w:szCs w:val="18"/>
        </w:rPr>
        <w:sectPr>
          <w:type w:val="continuous"/>
          <w:pgSz w:w="11910" w:h="16840"/>
          <w:pgMar w:top="1380" w:bottom="1380" w:left="860" w:right="860"/>
          <w:cols w:num="2" w:equalWidth="0">
            <w:col w:w="2383" w:space="40"/>
            <w:col w:w="7767"/>
          </w:cols>
        </w:sectPr>
      </w:pPr>
    </w:p>
    <w:p>
      <w:pPr>
        <w:tabs>
          <w:tab w:pos="3205" w:val="left" w:leader="none"/>
          <w:tab w:pos="4069" w:val="left" w:leader="none"/>
          <w:tab w:pos="5120" w:val="left" w:leader="none"/>
          <w:tab w:pos="6375" w:val="left" w:leader="none"/>
          <w:tab w:pos="7129" w:val="left" w:leader="none"/>
          <w:tab w:pos="8437" w:val="left" w:leader="none"/>
          <w:tab w:pos="9507" w:val="left" w:leader="none"/>
        </w:tabs>
        <w:spacing w:line="163" w:lineRule="exact" w:before="0"/>
        <w:ind w:left="2192" w:right="0" w:firstLine="0"/>
        <w:jc w:val="left"/>
        <w:rPr>
          <w:rFonts w:ascii="宋体" w:hAnsi="宋体" w:cs="宋体" w:eastAsia="宋体" w:hint="default"/>
          <w:sz w:val="18"/>
          <w:szCs w:val="18"/>
        </w:rPr>
      </w:pPr>
      <w:r>
        <w:rPr/>
        <w:pict>
          <v:shape style="position:absolute;margin-left:134.639999pt;margin-top:7.317022pt;width:412.2pt;height:158.1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5"/>
                    <w:gridCol w:w="2086"/>
                    <w:gridCol w:w="547"/>
                    <w:gridCol w:w="672"/>
                    <w:gridCol w:w="608"/>
                    <w:gridCol w:w="1103"/>
                    <w:gridCol w:w="103"/>
                    <w:gridCol w:w="1164"/>
                  </w:tblGrid>
                  <w:tr>
                    <w:trPr>
                      <w:trHeight w:val="260" w:hRule="exact"/>
                    </w:trPr>
                    <w:tc>
                      <w:tcPr>
                        <w:tcW w:w="3718" w:type="dxa"/>
                        <w:gridSpan w:val="3"/>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single" w:sz="4" w:space="0" w:color="000000"/>
                          <w:right w:val="nil" w:sz="6" w:space="0" w:color="auto"/>
                        </w:tcBorders>
                      </w:tcPr>
                      <w:p>
                        <w:pPr>
                          <w:pStyle w:val="TableParagraph"/>
                          <w:spacing w:line="180" w:lineRule="exact"/>
                          <w:ind w:left="172"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2978" w:type="dxa"/>
                        <w:gridSpan w:val="4"/>
                        <w:tcBorders>
                          <w:top w:val="nil" w:sz="6" w:space="0" w:color="auto"/>
                          <w:left w:val="nil" w:sz="6" w:space="0" w:color="auto"/>
                          <w:bottom w:val="nil" w:sz="6" w:space="0" w:color="auto"/>
                          <w:right w:val="nil" w:sz="6" w:space="0" w:color="auto"/>
                        </w:tcBorders>
                      </w:tcPr>
                      <w:p>
                        <w:pPr/>
                      </w:p>
                    </w:tc>
                  </w:tr>
                  <w:tr>
                    <w:trPr>
                      <w:trHeight w:val="1817" w:hRule="exact"/>
                    </w:trPr>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Times New Roman" w:hAnsi="Times New Roman" w:cs="Times New Roman" w:eastAsia="Times New Roman" w:hint="default"/>
                            <w:sz w:val="16"/>
                            <w:szCs w:val="16"/>
                          </w:rPr>
                        </w:pPr>
                        <w:r>
                          <w:rPr>
                            <w:rFonts w:ascii="Times New Roman"/>
                            <w:spacing w:val="-1"/>
                            <w:sz w:val="16"/>
                          </w:rPr>
                          <w:t>42,000,000.00</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246"/>
                          <w:jc w:val="right"/>
                          <w:rPr>
                            <w:rFonts w:ascii="Times New Roman" w:hAnsi="Times New Roman" w:cs="Times New Roman" w:eastAsia="Times New Roman" w:hint="default"/>
                            <w:sz w:val="16"/>
                            <w:szCs w:val="16"/>
                          </w:rPr>
                        </w:pPr>
                        <w:r>
                          <w:rPr>
                            <w:rFonts w:ascii="Times New Roman"/>
                            <w:spacing w:val="-1"/>
                            <w:sz w:val="16"/>
                          </w:rPr>
                          <w:t>100.00%</w:t>
                        </w:r>
                      </w:p>
                    </w:tc>
                    <w:tc>
                      <w:tcPr>
                        <w:tcW w:w="547" w:type="dxa"/>
                        <w:tcBorders>
                          <w:top w:val="single" w:sz="4" w:space="0" w:color="000000"/>
                          <w:left w:val="nil" w:sz="6" w:space="0" w:color="auto"/>
                          <w:bottom w:val="nil" w:sz="6" w:space="0" w:color="auto"/>
                          <w:right w:val="nil" w:sz="6" w:space="0" w:color="auto"/>
                        </w:tcBorders>
                      </w:tcPr>
                      <w:p>
                        <w:pPr/>
                      </w:p>
                    </w:tc>
                    <w:tc>
                      <w:tcPr>
                        <w:tcW w:w="672" w:type="dxa"/>
                        <w:tcBorders>
                          <w:top w:val="single" w:sz="4" w:space="0" w:color="000000"/>
                          <w:left w:val="nil" w:sz="6" w:space="0" w:color="auto"/>
                          <w:bottom w:val="nil" w:sz="6" w:space="0" w:color="auto"/>
                          <w:right w:val="nil" w:sz="6" w:space="0" w:color="auto"/>
                        </w:tcBorders>
                      </w:tcPr>
                      <w:p>
                        <w:pPr/>
                      </w:p>
                    </w:tc>
                    <w:tc>
                      <w:tcPr>
                        <w:tcW w:w="608" w:type="dxa"/>
                        <w:tcBorders>
                          <w:top w:val="single" w:sz="4" w:space="0" w:color="000000"/>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
                    </w:tc>
                    <w:tc>
                      <w:tcPr>
                        <w:tcW w:w="1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137"/>
                          <w:jc w:val="right"/>
                          <w:rPr>
                            <w:rFonts w:ascii="Times New Roman" w:hAnsi="Times New Roman" w:cs="Times New Roman" w:eastAsia="Times New Roman" w:hint="default"/>
                            <w:sz w:val="16"/>
                            <w:szCs w:val="16"/>
                          </w:rPr>
                        </w:pPr>
                        <w:r>
                          <w:rPr>
                            <w:rFonts w:ascii="Times New Roman"/>
                            <w:spacing w:val="-1"/>
                            <w:sz w:val="16"/>
                          </w:rPr>
                          <w:t>42,000,000.00</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310"/>
                          <w:jc w:val="right"/>
                          <w:rPr>
                            <w:rFonts w:ascii="Times New Roman" w:hAnsi="Times New Roman" w:cs="Times New Roman" w:eastAsia="Times New Roman" w:hint="default"/>
                            <w:sz w:val="16"/>
                            <w:szCs w:val="16"/>
                          </w:rPr>
                        </w:pPr>
                        <w:r>
                          <w:rPr>
                            <w:rFonts w:ascii="Times New Roman"/>
                            <w:spacing w:val="-1"/>
                            <w:sz w:val="16"/>
                          </w:rPr>
                          <w:t>75.00%</w:t>
                        </w:r>
                      </w:p>
                    </w:tc>
                  </w:tr>
                  <w:tr>
                    <w:trPr>
                      <w:trHeight w:val="578"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26"/>
                          <w:jc w:val="right"/>
                          <w:rPr>
                            <w:rFonts w:ascii="Times New Roman" w:hAnsi="Times New Roman" w:cs="Times New Roman" w:eastAsia="Times New Roman" w:hint="default"/>
                            <w:sz w:val="16"/>
                            <w:szCs w:val="16"/>
                          </w:rPr>
                        </w:pPr>
                        <w:r>
                          <w:rPr>
                            <w:rFonts w:ascii="Times New Roman"/>
                            <w:spacing w:val="-1"/>
                            <w:sz w:val="16"/>
                          </w:rPr>
                          <w:t>2,981,706.00</w:t>
                        </w:r>
                        <w:r>
                          <w:rPr>
                            <w:rFonts w:ascii="Times New Roman"/>
                            <w:sz w:val="16"/>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246"/>
                          <w:jc w:val="right"/>
                          <w:rPr>
                            <w:rFonts w:ascii="Times New Roman" w:hAnsi="Times New Roman" w:cs="Times New Roman" w:eastAsia="Times New Roman" w:hint="default"/>
                            <w:sz w:val="16"/>
                            <w:szCs w:val="16"/>
                          </w:rPr>
                        </w:pPr>
                        <w:r>
                          <w:rPr>
                            <w:rFonts w:ascii="Times New Roman"/>
                            <w:spacing w:val="-1"/>
                            <w:sz w:val="16"/>
                          </w:rPr>
                          <w:t>7.10%</w:t>
                        </w:r>
                      </w:p>
                    </w:tc>
                    <w:tc>
                      <w:tcPr>
                        <w:tcW w:w="54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36"/>
                          <w:jc w:val="right"/>
                          <w:rPr>
                            <w:rFonts w:ascii="Times New Roman" w:hAnsi="Times New Roman" w:cs="Times New Roman" w:eastAsia="Times New Roman" w:hint="default"/>
                            <w:sz w:val="16"/>
                            <w:szCs w:val="16"/>
                          </w:rPr>
                        </w:pPr>
                        <w:r>
                          <w:rPr>
                            <w:rFonts w:ascii="Times New Roman"/>
                            <w:spacing w:val="-1"/>
                            <w:sz w:val="16"/>
                          </w:rPr>
                          <w:t>2,981,706.00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310"/>
                          <w:jc w:val="right"/>
                          <w:rPr>
                            <w:rFonts w:ascii="Times New Roman" w:hAnsi="Times New Roman" w:cs="Times New Roman" w:eastAsia="Times New Roman" w:hint="default"/>
                            <w:sz w:val="16"/>
                            <w:szCs w:val="16"/>
                          </w:rPr>
                        </w:pPr>
                        <w:r>
                          <w:rPr>
                            <w:rFonts w:ascii="Times New Roman"/>
                            <w:spacing w:val="-1"/>
                            <w:sz w:val="16"/>
                          </w:rPr>
                          <w:t>5.32%</w:t>
                        </w:r>
                      </w:p>
                    </w:tc>
                  </w:tr>
                  <w:tr>
                    <w:trPr>
                      <w:trHeight w:val="506"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Times New Roman" w:hAnsi="Times New Roman" w:cs="Times New Roman" w:eastAsia="Times New Roman" w:hint="default"/>
                            <w:sz w:val="16"/>
                            <w:szCs w:val="16"/>
                          </w:rPr>
                        </w:pPr>
                        <w:r>
                          <w:rPr>
                            <w:rFonts w:ascii="Times New Roman"/>
                            <w:spacing w:val="-1"/>
                            <w:sz w:val="16"/>
                          </w:rPr>
                          <w:t>39,018,294.00</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46"/>
                          <w:jc w:val="right"/>
                          <w:rPr>
                            <w:rFonts w:ascii="Times New Roman" w:hAnsi="Times New Roman" w:cs="Times New Roman" w:eastAsia="Times New Roman" w:hint="default"/>
                            <w:sz w:val="16"/>
                            <w:szCs w:val="16"/>
                          </w:rPr>
                        </w:pPr>
                        <w:r>
                          <w:rPr>
                            <w:rFonts w:ascii="Times New Roman"/>
                            <w:spacing w:val="-1"/>
                            <w:sz w:val="16"/>
                          </w:rPr>
                          <w:t>92.90%</w:t>
                        </w:r>
                      </w:p>
                    </w:tc>
                    <w:tc>
                      <w:tcPr>
                        <w:tcW w:w="547"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36"/>
                          <w:jc w:val="right"/>
                          <w:rPr>
                            <w:rFonts w:ascii="Times New Roman" w:hAnsi="Times New Roman" w:cs="Times New Roman" w:eastAsia="Times New Roman" w:hint="default"/>
                            <w:sz w:val="16"/>
                            <w:szCs w:val="16"/>
                          </w:rPr>
                        </w:pPr>
                        <w:r>
                          <w:rPr>
                            <w:rFonts w:ascii="Times New Roman"/>
                            <w:spacing w:val="-1"/>
                            <w:sz w:val="16"/>
                          </w:rPr>
                          <w:t>39,018,294.00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310"/>
                          <w:jc w:val="right"/>
                          <w:rPr>
                            <w:rFonts w:ascii="Times New Roman" w:hAnsi="Times New Roman" w:cs="Times New Roman" w:eastAsia="Times New Roman" w:hint="default"/>
                            <w:sz w:val="16"/>
                            <w:szCs w:val="16"/>
                          </w:rPr>
                        </w:pPr>
                        <w:r>
                          <w:rPr>
                            <w:rFonts w:ascii="Times New Roman"/>
                            <w:spacing w:val="-1"/>
                            <w:sz w:val="16"/>
                          </w:rPr>
                          <w:t>69.68%</w:t>
                        </w:r>
                      </w:p>
                    </w:tc>
                  </w:tr>
                </w:tbl>
                <w:p>
                  <w:pPr/>
                </w:p>
              </w:txbxContent>
            </v:textbox>
            <w10:wrap type="none"/>
          </v:shape>
        </w:pict>
      </w:r>
      <w:r>
        <w:rPr>
          <w:rFonts w:ascii="宋体" w:hAnsi="宋体" w:cs="宋体" w:eastAsia="宋体" w:hint="default"/>
          <w:sz w:val="18"/>
          <w:szCs w:val="18"/>
        </w:rPr>
        <w:t>金额</w:t>
        <w:tab/>
        <w:t>比例</w:t>
        <w:tab/>
        <w:t>发行新股</w:t>
        <w:tab/>
        <w:t>送股</w:t>
        <w:tab/>
        <w:t>其他</w:t>
        <w:tab/>
        <w:t>小计</w:t>
        <w:tab/>
        <w:t>金额</w:t>
        <w:tab/>
        <w:t>比例</w:t>
      </w:r>
    </w:p>
    <w:p>
      <w:pPr>
        <w:spacing w:line="240" w:lineRule="auto" w:before="3"/>
        <w:rPr>
          <w:rFonts w:ascii="宋体" w:hAnsi="宋体" w:cs="宋体" w:eastAsia="宋体" w:hint="default"/>
          <w:sz w:val="18"/>
          <w:szCs w:val="18"/>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hAnsi="宋体" w:cs="宋体" w:eastAsia="宋体" w:hint="default"/>
          <w:sz w:val="2"/>
          <w:szCs w:val="2"/>
        </w:rPr>
      </w:r>
    </w:p>
    <w:p>
      <w:pPr>
        <w:spacing w:line="333" w:lineRule="auto" w:before="5"/>
        <w:ind w:left="135" w:right="8591" w:firstLine="0"/>
        <w:jc w:val="left"/>
        <w:rPr>
          <w:rFonts w:ascii="宋体" w:hAnsi="宋体" w:cs="宋体" w:eastAsia="宋体" w:hint="default"/>
          <w:sz w:val="18"/>
          <w:szCs w:val="18"/>
        </w:rPr>
      </w:pPr>
      <w:r>
        <w:rPr>
          <w:rFonts w:ascii="宋体" w:hAnsi="宋体" w:cs="宋体" w:eastAsia="宋体" w:hint="default"/>
          <w:sz w:val="18"/>
          <w:szCs w:val="18"/>
        </w:rPr>
        <w:t>一、有限售条件股 份</w:t>
      </w:r>
    </w:p>
    <w:p>
      <w:pPr>
        <w:spacing w:before="37"/>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p>
      <w:pPr>
        <w:spacing w:before="111"/>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p>
      <w:pPr>
        <w:spacing w:line="316" w:lineRule="auto" w:before="111"/>
        <w:ind w:left="135" w:right="8587" w:firstLine="0"/>
        <w:jc w:val="left"/>
        <w:rPr>
          <w:rFonts w:ascii="宋体" w:hAnsi="宋体" w:cs="宋体" w:eastAsia="宋体" w:hint="default"/>
          <w:sz w:val="19"/>
          <w:szCs w:val="19"/>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 </w:t>
      </w:r>
      <w:r>
        <w:rPr>
          <w:rFonts w:ascii="宋体" w:hAnsi="宋体" w:cs="宋体" w:eastAsia="宋体" w:hint="default"/>
          <w:i/>
          <w:w w:val="95"/>
          <w:sz w:val="19"/>
          <w:szCs w:val="19"/>
        </w:rPr>
        <w:t>其中：境内法人持</w:t>
      </w:r>
      <w:r>
        <w:rPr>
          <w:rFonts w:ascii="宋体" w:hAnsi="宋体" w:cs="宋体" w:eastAsia="宋体" w:hint="default"/>
          <w:i/>
          <w:w w:val="94"/>
          <w:sz w:val="19"/>
          <w:szCs w:val="19"/>
        </w:rPr>
        <w:t> </w:t>
      </w:r>
      <w:r>
        <w:rPr>
          <w:rFonts w:ascii="宋体" w:hAnsi="宋体" w:cs="宋体" w:eastAsia="宋体" w:hint="default"/>
          <w:i/>
          <w:sz w:val="19"/>
          <w:szCs w:val="19"/>
        </w:rPr>
        <w:t>股</w:t>
      </w:r>
      <w:r>
        <w:rPr>
          <w:rFonts w:ascii="宋体" w:hAnsi="宋体" w:cs="宋体" w:eastAsia="宋体" w:hint="default"/>
          <w:sz w:val="19"/>
          <w:szCs w:val="19"/>
        </w:rPr>
      </w:r>
    </w:p>
    <w:p>
      <w:pPr>
        <w:spacing w:before="14"/>
        <w:ind w:left="678" w:right="0" w:firstLine="0"/>
        <w:jc w:val="left"/>
        <w:rPr>
          <w:rFonts w:ascii="宋体" w:hAnsi="宋体" w:cs="宋体" w:eastAsia="宋体" w:hint="default"/>
          <w:sz w:val="19"/>
          <w:szCs w:val="19"/>
        </w:rPr>
      </w:pPr>
      <w:r>
        <w:rPr>
          <w:rFonts w:ascii="宋体" w:hAnsi="宋体" w:cs="宋体" w:eastAsia="宋体" w:hint="default"/>
          <w:i/>
          <w:sz w:val="19"/>
          <w:szCs w:val="19"/>
        </w:rPr>
        <w:t>境内自然人</w:t>
      </w:r>
      <w:r>
        <w:rPr>
          <w:rFonts w:ascii="宋体" w:hAnsi="宋体" w:cs="宋体" w:eastAsia="宋体" w:hint="default"/>
          <w:sz w:val="19"/>
          <w:szCs w:val="19"/>
        </w:rPr>
      </w:r>
    </w:p>
    <w:p>
      <w:pPr>
        <w:spacing w:before="77"/>
        <w:ind w:left="135" w:right="0" w:firstLine="0"/>
        <w:jc w:val="left"/>
        <w:rPr>
          <w:rFonts w:ascii="宋体" w:hAnsi="宋体" w:cs="宋体" w:eastAsia="宋体" w:hint="default"/>
          <w:sz w:val="19"/>
          <w:szCs w:val="19"/>
        </w:rPr>
      </w:pPr>
      <w:r>
        <w:rPr>
          <w:rFonts w:ascii="宋体" w:hAnsi="宋体" w:cs="宋体" w:eastAsia="宋体" w:hint="default"/>
          <w:i/>
          <w:sz w:val="19"/>
          <w:szCs w:val="19"/>
        </w:rPr>
        <w:t>持股</w:t>
      </w:r>
      <w:r>
        <w:rPr>
          <w:rFonts w:ascii="宋体" w:hAnsi="宋体" w:cs="宋体" w:eastAsia="宋体" w:hint="default"/>
          <w:sz w:val="19"/>
          <w:szCs w:val="19"/>
        </w:rPr>
      </w:r>
    </w:p>
    <w:p>
      <w:pPr>
        <w:spacing w:line="331" w:lineRule="auto" w:before="106"/>
        <w:ind w:left="135" w:right="85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 其中：境外法人持 股</w:t>
      </w:r>
    </w:p>
    <w:p>
      <w:pPr>
        <w:spacing w:before="22"/>
        <w:ind w:left="589" w:right="0" w:firstLine="0"/>
        <w:jc w:val="left"/>
        <w:rPr>
          <w:rFonts w:ascii="宋体" w:hAnsi="宋体" w:cs="宋体" w:eastAsia="宋体" w:hint="default"/>
          <w:sz w:val="18"/>
          <w:szCs w:val="18"/>
        </w:rPr>
      </w:pPr>
      <w:r>
        <w:rPr>
          <w:rFonts w:ascii="宋体" w:hAnsi="宋体" w:cs="宋体" w:eastAsia="宋体" w:hint="default"/>
          <w:sz w:val="18"/>
          <w:szCs w:val="18"/>
        </w:rPr>
        <w:t>境外自然人持</w:t>
      </w:r>
    </w:p>
    <w:p>
      <w:pPr>
        <w:spacing w:before="90"/>
        <w:ind w:left="135" w:right="0"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after="0"/>
        <w:jc w:val="left"/>
        <w:rPr>
          <w:rFonts w:ascii="宋体" w:hAnsi="宋体" w:cs="宋体" w:eastAsia="宋体" w:hint="default"/>
          <w:sz w:val="18"/>
          <w:szCs w:val="18"/>
        </w:rPr>
        <w:sectPr>
          <w:type w:val="continuous"/>
          <w:pgSz w:w="11910" w:h="16840"/>
          <w:pgMar w:top="1380" w:bottom="1380" w:left="860" w:right="860"/>
        </w:sectPr>
      </w:pPr>
    </w:p>
    <w:p>
      <w:pPr>
        <w:spacing w:line="336" w:lineRule="auto" w:before="88"/>
        <w:ind w:left="135" w:right="-19" w:firstLine="0"/>
        <w:jc w:val="left"/>
        <w:rPr>
          <w:rFonts w:ascii="宋体" w:hAnsi="宋体" w:cs="宋体" w:eastAsia="宋体" w:hint="default"/>
          <w:sz w:val="18"/>
          <w:szCs w:val="18"/>
        </w:rPr>
      </w:pPr>
      <w:r>
        <w:rPr>
          <w:rFonts w:ascii="宋体" w:hAnsi="宋体" w:cs="宋体" w:eastAsia="宋体" w:hint="default"/>
          <w:sz w:val="18"/>
          <w:szCs w:val="18"/>
        </w:rPr>
        <w:t>有限售条件股份合 计 二、无限售条件股 份</w:t>
      </w:r>
    </w:p>
    <w:p>
      <w:pPr>
        <w:spacing w:line="240" w:lineRule="auto" w:before="4"/>
        <w:rPr>
          <w:rFonts w:ascii="宋体" w:hAnsi="宋体" w:cs="宋体" w:eastAsia="宋体" w:hint="default"/>
          <w:sz w:val="23"/>
          <w:szCs w:val="23"/>
        </w:rPr>
      </w:pPr>
      <w:r>
        <w:rPr/>
        <w:br w:type="column"/>
      </w:r>
      <w:r>
        <w:rPr>
          <w:rFonts w:ascii="宋体"/>
          <w:sz w:val="23"/>
        </w:rPr>
      </w:r>
    </w:p>
    <w:p>
      <w:pPr>
        <w:tabs>
          <w:tab w:pos="1345" w:val="left" w:leader="none"/>
          <w:tab w:pos="6419" w:val="left" w:leader="none"/>
          <w:tab w:pos="7722" w:val="left" w:leader="none"/>
        </w:tabs>
        <w:spacing w:before="0"/>
        <w:ind w:left="135" w:right="0" w:firstLine="0"/>
        <w:jc w:val="left"/>
        <w:rPr>
          <w:rFonts w:ascii="Times New Roman" w:hAnsi="Times New Roman" w:cs="Times New Roman" w:eastAsia="Times New Roman" w:hint="default"/>
          <w:sz w:val="16"/>
          <w:szCs w:val="16"/>
        </w:rPr>
      </w:pPr>
      <w:r>
        <w:rPr/>
        <w:pict>
          <v:group style="position:absolute;margin-left:134.399994pt;margin-top:21.028746pt;width:159pt;height:.5pt;mso-position-horizontal-relative:page;mso-position-vertical-relative:paragraph;z-index:3232" coordorigin="2688,421" coordsize="3180,10">
            <v:group style="position:absolute;left:2693;top:425;width:1085;height:2" coordorigin="2693,425" coordsize="1085,2">
              <v:shape style="position:absolute;left:2693;top:425;width:1085;height:2" coordorigin="2693,425" coordsize="1085,0" path="m2693,425l3778,425e" filled="false" stroked="true" strokeweight=".48pt" strokecolor="#000000">
                <v:path arrowok="t"/>
              </v:shape>
            </v:group>
            <v:group style="position:absolute;left:3852;top:425;width:790;height:2" coordorigin="3852,425" coordsize="790,2">
              <v:shape style="position:absolute;left:3852;top:425;width:790;height:2" coordorigin="3852,425" coordsize="790,0" path="m3852,425l4642,425e" filled="false" stroked="true" strokeweight=".48pt" strokecolor="#000000">
                <v:path arrowok="t"/>
              </v:shape>
            </v:group>
            <v:group style="position:absolute;left:4716;top:425;width:1148;height:2" coordorigin="4716,425" coordsize="1148,2">
              <v:shape style="position:absolute;left:4716;top:425;width:1148;height:2" coordorigin="4716,425" coordsize="1148,0" path="m4716,425l5863,425e" filled="false" stroked="true" strokeweight=".48pt" strokecolor="#000000">
                <v:path arrowok="t"/>
              </v:shape>
            </v:group>
            <w10:wrap type="none"/>
          </v:group>
        </w:pict>
      </w:r>
      <w:r>
        <w:rPr/>
        <w:pict>
          <v:group style="position:absolute;margin-left:297.359985pt;margin-top:21.268745pt;width:21.25pt;height:.1pt;mso-position-horizontal-relative:page;mso-position-vertical-relative:paragraph;z-index:3256" coordorigin="5947,425" coordsize="425,2">
            <v:shape style="position:absolute;left:5947;top:425;width:425;height:2" coordorigin="5947,425" coordsize="425,0" path="m5947,425l6372,425e" filled="false" stroked="true" strokeweight=".48pt" strokecolor="#000000">
              <v:path arrowok="t"/>
            </v:shape>
            <w10:wrap type="none"/>
          </v:group>
        </w:pict>
      </w:r>
      <w:r>
        <w:rPr/>
        <w:pict>
          <v:group style="position:absolute;margin-left:322.440002pt;margin-top:21.268745pt;width:31.7pt;height:.1pt;mso-position-horizontal-relative:page;mso-position-vertical-relative:paragraph;z-index:3280" coordorigin="6449,425" coordsize="634,2">
            <v:shape style="position:absolute;left:6449;top:425;width:634;height:2" coordorigin="6449,425" coordsize="634,0" path="m6449,425l7082,425e" filled="false" stroked="true" strokeweight=".48pt" strokecolor="#000000">
              <v:path arrowok="t"/>
            </v:shape>
            <w10:wrap type="none"/>
          </v:group>
        </w:pict>
      </w:r>
      <w:r>
        <w:rPr/>
        <w:pict>
          <v:group style="position:absolute;margin-left:357.959991pt;margin-top:21.268745pt;width:24.5pt;height:.1pt;mso-position-horizontal-relative:page;mso-position-vertical-relative:paragraph;z-index:3304" coordorigin="7159,425" coordsize="490,2">
            <v:shape style="position:absolute;left:7159;top:425;width:490;height:2" coordorigin="7159,425" coordsize="490,0" path="m7159,425l7649,425e" filled="false" stroked="true" strokeweight=".48pt" strokecolor="#000000">
              <v:path arrowok="t"/>
            </v:shape>
            <w10:wrap type="none"/>
          </v:group>
        </w:pict>
      </w:r>
      <w:r>
        <w:rPr/>
        <w:pict>
          <v:group style="position:absolute;margin-left:386.640015pt;margin-top:21.268745pt;width:53.05pt;height:.1pt;mso-position-horizontal-relative:page;mso-position-vertical-relative:paragraph;z-index:3328" coordorigin="7733,425" coordsize="1061,2">
            <v:shape style="position:absolute;left:7733;top:425;width:1061;height:2" coordorigin="7733,425" coordsize="1061,0" path="m7733,425l8794,425e" filled="false" stroked="true" strokeweight=".48pt" strokecolor="#000000">
              <v:path arrowok="t"/>
            </v:shape>
            <w10:wrap type="none"/>
          </v:group>
        </w:pict>
      </w:r>
      <w:r>
        <w:rPr/>
        <w:pict>
          <v:group style="position:absolute;margin-left:444.839996pt;margin-top:21.268745pt;width:58.2pt;height:.1pt;mso-position-horizontal-relative:page;mso-position-vertical-relative:paragraph;z-index:3352" coordorigin="8897,425" coordsize="1164,2">
            <v:shape style="position:absolute;left:8897;top:425;width:1164;height:2" coordorigin="8897,425" coordsize="1164,0" path="m8897,425l10061,425e" filled="false" stroked="true" strokeweight=".48pt" strokecolor="#000000">
              <v:path arrowok="t"/>
            </v:shape>
            <w10:wrap type="none"/>
          </v:group>
        </w:pict>
      </w:r>
      <w:r>
        <w:rPr/>
        <w:pict>
          <v:group style="position:absolute;margin-left:507.839996pt;margin-top:21.268745pt;width:39pt;height:.1pt;mso-position-horizontal-relative:page;mso-position-vertical-relative:paragraph;z-index:3376" coordorigin="10157,425" coordsize="780,2">
            <v:shape style="position:absolute;left:10157;top:425;width:780;height:2" coordorigin="10157,425" coordsize="780,0" path="m10157,425l10937,425e" filled="false" stroked="true" strokeweight=".48pt" strokecolor="#000000">
              <v:path arrowok="t"/>
            </v:shape>
            <w10:wrap type="none"/>
          </v:group>
        </w:pict>
      </w:r>
      <w:r>
        <w:rPr>
          <w:rFonts w:ascii="Times New Roman"/>
          <w:spacing w:val="-1"/>
          <w:sz w:val="16"/>
        </w:rPr>
        <w:t>42,000,000.00</w:t>
        <w:tab/>
        <w:t>100.00%</w:t>
        <w:tab/>
        <w:t>42,000,000.00</w:t>
        <w:tab/>
        <w:t>75.00%</w:t>
      </w:r>
    </w:p>
    <w:p>
      <w:pPr>
        <w:spacing w:after="0"/>
        <w:jc w:val="left"/>
        <w:rPr>
          <w:rFonts w:ascii="Times New Roman" w:hAnsi="Times New Roman" w:cs="Times New Roman" w:eastAsia="Times New Roman" w:hint="default"/>
          <w:sz w:val="16"/>
          <w:szCs w:val="16"/>
        </w:rPr>
        <w:sectPr>
          <w:type w:val="continuous"/>
          <w:pgSz w:w="11910" w:h="16840"/>
          <w:pgMar w:top="1380" w:bottom="1380" w:left="860" w:right="860"/>
          <w:cols w:num="2" w:equalWidth="0">
            <w:col w:w="1577" w:space="257"/>
            <w:col w:w="8356"/>
          </w:cols>
        </w:sectPr>
      </w:pPr>
    </w:p>
    <w:p>
      <w:pPr>
        <w:tabs>
          <w:tab w:pos="4057" w:val="left" w:leader="none"/>
          <w:tab w:pos="7016" w:val="left" w:leader="none"/>
          <w:tab w:pos="8252" w:val="left" w:leader="none"/>
          <w:tab w:pos="9555" w:val="left" w:leader="none"/>
        </w:tabs>
        <w:spacing w:before="35"/>
        <w:ind w:left="135"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tab/>
      </w:r>
      <w:r>
        <w:rPr>
          <w:rFonts w:ascii="Times New Roman" w:hAnsi="Times New Roman" w:cs="Times New Roman" w:eastAsia="Times New Roman" w:hint="default"/>
          <w:spacing w:val="-1"/>
          <w:position w:val="1"/>
          <w:sz w:val="16"/>
          <w:szCs w:val="16"/>
        </w:rPr>
        <w:t>14,000,000.00</w:t>
        <w:tab/>
        <w:t>14,000,000.00</w:t>
        <w:tab/>
        <w:t>14,000,000.00</w:t>
        <w:tab/>
        <w:t>25.00%</w:t>
      </w:r>
      <w:r>
        <w:rPr>
          <w:rFonts w:ascii="Times New Roman" w:hAnsi="Times New Roman" w:cs="Times New Roman" w:eastAsia="Times New Roman" w:hint="default"/>
          <w:spacing w:val="-1"/>
          <w:sz w:val="16"/>
          <w:szCs w:val="16"/>
        </w:rPr>
      </w:r>
    </w:p>
    <w:p>
      <w:pPr>
        <w:spacing w:before="111"/>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p>
      <w:pPr>
        <w:spacing w:before="111"/>
        <w:ind w:left="13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p>
      <w:pPr>
        <w:spacing w:line="331" w:lineRule="auto" w:before="111"/>
        <w:ind w:left="135" w:right="85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无限售条件股份合 计</w:t>
      </w:r>
    </w:p>
    <w:p>
      <w:pPr>
        <w:spacing w:line="20" w:lineRule="exact"/>
        <w:ind w:left="1828" w:right="0" w:firstLine="0"/>
        <w:rPr>
          <w:rFonts w:ascii="宋体" w:hAnsi="宋体" w:cs="宋体" w:eastAsia="宋体" w:hint="default"/>
          <w:sz w:val="2"/>
          <w:szCs w:val="2"/>
        </w:rPr>
      </w:pPr>
      <w:r>
        <w:rPr>
          <w:rFonts w:ascii="宋体"/>
          <w:sz w:val="2"/>
        </w:rPr>
        <w:pict>
          <v:group style="width:159pt;height:.5pt;mso-position-horizontal-relative:char;mso-position-vertical-relative:line" coordorigin="0,0" coordsize="3180,10">
            <v:group style="position:absolute;left:5;top:5;width:1085;height:2" coordorigin="5,5" coordsize="1085,2">
              <v:shape style="position:absolute;left:5;top:5;width:1085;height:2" coordorigin="5,5" coordsize="1085,0" path="m5,5l1090,5e" filled="false" stroked="true" strokeweight=".48pt" strokecolor="#000000">
                <v:path arrowok="t"/>
              </v:shape>
            </v:group>
            <v:group style="position:absolute;left:1164;top:5;width:790;height:2" coordorigin="1164,5" coordsize="790,2">
              <v:shape style="position:absolute;left:1164;top:5;width:790;height:2" coordorigin="1164,5" coordsize="790,0" path="m1164,5l1954,5e" filled="false" stroked="true" strokeweight=".48pt" strokecolor="#000000">
                <v:path arrowok="t"/>
              </v:shape>
            </v:group>
            <v:group style="position:absolute;left:2028;top:5;width:1148;height:2" coordorigin="2028,5" coordsize="1148,2">
              <v:shape style="position:absolute;left:2028;top:5;width:1148;height:2" coordorigin="2028,5" coordsize="1148,0" path="m2028,5l3175,5e" filled="false" stroked="true" strokeweight=".48pt" strokecolor="#000000">
                <v:path arrowok="t"/>
              </v:shape>
            </v:group>
          </v:group>
        </w:pict>
      </w:r>
      <w:r>
        <w:rPr>
          <w:rFonts w:ascii="宋体"/>
          <w:sz w:val="2"/>
        </w:rPr>
      </w:r>
      <w:r>
        <w:rPr>
          <w:rFonts w:ascii="Times New Roman"/>
          <w:spacing w:val="64"/>
          <w:sz w:val="2"/>
        </w:rPr>
        <w:t> </w:t>
      </w:r>
      <w:r>
        <w:rPr>
          <w:rFonts w:ascii="宋体"/>
          <w:spacing w:val="64"/>
          <w:sz w:val="2"/>
        </w:rPr>
        <w:pict>
          <v:group style="width:21.75pt;height:.5pt;mso-position-horizontal-relative:char;mso-position-vertical-relative:line" coordorigin="0,0" coordsize="435,10">
            <v:group style="position:absolute;left:5;top:5;width:425;height:2" coordorigin="5,5" coordsize="425,2">
              <v:shape style="position:absolute;left:5;top:5;width:425;height:2" coordorigin="5,5" coordsize="425,0" path="m5,5l430,5e" filled="false" stroked="true" strokeweight=".48pt" strokecolor="#000000">
                <v:path arrowok="t"/>
              </v:shape>
            </v:group>
          </v:group>
        </w:pict>
      </w:r>
      <w:r>
        <w:rPr>
          <w:rFonts w:ascii="宋体"/>
          <w:spacing w:val="64"/>
          <w:sz w:val="2"/>
        </w:rPr>
      </w:r>
      <w:r>
        <w:rPr>
          <w:rFonts w:ascii="Times New Roman"/>
          <w:spacing w:val="56"/>
          <w:sz w:val="2"/>
        </w:rPr>
        <w:t> </w:t>
      </w:r>
      <w:r>
        <w:rPr>
          <w:rFonts w:ascii="宋体"/>
          <w:spacing w:val="56"/>
          <w:sz w:val="2"/>
        </w:rPr>
        <w:pict>
          <v:group style="width:32.2pt;height:.5pt;mso-position-horizontal-relative:char;mso-position-vertical-relative:line" coordorigin="0,0" coordsize="644,10">
            <v:group style="position:absolute;left:5;top:5;width:634;height:2" coordorigin="5,5" coordsize="634,2">
              <v:shape style="position:absolute;left:5;top:5;width:634;height:2" coordorigin="5,5" coordsize="634,0" path="m5,5l638,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25pt;height:.5pt;mso-position-horizontal-relative:char;mso-position-vertical-relative:line" coordorigin="0,0" coordsize="500,10">
            <v:group style="position:absolute;left:5;top:5;width:490;height:2" coordorigin="5,5" coordsize="490,2">
              <v:shape style="position:absolute;left:5;top:5;width:490;height:2" coordorigin="5,5" coordsize="490,0" path="m5,5l494,5e" filled="false" stroked="true" strokeweight=".48pt" strokecolor="#000000">
                <v:path arrowok="t"/>
              </v:shape>
            </v:group>
          </v:group>
        </w:pict>
      </w:r>
      <w:r>
        <w:rPr>
          <w:rFonts w:ascii="宋体"/>
          <w:spacing w:val="56"/>
          <w:sz w:val="2"/>
        </w:rPr>
      </w:r>
      <w:r>
        <w:rPr>
          <w:rFonts w:ascii="Times New Roman"/>
          <w:spacing w:val="63"/>
          <w:sz w:val="2"/>
        </w:rPr>
        <w:t> </w:t>
      </w:r>
      <w:r>
        <w:rPr>
          <w:rFonts w:ascii="宋体"/>
          <w:spacing w:val="63"/>
          <w:sz w:val="2"/>
        </w:rPr>
        <w:pict>
          <v:group style="width:53.55pt;height:.5pt;mso-position-horizontal-relative:char;mso-position-vertical-relative:line" coordorigin="0,0" coordsize="1071,10">
            <v:group style="position:absolute;left:5;top:5;width:1061;height:2" coordorigin="5,5" coordsize="1061,2">
              <v:shape style="position:absolute;left:5;top:5;width:1061;height:2" coordorigin="5,5" coordsize="1061,0" path="m5,5l1066,5e" filled="false" stroked="true" strokeweight=".48pt" strokecolor="#000000">
                <v:path arrowok="t"/>
              </v:shape>
            </v:group>
          </v:group>
        </w:pict>
      </w:r>
      <w:r>
        <w:rPr>
          <w:rFonts w:ascii="宋体"/>
          <w:spacing w:val="63"/>
          <w:sz w:val="2"/>
        </w:rPr>
      </w:r>
      <w:r>
        <w:rPr>
          <w:rFonts w:ascii="Times New Roman"/>
          <w:spacing w:val="83"/>
          <w:sz w:val="2"/>
        </w:rPr>
        <w:t> </w:t>
      </w:r>
      <w:r>
        <w:rPr>
          <w:rFonts w:ascii="宋体"/>
          <w:spacing w:val="83"/>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8pt" strokecolor="#000000">
                <v:path arrowok="t"/>
              </v:shape>
            </v:group>
          </v:group>
        </w:pict>
      </w:r>
      <w:r>
        <w:rPr>
          <w:rFonts w:ascii="宋体"/>
          <w:spacing w:val="83"/>
          <w:sz w:val="2"/>
        </w:rPr>
      </w:r>
      <w:r>
        <w:rPr>
          <w:rFonts w:ascii="Times New Roman"/>
          <w:spacing w:val="76"/>
          <w:sz w:val="2"/>
        </w:rPr>
        <w:t> </w:t>
      </w:r>
      <w:r>
        <w:rPr>
          <w:rFonts w:ascii="宋体"/>
          <w:spacing w:val="76"/>
          <w:sz w:val="2"/>
        </w:rPr>
        <w:pict>
          <v:group style="width:39.5pt;height:.5pt;mso-position-horizontal-relative:char;mso-position-vertical-relative:line" coordorigin="0,0" coordsize="790,10">
            <v:group style="position:absolute;left:5;top:5;width:780;height:2" coordorigin="5,5" coordsize="780,2">
              <v:shape style="position:absolute;left:5;top:5;width:780;height:2" coordorigin="5,5" coordsize="780,0" path="m5,5l785,5e" filled="false" stroked="true" strokeweight=".48pt" strokecolor="#000000">
                <v:path arrowok="t"/>
              </v:shape>
            </v:group>
          </v:group>
        </w:pict>
      </w:r>
      <w:r>
        <w:rPr>
          <w:rFonts w:ascii="宋体"/>
          <w:spacing w:val="76"/>
          <w:sz w:val="2"/>
        </w:rPr>
      </w:r>
    </w:p>
    <w:p>
      <w:pPr>
        <w:tabs>
          <w:tab w:pos="1969" w:val="left" w:leader="none"/>
          <w:tab w:pos="3179" w:val="left" w:leader="none"/>
          <w:tab w:pos="4057" w:val="left" w:leader="none"/>
          <w:tab w:pos="6985" w:val="left" w:leader="none"/>
          <w:tab w:pos="8252" w:val="left" w:leader="none"/>
          <w:tab w:pos="9476" w:val="left" w:leader="none"/>
        </w:tabs>
        <w:spacing w:before="29"/>
        <w:ind w:left="135" w:right="0" w:firstLine="0"/>
        <w:jc w:val="left"/>
        <w:rPr>
          <w:rFonts w:ascii="Times New Roman" w:hAnsi="Times New Roman" w:cs="Times New Roman" w:eastAsia="Times New Roman" w:hint="default"/>
          <w:sz w:val="16"/>
          <w:szCs w:val="16"/>
        </w:rPr>
      </w:pPr>
      <w:r>
        <w:rPr>
          <w:rFonts w:ascii="宋体" w:hAnsi="宋体" w:cs="宋体" w:eastAsia="宋体" w:hint="default"/>
          <w:sz w:val="18"/>
          <w:szCs w:val="18"/>
        </w:rPr>
        <w:t>三、股份总数</w:t>
        <w:tab/>
      </w:r>
      <w:r>
        <w:rPr>
          <w:rFonts w:ascii="Times New Roman" w:hAnsi="Times New Roman" w:cs="Times New Roman" w:eastAsia="Times New Roman" w:hint="default"/>
          <w:spacing w:val="-1"/>
          <w:position w:val="1"/>
          <w:sz w:val="16"/>
          <w:szCs w:val="16"/>
        </w:rPr>
        <w:t>42,000,000.00</w:t>
        <w:tab/>
        <w:t>100.00%</w:t>
        <w:tab/>
        <w:t>14,000,000.00</w:t>
        <w:tab/>
        <w:t>14,000,000.00</w:t>
        <w:tab/>
        <w:t>56,000,000.00</w:t>
        <w:tab/>
        <w:t>100.00%</w:t>
      </w:r>
      <w:r>
        <w:rPr>
          <w:rFonts w:ascii="Times New Roman" w:hAnsi="Times New Roman" w:cs="Times New Roman" w:eastAsia="Times New Roman" w:hint="default"/>
          <w:spacing w:val="-1"/>
          <w:sz w:val="16"/>
          <w:szCs w:val="16"/>
        </w:rPr>
      </w:r>
    </w:p>
    <w:p>
      <w:pPr>
        <w:spacing w:line="240" w:lineRule="auto" w:before="0"/>
        <w:rPr>
          <w:rFonts w:ascii="Times New Roman" w:hAnsi="Times New Roman" w:cs="Times New Roman" w:eastAsia="Times New Roman" w:hint="default"/>
          <w:sz w:val="8"/>
          <w:szCs w:val="8"/>
        </w:rPr>
      </w:pPr>
    </w:p>
    <w:p>
      <w:pPr>
        <w:spacing w:line="28" w:lineRule="exact"/>
        <w:ind w:left="1813" w:right="0" w:firstLine="0"/>
        <w:rPr>
          <w:rFonts w:ascii="Times New Roman" w:hAnsi="Times New Roman" w:cs="Times New Roman" w:eastAsia="Times New Roman" w:hint="default"/>
          <w:sz w:val="2"/>
          <w:szCs w:val="2"/>
        </w:rPr>
      </w:pPr>
      <w:r>
        <w:rPr>
          <w:rFonts w:ascii="Times New Roman"/>
          <w:position w:val="0"/>
          <w:sz w:val="2"/>
        </w:rPr>
        <w:pict>
          <v:group style="width:306.25pt;height:1.45pt;mso-position-horizontal-relative:char;mso-position-vertical-relative:line" coordorigin="0,0" coordsize="6125,29">
            <v:group style="position:absolute;left:5;top:24;width:1100;height:2" coordorigin="5,24" coordsize="1100,2">
              <v:shape style="position:absolute;left:5;top:24;width:1100;height:2" coordorigin="5,24" coordsize="1100,0" path="m5,24l1104,24e" filled="false" stroked="true" strokeweight=".48pt" strokecolor="#000000">
                <v:path arrowok="t"/>
              </v:shape>
            </v:group>
            <v:group style="position:absolute;left:5;top:5;width:1100;height:2" coordorigin="5,5" coordsize="1100,2">
              <v:shape style="position:absolute;left:5;top:5;width:1100;height:2" coordorigin="5,5" coordsize="1100,0" path="m5,5l1104,5e" filled="false" stroked="true" strokeweight=".48pt" strokecolor="#000000">
                <v:path arrowok="t"/>
              </v:shape>
            </v:group>
            <v:group style="position:absolute;left:1164;top:24;width:804;height:2" coordorigin="1164,24" coordsize="804,2">
              <v:shape style="position:absolute;left:1164;top:24;width:804;height:2" coordorigin="1164,24" coordsize="804,0" path="m1164,24l1968,24e" filled="false" stroked="true" strokeweight=".48pt" strokecolor="#000000">
                <v:path arrowok="t"/>
              </v:shape>
            </v:group>
            <v:group style="position:absolute;left:1164;top:5;width:804;height:2" coordorigin="1164,5" coordsize="804,2">
              <v:shape style="position:absolute;left:1164;top:5;width:804;height:2" coordorigin="1164,5" coordsize="804,0" path="m1164,5l1968,5e" filled="false" stroked="true" strokeweight=".48pt" strokecolor="#000000">
                <v:path arrowok="t"/>
              </v:shape>
            </v:group>
            <v:group style="position:absolute;left:2028;top:24;width:1162;height:2" coordorigin="2028,24" coordsize="1162,2">
              <v:shape style="position:absolute;left:2028;top:24;width:1162;height:2" coordorigin="2028,24" coordsize="1162,0" path="m2028,24l3190,24e" filled="false" stroked="true" strokeweight=".48pt" strokecolor="#000000">
                <v:path arrowok="t"/>
              </v:shape>
            </v:group>
            <v:group style="position:absolute;left:2028;top:5;width:1162;height:2" coordorigin="2028,5" coordsize="1162,2">
              <v:shape style="position:absolute;left:2028;top:5;width:1162;height:2" coordorigin="2028,5" coordsize="1162,0" path="m2028,5l3190,5e" filled="false" stroked="true" strokeweight=".48pt" strokecolor="#000000">
                <v:path arrowok="t"/>
              </v:shape>
            </v:group>
            <v:group style="position:absolute;left:3259;top:24;width:440;height:2" coordorigin="3259,24" coordsize="440,2">
              <v:shape style="position:absolute;left:3259;top:24;width:440;height:2" coordorigin="3259,24" coordsize="440,0" path="m3259,24l3698,24e" filled="false" stroked="true" strokeweight=".48pt" strokecolor="#000000">
                <v:path arrowok="t"/>
              </v:shape>
            </v:group>
            <v:group style="position:absolute;left:3259;top:5;width:440;height:2" coordorigin="3259,5" coordsize="440,2">
              <v:shape style="position:absolute;left:3259;top:5;width:440;height:2" coordorigin="3259,5" coordsize="440,0" path="m3259,5l3698,5e" filled="false" stroked="true" strokeweight=".48pt" strokecolor="#000000">
                <v:path arrowok="t"/>
              </v:shape>
            </v:group>
            <v:group style="position:absolute;left:3761;top:24;width:648;height:2" coordorigin="3761,24" coordsize="648,2">
              <v:shape style="position:absolute;left:3761;top:24;width:648;height:2" coordorigin="3761,24" coordsize="648,0" path="m3761,24l4409,24e" filled="false" stroked="true" strokeweight=".48pt" strokecolor="#000000">
                <v:path arrowok="t"/>
              </v:shape>
            </v:group>
            <v:group style="position:absolute;left:3761;top:5;width:648;height:2" coordorigin="3761,5" coordsize="648,2">
              <v:shape style="position:absolute;left:3761;top:5;width:648;height:2" coordorigin="3761,5" coordsize="648,0" path="m3761,5l4409,5e" filled="false" stroked="true" strokeweight=".48pt" strokecolor="#000000">
                <v:path arrowok="t"/>
              </v:shape>
            </v:group>
            <v:group style="position:absolute;left:4471;top:24;width:504;height:2" coordorigin="4471,24" coordsize="504,2">
              <v:shape style="position:absolute;left:4471;top:24;width:504;height:2" coordorigin="4471,24" coordsize="504,0" path="m4471,24l4975,24e" filled="false" stroked="true" strokeweight=".48pt" strokecolor="#000000">
                <v:path arrowok="t"/>
              </v:shape>
            </v:group>
            <v:group style="position:absolute;left:4471;top:5;width:504;height:2" coordorigin="4471,5" coordsize="504,2">
              <v:shape style="position:absolute;left:4471;top:5;width:504;height:2" coordorigin="4471,5" coordsize="504,0" path="m4471,5l4975,5e" filled="false" stroked="true" strokeweight=".48pt" strokecolor="#000000">
                <v:path arrowok="t"/>
              </v:shape>
            </v:group>
            <v:group style="position:absolute;left:5045;top:24;width:1076;height:2" coordorigin="5045,24" coordsize="1076,2">
              <v:shape style="position:absolute;left:5045;top:24;width:1076;height:2" coordorigin="5045,24" coordsize="1076,0" path="m5045,24l6120,24e" filled="false" stroked="true" strokeweight=".48pt" strokecolor="#000000">
                <v:path arrowok="t"/>
              </v:shape>
            </v:group>
            <v:group style="position:absolute;left:5045;top:5;width:1076;height:2" coordorigin="5045,5" coordsize="1076,2">
              <v:shape style="position:absolute;left:5045;top:5;width:1076;height:2" coordorigin="5045,5" coordsize="1076,0" path="m5045,5l6120,5e" filled="false" stroked="true" strokeweight=".48pt" strokecolor="#000000">
                <v:path arrowok="t"/>
              </v:shape>
            </v:group>
          </v:group>
        </w:pict>
      </w:r>
      <w:r>
        <w:rPr>
          <w:rFonts w:ascii="Times New Roman"/>
          <w:position w:val="0"/>
          <w:sz w:val="2"/>
        </w:rPr>
      </w:r>
      <w:r>
        <w:rPr>
          <w:rFonts w:ascii="Times New Roman"/>
          <w:spacing w:val="64"/>
          <w:position w:val="0"/>
          <w:sz w:val="2"/>
        </w:rPr>
        <w:t> </w:t>
      </w:r>
      <w:r>
        <w:rPr>
          <w:rFonts w:ascii="Times New Roman"/>
          <w:spacing w:val="64"/>
          <w:position w:val="0"/>
          <w:sz w:val="2"/>
        </w:rPr>
        <w:pict>
          <v:group style="width:59.4pt;height:1.45pt;mso-position-horizontal-relative:char;mso-position-vertical-relative:line" coordorigin="0,0" coordsize="1188,29">
            <v:group style="position:absolute;left:5;top:24;width:1179;height:2" coordorigin="5,24" coordsize="1179,2">
              <v:shape style="position:absolute;left:5;top:24;width:1179;height:2" coordorigin="5,24" coordsize="1179,0" path="m5,24l1183,24e" filled="false" stroked="true" strokeweight=".48pt" strokecolor="#000000">
                <v:path arrowok="t"/>
              </v:shape>
            </v:group>
            <v:group style="position:absolute;left:5;top:5;width:1179;height:2" coordorigin="5,5" coordsize="1179,2">
              <v:shape style="position:absolute;left:5;top:5;width:1179;height:2" coordorigin="5,5" coordsize="1179,0" path="m5,5l1183,5e" filled="false" stroked="true" strokeweight=".48pt" strokecolor="#000000">
                <v:path arrowok="t"/>
              </v:shape>
            </v:group>
          </v:group>
        </w:pict>
      </w:r>
      <w:r>
        <w:rPr>
          <w:rFonts w:ascii="Times New Roman"/>
          <w:spacing w:val="64"/>
          <w:position w:val="0"/>
          <w:sz w:val="2"/>
        </w:rPr>
      </w:r>
      <w:r>
        <w:rPr>
          <w:rFonts w:ascii="Times New Roman"/>
          <w:spacing w:val="57"/>
          <w:position w:val="0"/>
          <w:sz w:val="2"/>
        </w:rPr>
        <w:t> </w:t>
      </w:r>
      <w:r>
        <w:rPr>
          <w:rFonts w:ascii="Times New Roman"/>
          <w:spacing w:val="57"/>
          <w:position w:val="0"/>
          <w:sz w:val="2"/>
        </w:rPr>
        <w:pict>
          <v:group style="width:40.2pt;height:1.45pt;mso-position-horizontal-relative:char;mso-position-vertical-relative:line" coordorigin="0,0" coordsize="804,29">
            <v:group style="position:absolute;left:5;top:24;width:795;height:2" coordorigin="5,24" coordsize="795,2">
              <v:shape style="position:absolute;left:5;top:24;width:795;height:2" coordorigin="5,24" coordsize="795,0" path="m5,24l799,24e" filled="false" stroked="true" strokeweight=".48pt" strokecolor="#000000">
                <v:path arrowok="t"/>
              </v:shape>
            </v:group>
            <v:group style="position:absolute;left:5;top:5;width:795;height:2" coordorigin="5,5" coordsize="795,2">
              <v:shape style="position:absolute;left:5;top:5;width:795;height:2" coordorigin="5,5" coordsize="795,0" path="m5,5l799,5e" filled="false" stroked="true" strokeweight=".48pt" strokecolor="#000000">
                <v:path arrowok="t"/>
              </v:shape>
            </v:group>
          </v:group>
        </w:pict>
      </w:r>
      <w:r>
        <w:rPr>
          <w:rFonts w:ascii="Times New Roman"/>
          <w:spacing w:val="57"/>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380" w:bottom="1380" w:left="860" w:right="860"/>
        </w:sectPr>
      </w:pPr>
    </w:p>
    <w:p>
      <w:pPr>
        <w:spacing w:line="20" w:lineRule="exact"/>
        <w:ind w:left="5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95" w:lineRule="auto" w:before="73"/>
        <w:ind w:left="617" w:right="613" w:firstLine="525"/>
        <w:jc w:val="both"/>
      </w:pPr>
      <w:r>
        <w:rPr/>
        <w:t>根据公司</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日召开的</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年第一次临时股东大会决议，并经 </w:t>
      </w:r>
      <w:r>
        <w:rPr>
          <w:spacing w:val="-3"/>
        </w:rPr>
        <w:t>中国证券监督管理委员会《关于核准北京数字政通科技股份有限公司首次公开发</w:t>
      </w:r>
      <w:r>
        <w:rPr>
          <w:spacing w:val="-104"/>
        </w:rPr>
        <w:t> </w:t>
      </w:r>
      <w:r>
        <w:rPr>
          <w:spacing w:val="-104"/>
        </w:rPr>
      </w:r>
      <w:r>
        <w:rPr/>
        <w:t>行股票并在创业板上市的批复》（证监许可</w:t>
      </w:r>
      <w:r>
        <w:rPr>
          <w:rFonts w:ascii="Times New Roman" w:hAnsi="Times New Roman" w:cs="Times New Roman" w:eastAsia="Times New Roman" w:hint="default"/>
        </w:rPr>
        <w:t>[2010]403</w:t>
      </w:r>
      <w:r>
        <w:rPr>
          <w:rFonts w:ascii="Times New Roman" w:hAnsi="Times New Roman" w:cs="Times New Roman" w:eastAsia="Times New Roman" w:hint="default"/>
          <w:spacing w:val="-10"/>
        </w:rPr>
        <w:t> </w:t>
      </w:r>
      <w:r>
        <w:rPr>
          <w:spacing w:val="-5"/>
        </w:rPr>
        <w:t>号）核准，公司于</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14 </w:t>
      </w:r>
      <w:r>
        <w:rPr/>
        <w:t>日向社会公开发行人民币普通股票</w:t>
      </w:r>
      <w:r>
        <w:rPr>
          <w:spacing w:val="-60"/>
        </w:rPr>
        <w:t> </w:t>
      </w:r>
      <w:r>
        <w:rPr>
          <w:rFonts w:ascii="Times New Roman" w:hAnsi="Times New Roman" w:cs="Times New Roman" w:eastAsia="Times New Roman" w:hint="default"/>
        </w:rPr>
        <w:t>14,000,000 </w:t>
      </w:r>
      <w:r>
        <w:rPr/>
        <w:t>股（发行价</w:t>
      </w:r>
      <w:r>
        <w:rPr>
          <w:spacing w:val="-60"/>
        </w:rPr>
        <w:t> </w:t>
      </w:r>
      <w:r>
        <w:rPr>
          <w:rFonts w:ascii="Times New Roman" w:hAnsi="Times New Roman" w:cs="Times New Roman" w:eastAsia="Times New Roman" w:hint="default"/>
        </w:rPr>
        <w:t>54.00 </w:t>
      </w:r>
      <w:r>
        <w:rPr/>
        <w:t>元）。</w:t>
      </w:r>
    </w:p>
    <w:p>
      <w:pPr>
        <w:pStyle w:val="BodyText"/>
        <w:spacing w:line="292" w:lineRule="auto" w:before="170"/>
        <w:ind w:left="617" w:right="485" w:firstLine="484"/>
        <w:jc w:val="left"/>
      </w:pPr>
      <w:r>
        <w:rPr/>
        <w:t>中瑞岳华会计师事务所对本次股本变更情况出具了中瑞岳华验字</w:t>
      </w:r>
      <w:r>
        <w:rPr>
          <w:rFonts w:ascii="Times New Roman" w:hAnsi="Times New Roman" w:cs="Times New Roman" w:eastAsia="Times New Roman" w:hint="default"/>
        </w:rPr>
        <w:t>[2010]</w:t>
      </w:r>
      <w:r>
        <w:rPr/>
        <w:t>第 </w:t>
      </w:r>
      <w:r>
        <w:rPr>
          <w:rFonts w:ascii="Times New Roman" w:hAnsi="Times New Roman" w:cs="Times New Roman" w:eastAsia="Times New Roman" w:hint="default"/>
        </w:rPr>
        <w:t>093</w:t>
      </w:r>
      <w:r>
        <w:rPr>
          <w:rFonts w:ascii="Times New Roman" w:hAnsi="Times New Roman" w:cs="Times New Roman" w:eastAsia="Times New Roman" w:hint="default"/>
          <w:spacing w:val="-4"/>
        </w:rPr>
        <w:t> </w:t>
      </w:r>
      <w:r>
        <w:rPr/>
        <w:t>号验资报告予以验证，截至</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日止，公司已收到社会公众股股 东以现金实际缴纳的资金总额为人民币</w:t>
      </w:r>
      <w:r>
        <w:rPr>
          <w:spacing w:val="-75"/>
        </w:rPr>
        <w:t> </w:t>
      </w:r>
      <w:r>
        <w:rPr>
          <w:rFonts w:ascii="Times New Roman" w:hAnsi="Times New Roman" w:cs="Times New Roman" w:eastAsia="Times New Roman" w:hint="default"/>
        </w:rPr>
        <w:t>756,000,000.00</w:t>
      </w:r>
      <w:r>
        <w:rPr>
          <w:rFonts w:ascii="Times New Roman" w:hAnsi="Times New Roman" w:cs="Times New Roman" w:eastAsia="Times New Roman" w:hint="default"/>
          <w:spacing w:val="-15"/>
        </w:rPr>
        <w:t> </w:t>
      </w:r>
      <w:r>
        <w:rPr>
          <w:spacing w:val="-10"/>
        </w:rPr>
        <w:t>元（柒亿伍仟陆佰万元整。</w:t>
      </w:r>
      <w:r>
        <w:rPr/>
        <w:t> 扣除承销费、保荐费及公司发生的其他发行费用后本次实际募集资金净额为 </w:t>
      </w:r>
      <w:r>
        <w:rPr>
          <w:rFonts w:ascii="Times New Roman" w:hAnsi="Times New Roman" w:cs="Times New Roman" w:eastAsia="Times New Roman" w:hint="default"/>
        </w:rPr>
        <w:t>706,973,000.00</w:t>
      </w:r>
      <w:r>
        <w:rPr>
          <w:rFonts w:ascii="Times New Roman" w:hAnsi="Times New Roman" w:cs="Times New Roman" w:eastAsia="Times New Roman" w:hint="default"/>
          <w:spacing w:val="-10"/>
        </w:rPr>
        <w:t> </w:t>
      </w:r>
      <w:r>
        <w:rPr/>
        <w:t>元，认缴新增注册资本人民币</w:t>
      </w:r>
      <w:r>
        <w:rPr>
          <w:spacing w:val="-70"/>
        </w:rPr>
        <w:t> </w:t>
      </w:r>
      <w:r>
        <w:rPr>
          <w:rFonts w:ascii="Times New Roman" w:hAnsi="Times New Roman" w:cs="Times New Roman" w:eastAsia="Times New Roman" w:hint="default"/>
        </w:rPr>
        <w:t>14,000,000.00</w:t>
      </w:r>
      <w:r>
        <w:rPr>
          <w:rFonts w:ascii="Times New Roman" w:hAnsi="Times New Roman" w:cs="Times New Roman" w:eastAsia="Times New Roman" w:hint="default"/>
          <w:spacing w:val="-10"/>
        </w:rPr>
        <w:t> </w:t>
      </w:r>
      <w:r>
        <w:rPr/>
        <w:t>元，增加资本公积人</w:t>
      </w:r>
    </w:p>
    <w:p>
      <w:pPr>
        <w:pStyle w:val="BodyText"/>
        <w:spacing w:line="240" w:lineRule="auto" w:before="10"/>
        <w:ind w:left="598" w:right="6327"/>
        <w:jc w:val="center"/>
      </w:pPr>
      <w:r>
        <w:rPr/>
        <w:t>民币</w:t>
      </w:r>
      <w:r>
        <w:rPr>
          <w:spacing w:val="-60"/>
        </w:rPr>
        <w:t> </w:t>
      </w:r>
      <w:r>
        <w:rPr>
          <w:rFonts w:ascii="Times New Roman" w:hAnsi="Times New Roman" w:cs="Times New Roman" w:eastAsia="Times New Roman" w:hint="default"/>
        </w:rPr>
        <w:t>692,973,000.00 </w:t>
      </w:r>
      <w:r>
        <w:rPr/>
        <w:t>元。</w:t>
      </w:r>
    </w:p>
    <w:p>
      <w:pPr>
        <w:spacing w:line="240" w:lineRule="auto" w:before="9"/>
        <w:rPr>
          <w:rFonts w:ascii="宋体" w:hAnsi="宋体" w:cs="宋体" w:eastAsia="宋体" w:hint="default"/>
          <w:sz w:val="17"/>
          <w:szCs w:val="17"/>
        </w:rPr>
      </w:pPr>
    </w:p>
    <w:p>
      <w:pPr>
        <w:pStyle w:val="Heading3"/>
        <w:spacing w:line="240" w:lineRule="auto" w:before="0"/>
        <w:ind w:left="1099" w:right="485"/>
        <w:jc w:val="left"/>
        <w:rPr>
          <w:b w:val="0"/>
          <w:bCs w:val="0"/>
        </w:rPr>
      </w:pPr>
      <w:r>
        <w:rPr>
          <w:rFonts w:ascii="Times New Roman" w:hAnsi="Times New Roman" w:cs="Times New Roman" w:eastAsia="Times New Roman" w:hint="default"/>
        </w:rPr>
        <w:t>21</w:t>
      </w:r>
      <w:r>
        <w:rPr/>
        <w:t>、资本公积</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1097" w:right="485"/>
        <w:jc w:val="left"/>
      </w:pPr>
      <w:r>
        <w:rPr/>
        <w:t>（</w:t>
      </w:r>
      <w:r>
        <w:rPr>
          <w:rFonts w:ascii="Times New Roman" w:hAnsi="Times New Roman" w:cs="Times New Roman" w:eastAsia="Times New Roman" w:hint="default"/>
        </w:rPr>
        <w:t>1</w:t>
      </w:r>
      <w:r>
        <w:rPr/>
        <w:t>）资本公积项目</w:t>
      </w:r>
    </w:p>
    <w:p>
      <w:pPr>
        <w:spacing w:line="240" w:lineRule="auto" w:before="9"/>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712"/>
        <w:gridCol w:w="968"/>
        <w:gridCol w:w="1079"/>
        <w:gridCol w:w="594"/>
        <w:gridCol w:w="991"/>
      </w:tblGrid>
      <w:tr>
        <w:trPr>
          <w:trHeight w:val="596" w:hRule="exact"/>
        </w:trPr>
        <w:tc>
          <w:tcPr>
            <w:tcW w:w="5712"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40" w:lineRule="auto" w:before="100"/>
              <w:ind w:right="252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7"/>
              <w:jc w:val="center"/>
              <w:rPr>
                <w:rFonts w:ascii="宋体" w:hAnsi="宋体" w:cs="宋体" w:eastAsia="宋体" w:hint="default"/>
                <w:sz w:val="20"/>
                <w:szCs w:val="20"/>
              </w:rPr>
            </w:pPr>
            <w:r>
              <w:rPr>
                <w:rFonts w:ascii="宋体" w:hAnsi="宋体" w:cs="宋体" w:eastAsia="宋体" w:hint="default"/>
                <w:sz w:val="20"/>
                <w:szCs w:val="20"/>
              </w:rPr>
              <w:t>期初数</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95"/>
              <w:jc w:val="right"/>
              <w:rPr>
                <w:rFonts w:ascii="宋体" w:hAnsi="宋体" w:cs="宋体" w:eastAsia="宋体" w:hint="default"/>
                <w:sz w:val="20"/>
                <w:szCs w:val="20"/>
              </w:rPr>
            </w:pPr>
            <w:r>
              <w:rPr>
                <w:rFonts w:ascii="宋体" w:hAnsi="宋体" w:cs="宋体" w:eastAsia="宋体" w:hint="default"/>
                <w:w w:val="95"/>
                <w:sz w:val="20"/>
                <w:szCs w:val="20"/>
              </w:rPr>
              <w:t>本期增加</w:t>
            </w:r>
            <w:r>
              <w:rPr>
                <w:rFonts w:ascii="宋体" w:hAnsi="宋体" w:cs="宋体" w:eastAsia="宋体" w:hint="default"/>
                <w:sz w:val="20"/>
                <w:szCs w:val="20"/>
              </w:rPr>
            </w:r>
          </w:p>
        </w:tc>
        <w:tc>
          <w:tcPr>
            <w:tcW w:w="594" w:type="dxa"/>
            <w:tcBorders>
              <w:top w:val="nil" w:sz="6" w:space="0" w:color="auto"/>
              <w:left w:val="nil" w:sz="6" w:space="0" w:color="auto"/>
              <w:bottom w:val="single" w:sz="4" w:space="0" w:color="000000"/>
              <w:right w:val="nil" w:sz="6" w:space="0" w:color="auto"/>
            </w:tcBorders>
          </w:tcPr>
          <w:p>
            <w:pPr>
              <w:pStyle w:val="TableParagraph"/>
              <w:spacing w:line="199" w:lineRule="exact"/>
              <w:ind w:left="41" w:right="0"/>
              <w:jc w:val="left"/>
              <w:rPr>
                <w:rFonts w:ascii="宋体" w:hAnsi="宋体" w:cs="宋体" w:eastAsia="宋体" w:hint="default"/>
                <w:sz w:val="20"/>
                <w:szCs w:val="20"/>
              </w:rPr>
            </w:pPr>
            <w:r>
              <w:rPr>
                <w:rFonts w:ascii="宋体" w:hAnsi="宋体" w:cs="宋体" w:eastAsia="宋体" w:hint="default"/>
                <w:sz w:val="20"/>
                <w:szCs w:val="20"/>
              </w:rPr>
              <w:t>本期</w:t>
            </w:r>
          </w:p>
          <w:p>
            <w:pPr>
              <w:pStyle w:val="TableParagraph"/>
              <w:spacing w:line="240" w:lineRule="auto" w:before="64"/>
              <w:ind w:left="41" w:right="0"/>
              <w:jc w:val="left"/>
              <w:rPr>
                <w:rFonts w:ascii="宋体" w:hAnsi="宋体" w:cs="宋体" w:eastAsia="宋体" w:hint="default"/>
                <w:sz w:val="20"/>
                <w:szCs w:val="20"/>
              </w:rPr>
            </w:pPr>
            <w:r>
              <w:rPr>
                <w:rFonts w:ascii="宋体" w:hAnsi="宋体" w:cs="宋体" w:eastAsia="宋体" w:hint="default"/>
                <w:sz w:val="20"/>
                <w:szCs w:val="20"/>
              </w:rPr>
              <w:t>减少</w:t>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53"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678" w:hRule="exact"/>
        </w:trPr>
        <w:tc>
          <w:tcPr>
            <w:tcW w:w="5712"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left="14"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center"/>
              <w:rPr>
                <w:rFonts w:ascii="Times New Roman" w:hAnsi="Times New Roman" w:cs="Times New Roman" w:eastAsia="Times New Roman" w:hint="default"/>
                <w:sz w:val="16"/>
                <w:szCs w:val="16"/>
              </w:rPr>
            </w:pPr>
            <w:r>
              <w:rPr>
                <w:rFonts w:ascii="Times New Roman"/>
                <w:sz w:val="16"/>
              </w:rPr>
              <w:t>29,110,309.68</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9"/>
              <w:jc w:val="right"/>
              <w:rPr>
                <w:rFonts w:ascii="Times New Roman" w:hAnsi="Times New Roman" w:cs="Times New Roman" w:eastAsia="Times New Roman" w:hint="default"/>
                <w:sz w:val="16"/>
                <w:szCs w:val="16"/>
              </w:rPr>
            </w:pPr>
            <w:r>
              <w:rPr>
                <w:rFonts w:ascii="Times New Roman"/>
                <w:spacing w:val="-1"/>
                <w:sz w:val="16"/>
              </w:rPr>
              <w:t>692,973,000.00</w:t>
            </w:r>
          </w:p>
        </w:tc>
        <w:tc>
          <w:tcPr>
            <w:tcW w:w="594" w:type="dxa"/>
            <w:tcBorders>
              <w:top w:val="single" w:sz="4" w:space="0" w:color="000000"/>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59"/>
              <w:jc w:val="right"/>
              <w:rPr>
                <w:rFonts w:ascii="Times New Roman" w:hAnsi="Times New Roman" w:cs="Times New Roman" w:eastAsia="Times New Roman" w:hint="default"/>
                <w:sz w:val="16"/>
                <w:szCs w:val="16"/>
              </w:rPr>
            </w:pPr>
            <w:r>
              <w:rPr>
                <w:rFonts w:ascii="Times New Roman"/>
                <w:spacing w:val="-1"/>
                <w:sz w:val="16"/>
              </w:rPr>
              <w:t>722,083,309.6</w:t>
            </w:r>
          </w:p>
          <w:p>
            <w:pPr>
              <w:pStyle w:val="TableParagraph"/>
              <w:spacing w:line="240" w:lineRule="auto" w:before="142"/>
              <w:ind w:right="59"/>
              <w:jc w:val="right"/>
              <w:rPr>
                <w:rFonts w:ascii="Times New Roman" w:hAnsi="Times New Roman" w:cs="Times New Roman" w:eastAsia="Times New Roman" w:hint="default"/>
                <w:sz w:val="16"/>
                <w:szCs w:val="16"/>
              </w:rPr>
            </w:pPr>
            <w:r>
              <w:rPr>
                <w:rFonts w:ascii="Times New Roman"/>
                <w:w w:val="100"/>
                <w:sz w:val="16"/>
              </w:rPr>
              <w:t>8</w:t>
            </w:r>
          </w:p>
        </w:tc>
      </w:tr>
      <w:tr>
        <w:trPr>
          <w:trHeight w:val="663" w:hRule="exact"/>
        </w:trPr>
        <w:tc>
          <w:tcPr>
            <w:tcW w:w="571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4" w:right="0"/>
              <w:jc w:val="left"/>
              <w:rPr>
                <w:rFonts w:ascii="宋体" w:hAnsi="宋体" w:cs="宋体" w:eastAsia="宋体" w:hint="default"/>
                <w:sz w:val="20"/>
                <w:szCs w:val="20"/>
              </w:rPr>
            </w:pPr>
            <w:r>
              <w:rPr>
                <w:rFonts w:ascii="宋体" w:hAnsi="宋体" w:cs="宋体" w:eastAsia="宋体" w:hint="default"/>
                <w:sz w:val="20"/>
                <w:szCs w:val="20"/>
              </w:rPr>
              <w:t>其中：投资者投入的资本</w:t>
            </w: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center"/>
              <w:rPr>
                <w:rFonts w:ascii="Times New Roman" w:hAnsi="Times New Roman" w:cs="Times New Roman" w:eastAsia="Times New Roman" w:hint="default"/>
                <w:sz w:val="16"/>
                <w:szCs w:val="16"/>
              </w:rPr>
            </w:pPr>
            <w:r>
              <w:rPr>
                <w:rFonts w:ascii="Times New Roman"/>
                <w:sz w:val="16"/>
              </w:rPr>
              <w:t>29,110,309.68</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6"/>
                <w:szCs w:val="16"/>
              </w:rPr>
            </w:pPr>
            <w:r>
              <w:rPr>
                <w:rFonts w:ascii="Times New Roman"/>
                <w:spacing w:val="-1"/>
                <w:sz w:val="16"/>
              </w:rPr>
              <w:t>692,973,000.00</w:t>
            </w:r>
          </w:p>
        </w:tc>
        <w:tc>
          <w:tcPr>
            <w:tcW w:w="594"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59"/>
              <w:jc w:val="right"/>
              <w:rPr>
                <w:rFonts w:ascii="Times New Roman" w:hAnsi="Times New Roman" w:cs="Times New Roman" w:eastAsia="Times New Roman" w:hint="default"/>
                <w:sz w:val="16"/>
                <w:szCs w:val="16"/>
              </w:rPr>
            </w:pPr>
            <w:r>
              <w:rPr>
                <w:rFonts w:ascii="Times New Roman"/>
                <w:spacing w:val="-1"/>
                <w:sz w:val="16"/>
              </w:rPr>
              <w:t>722,083,309.6</w:t>
            </w:r>
          </w:p>
          <w:p>
            <w:pPr>
              <w:pStyle w:val="TableParagraph"/>
              <w:spacing w:line="240" w:lineRule="auto" w:before="142"/>
              <w:ind w:right="59"/>
              <w:jc w:val="right"/>
              <w:rPr>
                <w:rFonts w:ascii="Times New Roman" w:hAnsi="Times New Roman" w:cs="Times New Roman" w:eastAsia="Times New Roman" w:hint="default"/>
                <w:sz w:val="16"/>
                <w:szCs w:val="16"/>
              </w:rPr>
            </w:pPr>
            <w:r>
              <w:rPr>
                <w:rFonts w:ascii="Times New Roman"/>
                <w:w w:val="100"/>
                <w:sz w:val="16"/>
              </w:rPr>
              <w:t>8</w:t>
            </w:r>
          </w:p>
        </w:tc>
      </w:tr>
      <w:tr>
        <w:trPr>
          <w:trHeight w:val="679" w:hRule="exact"/>
        </w:trPr>
        <w:tc>
          <w:tcPr>
            <w:tcW w:w="571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9"/>
              <w:ind w:right="252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center"/>
              <w:rPr>
                <w:rFonts w:ascii="Times New Roman" w:hAnsi="Times New Roman" w:cs="Times New Roman" w:eastAsia="Times New Roman" w:hint="default"/>
                <w:sz w:val="16"/>
                <w:szCs w:val="16"/>
              </w:rPr>
            </w:pPr>
            <w:r>
              <w:rPr>
                <w:rFonts w:ascii="Times New Roman"/>
                <w:sz w:val="16"/>
              </w:rPr>
              <w:t>29,110,309.68</w:t>
            </w:r>
          </w:p>
        </w:tc>
        <w:tc>
          <w:tcPr>
            <w:tcW w:w="1079"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9"/>
              <w:jc w:val="right"/>
              <w:rPr>
                <w:rFonts w:ascii="Times New Roman" w:hAnsi="Times New Roman" w:cs="Times New Roman" w:eastAsia="Times New Roman" w:hint="default"/>
                <w:sz w:val="16"/>
                <w:szCs w:val="16"/>
              </w:rPr>
            </w:pPr>
            <w:r>
              <w:rPr>
                <w:rFonts w:ascii="Times New Roman"/>
                <w:spacing w:val="-1"/>
                <w:sz w:val="16"/>
              </w:rPr>
              <w:t>692,973,000.00</w:t>
            </w:r>
          </w:p>
        </w:tc>
        <w:tc>
          <w:tcPr>
            <w:tcW w:w="594" w:type="dxa"/>
            <w:tcBorders>
              <w:top w:val="single" w:sz="4" w:space="0" w:color="000000"/>
              <w:left w:val="nil" w:sz="6" w:space="0" w:color="auto"/>
              <w:bottom w:val="single" w:sz="17" w:space="0" w:color="000000"/>
              <w:right w:val="nil" w:sz="6" w:space="0" w:color="auto"/>
            </w:tcBorders>
          </w:tcPr>
          <w:p>
            <w:pPr/>
          </w:p>
        </w:tc>
        <w:tc>
          <w:tcPr>
            <w:tcW w:w="991"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722,083,309.6</w:t>
            </w:r>
          </w:p>
          <w:p>
            <w:pPr>
              <w:pStyle w:val="TableParagraph"/>
              <w:spacing w:line="240" w:lineRule="auto" w:before="142"/>
              <w:ind w:right="59"/>
              <w:jc w:val="right"/>
              <w:rPr>
                <w:rFonts w:ascii="Times New Roman" w:hAnsi="Times New Roman" w:cs="Times New Roman" w:eastAsia="Times New Roman" w:hint="default"/>
                <w:sz w:val="16"/>
                <w:szCs w:val="16"/>
              </w:rPr>
            </w:pPr>
            <w:r>
              <w:rPr>
                <w:rFonts w:ascii="Times New Roman"/>
                <w:w w:val="100"/>
                <w:sz w:val="16"/>
              </w:rPr>
              <w:t>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26"/>
        <w:ind w:left="1097" w:right="485"/>
        <w:jc w:val="left"/>
      </w:pPr>
      <w:r>
        <w:rPr/>
        <w:t>（</w:t>
      </w:r>
      <w:r>
        <w:rPr>
          <w:rFonts w:ascii="Times New Roman" w:hAnsi="Times New Roman" w:cs="Times New Roman" w:eastAsia="Times New Roman" w:hint="default"/>
        </w:rPr>
        <w:t>2</w:t>
      </w:r>
      <w:r>
        <w:rPr/>
        <w:t>）资本公积增减变动说明</w:t>
      </w:r>
    </w:p>
    <w:p>
      <w:pPr>
        <w:spacing w:line="240" w:lineRule="auto" w:before="13"/>
        <w:rPr>
          <w:rFonts w:ascii="宋体" w:hAnsi="宋体" w:cs="宋体" w:eastAsia="宋体" w:hint="default"/>
          <w:sz w:val="6"/>
          <w:szCs w:val="6"/>
        </w:rPr>
      </w:pPr>
    </w:p>
    <w:tbl>
      <w:tblPr>
        <w:tblW w:w="0" w:type="auto"/>
        <w:jc w:val="left"/>
        <w:tblInd w:w="610" w:type="dxa"/>
        <w:tblLayout w:type="fixed"/>
        <w:tblCellMar>
          <w:top w:w="0" w:type="dxa"/>
          <w:left w:w="0" w:type="dxa"/>
          <w:bottom w:w="0" w:type="dxa"/>
          <w:right w:w="0" w:type="dxa"/>
        </w:tblCellMar>
        <w:tblLook w:val="01E0"/>
      </w:tblPr>
      <w:tblGrid>
        <w:gridCol w:w="2326"/>
        <w:gridCol w:w="3013"/>
        <w:gridCol w:w="2987"/>
      </w:tblGrid>
      <w:tr>
        <w:trPr>
          <w:trHeight w:val="267" w:hRule="exact"/>
        </w:trPr>
        <w:tc>
          <w:tcPr>
            <w:tcW w:w="2326" w:type="dxa"/>
            <w:tcBorders>
              <w:top w:val="nil" w:sz="6" w:space="0" w:color="auto"/>
              <w:left w:val="nil" w:sz="6" w:space="0" w:color="auto"/>
              <w:bottom w:val="single" w:sz="4" w:space="0" w:color="000000"/>
              <w:right w:val="nil" w:sz="6" w:space="0" w:color="auto"/>
            </w:tcBorders>
          </w:tcPr>
          <w:p>
            <w:pPr>
              <w:pStyle w:val="TableParagraph"/>
              <w:tabs>
                <w:tab w:pos="1355" w:val="left" w:leader="none"/>
              </w:tabs>
              <w:spacing w:line="199" w:lineRule="exact"/>
              <w:ind w:left="75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013" w:type="dxa"/>
            <w:tcBorders>
              <w:top w:val="nil" w:sz="6" w:space="0" w:color="auto"/>
              <w:left w:val="nil" w:sz="6" w:space="0" w:color="auto"/>
              <w:bottom w:val="single" w:sz="4" w:space="0" w:color="000000"/>
              <w:right w:val="nil" w:sz="6" w:space="0" w:color="auto"/>
            </w:tcBorders>
          </w:tcPr>
          <w:p>
            <w:pPr>
              <w:pStyle w:val="TableParagraph"/>
              <w:spacing w:line="214" w:lineRule="exact"/>
              <w:ind w:right="272"/>
              <w:jc w:val="right"/>
              <w:rPr>
                <w:rFonts w:ascii="宋体" w:hAnsi="宋体" w:cs="宋体" w:eastAsia="宋体" w:hint="default"/>
                <w:sz w:val="20"/>
                <w:szCs w:val="20"/>
              </w:rPr>
            </w:pPr>
            <w:r>
              <w:rPr>
                <w:rFonts w:ascii="宋体" w:hAnsi="宋体" w:cs="宋体" w:eastAsia="宋体" w:hint="default"/>
                <w:w w:val="95"/>
                <w:sz w:val="20"/>
                <w:szCs w:val="20"/>
              </w:rPr>
              <w:t>本期增加（</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减少（</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）金额</w:t>
            </w:r>
            <w:r>
              <w:rPr>
                <w:rFonts w:ascii="宋体" w:hAnsi="宋体" w:cs="宋体" w:eastAsia="宋体" w:hint="default"/>
                <w:sz w:val="20"/>
                <w:szCs w:val="20"/>
              </w:rPr>
            </w:r>
          </w:p>
        </w:tc>
        <w:tc>
          <w:tcPr>
            <w:tcW w:w="2987" w:type="dxa"/>
            <w:tcBorders>
              <w:top w:val="nil" w:sz="6" w:space="0" w:color="auto"/>
              <w:left w:val="nil" w:sz="6" w:space="0" w:color="auto"/>
              <w:bottom w:val="single" w:sz="4" w:space="0" w:color="000000"/>
              <w:right w:val="nil" w:sz="6" w:space="0" w:color="auto"/>
            </w:tcBorders>
          </w:tcPr>
          <w:p>
            <w:pPr>
              <w:pStyle w:val="TableParagraph"/>
              <w:spacing w:line="199" w:lineRule="exact"/>
              <w:ind w:right="145"/>
              <w:jc w:val="center"/>
              <w:rPr>
                <w:rFonts w:ascii="宋体" w:hAnsi="宋体" w:cs="宋体" w:eastAsia="宋体" w:hint="default"/>
                <w:sz w:val="20"/>
                <w:szCs w:val="20"/>
              </w:rPr>
            </w:pPr>
            <w:r>
              <w:rPr>
                <w:rFonts w:ascii="宋体" w:hAnsi="宋体" w:cs="宋体" w:eastAsia="宋体" w:hint="default"/>
                <w:sz w:val="20"/>
                <w:szCs w:val="20"/>
              </w:rPr>
              <w:t>原因</w:t>
            </w:r>
          </w:p>
        </w:tc>
      </w:tr>
      <w:tr>
        <w:trPr>
          <w:trHeight w:val="336" w:hRule="exact"/>
        </w:trPr>
        <w:tc>
          <w:tcPr>
            <w:tcW w:w="232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7" w:right="0"/>
              <w:jc w:val="left"/>
              <w:rPr>
                <w:rFonts w:ascii="宋体" w:hAnsi="宋体" w:cs="宋体" w:eastAsia="宋体" w:hint="default"/>
                <w:sz w:val="20"/>
                <w:szCs w:val="20"/>
              </w:rPr>
            </w:pPr>
            <w:r>
              <w:rPr>
                <w:rFonts w:ascii="宋体" w:hAnsi="宋体" w:cs="宋体" w:eastAsia="宋体" w:hint="default"/>
                <w:sz w:val="20"/>
                <w:szCs w:val="20"/>
              </w:rPr>
              <w:t>募集资金溢价</w:t>
            </w:r>
          </w:p>
        </w:tc>
        <w:tc>
          <w:tcPr>
            <w:tcW w:w="3013"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268"/>
              <w:jc w:val="right"/>
              <w:rPr>
                <w:rFonts w:ascii="Times New Roman" w:hAnsi="Times New Roman" w:cs="Times New Roman" w:eastAsia="Times New Roman" w:hint="default"/>
                <w:sz w:val="20"/>
                <w:szCs w:val="20"/>
              </w:rPr>
            </w:pPr>
            <w:r>
              <w:rPr>
                <w:rFonts w:ascii="Times New Roman"/>
                <w:w w:val="95"/>
                <w:sz w:val="20"/>
              </w:rPr>
              <w:t>692,973,000.00</w:t>
            </w:r>
            <w:r>
              <w:rPr>
                <w:rFonts w:ascii="Times New Roman"/>
                <w:sz w:val="20"/>
              </w:rPr>
            </w:r>
          </w:p>
        </w:tc>
        <w:tc>
          <w:tcPr>
            <w:tcW w:w="298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246"/>
              <w:jc w:val="center"/>
              <w:rPr>
                <w:rFonts w:ascii="宋体" w:hAnsi="宋体" w:cs="宋体" w:eastAsia="宋体" w:hint="default"/>
                <w:sz w:val="20"/>
                <w:szCs w:val="20"/>
              </w:rPr>
            </w:pPr>
            <w:r>
              <w:rPr>
                <w:rFonts w:ascii="宋体" w:hAnsi="宋体" w:cs="宋体" w:eastAsia="宋体" w:hint="default"/>
                <w:sz w:val="20"/>
                <w:szCs w:val="20"/>
              </w:rPr>
              <w:t>上市发行股票的资金溢价</w:t>
            </w:r>
          </w:p>
        </w:tc>
      </w:tr>
      <w:tr>
        <w:trPr>
          <w:trHeight w:val="355"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
              <w:jc w:val="center"/>
              <w:rPr>
                <w:rFonts w:ascii="宋体" w:hAnsi="宋体" w:cs="宋体" w:eastAsia="宋体" w:hint="default"/>
                <w:sz w:val="20"/>
                <w:szCs w:val="20"/>
              </w:rPr>
            </w:pPr>
            <w:r>
              <w:rPr>
                <w:rFonts w:ascii="宋体" w:hAnsi="宋体" w:cs="宋体" w:eastAsia="宋体" w:hint="default"/>
                <w:sz w:val="20"/>
                <w:szCs w:val="20"/>
              </w:rPr>
              <w:t>合计</w:t>
            </w:r>
          </w:p>
        </w:tc>
        <w:tc>
          <w:tcPr>
            <w:tcW w:w="301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68"/>
              <w:jc w:val="right"/>
              <w:rPr>
                <w:rFonts w:ascii="Times New Roman" w:hAnsi="Times New Roman" w:cs="Times New Roman" w:eastAsia="Times New Roman" w:hint="default"/>
                <w:sz w:val="20"/>
                <w:szCs w:val="20"/>
              </w:rPr>
            </w:pPr>
            <w:r>
              <w:rPr>
                <w:rFonts w:ascii="Times New Roman"/>
                <w:w w:val="95"/>
                <w:sz w:val="20"/>
              </w:rPr>
              <w:t>692,973,000.00</w:t>
            </w:r>
            <w:r>
              <w:rPr>
                <w:rFonts w:ascii="Times New Roman"/>
                <w:sz w:val="20"/>
              </w:rPr>
            </w:r>
          </w:p>
        </w:tc>
        <w:tc>
          <w:tcPr>
            <w:tcW w:w="2987" w:type="dxa"/>
            <w:tcBorders>
              <w:top w:val="single" w:sz="4" w:space="0" w:color="000000"/>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ind w:left="1100" w:right="485"/>
        <w:jc w:val="left"/>
        <w:rPr>
          <w:b w:val="0"/>
          <w:bCs w:val="0"/>
        </w:rPr>
      </w:pPr>
      <w:r>
        <w:rPr>
          <w:rFonts w:ascii="Times New Roman" w:hAnsi="Times New Roman" w:cs="Times New Roman" w:eastAsia="Times New Roman" w:hint="default"/>
        </w:rPr>
        <w:t>22</w:t>
      </w:r>
      <w:r>
        <w:rPr/>
        <w:t>、盈余公积</w:t>
      </w:r>
      <w:r>
        <w:rPr>
          <w:b w:val="0"/>
          <w:bCs w:val="0"/>
        </w:rPr>
      </w:r>
    </w:p>
    <w:p>
      <w:pPr>
        <w:spacing w:line="240" w:lineRule="auto" w:before="13"/>
        <w:rPr>
          <w:rFonts w:ascii="宋体" w:hAnsi="宋体" w:cs="宋体" w:eastAsia="宋体" w:hint="default"/>
          <w:b/>
          <w:bCs/>
          <w:sz w:val="8"/>
          <w:szCs w:val="8"/>
        </w:rPr>
      </w:pPr>
    </w:p>
    <w:tbl>
      <w:tblPr>
        <w:tblW w:w="0" w:type="auto"/>
        <w:jc w:val="left"/>
        <w:tblInd w:w="595" w:type="dxa"/>
        <w:tblLayout w:type="fixed"/>
        <w:tblCellMar>
          <w:top w:w="0" w:type="dxa"/>
          <w:left w:w="0" w:type="dxa"/>
          <w:bottom w:w="0" w:type="dxa"/>
          <w:right w:w="0" w:type="dxa"/>
        </w:tblCellMar>
        <w:tblLook w:val="01E0"/>
      </w:tblPr>
      <w:tblGrid>
        <w:gridCol w:w="2189"/>
        <w:gridCol w:w="1765"/>
        <w:gridCol w:w="1554"/>
        <w:gridCol w:w="1362"/>
        <w:gridCol w:w="1484"/>
      </w:tblGrid>
      <w:tr>
        <w:trPr>
          <w:trHeight w:val="286" w:hRule="exact"/>
        </w:trPr>
        <w:tc>
          <w:tcPr>
            <w:tcW w:w="2189"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81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765" w:type="dxa"/>
            <w:tcBorders>
              <w:top w:val="nil" w:sz="6" w:space="0" w:color="auto"/>
              <w:left w:val="nil" w:sz="6" w:space="0" w:color="auto"/>
              <w:bottom w:val="single" w:sz="4" w:space="0" w:color="000000"/>
              <w:right w:val="nil" w:sz="6" w:space="0" w:color="auto"/>
            </w:tcBorders>
          </w:tcPr>
          <w:p>
            <w:pPr>
              <w:pStyle w:val="TableParagraph"/>
              <w:spacing w:line="199" w:lineRule="exact"/>
              <w:ind w:left="475"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199" w:lineRule="exact"/>
              <w:ind w:left="22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362" w:type="dxa"/>
            <w:tcBorders>
              <w:top w:val="nil" w:sz="6" w:space="0" w:color="auto"/>
              <w:left w:val="nil" w:sz="6" w:space="0" w:color="auto"/>
              <w:bottom w:val="single" w:sz="4" w:space="0" w:color="000000"/>
              <w:right w:val="nil" w:sz="6" w:space="0" w:color="auto"/>
            </w:tcBorders>
          </w:tcPr>
          <w:p>
            <w:pPr>
              <w:pStyle w:val="TableParagraph"/>
              <w:spacing w:line="199" w:lineRule="exact"/>
              <w:ind w:left="165"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199" w:lineRule="exact"/>
              <w:ind w:left="399"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89" w:hRule="exact"/>
        </w:trPr>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866"/>
              <w:jc w:val="right"/>
              <w:rPr>
                <w:rFonts w:ascii="宋体" w:hAnsi="宋体" w:cs="宋体" w:eastAsia="宋体" w:hint="default"/>
                <w:sz w:val="20"/>
                <w:szCs w:val="20"/>
              </w:rPr>
            </w:pPr>
            <w:r>
              <w:rPr>
                <w:rFonts w:ascii="宋体" w:hAnsi="宋体" w:cs="宋体" w:eastAsia="宋体" w:hint="default"/>
                <w:w w:val="95"/>
                <w:sz w:val="20"/>
                <w:szCs w:val="20"/>
              </w:rPr>
              <w:t>法定盈余公积</w:t>
            </w:r>
            <w:r>
              <w:rPr>
                <w:rFonts w:ascii="宋体" w:hAnsi="宋体" w:cs="宋体" w:eastAsia="宋体" w:hint="default"/>
                <w:sz w:val="20"/>
                <w:szCs w:val="20"/>
              </w:rPr>
            </w:r>
          </w:p>
        </w:tc>
        <w:tc>
          <w:tcPr>
            <w:tcW w:w="1765"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22"/>
              <w:jc w:val="right"/>
              <w:rPr>
                <w:rFonts w:ascii="Times New Roman" w:hAnsi="Times New Roman" w:cs="Times New Roman" w:eastAsia="Times New Roman" w:hint="default"/>
                <w:sz w:val="18"/>
                <w:szCs w:val="18"/>
              </w:rPr>
            </w:pPr>
            <w:r>
              <w:rPr>
                <w:rFonts w:ascii="Times New Roman"/>
                <w:spacing w:val="-1"/>
                <w:sz w:val="18"/>
              </w:rPr>
              <w:t>4,259,343.44</w:t>
            </w:r>
            <w:r>
              <w:rPr>
                <w:rFonts w:ascii="Times New Roman"/>
                <w:sz w:val="18"/>
              </w:rPr>
            </w:r>
          </w:p>
        </w:tc>
        <w:tc>
          <w:tcPr>
            <w:tcW w:w="1554"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63"/>
              <w:jc w:val="right"/>
              <w:rPr>
                <w:rFonts w:ascii="Times New Roman" w:hAnsi="Times New Roman" w:cs="Times New Roman" w:eastAsia="Times New Roman" w:hint="default"/>
                <w:sz w:val="18"/>
                <w:szCs w:val="18"/>
              </w:rPr>
            </w:pPr>
            <w:r>
              <w:rPr>
                <w:rFonts w:ascii="Times New Roman"/>
                <w:spacing w:val="-1"/>
                <w:sz w:val="18"/>
              </w:rPr>
              <w:t>5,144,325.04</w:t>
            </w:r>
            <w:r>
              <w:rPr>
                <w:rFonts w:ascii="Times New Roman"/>
                <w:sz w:val="18"/>
              </w:rPr>
            </w:r>
          </w:p>
        </w:tc>
        <w:tc>
          <w:tcPr>
            <w:tcW w:w="1362" w:type="dxa"/>
            <w:tcBorders>
              <w:top w:val="single" w:sz="4" w:space="0" w:color="000000"/>
              <w:left w:val="nil" w:sz="6" w:space="0" w:color="auto"/>
              <w:bottom w:val="single" w:sz="4" w:space="0" w:color="000000"/>
              <w:right w:val="nil" w:sz="6" w:space="0" w:color="auto"/>
            </w:tcBorders>
          </w:tcPr>
          <w:p>
            <w:pPr/>
          </w:p>
        </w:tc>
        <w:tc>
          <w:tcPr>
            <w:tcW w:w="1484"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9,403,668.48</w:t>
            </w:r>
            <w:r>
              <w:rPr>
                <w:rFonts w:ascii="Times New Roman"/>
                <w:sz w:val="18"/>
              </w:rPr>
            </w:r>
          </w:p>
        </w:tc>
      </w:tr>
      <w:tr>
        <w:trPr>
          <w:trHeight w:val="386" w:hRule="exact"/>
        </w:trPr>
        <w:tc>
          <w:tcPr>
            <w:tcW w:w="218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81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765"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222"/>
              <w:jc w:val="right"/>
              <w:rPr>
                <w:rFonts w:ascii="Times New Roman" w:hAnsi="Times New Roman" w:cs="Times New Roman" w:eastAsia="Times New Roman" w:hint="default"/>
                <w:sz w:val="18"/>
                <w:szCs w:val="18"/>
              </w:rPr>
            </w:pPr>
            <w:r>
              <w:rPr>
                <w:rFonts w:ascii="Times New Roman"/>
                <w:spacing w:val="-1"/>
                <w:sz w:val="18"/>
              </w:rPr>
              <w:t>4,259,343.44</w:t>
            </w:r>
            <w:r>
              <w:rPr>
                <w:rFonts w:ascii="Times New Roman"/>
                <w:sz w:val="18"/>
              </w:rPr>
            </w:r>
          </w:p>
        </w:tc>
        <w:tc>
          <w:tcPr>
            <w:tcW w:w="1554"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163"/>
              <w:jc w:val="right"/>
              <w:rPr>
                <w:rFonts w:ascii="Times New Roman" w:hAnsi="Times New Roman" w:cs="Times New Roman" w:eastAsia="Times New Roman" w:hint="default"/>
                <w:sz w:val="18"/>
                <w:szCs w:val="18"/>
              </w:rPr>
            </w:pPr>
            <w:r>
              <w:rPr>
                <w:rFonts w:ascii="Times New Roman"/>
                <w:spacing w:val="-1"/>
                <w:sz w:val="18"/>
              </w:rPr>
              <w:t>5,144,325.04</w:t>
            </w:r>
            <w:r>
              <w:rPr>
                <w:rFonts w:ascii="Times New Roman"/>
                <w:sz w:val="18"/>
              </w:rPr>
            </w:r>
          </w:p>
        </w:tc>
        <w:tc>
          <w:tcPr>
            <w:tcW w:w="1362" w:type="dxa"/>
            <w:tcBorders>
              <w:top w:val="single" w:sz="4" w:space="0" w:color="000000"/>
              <w:left w:val="nil" w:sz="6" w:space="0" w:color="auto"/>
              <w:bottom w:val="single" w:sz="17" w:space="0" w:color="000000"/>
              <w:right w:val="nil" w:sz="6" w:space="0" w:color="auto"/>
            </w:tcBorders>
          </w:tcPr>
          <w:p>
            <w:pPr/>
          </w:p>
        </w:tc>
        <w:tc>
          <w:tcPr>
            <w:tcW w:w="1484"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pacing w:val="-1"/>
                <w:sz w:val="18"/>
              </w:rPr>
              <w:t>9,403,668.48</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26"/>
        <w:ind w:left="1100" w:right="48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宋体" w:hAnsi="宋体" w:cs="宋体" w:eastAsia="宋体" w:hint="default"/>
          <w:b/>
          <w:bCs/>
          <w:sz w:val="24"/>
          <w:szCs w:val="24"/>
        </w:rPr>
        <w:t>、未分配利润</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50" w:footer="979" w:top="1380" w:bottom="1160" w:left="1180" w:right="1180"/>
        </w:sectPr>
      </w:pPr>
    </w:p>
    <w:tbl>
      <w:tblPr>
        <w:tblW w:w="0" w:type="auto"/>
        <w:jc w:val="left"/>
        <w:tblInd w:w="108" w:type="dxa"/>
        <w:tblLayout w:type="fixed"/>
        <w:tblCellMar>
          <w:top w:w="0" w:type="dxa"/>
          <w:left w:w="0" w:type="dxa"/>
          <w:bottom w:w="0" w:type="dxa"/>
          <w:right w:w="0" w:type="dxa"/>
        </w:tblCellMar>
        <w:tblLook w:val="01E0"/>
      </w:tblPr>
      <w:tblGrid>
        <w:gridCol w:w="4318"/>
        <w:gridCol w:w="1190"/>
        <w:gridCol w:w="1124"/>
        <w:gridCol w:w="1738"/>
      </w:tblGrid>
      <w:tr>
        <w:trPr>
          <w:trHeight w:val="523" w:hRule="exact"/>
        </w:trPr>
        <w:tc>
          <w:tcPr>
            <w:tcW w:w="4318" w:type="dxa"/>
            <w:tcBorders>
              <w:top w:val="single" w:sz="6" w:space="0" w:color="000000"/>
              <w:left w:val="nil" w:sz="6" w:space="0" w:color="auto"/>
              <w:bottom w:val="single" w:sz="4" w:space="0" w:color="000000"/>
              <w:right w:val="nil" w:sz="6" w:space="0" w:color="auto"/>
            </w:tcBorders>
          </w:tcPr>
          <w:p>
            <w:pPr>
              <w:pStyle w:val="TableParagraph"/>
              <w:tabs>
                <w:tab w:pos="400" w:val="left" w:leader="none"/>
              </w:tabs>
              <w:spacing w:line="240" w:lineRule="auto" w:before="107"/>
              <w:ind w:right="29"/>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90" w:type="dxa"/>
            <w:tcBorders>
              <w:top w:val="single" w:sz="6" w:space="0" w:color="000000"/>
              <w:left w:val="nil" w:sz="6" w:space="0" w:color="auto"/>
              <w:bottom w:val="single" w:sz="4" w:space="0" w:color="000000"/>
              <w:right w:val="nil" w:sz="6" w:space="0" w:color="auto"/>
            </w:tcBorders>
          </w:tcPr>
          <w:p>
            <w:pPr>
              <w:pStyle w:val="TableParagraph"/>
              <w:spacing w:line="240" w:lineRule="auto" w:before="107"/>
              <w:ind w:left="247"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124" w:type="dxa"/>
            <w:tcBorders>
              <w:top w:val="single" w:sz="6" w:space="0" w:color="000000"/>
              <w:left w:val="nil" w:sz="6" w:space="0" w:color="auto"/>
              <w:bottom w:val="single" w:sz="4" w:space="0" w:color="000000"/>
              <w:right w:val="nil" w:sz="6" w:space="0" w:color="auto"/>
            </w:tcBorders>
          </w:tcPr>
          <w:p>
            <w:pPr>
              <w:pStyle w:val="TableParagraph"/>
              <w:spacing w:line="240" w:lineRule="auto" w:before="107"/>
              <w:ind w:left="195" w:right="0"/>
              <w:jc w:val="left"/>
              <w:rPr>
                <w:rFonts w:ascii="宋体" w:hAnsi="宋体" w:cs="宋体" w:eastAsia="宋体" w:hint="default"/>
                <w:sz w:val="20"/>
                <w:szCs w:val="20"/>
              </w:rPr>
            </w:pPr>
            <w:r>
              <w:rPr>
                <w:rFonts w:ascii="宋体" w:hAnsi="宋体" w:cs="宋体" w:eastAsia="宋体" w:hint="default"/>
                <w:sz w:val="20"/>
                <w:szCs w:val="20"/>
              </w:rPr>
              <w:t>上年数</w:t>
            </w:r>
          </w:p>
        </w:tc>
        <w:tc>
          <w:tcPr>
            <w:tcW w:w="1738" w:type="dxa"/>
            <w:tcBorders>
              <w:top w:val="single" w:sz="6" w:space="0" w:color="000000"/>
              <w:left w:val="nil" w:sz="6" w:space="0" w:color="auto"/>
              <w:bottom w:val="single" w:sz="4" w:space="0" w:color="000000"/>
              <w:right w:val="nil" w:sz="6" w:space="0" w:color="auto"/>
            </w:tcBorders>
          </w:tcPr>
          <w:p>
            <w:pPr>
              <w:pStyle w:val="TableParagraph"/>
              <w:spacing w:line="240" w:lineRule="auto" w:before="107"/>
              <w:ind w:left="194" w:right="0"/>
              <w:jc w:val="left"/>
              <w:rPr>
                <w:rFonts w:ascii="宋体" w:hAnsi="宋体" w:cs="宋体" w:eastAsia="宋体" w:hint="default"/>
                <w:sz w:val="20"/>
                <w:szCs w:val="20"/>
              </w:rPr>
            </w:pPr>
            <w:r>
              <w:rPr>
                <w:rFonts w:ascii="宋体" w:hAnsi="宋体" w:cs="宋体" w:eastAsia="宋体" w:hint="default"/>
                <w:sz w:val="20"/>
                <w:szCs w:val="20"/>
              </w:rPr>
              <w:t>提取或分配比例</w:t>
            </w:r>
          </w:p>
        </w:tc>
      </w:tr>
      <w:tr>
        <w:trPr>
          <w:trHeight w:val="345" w:hRule="exact"/>
        </w:trPr>
        <w:tc>
          <w:tcPr>
            <w:tcW w:w="431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29" w:right="0"/>
              <w:jc w:val="left"/>
              <w:rPr>
                <w:rFonts w:ascii="宋体" w:hAnsi="宋体" w:cs="宋体" w:eastAsia="宋体" w:hint="default"/>
                <w:sz w:val="20"/>
                <w:szCs w:val="20"/>
              </w:rPr>
            </w:pPr>
            <w:r>
              <w:rPr>
                <w:rFonts w:ascii="宋体" w:hAnsi="宋体" w:cs="宋体" w:eastAsia="宋体" w:hint="default"/>
                <w:sz w:val="20"/>
                <w:szCs w:val="20"/>
              </w:rPr>
              <w:t>调整前上年末未分配利润</w:t>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6"/>
                <w:szCs w:val="16"/>
              </w:rPr>
            </w:pPr>
            <w:r>
              <w:rPr>
                <w:rFonts w:ascii="Times New Roman"/>
                <w:spacing w:val="-1"/>
                <w:sz w:val="16"/>
              </w:rPr>
              <w:t>38,342,051.65</w:t>
            </w: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93"/>
              <w:jc w:val="right"/>
              <w:rPr>
                <w:rFonts w:ascii="Times New Roman" w:hAnsi="Times New Roman" w:cs="Times New Roman" w:eastAsia="Times New Roman" w:hint="default"/>
                <w:sz w:val="16"/>
                <w:szCs w:val="16"/>
              </w:rPr>
            </w:pPr>
            <w:r>
              <w:rPr>
                <w:rFonts w:ascii="Times New Roman"/>
                <w:spacing w:val="-1"/>
                <w:sz w:val="16"/>
              </w:rPr>
              <w:t>34,125,047.78</w:t>
            </w:r>
          </w:p>
        </w:tc>
        <w:tc>
          <w:tcPr>
            <w:tcW w:w="1738" w:type="dxa"/>
            <w:tcBorders>
              <w:top w:val="single" w:sz="4" w:space="0" w:color="000000"/>
              <w:left w:val="nil" w:sz="6" w:space="0" w:color="auto"/>
              <w:bottom w:val="nil" w:sz="6" w:space="0" w:color="auto"/>
              <w:right w:val="nil" w:sz="6" w:space="0" w:color="auto"/>
            </w:tcBorders>
          </w:tcPr>
          <w:p>
            <w:pPr/>
          </w:p>
        </w:tc>
      </w:tr>
      <w:tr>
        <w:trPr>
          <w:trHeight w:val="34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调整年初未分配利润合计数</w:t>
            </w:r>
            <w:r>
              <w:rPr>
                <w:rFonts w:ascii="Times New Roman" w:hAnsi="Times New Roman" w:cs="Times New Roman" w:eastAsia="Times New Roman" w:hint="default"/>
                <w:sz w:val="20"/>
                <w:szCs w:val="20"/>
              </w:rPr>
              <w:t>(</w:t>
            </w:r>
            <w:r>
              <w:rPr>
                <w:rFonts w:ascii="宋体" w:hAnsi="宋体" w:cs="宋体" w:eastAsia="宋体" w:hint="default"/>
                <w:sz w:val="20"/>
                <w:szCs w:val="20"/>
              </w:rPr>
              <w:t>调增</w:t>
            </w:r>
            <w:r>
              <w:rPr>
                <w:rFonts w:ascii="Times New Roman" w:hAnsi="Times New Roman" w:cs="Times New Roman" w:eastAsia="Times New Roman" w:hint="default"/>
                <w:sz w:val="20"/>
                <w:szCs w:val="20"/>
              </w:rPr>
              <w:t>+,</w:t>
            </w:r>
            <w:r>
              <w:rPr>
                <w:rFonts w:ascii="宋体" w:hAnsi="宋体" w:cs="宋体" w:eastAsia="宋体" w:hint="default"/>
                <w:sz w:val="20"/>
                <w:szCs w:val="20"/>
              </w:rPr>
              <w:t>调减</w:t>
            </w:r>
            <w:r>
              <w:rPr>
                <w:rFonts w:ascii="Times New Roman" w:hAnsi="Times New Roman" w:cs="Times New Roman" w:eastAsia="Times New Roman" w:hint="default"/>
                <w:sz w:val="20"/>
                <w:szCs w:val="20"/>
              </w:rPr>
              <w:t>-)</w:t>
            </w:r>
          </w:p>
        </w:tc>
        <w:tc>
          <w:tcPr>
            <w:tcW w:w="119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331"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ind w:left="129" w:right="0"/>
              <w:jc w:val="left"/>
              <w:rPr>
                <w:rFonts w:ascii="宋体" w:hAnsi="宋体" w:cs="宋体" w:eastAsia="宋体" w:hint="default"/>
                <w:sz w:val="20"/>
                <w:szCs w:val="20"/>
              </w:rPr>
            </w:pPr>
            <w:r>
              <w:rPr>
                <w:rFonts w:ascii="宋体" w:hAnsi="宋体" w:cs="宋体" w:eastAsia="宋体" w:hint="default"/>
                <w:sz w:val="20"/>
                <w:szCs w:val="20"/>
              </w:rPr>
              <w:t>调整后年初未分配利润</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6"/>
                <w:szCs w:val="16"/>
              </w:rPr>
            </w:pPr>
            <w:r>
              <w:rPr>
                <w:rFonts w:ascii="Times New Roman"/>
                <w:spacing w:val="-1"/>
                <w:sz w:val="16"/>
              </w:rPr>
              <w:t>38,342,051.65</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3"/>
              <w:jc w:val="right"/>
              <w:rPr>
                <w:rFonts w:ascii="Times New Roman" w:hAnsi="Times New Roman" w:cs="Times New Roman" w:eastAsia="Times New Roman" w:hint="default"/>
                <w:sz w:val="16"/>
                <w:szCs w:val="16"/>
              </w:rPr>
            </w:pPr>
            <w:r>
              <w:rPr>
                <w:rFonts w:ascii="Times New Roman"/>
                <w:spacing w:val="-1"/>
                <w:sz w:val="16"/>
              </w:rPr>
              <w:t>34,125,047.78</w:t>
            </w:r>
          </w:p>
        </w:tc>
        <w:tc>
          <w:tcPr>
            <w:tcW w:w="1738" w:type="dxa"/>
            <w:tcBorders>
              <w:top w:val="nil" w:sz="6" w:space="0" w:color="auto"/>
              <w:left w:val="nil" w:sz="6" w:space="0" w:color="auto"/>
              <w:bottom w:val="nil" w:sz="6" w:space="0" w:color="auto"/>
              <w:right w:val="nil" w:sz="6" w:space="0" w:color="auto"/>
            </w:tcBorders>
          </w:tcPr>
          <w:p>
            <w:pPr/>
          </w:p>
        </w:tc>
      </w:tr>
      <w:tr>
        <w:trPr>
          <w:trHeight w:val="341"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9" w:right="0"/>
              <w:jc w:val="left"/>
              <w:rPr>
                <w:rFonts w:ascii="宋体" w:hAnsi="宋体" w:cs="宋体" w:eastAsia="宋体" w:hint="default"/>
                <w:sz w:val="20"/>
                <w:szCs w:val="20"/>
              </w:rPr>
            </w:pPr>
            <w:r>
              <w:rPr>
                <w:rFonts w:ascii="宋体" w:hAnsi="宋体" w:cs="宋体" w:eastAsia="宋体" w:hint="default"/>
                <w:sz w:val="20"/>
                <w:szCs w:val="20"/>
              </w:rPr>
              <w:t>加</w:t>
            </w:r>
            <w:r>
              <w:rPr>
                <w:rFonts w:ascii="Times New Roman" w:hAnsi="Times New Roman" w:cs="Times New Roman" w:eastAsia="Times New Roman" w:hint="default"/>
                <w:sz w:val="20"/>
                <w:szCs w:val="20"/>
              </w:rPr>
              <w:t>:</w:t>
            </w:r>
            <w:r>
              <w:rPr>
                <w:rFonts w:ascii="宋体" w:hAnsi="宋体" w:cs="宋体" w:eastAsia="宋体" w:hint="default"/>
                <w:sz w:val="20"/>
                <w:szCs w:val="20"/>
              </w:rPr>
              <w:t>本期归属于母公司所有者的净利润</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6"/>
                <w:szCs w:val="16"/>
              </w:rPr>
            </w:pPr>
            <w:r>
              <w:rPr>
                <w:rFonts w:ascii="Times New Roman"/>
                <w:spacing w:val="-1"/>
                <w:sz w:val="16"/>
              </w:rPr>
              <w:t>51,449,622.88</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3"/>
              <w:jc w:val="right"/>
              <w:rPr>
                <w:rFonts w:ascii="Times New Roman" w:hAnsi="Times New Roman" w:cs="Times New Roman" w:eastAsia="Times New Roman" w:hint="default"/>
                <w:sz w:val="16"/>
                <w:szCs w:val="16"/>
              </w:rPr>
            </w:pPr>
            <w:r>
              <w:rPr>
                <w:rFonts w:ascii="Times New Roman"/>
                <w:spacing w:val="-1"/>
                <w:sz w:val="16"/>
              </w:rPr>
              <w:t>41,251,019.92</w:t>
            </w:r>
          </w:p>
        </w:tc>
        <w:tc>
          <w:tcPr>
            <w:tcW w:w="1738" w:type="dxa"/>
            <w:tcBorders>
              <w:top w:val="nil" w:sz="6" w:space="0" w:color="auto"/>
              <w:left w:val="nil" w:sz="6" w:space="0" w:color="auto"/>
              <w:bottom w:val="nil" w:sz="6" w:space="0" w:color="auto"/>
              <w:right w:val="nil" w:sz="6" w:space="0" w:color="auto"/>
            </w:tcBorders>
          </w:tcPr>
          <w:p>
            <w:pPr/>
          </w:p>
        </w:tc>
      </w:tr>
      <w:tr>
        <w:trPr>
          <w:trHeight w:val="331"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ind w:left="431"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19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347"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宋体" w:hAnsi="宋体" w:cs="宋体" w:eastAsia="宋体" w:hint="default"/>
                <w:sz w:val="20"/>
                <w:szCs w:val="20"/>
              </w:rPr>
            </w:pPr>
            <w:r>
              <w:rPr>
                <w:rFonts w:ascii="宋体" w:hAnsi="宋体" w:cs="宋体" w:eastAsia="宋体" w:hint="default"/>
                <w:sz w:val="20"/>
                <w:szCs w:val="20"/>
              </w:rPr>
              <w:t>其他转入</w:t>
            </w:r>
          </w:p>
        </w:tc>
        <w:tc>
          <w:tcPr>
            <w:tcW w:w="119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643"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29" w:right="0"/>
              <w:jc w:val="left"/>
              <w:rPr>
                <w:rFonts w:ascii="宋体" w:hAnsi="宋体" w:cs="宋体" w:eastAsia="宋体" w:hint="default"/>
                <w:sz w:val="20"/>
                <w:szCs w:val="20"/>
              </w:rPr>
            </w:pP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提取法定盈余公积</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sz w:val="16"/>
              </w:rPr>
              <w:t>5,144,325.04</w:t>
            </w:r>
            <w:r>
              <w:rPr>
                <w:rFonts w:ascii="Times New Roman"/>
                <w:sz w:val="16"/>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94"/>
              <w:jc w:val="right"/>
              <w:rPr>
                <w:rFonts w:ascii="Times New Roman" w:hAnsi="Times New Roman" w:cs="Times New Roman" w:eastAsia="Times New Roman" w:hint="default"/>
                <w:sz w:val="16"/>
                <w:szCs w:val="16"/>
              </w:rPr>
            </w:pPr>
            <w:r>
              <w:rPr>
                <w:rFonts w:ascii="Times New Roman"/>
                <w:spacing w:val="-1"/>
                <w:sz w:val="16"/>
              </w:rPr>
              <w:t>4,259,343.44</w:t>
            </w:r>
            <w:r>
              <w:rPr>
                <w:rFonts w:ascii="Times New Roman"/>
                <w:sz w:val="16"/>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
              <w:jc w:val="right"/>
              <w:rPr>
                <w:rFonts w:ascii="Times New Roman" w:hAnsi="Times New Roman" w:cs="Times New Roman" w:eastAsia="Times New Roman" w:hint="default"/>
                <w:sz w:val="16"/>
                <w:szCs w:val="16"/>
              </w:rPr>
            </w:pPr>
            <w:r>
              <w:rPr>
                <w:rFonts w:ascii="宋体" w:hAnsi="宋体" w:cs="宋体" w:eastAsia="宋体" w:hint="default"/>
                <w:sz w:val="16"/>
                <w:szCs w:val="16"/>
              </w:rPr>
              <w:t>按母公司净利润的</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10%</w:t>
            </w:r>
          </w:p>
          <w:p>
            <w:pPr>
              <w:pStyle w:val="TableParagraph"/>
              <w:spacing w:line="240" w:lineRule="auto" w:before="105"/>
              <w:ind w:right="24"/>
              <w:jc w:val="right"/>
              <w:rPr>
                <w:rFonts w:ascii="宋体" w:hAnsi="宋体" w:cs="宋体" w:eastAsia="宋体" w:hint="default"/>
                <w:sz w:val="16"/>
                <w:szCs w:val="16"/>
              </w:rPr>
            </w:pPr>
            <w:r>
              <w:rPr>
                <w:rFonts w:ascii="宋体" w:hAnsi="宋体" w:cs="宋体" w:eastAsia="宋体" w:hint="default"/>
                <w:sz w:val="16"/>
                <w:szCs w:val="16"/>
              </w:rPr>
              <w:t>计提</w:t>
            </w:r>
          </w:p>
        </w:tc>
      </w:tr>
      <w:tr>
        <w:trPr>
          <w:trHeight w:val="345"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1"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19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
        </w:tc>
      </w:tr>
      <w:tr>
        <w:trPr>
          <w:trHeight w:val="336"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6"/>
                <w:szCs w:val="16"/>
              </w:rPr>
            </w:pPr>
            <w:r>
              <w:rPr>
                <w:rFonts w:ascii="Times New Roman"/>
                <w:spacing w:val="-1"/>
                <w:sz w:val="16"/>
              </w:rPr>
              <w:t>13,020,000.00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4"/>
              <w:jc w:val="right"/>
              <w:rPr>
                <w:rFonts w:ascii="Times New Roman" w:hAnsi="Times New Roman" w:cs="Times New Roman" w:eastAsia="Times New Roman" w:hint="default"/>
                <w:sz w:val="16"/>
                <w:szCs w:val="16"/>
              </w:rPr>
            </w:pPr>
            <w:r>
              <w:rPr>
                <w:rFonts w:ascii="Times New Roman"/>
                <w:spacing w:val="-1"/>
                <w:sz w:val="16"/>
              </w:rPr>
              <w:t>7,000,000.00</w:t>
            </w:r>
            <w:r>
              <w:rPr>
                <w:rFonts w:ascii="Times New Roman"/>
                <w:sz w:val="16"/>
              </w:rPr>
            </w:r>
          </w:p>
        </w:tc>
        <w:tc>
          <w:tcPr>
            <w:tcW w:w="1738" w:type="dxa"/>
            <w:tcBorders>
              <w:top w:val="nil" w:sz="6" w:space="0" w:color="auto"/>
              <w:left w:val="nil" w:sz="6" w:space="0" w:color="auto"/>
              <w:bottom w:val="nil" w:sz="6" w:space="0" w:color="auto"/>
              <w:right w:val="nil" w:sz="6" w:space="0" w:color="auto"/>
            </w:tcBorders>
          </w:tcPr>
          <w:p>
            <w:pPr/>
          </w:p>
        </w:tc>
      </w:tr>
      <w:tr>
        <w:trPr>
          <w:trHeight w:val="338"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1"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190"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93"/>
              <w:jc w:val="right"/>
              <w:rPr>
                <w:rFonts w:ascii="Times New Roman" w:hAnsi="Times New Roman" w:cs="Times New Roman" w:eastAsia="Times New Roman" w:hint="default"/>
                <w:sz w:val="16"/>
                <w:szCs w:val="16"/>
              </w:rPr>
            </w:pPr>
            <w:r>
              <w:rPr>
                <w:rFonts w:ascii="Times New Roman"/>
                <w:spacing w:val="-1"/>
                <w:sz w:val="16"/>
              </w:rPr>
              <w:t>25,774,672.61</w:t>
            </w:r>
          </w:p>
        </w:tc>
        <w:tc>
          <w:tcPr>
            <w:tcW w:w="1738" w:type="dxa"/>
            <w:tcBorders>
              <w:top w:val="nil" w:sz="6" w:space="0" w:color="auto"/>
              <w:left w:val="nil" w:sz="6" w:space="0" w:color="auto"/>
              <w:bottom w:val="single" w:sz="4" w:space="0" w:color="000000"/>
              <w:right w:val="nil" w:sz="6" w:space="0" w:color="auto"/>
            </w:tcBorders>
          </w:tcPr>
          <w:p>
            <w:pPr/>
          </w:p>
        </w:tc>
      </w:tr>
      <w:tr>
        <w:trPr>
          <w:trHeight w:val="362"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1190" w:type="dxa"/>
            <w:tcBorders>
              <w:top w:val="single" w:sz="4" w:space="0" w:color="000000"/>
              <w:left w:val="nil" w:sz="6" w:space="0" w:color="auto"/>
              <w:bottom w:val="single" w:sz="17"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6"/>
                <w:szCs w:val="16"/>
              </w:rPr>
            </w:pPr>
            <w:r>
              <w:rPr>
                <w:rFonts w:ascii="Times New Roman"/>
                <w:spacing w:val="-1"/>
                <w:sz w:val="16"/>
              </w:rPr>
              <w:t>71,627,349.49</w:t>
            </w:r>
          </w:p>
        </w:tc>
        <w:tc>
          <w:tcPr>
            <w:tcW w:w="1124" w:type="dxa"/>
            <w:tcBorders>
              <w:top w:val="single" w:sz="4" w:space="0" w:color="000000"/>
              <w:left w:val="nil" w:sz="6" w:space="0" w:color="auto"/>
              <w:bottom w:val="single" w:sz="17" w:space="0" w:color="000000"/>
              <w:right w:val="nil" w:sz="6" w:space="0" w:color="auto"/>
            </w:tcBorders>
          </w:tcPr>
          <w:p>
            <w:pPr>
              <w:pStyle w:val="TableParagraph"/>
              <w:spacing w:line="240" w:lineRule="auto" w:before="78"/>
              <w:ind w:right="93"/>
              <w:jc w:val="right"/>
              <w:rPr>
                <w:rFonts w:ascii="Times New Roman" w:hAnsi="Times New Roman" w:cs="Times New Roman" w:eastAsia="Times New Roman" w:hint="default"/>
                <w:sz w:val="16"/>
                <w:szCs w:val="16"/>
              </w:rPr>
            </w:pPr>
            <w:r>
              <w:rPr>
                <w:rFonts w:ascii="Times New Roman"/>
                <w:spacing w:val="-1"/>
                <w:sz w:val="16"/>
              </w:rPr>
              <w:t>38,342,051.65</w:t>
            </w:r>
          </w:p>
        </w:tc>
        <w:tc>
          <w:tcPr>
            <w:tcW w:w="1738" w:type="dxa"/>
            <w:tcBorders>
              <w:top w:val="single" w:sz="4" w:space="0" w:color="000000"/>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before="26"/>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、营业收入与营业成本</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spacing w:line="240" w:lineRule="auto"/>
        <w:ind w:left="564" w:right="0"/>
        <w:jc w:val="left"/>
      </w:pPr>
      <w:r>
        <w:rPr/>
        <w:t>（</w:t>
      </w:r>
      <w:r>
        <w:rPr>
          <w:rFonts w:ascii="Times New Roman" w:hAnsi="Times New Roman" w:cs="Times New Roman" w:eastAsia="Times New Roman" w:hint="default"/>
        </w:rPr>
        <w:t>1</w:t>
      </w:r>
      <w:r>
        <w:rPr/>
        <w:t>）营业收入及营业成本</w:t>
      </w:r>
    </w:p>
    <w:p>
      <w:pPr>
        <w:spacing w:line="240" w:lineRule="auto" w:before="9"/>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66"/>
        <w:gridCol w:w="197"/>
        <w:gridCol w:w="2448"/>
        <w:gridCol w:w="156"/>
        <w:gridCol w:w="2582"/>
      </w:tblGrid>
      <w:tr>
        <w:trPr>
          <w:trHeight w:val="279" w:hRule="exact"/>
        </w:trPr>
        <w:tc>
          <w:tcPr>
            <w:tcW w:w="2966"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199" w:lineRule="exact"/>
              <w:ind w:right="17"/>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199" w:lineRule="exact"/>
              <w:ind w:left="717"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199" w:lineRule="exact"/>
              <w:ind w:left="786"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8" w:hRule="exact"/>
        </w:trPr>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pacing w:val="-1"/>
                <w:sz w:val="18"/>
              </w:rPr>
              <w:t>95,242,610.31</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pacing w:val="-1"/>
                <w:sz w:val="18"/>
              </w:rPr>
              <w:t>72,166,609.76</w:t>
            </w:r>
          </w:p>
        </w:tc>
      </w:tr>
      <w:tr>
        <w:trPr>
          <w:trHeight w:val="35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z w:val="18"/>
              </w:rPr>
              <w:t>499,022.10</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14,630.00</w:t>
            </w:r>
          </w:p>
        </w:tc>
      </w:tr>
      <w:tr>
        <w:trPr>
          <w:trHeight w:val="37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93"/>
              <w:jc w:val="right"/>
              <w:rPr>
                <w:rFonts w:ascii="宋体" w:hAnsi="宋体" w:cs="宋体" w:eastAsia="宋体" w:hint="default"/>
                <w:sz w:val="20"/>
                <w:szCs w:val="20"/>
              </w:rPr>
            </w:pPr>
            <w:r>
              <w:rPr>
                <w:rFonts w:ascii="宋体" w:hAnsi="宋体" w:cs="宋体" w:eastAsia="宋体" w:hint="default"/>
                <w:w w:val="95"/>
                <w:sz w:val="20"/>
                <w:szCs w:val="20"/>
              </w:rPr>
              <w:t>营业收入合计</w:t>
            </w:r>
            <w:r>
              <w:rPr>
                <w:rFonts w:ascii="宋体" w:hAnsi="宋体" w:cs="宋体" w:eastAsia="宋体" w:hint="default"/>
                <w:sz w:val="20"/>
                <w:szCs w:val="20"/>
              </w:rPr>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95,741,632.41</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72,181,239.76</w:t>
            </w:r>
          </w:p>
        </w:tc>
      </w:tr>
      <w:tr>
        <w:trPr>
          <w:trHeight w:val="368"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28,722,546.85</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5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3"/>
              <w:jc w:val="right"/>
              <w:rPr>
                <w:rFonts w:ascii="宋体" w:hAnsi="宋体" w:cs="宋体" w:eastAsia="宋体" w:hint="default"/>
                <w:sz w:val="20"/>
                <w:szCs w:val="20"/>
              </w:rPr>
            </w:pPr>
            <w:r>
              <w:rPr>
                <w:rFonts w:ascii="宋体" w:hAnsi="宋体" w:cs="宋体" w:eastAsia="宋体" w:hint="default"/>
                <w:w w:val="95"/>
                <w:sz w:val="20"/>
                <w:szCs w:val="20"/>
              </w:rPr>
              <w:t>营业成本合计</w:t>
            </w:r>
            <w:r>
              <w:rPr>
                <w:rFonts w:ascii="宋体" w:hAnsi="宋体" w:cs="宋体" w:eastAsia="宋体" w:hint="default"/>
                <w:sz w:val="20"/>
                <w:szCs w:val="20"/>
              </w:rPr>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pacing w:val="-1"/>
                <w:sz w:val="18"/>
              </w:rPr>
              <w:t>28,722,546.85</w:t>
            </w:r>
          </w:p>
        </w:tc>
        <w:tc>
          <w:tcPr>
            <w:tcW w:w="156" w:type="dxa"/>
            <w:tcBorders>
              <w:top w:val="single" w:sz="4" w:space="0" w:color="000000"/>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pacing w:val="-1"/>
                <w:sz w:val="18"/>
              </w:rPr>
              <w:t>14,622,529.26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0" w:footer="979" w:top="1380" w:bottom="1160" w:left="1660" w:right="1660"/>
        </w:sectPr>
      </w:pPr>
    </w:p>
    <w:p>
      <w:pPr>
        <w:pStyle w:val="BodyText"/>
        <w:spacing w:line="240" w:lineRule="auto" w:before="26"/>
        <w:ind w:left="617" w:right="-20"/>
        <w:jc w:val="left"/>
      </w:pPr>
      <w:r>
        <w:rPr/>
        <w:t>（</w:t>
      </w:r>
      <w:r>
        <w:rPr>
          <w:rFonts w:ascii="Times New Roman" w:hAnsi="Times New Roman" w:cs="Times New Roman" w:eastAsia="Times New Roman" w:hint="default"/>
        </w:rPr>
        <w:t>2</w:t>
      </w:r>
      <w:r>
        <w:rPr/>
        <w:t>）主营业务（分行业）</w:t>
      </w:r>
    </w:p>
    <w:p>
      <w:pPr>
        <w:spacing w:line="240" w:lineRule="auto" w:before="8"/>
        <w:rPr>
          <w:rFonts w:ascii="宋体" w:hAnsi="宋体" w:cs="宋体" w:eastAsia="宋体" w:hint="default"/>
          <w:sz w:val="17"/>
          <w:szCs w:val="17"/>
        </w:rPr>
      </w:pPr>
    </w:p>
    <w:p>
      <w:pPr>
        <w:spacing w:line="247" w:lineRule="exact" w:before="0"/>
        <w:ind w:left="919" w:right="1221" w:firstLine="0"/>
        <w:jc w:val="center"/>
        <w:rPr>
          <w:rFonts w:ascii="宋体" w:hAnsi="宋体" w:cs="宋体" w:eastAsia="宋体" w:hint="default"/>
          <w:sz w:val="20"/>
          <w:szCs w:val="20"/>
        </w:rPr>
      </w:pPr>
      <w:r>
        <w:rPr/>
        <w:pict>
          <v:group style="position:absolute;margin-left:234.119995pt;margin-top:7.839686pt;width:273pt;height:.5pt;mso-position-horizontal-relative:page;mso-position-vertical-relative:paragraph;z-index:3472" coordorigin="4682,157" coordsize="5460,10">
            <v:group style="position:absolute;left:4687;top:162;width:1335;height:2" coordorigin="4687,162" coordsize="1335,2">
              <v:shape style="position:absolute;left:4687;top:162;width:1335;height:2" coordorigin="4687,162" coordsize="1335,0" path="m4687,162l6022,162e" filled="false" stroked="true" strokeweight=".48pt" strokecolor="#000000">
                <v:path arrowok="t"/>
              </v:shape>
            </v:group>
            <v:group style="position:absolute;left:6022;top:162;width:10;height:2" coordorigin="6022,162" coordsize="10,2">
              <v:shape style="position:absolute;left:6022;top:162;width:10;height:2" coordorigin="6022,162" coordsize="10,0" path="m6022,162l6031,162e" filled="false" stroked="true" strokeweight=".48pt" strokecolor="#000000">
                <v:path arrowok="t"/>
              </v:shape>
            </v:group>
            <v:group style="position:absolute;left:6031;top:162;width:53;height:2" coordorigin="6031,162" coordsize="53,2">
              <v:shape style="position:absolute;left:6031;top:162;width:53;height:2" coordorigin="6031,162" coordsize="53,0" path="m6031,162l6084,162e" filled="false" stroked="true" strokeweight=".48pt" strokecolor="#000000">
                <v:path arrowok="t"/>
              </v:shape>
            </v:group>
            <v:group style="position:absolute;left:6084;top:162;width:10;height:2" coordorigin="6084,162" coordsize="10,2">
              <v:shape style="position:absolute;left:6084;top:162;width:10;height:2" coordorigin="6084,162" coordsize="10,0" path="m6084,162l6094,162e" filled="false" stroked="true" strokeweight=".48pt" strokecolor="#000000">
                <v:path arrowok="t"/>
              </v:shape>
            </v:group>
            <v:group style="position:absolute;left:6094;top:162;width:1220;height:2" coordorigin="6094,162" coordsize="1220,2">
              <v:shape style="position:absolute;left:6094;top:162;width:1220;height:2" coordorigin="6094,162" coordsize="1220,0" path="m6094,162l7313,162e" filled="false" stroked="true" strokeweight=".48pt" strokecolor="#000000">
                <v:path arrowok="t"/>
              </v:shape>
            </v:group>
            <v:group style="position:absolute;left:7375;top:162;width:1287;height:2" coordorigin="7375,162" coordsize="1287,2">
              <v:shape style="position:absolute;left:7375;top:162;width:1287;height:2" coordorigin="7375,162" coordsize="1287,0" path="m7375,162l8662,162e" filled="false" stroked="true" strokeweight=".48pt" strokecolor="#000000">
                <v:path arrowok="t"/>
              </v:shape>
            </v:group>
            <v:group style="position:absolute;left:8662;top:162;width:10;height:2" coordorigin="8662,162" coordsize="10,2">
              <v:shape style="position:absolute;left:8662;top:162;width:10;height:2" coordorigin="8662,162" coordsize="10,0" path="m8662,162l8671,162e" filled="false" stroked="true" strokeweight=".48pt" strokecolor="#000000">
                <v:path arrowok="t"/>
              </v:shape>
            </v:group>
            <v:group style="position:absolute;left:8671;top:162;width:51;height:2" coordorigin="8671,162" coordsize="51,2">
              <v:shape style="position:absolute;left:8671;top:162;width:51;height:2" coordorigin="8671,162" coordsize="51,0" path="m8671,162l8722,162e" filled="false" stroked="true" strokeweight=".48pt" strokecolor="#000000">
                <v:path arrowok="t"/>
              </v:shape>
            </v:group>
            <v:group style="position:absolute;left:8722;top:162;width:10;height:2" coordorigin="8722,162" coordsize="10,2">
              <v:shape style="position:absolute;left:8722;top:162;width:10;height:2" coordorigin="8722,162" coordsize="10,0" path="m8722,162l8731,162e" filled="false" stroked="true" strokeweight=".48pt" strokecolor="#000000">
                <v:path arrowok="t"/>
              </v:shape>
            </v:group>
            <v:group style="position:absolute;left:8731;top:162;width:1407;height:2" coordorigin="8731,162" coordsize="1407,2">
              <v:shape style="position:absolute;left:8731;top:162;width:1407;height:2" coordorigin="8731,162" coordsize="1407,0" path="m8731,162l10138,162e" filled="false" stroked="true" strokeweight=".48pt" strokecolor="#000000">
                <v:path arrowok="t"/>
              </v:shape>
            </v:group>
            <w10:wrap type="none"/>
          </v:group>
        </w:pict>
      </w:r>
      <w:r>
        <w:rPr>
          <w:rFonts w:ascii="宋体" w:hAnsi="宋体" w:cs="宋体" w:eastAsia="宋体" w:hint="default"/>
          <w:sz w:val="20"/>
          <w:szCs w:val="20"/>
        </w:rPr>
        <w:t>行业名称</w:t>
      </w:r>
    </w:p>
    <w:p>
      <w:pPr>
        <w:spacing w:line="240" w:lineRule="auto" w:before="0"/>
        <w:rPr>
          <w:rFonts w:ascii="宋体" w:hAnsi="宋体" w:cs="宋体" w:eastAsia="宋体" w:hint="default"/>
          <w:sz w:val="20"/>
          <w:szCs w:val="20"/>
        </w:rPr>
      </w:pPr>
      <w:r>
        <w:rPr/>
        <w:br w:type="column"/>
      </w:r>
      <w:r>
        <w:rPr>
          <w:rFonts w:ascii="宋体"/>
          <w:sz w:val="20"/>
        </w:rPr>
      </w:r>
    </w:p>
    <w:p>
      <w:pPr>
        <w:tabs>
          <w:tab w:pos="3178" w:val="left" w:leader="none"/>
        </w:tabs>
        <w:spacing w:before="159"/>
        <w:ind w:left="423" w:right="0" w:firstLine="0"/>
        <w:jc w:val="left"/>
        <w:rPr>
          <w:rFonts w:ascii="宋体" w:hAnsi="宋体" w:cs="宋体" w:eastAsia="宋体" w:hint="default"/>
          <w:sz w:val="20"/>
          <w:szCs w:val="20"/>
        </w:rPr>
      </w:pPr>
      <w:r>
        <w:rPr>
          <w:rFonts w:ascii="宋体" w:hAnsi="宋体" w:cs="宋体" w:eastAsia="宋体" w:hint="default"/>
          <w:w w:val="95"/>
          <w:sz w:val="20"/>
          <w:szCs w:val="20"/>
        </w:rPr>
        <w:t>本期发生额</w:t>
        <w:tab/>
      </w:r>
      <w:r>
        <w:rPr>
          <w:rFonts w:ascii="宋体" w:hAnsi="宋体" w:cs="宋体" w:eastAsia="宋体" w:hint="default"/>
          <w:sz w:val="20"/>
          <w:szCs w:val="20"/>
        </w:rPr>
        <w:t>上期发生额</w:t>
      </w:r>
    </w:p>
    <w:p>
      <w:pPr>
        <w:spacing w:after="0"/>
        <w:jc w:val="left"/>
        <w:rPr>
          <w:rFonts w:ascii="宋体" w:hAnsi="宋体" w:cs="宋体" w:eastAsia="宋体" w:hint="default"/>
          <w:sz w:val="20"/>
          <w:szCs w:val="20"/>
        </w:rPr>
        <w:sectPr>
          <w:type w:val="continuous"/>
          <w:pgSz w:w="11910" w:h="16840"/>
          <w:pgMar w:top="1380" w:bottom="1380" w:left="1660" w:right="1660"/>
          <w:cols w:num="2" w:equalWidth="0">
            <w:col w:w="3378" w:space="40"/>
            <w:col w:w="5172"/>
          </w:cols>
        </w:sectPr>
      </w:pPr>
    </w:p>
    <w:p>
      <w:pPr>
        <w:tabs>
          <w:tab w:pos="4637" w:val="left" w:leader="none"/>
          <w:tab w:pos="5957" w:val="left" w:leader="none"/>
          <w:tab w:pos="7368" w:val="left" w:leader="none"/>
        </w:tabs>
        <w:spacing w:line="199" w:lineRule="exact" w:before="0"/>
        <w:ind w:left="3293" w:right="0" w:firstLine="0"/>
        <w:jc w:val="left"/>
        <w:rPr>
          <w:rFonts w:ascii="宋体" w:hAnsi="宋体" w:cs="宋体" w:eastAsia="宋体" w:hint="default"/>
          <w:sz w:val="20"/>
          <w:szCs w:val="20"/>
        </w:rPr>
      </w:pP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line="240" w:lineRule="auto" w:before="4"/>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5pt;mso-position-horizontal-relative:char;mso-position-vertical-relative:line" coordorigin="0,0" coordsize="8379,10">
            <v:group style="position:absolute;left:5;top:5;width:2856;height:2" coordorigin="5,5" coordsize="2856,2">
              <v:shape style="position:absolute;left:5;top:5;width:2856;height:2" coordorigin="5,5" coordsize="2856,0" path="m5,5l2861,5e" filled="false" stroked="true" strokeweight=".48pt" strokecolor="#000000">
                <v:path arrowok="t"/>
              </v:shape>
            </v:group>
            <v:group style="position:absolute;left:2923;top:5;width:1335;height:2" coordorigin="2923,5" coordsize="1335,2">
              <v:shape style="position:absolute;left:2923;top:5;width:1335;height:2" coordorigin="2923,5" coordsize="1335,0" path="m2923,5l4258,5e" filled="false" stroked="true" strokeweight=".48pt" strokecolor="#000000">
                <v:path arrowok="t"/>
              </v:shape>
            </v:group>
            <v:group style="position:absolute;left:4320;top:5;width:1229;height:2" coordorigin="4320,5" coordsize="1229,2">
              <v:shape style="position:absolute;left:4320;top:5;width:1229;height:2" coordorigin="4320,5" coordsize="1229,0" path="m4320,5l5549,5e" filled="false" stroked="true" strokeweight=".48pt" strokecolor="#000000">
                <v:path arrowok="t"/>
              </v:shape>
            </v:group>
            <v:group style="position:absolute;left:5611;top:5;width:1287;height:2" coordorigin="5611,5" coordsize="1287,2">
              <v:shape style="position:absolute;left:5611;top:5;width:1287;height:2" coordorigin="5611,5" coordsize="1287,0" path="m5611,5l6898,5e" filled="false" stroked="true" strokeweight=".48pt" strokecolor="#000000">
                <v:path arrowok="t"/>
              </v:shape>
            </v:group>
            <v:group style="position:absolute;left:6958;top:5;width:1416;height:2" coordorigin="6958,5" coordsize="1416,2">
              <v:shape style="position:absolute;left:6958;top:5;width:1416;height:2" coordorigin="6958,5" coordsize="1416,0" path="m6958,5l8374,5e" filled="false" stroked="true" strokeweight=".48pt" strokecolor="#000000">
                <v:path arrowok="t"/>
              </v:shape>
            </v:group>
          </v:group>
        </w:pict>
      </w:r>
      <w:r>
        <w:rPr>
          <w:rFonts w:ascii="宋体" w:hAnsi="宋体" w:cs="宋体" w:eastAsia="宋体" w:hint="default"/>
          <w:sz w:val="2"/>
          <w:szCs w:val="2"/>
        </w:rPr>
      </w:r>
    </w:p>
    <w:p>
      <w:pPr>
        <w:tabs>
          <w:tab w:pos="3298" w:val="left" w:leader="none"/>
          <w:tab w:pos="4589" w:val="left" w:leader="none"/>
          <w:tab w:pos="5938" w:val="left" w:leader="none"/>
          <w:tab w:pos="7414" w:val="left" w:leader="none"/>
        </w:tabs>
        <w:spacing w:before="5"/>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软件开发</w:t>
        <w:tab/>
      </w:r>
      <w:r>
        <w:rPr>
          <w:rFonts w:ascii="Times New Roman" w:hAnsi="Times New Roman" w:cs="Times New Roman" w:eastAsia="Times New Roman" w:hint="default"/>
          <w:spacing w:val="-1"/>
          <w:position w:val="1"/>
          <w:sz w:val="18"/>
          <w:szCs w:val="18"/>
        </w:rPr>
        <w:t>77,601,734.01</w:t>
        <w:tab/>
        <w:t>14,455,248.37</w:t>
        <w:tab/>
        <w:t>67,013,126.84</w:t>
        <w:tab/>
        <w:t>11,082,607.14</w:t>
      </w:r>
      <w:r>
        <w:rPr>
          <w:rFonts w:ascii="Times New Roman" w:hAnsi="Times New Roman" w:cs="Times New Roman" w:eastAsia="Times New Roman" w:hint="default"/>
          <w:spacing w:val="-1"/>
          <w:sz w:val="18"/>
          <w:szCs w:val="18"/>
        </w:rPr>
      </w:r>
    </w:p>
    <w:p>
      <w:pPr>
        <w:spacing w:line="245" w:lineRule="exact" w:before="80"/>
        <w:ind w:left="543" w:right="0" w:firstLine="0"/>
        <w:jc w:val="left"/>
        <w:rPr>
          <w:rFonts w:ascii="宋体" w:hAnsi="宋体" w:cs="宋体" w:eastAsia="宋体" w:hint="default"/>
          <w:sz w:val="20"/>
          <w:szCs w:val="20"/>
        </w:rPr>
      </w:pPr>
      <w:r>
        <w:rPr>
          <w:rFonts w:ascii="宋体" w:hAnsi="宋体" w:cs="宋体" w:eastAsia="宋体" w:hint="default"/>
          <w:sz w:val="20"/>
          <w:szCs w:val="20"/>
        </w:rPr>
        <w:t>其中：规划和国土资源管理</w:t>
      </w:r>
    </w:p>
    <w:p>
      <w:pPr>
        <w:tabs>
          <w:tab w:pos="4678" w:val="left" w:leader="none"/>
          <w:tab w:pos="5938" w:val="left" w:leader="none"/>
          <w:tab w:pos="7503" w:val="left" w:leader="none"/>
        </w:tabs>
        <w:spacing w:line="133" w:lineRule="exact" w:before="0"/>
        <w:ind w:left="3387" w:right="0" w:firstLine="0"/>
        <w:jc w:val="left"/>
        <w:rPr>
          <w:rFonts w:ascii="Times New Roman" w:hAnsi="Times New Roman" w:cs="Times New Roman" w:eastAsia="Times New Roman" w:hint="default"/>
          <w:sz w:val="18"/>
          <w:szCs w:val="18"/>
        </w:rPr>
      </w:pPr>
      <w:r>
        <w:rPr>
          <w:rFonts w:ascii="Times New Roman"/>
          <w:spacing w:val="-1"/>
          <w:sz w:val="18"/>
        </w:rPr>
        <w:t>8,959,396.39</w:t>
        <w:tab/>
        <w:t>3,287,353.20</w:t>
        <w:tab/>
        <w:t>11,181,452.00</w:t>
        <w:tab/>
        <w:t>2,745,632.31</w:t>
      </w:r>
      <w:r>
        <w:rPr>
          <w:rFonts w:ascii="Times New Roman"/>
          <w:sz w:val="18"/>
        </w:rPr>
      </w:r>
    </w:p>
    <w:p>
      <w:pPr>
        <w:spacing w:line="211"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领域</w:t>
      </w:r>
    </w:p>
    <w:p>
      <w:pPr>
        <w:tabs>
          <w:tab w:pos="3298" w:val="left" w:leader="none"/>
          <w:tab w:pos="4589" w:val="left" w:leader="none"/>
          <w:tab w:pos="5938" w:val="left" w:leader="none"/>
          <w:tab w:pos="7503" w:val="left" w:leader="none"/>
        </w:tabs>
        <w:spacing w:before="79"/>
        <w:ind w:left="11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数字化城市管理领域</w:t>
        <w:tab/>
      </w:r>
      <w:r>
        <w:rPr>
          <w:rFonts w:ascii="Times New Roman" w:hAnsi="Times New Roman" w:cs="Times New Roman" w:eastAsia="Times New Roman" w:hint="default"/>
          <w:spacing w:val="-1"/>
          <w:position w:val="1"/>
          <w:sz w:val="18"/>
          <w:szCs w:val="18"/>
        </w:rPr>
        <w:t>68,642,337.62</w:t>
        <w:tab/>
        <w:t>11,159,029.17</w:t>
        <w:tab/>
        <w:t>55,831,673.85</w:t>
        <w:tab/>
        <w:t>8,336,974.83</w:t>
      </w:r>
      <w:r>
        <w:rPr>
          <w:rFonts w:ascii="Times New Roman" w:hAnsi="Times New Roman" w:cs="Times New Roman" w:eastAsia="Times New Roman" w:hint="default"/>
          <w:sz w:val="18"/>
          <w:szCs w:val="18"/>
        </w:rPr>
      </w:r>
    </w:p>
    <w:p>
      <w:pPr>
        <w:tabs>
          <w:tab w:pos="3298" w:val="left" w:leader="none"/>
          <w:tab w:pos="4589" w:val="left" w:leader="none"/>
          <w:tab w:pos="6027" w:val="left" w:leader="none"/>
          <w:tab w:pos="7503" w:val="left" w:leader="none"/>
        </w:tabs>
        <w:spacing w:before="97"/>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软硬件代购</w:t>
        <w:tab/>
      </w:r>
      <w:r>
        <w:rPr>
          <w:rFonts w:ascii="Times New Roman" w:hAnsi="Times New Roman" w:cs="Times New Roman" w:eastAsia="Times New Roman" w:hint="default"/>
          <w:spacing w:val="-1"/>
          <w:position w:val="1"/>
          <w:sz w:val="18"/>
          <w:szCs w:val="18"/>
        </w:rPr>
        <w:t>13,089,552.30</w:t>
        <w:tab/>
        <w:t>11,882,472.11</w:t>
        <w:tab/>
        <w:t>3,120,119.66</w:t>
        <w:tab/>
        <w:t>2,982,950.45</w:t>
      </w:r>
      <w:r>
        <w:rPr>
          <w:rFonts w:ascii="Times New Roman" w:hAnsi="Times New Roman" w:cs="Times New Roman" w:eastAsia="Times New Roman" w:hint="default"/>
          <w:sz w:val="18"/>
          <w:szCs w:val="18"/>
        </w:rPr>
      </w:r>
    </w:p>
    <w:p>
      <w:pPr>
        <w:spacing w:line="245" w:lineRule="exact" w:before="80"/>
        <w:ind w:left="543" w:right="0" w:firstLine="0"/>
        <w:jc w:val="left"/>
        <w:rPr>
          <w:rFonts w:ascii="宋体" w:hAnsi="宋体" w:cs="宋体" w:eastAsia="宋体" w:hint="default"/>
          <w:sz w:val="20"/>
          <w:szCs w:val="20"/>
        </w:rPr>
      </w:pPr>
      <w:r>
        <w:rPr>
          <w:rFonts w:ascii="宋体" w:hAnsi="宋体" w:cs="宋体" w:eastAsia="宋体" w:hint="default"/>
          <w:sz w:val="20"/>
          <w:szCs w:val="20"/>
        </w:rPr>
        <w:t>其中：规划和国土资源管理</w:t>
      </w:r>
    </w:p>
    <w:p>
      <w:pPr>
        <w:tabs>
          <w:tab w:pos="1942" w:val="left" w:leader="none"/>
        </w:tabs>
        <w:spacing w:line="133" w:lineRule="exact" w:before="0"/>
        <w:ind w:left="560" w:right="0" w:firstLine="0"/>
        <w:jc w:val="center"/>
        <w:rPr>
          <w:rFonts w:ascii="Times New Roman" w:hAnsi="Times New Roman" w:cs="Times New Roman" w:eastAsia="Times New Roman" w:hint="default"/>
          <w:sz w:val="18"/>
          <w:szCs w:val="18"/>
        </w:rPr>
      </w:pPr>
      <w:r>
        <w:rPr>
          <w:rFonts w:ascii="Times New Roman"/>
          <w:spacing w:val="-1"/>
          <w:sz w:val="18"/>
        </w:rPr>
        <w:t>539,671.97</w:t>
        <w:tab/>
        <w:t>28,933.34</w:t>
      </w:r>
    </w:p>
    <w:p>
      <w:pPr>
        <w:spacing w:line="211" w:lineRule="exact"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领域</w:t>
      </w:r>
    </w:p>
    <w:p>
      <w:pPr>
        <w:tabs>
          <w:tab w:pos="3298" w:val="left" w:leader="none"/>
          <w:tab w:pos="4589" w:val="left" w:leader="none"/>
          <w:tab w:pos="6027" w:val="left" w:leader="none"/>
          <w:tab w:pos="7503" w:val="left" w:leader="none"/>
        </w:tabs>
        <w:spacing w:before="81"/>
        <w:ind w:left="11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数字化城市管理领域</w:t>
        <w:tab/>
      </w:r>
      <w:r>
        <w:rPr>
          <w:rFonts w:ascii="Times New Roman" w:hAnsi="Times New Roman" w:cs="Times New Roman" w:eastAsia="Times New Roman" w:hint="default"/>
          <w:spacing w:val="-1"/>
          <w:position w:val="1"/>
          <w:sz w:val="18"/>
          <w:szCs w:val="18"/>
        </w:rPr>
        <w:t>12,549,880.33</w:t>
        <w:tab/>
        <w:t>11,853,538.77</w:t>
        <w:tab/>
        <w:t>3,120,119.66</w:t>
        <w:tab/>
        <w:t>2,982,950.45</w:t>
      </w:r>
      <w:r>
        <w:rPr>
          <w:rFonts w:ascii="Times New Roman" w:hAnsi="Times New Roman" w:cs="Times New Roman" w:eastAsia="Times New Roman" w:hint="default"/>
          <w:sz w:val="18"/>
          <w:szCs w:val="18"/>
        </w:rPr>
      </w:r>
    </w:p>
    <w:p>
      <w:pPr>
        <w:tabs>
          <w:tab w:pos="3387" w:val="left" w:leader="none"/>
          <w:tab w:pos="4678" w:val="left" w:leader="none"/>
          <w:tab w:pos="6027" w:val="left" w:leader="none"/>
          <w:tab w:pos="7637" w:val="left" w:leader="none"/>
        </w:tabs>
        <w:spacing w:before="97"/>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技术服务</w:t>
        <w:tab/>
      </w:r>
      <w:r>
        <w:rPr>
          <w:rFonts w:ascii="Times New Roman" w:hAnsi="Times New Roman" w:cs="Times New Roman" w:eastAsia="Times New Roman" w:hint="default"/>
          <w:spacing w:val="-1"/>
          <w:position w:val="1"/>
          <w:sz w:val="18"/>
          <w:szCs w:val="18"/>
        </w:rPr>
        <w:t>4,551,324.00</w:t>
        <w:tab/>
        <w:t>2,384,826.37</w:t>
        <w:tab/>
        <w:t>2,033,363.26</w:t>
        <w:tab/>
      </w:r>
      <w:r>
        <w:rPr>
          <w:rFonts w:ascii="Times New Roman" w:hAnsi="Times New Roman" w:cs="Times New Roman" w:eastAsia="Times New Roman" w:hint="default"/>
          <w:position w:val="1"/>
          <w:sz w:val="18"/>
          <w:szCs w:val="18"/>
        </w:rPr>
        <w:t>556,971.67</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380" w:bottom="1380" w:left="1660" w:right="1660"/>
        </w:sectPr>
      </w:pPr>
    </w:p>
    <w:p>
      <w:pPr>
        <w:spacing w:line="538" w:lineRule="exact" w:before="58"/>
        <w:ind w:left="603" w:right="0" w:firstLine="595"/>
        <w:jc w:val="left"/>
        <w:rPr>
          <w:rFonts w:ascii="宋体" w:hAnsi="宋体" w:cs="宋体" w:eastAsia="宋体" w:hint="default"/>
          <w:sz w:val="20"/>
          <w:szCs w:val="20"/>
        </w:rPr>
      </w:pPr>
      <w:r>
        <w:rPr>
          <w:rFonts w:ascii="宋体" w:hAnsi="宋体" w:cs="宋体" w:eastAsia="宋体" w:hint="default"/>
          <w:sz w:val="20"/>
          <w:szCs w:val="20"/>
        </w:rPr>
        <w:t>行业名称</w:t>
      </w:r>
      <w:r>
        <w:rPr>
          <w:rFonts w:ascii="宋体" w:hAnsi="宋体" w:cs="宋体" w:eastAsia="宋体" w:hint="default"/>
          <w:w w:val="99"/>
          <w:sz w:val="20"/>
          <w:szCs w:val="20"/>
        </w:rPr>
        <w:t> </w:t>
      </w:r>
      <w:r>
        <w:rPr>
          <w:rFonts w:ascii="宋体" w:hAnsi="宋体" w:cs="宋体" w:eastAsia="宋体" w:hint="default"/>
          <w:w w:val="95"/>
          <w:sz w:val="20"/>
          <w:szCs w:val="20"/>
        </w:rPr>
        <w:t>其中：规划和国土资源管理</w:t>
      </w:r>
      <w:r>
        <w:rPr>
          <w:rFonts w:ascii="宋体" w:hAnsi="宋体" w:cs="宋体" w:eastAsia="宋体" w:hint="default"/>
          <w:sz w:val="20"/>
          <w:szCs w:val="20"/>
        </w:rPr>
      </w:r>
    </w:p>
    <w:p>
      <w:pPr>
        <w:spacing w:line="247" w:lineRule="exact" w:before="0"/>
        <w:ind w:left="197" w:right="0" w:firstLine="0"/>
        <w:jc w:val="left"/>
        <w:rPr>
          <w:rFonts w:ascii="宋体" w:hAnsi="宋体" w:cs="宋体" w:eastAsia="宋体" w:hint="default"/>
          <w:sz w:val="20"/>
          <w:szCs w:val="20"/>
        </w:rPr>
      </w:pPr>
      <w:r>
        <w:rPr>
          <w:rFonts w:ascii="宋体" w:hAnsi="宋体" w:cs="宋体" w:eastAsia="宋体" w:hint="default"/>
          <w:sz w:val="20"/>
          <w:szCs w:val="20"/>
        </w:rPr>
        <w:t>领域</w:t>
      </w:r>
    </w:p>
    <w:p>
      <w:pPr>
        <w:tabs>
          <w:tab w:pos="1541" w:val="left" w:leader="none"/>
          <w:tab w:pos="2861" w:val="left" w:leader="none"/>
          <w:tab w:pos="3499" w:val="left" w:leader="none"/>
          <w:tab w:pos="4272" w:val="left" w:leader="none"/>
        </w:tabs>
        <w:spacing w:line="324" w:lineRule="auto" w:before="87"/>
        <w:ind w:left="197" w:right="478" w:firstLine="547"/>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本期发生额</w:t>
        <w:tab/>
        <w:tab/>
      </w:r>
      <w:r>
        <w:rPr>
          <w:rFonts w:ascii="宋体" w:hAnsi="宋体" w:cs="宋体" w:eastAsia="宋体" w:hint="default"/>
          <w:sz w:val="20"/>
          <w:szCs w:val="20"/>
        </w:rPr>
        <w:t>上期发生额</w:t>
      </w:r>
      <w:r>
        <w:rPr>
          <w:rFonts w:ascii="宋体" w:hAnsi="宋体" w:cs="宋体" w:eastAsia="宋体" w:hint="default"/>
          <w:w w:val="99"/>
          <w:sz w:val="20"/>
          <w:szCs w:val="20"/>
        </w:rPr>
        <w:t> </w:t>
      </w: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line="240" w:lineRule="auto" w:before="7"/>
        <w:rPr>
          <w:rFonts w:ascii="宋体" w:hAnsi="宋体" w:cs="宋体" w:eastAsia="宋体" w:hint="default"/>
          <w:sz w:val="18"/>
          <w:szCs w:val="18"/>
        </w:rPr>
      </w:pPr>
    </w:p>
    <w:p>
      <w:pPr>
        <w:tabs>
          <w:tab w:pos="1716" w:val="left" w:leader="none"/>
          <w:tab w:pos="3065" w:val="left" w:leader="none"/>
          <w:tab w:pos="4541" w:val="left" w:leader="none"/>
        </w:tabs>
        <w:spacing w:before="0"/>
        <w:ind w:left="425" w:right="0" w:firstLine="0"/>
        <w:jc w:val="left"/>
        <w:rPr>
          <w:rFonts w:ascii="Times New Roman" w:hAnsi="Times New Roman" w:cs="Times New Roman" w:eastAsia="Times New Roman" w:hint="default"/>
          <w:sz w:val="18"/>
          <w:szCs w:val="18"/>
        </w:rPr>
      </w:pPr>
      <w:r>
        <w:rPr/>
        <w:pict>
          <v:group style="position:absolute;margin-left:88.440002pt;margin-top:-49.437637pt;width:418.45pt;height:.1pt;mso-position-horizontal-relative:page;mso-position-vertical-relative:paragraph;z-index:3544" coordorigin="1769,-989" coordsize="8369,2">
            <v:shape style="position:absolute;left:1769;top:-989;width:8369;height:2" coordorigin="1769,-989" coordsize="8369,0" path="m1769,-989l10138,-989e" filled="false" stroked="true" strokeweight=".72pt" strokecolor="#000000">
              <v:path arrowok="t"/>
            </v:shape>
            <w10:wrap type="none"/>
          </v:group>
        </w:pict>
      </w:r>
      <w:r>
        <w:rPr/>
        <w:pict>
          <v:group style="position:absolute;margin-left:234.119995pt;margin-top:-29.997637pt;width:273pt;height:.5pt;mso-position-horizontal-relative:page;mso-position-vertical-relative:paragraph;z-index:-604024" coordorigin="4682,-600" coordsize="5460,10">
            <v:group style="position:absolute;left:4687;top:-595;width:1335;height:2" coordorigin="4687,-595" coordsize="1335,2">
              <v:shape style="position:absolute;left:4687;top:-595;width:1335;height:2" coordorigin="4687,-595" coordsize="1335,0" path="m4687,-595l6022,-595e" filled="false" stroked="true" strokeweight=".48pt" strokecolor="#000000">
                <v:path arrowok="t"/>
              </v:shape>
            </v:group>
            <v:group style="position:absolute;left:6022;top:-595;width:10;height:2" coordorigin="6022,-595" coordsize="10,2">
              <v:shape style="position:absolute;left:6022;top:-595;width:10;height:2" coordorigin="6022,-595" coordsize="10,0" path="m6022,-595l6031,-595e" filled="false" stroked="true" strokeweight=".48pt" strokecolor="#000000">
                <v:path arrowok="t"/>
              </v:shape>
            </v:group>
            <v:group style="position:absolute;left:6031;top:-595;width:53;height:2" coordorigin="6031,-595" coordsize="53,2">
              <v:shape style="position:absolute;left:6031;top:-595;width:53;height:2" coordorigin="6031,-595" coordsize="53,0" path="m6031,-595l6084,-595e" filled="false" stroked="true" strokeweight=".48pt" strokecolor="#000000">
                <v:path arrowok="t"/>
              </v:shape>
            </v:group>
            <v:group style="position:absolute;left:6084;top:-595;width:10;height:2" coordorigin="6084,-595" coordsize="10,2">
              <v:shape style="position:absolute;left:6084;top:-595;width:10;height:2" coordorigin="6084,-595" coordsize="10,0" path="m6084,-595l6094,-595e" filled="false" stroked="true" strokeweight=".48pt" strokecolor="#000000">
                <v:path arrowok="t"/>
              </v:shape>
            </v:group>
            <v:group style="position:absolute;left:6094;top:-595;width:1220;height:2" coordorigin="6094,-595" coordsize="1220,2">
              <v:shape style="position:absolute;left:6094;top:-595;width:1220;height:2" coordorigin="6094,-595" coordsize="1220,0" path="m6094,-595l7313,-595e" filled="false" stroked="true" strokeweight=".48pt" strokecolor="#000000">
                <v:path arrowok="t"/>
              </v:shape>
            </v:group>
            <v:group style="position:absolute;left:7375;top:-595;width:1287;height:2" coordorigin="7375,-595" coordsize="1287,2">
              <v:shape style="position:absolute;left:7375;top:-595;width:1287;height:2" coordorigin="7375,-595" coordsize="1287,0" path="m7375,-595l8662,-595e" filled="false" stroked="true" strokeweight=".48pt" strokecolor="#000000">
                <v:path arrowok="t"/>
              </v:shape>
            </v:group>
            <v:group style="position:absolute;left:8662;top:-595;width:10;height:2" coordorigin="8662,-595" coordsize="10,2">
              <v:shape style="position:absolute;left:8662;top:-595;width:10;height:2" coordorigin="8662,-595" coordsize="10,0" path="m8662,-595l8671,-595e" filled="false" stroked="true" strokeweight=".48pt" strokecolor="#000000">
                <v:path arrowok="t"/>
              </v:shape>
            </v:group>
            <v:group style="position:absolute;left:8671;top:-595;width:51;height:2" coordorigin="8671,-595" coordsize="51,2">
              <v:shape style="position:absolute;left:8671;top:-595;width:51;height:2" coordorigin="8671,-595" coordsize="51,0" path="m8671,-595l8722,-595e" filled="false" stroked="true" strokeweight=".48pt" strokecolor="#000000">
                <v:path arrowok="t"/>
              </v:shape>
            </v:group>
            <v:group style="position:absolute;left:8722;top:-595;width:10;height:2" coordorigin="8722,-595" coordsize="10,2">
              <v:shape style="position:absolute;left:8722;top:-595;width:10;height:2" coordorigin="8722,-595" coordsize="10,0" path="m8722,-595l8731,-595e" filled="false" stroked="true" strokeweight=".48pt" strokecolor="#000000">
                <v:path arrowok="t"/>
              </v:shape>
            </v:group>
            <v:group style="position:absolute;left:8731;top:-595;width:1407;height:2" coordorigin="8731,-595" coordsize="1407,2">
              <v:shape style="position:absolute;left:8731;top:-595;width:1407;height:2" coordorigin="8731,-595" coordsize="1407,0" path="m8731,-595l10138,-595e" filled="false" stroked="true" strokeweight=".48pt" strokecolor="#000000">
                <v:path arrowok="t"/>
              </v:shape>
            </v:group>
            <w10:wrap type="none"/>
          </v:group>
        </w:pict>
      </w:r>
      <w:r>
        <w:rPr/>
        <w:pict>
          <v:group style="position:absolute;margin-left:88.199997pt;margin-top:-11.517636pt;width:418.95pt;height:.5pt;mso-position-horizontal-relative:page;mso-position-vertical-relative:paragraph;z-index:-604000" coordorigin="1764,-230" coordsize="8379,10">
            <v:group style="position:absolute;left:1769;top:-226;width:2856;height:2" coordorigin="1769,-226" coordsize="2856,2">
              <v:shape style="position:absolute;left:1769;top:-226;width:2856;height:2" coordorigin="1769,-226" coordsize="2856,0" path="m1769,-226l4625,-226e" filled="false" stroked="true" strokeweight=".48pt" strokecolor="#000000">
                <v:path arrowok="t"/>
              </v:shape>
            </v:group>
            <v:group style="position:absolute;left:4687;top:-226;width:1335;height:2" coordorigin="4687,-226" coordsize="1335,2">
              <v:shape style="position:absolute;left:4687;top:-226;width:1335;height:2" coordorigin="4687,-226" coordsize="1335,0" path="m4687,-226l6022,-226e" filled="false" stroked="true" strokeweight=".48pt" strokecolor="#000000">
                <v:path arrowok="t"/>
              </v:shape>
            </v:group>
            <v:group style="position:absolute;left:6084;top:-226;width:1229;height:2" coordorigin="6084,-226" coordsize="1229,2">
              <v:shape style="position:absolute;left:6084;top:-226;width:1229;height:2" coordorigin="6084,-226" coordsize="1229,0" path="m6084,-226l7313,-226e" filled="false" stroked="true" strokeweight=".48pt" strokecolor="#000000">
                <v:path arrowok="t"/>
              </v:shape>
            </v:group>
            <v:group style="position:absolute;left:7375;top:-226;width:1287;height:2" coordorigin="7375,-226" coordsize="1287,2">
              <v:shape style="position:absolute;left:7375;top:-226;width:1287;height:2" coordorigin="7375,-226" coordsize="1287,0" path="m7375,-226l8662,-226e" filled="false" stroked="true" strokeweight=".48pt" strokecolor="#000000">
                <v:path arrowok="t"/>
              </v:shape>
            </v:group>
            <v:group style="position:absolute;left:8722;top:-226;width:1416;height:2" coordorigin="8722,-226" coordsize="1416,2">
              <v:shape style="position:absolute;left:8722;top:-226;width:1416;height:2" coordorigin="8722,-226" coordsize="1416,0" path="m8722,-226l10138,-226e" filled="false" stroked="true" strokeweight=".48pt" strokecolor="#000000">
                <v:path arrowok="t"/>
              </v:shape>
            </v:group>
            <w10:wrap type="none"/>
          </v:group>
        </w:pict>
      </w:r>
      <w:r>
        <w:rPr>
          <w:rFonts w:ascii="Times New Roman"/>
          <w:spacing w:val="-1"/>
          <w:sz w:val="18"/>
        </w:rPr>
        <w:t>480,000.00</w:t>
        <w:tab/>
        <w:t>133,140.53</w:t>
        <w:tab/>
        <w:t>843,247.87</w:t>
        <w:tab/>
      </w:r>
      <w:r>
        <w:rPr>
          <w:rFonts w:ascii="Times New Roman"/>
          <w:sz w:val="18"/>
        </w:rPr>
        <w:t>408,238.06</w:t>
      </w:r>
    </w:p>
    <w:p>
      <w:pPr>
        <w:spacing w:after="0"/>
        <w:jc w:val="left"/>
        <w:rPr>
          <w:rFonts w:ascii="Times New Roman" w:hAnsi="Times New Roman" w:cs="Times New Roman" w:eastAsia="Times New Roman" w:hint="default"/>
          <w:sz w:val="18"/>
          <w:szCs w:val="18"/>
        </w:rPr>
        <w:sectPr>
          <w:pgSz w:w="11910" w:h="16840"/>
          <w:pgMar w:header="850" w:footer="979" w:top="1380" w:bottom="1160" w:left="1600" w:right="1600"/>
          <w:cols w:num="2" w:equalWidth="0">
            <w:col w:w="2996" w:space="159"/>
            <w:col w:w="5555"/>
          </w:cols>
        </w:sectPr>
      </w:pPr>
    </w:p>
    <w:p>
      <w:pPr>
        <w:spacing w:line="240" w:lineRule="auto" w:before="9"/>
        <w:rPr>
          <w:rFonts w:ascii="Times New Roman" w:hAnsi="Times New Roman" w:cs="Times New Roman" w:eastAsia="Times New Roman" w:hint="default"/>
          <w:sz w:val="3"/>
          <w:szCs w:val="3"/>
        </w:rPr>
      </w:pPr>
    </w:p>
    <w:tbl>
      <w:tblPr>
        <w:tblW w:w="0" w:type="auto"/>
        <w:jc w:val="left"/>
        <w:tblInd w:w="1165" w:type="dxa"/>
        <w:tblLayout w:type="fixed"/>
        <w:tblCellMar>
          <w:top w:w="0" w:type="dxa"/>
          <w:left w:w="0" w:type="dxa"/>
          <w:bottom w:w="0" w:type="dxa"/>
          <w:right w:w="0" w:type="dxa"/>
        </w:tblCellMar>
        <w:tblLook w:val="01E0"/>
      </w:tblPr>
      <w:tblGrid>
        <w:gridCol w:w="1921"/>
        <w:gridCol w:w="1435"/>
        <w:gridCol w:w="1320"/>
        <w:gridCol w:w="1412"/>
        <w:gridCol w:w="1283"/>
      </w:tblGrid>
      <w:tr>
        <w:trPr>
          <w:trHeight w:val="386"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数字化城市管理领域</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25"/>
              <w:jc w:val="right"/>
              <w:rPr>
                <w:rFonts w:ascii="Times New Roman" w:hAnsi="Times New Roman" w:cs="Times New Roman" w:eastAsia="Times New Roman" w:hint="default"/>
                <w:sz w:val="18"/>
                <w:szCs w:val="18"/>
              </w:rPr>
            </w:pPr>
            <w:r>
              <w:rPr>
                <w:rFonts w:ascii="Times New Roman"/>
                <w:spacing w:val="-1"/>
                <w:sz w:val="18"/>
              </w:rPr>
              <w:t>4,071,324.00</w:t>
            </w:r>
            <w:r>
              <w:rPr>
                <w:rFonts w:ascii="Times New Roman"/>
                <w:sz w:val="18"/>
              </w:rPr>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53"/>
              <w:jc w:val="right"/>
              <w:rPr>
                <w:rFonts w:ascii="Times New Roman" w:hAnsi="Times New Roman" w:cs="Times New Roman" w:eastAsia="Times New Roman" w:hint="default"/>
                <w:sz w:val="18"/>
                <w:szCs w:val="18"/>
              </w:rPr>
            </w:pPr>
            <w:r>
              <w:rPr>
                <w:rFonts w:ascii="Times New Roman"/>
                <w:spacing w:val="-1"/>
                <w:sz w:val="18"/>
              </w:rPr>
              <w:t>2,260,551.84</w:t>
            </w:r>
            <w:r>
              <w:rPr>
                <w:rFonts w:ascii="Times New Roman"/>
                <w:sz w:val="18"/>
              </w:rPr>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17"/>
              <w:jc w:val="right"/>
              <w:rPr>
                <w:rFonts w:ascii="Times New Roman" w:hAnsi="Times New Roman" w:cs="Times New Roman" w:eastAsia="Times New Roman" w:hint="default"/>
                <w:sz w:val="18"/>
                <w:szCs w:val="18"/>
              </w:rPr>
            </w:pPr>
            <w:r>
              <w:rPr>
                <w:rFonts w:ascii="Times New Roman"/>
                <w:spacing w:val="-1"/>
                <w:sz w:val="18"/>
              </w:rPr>
              <w:t>1,190,115.39</w:t>
            </w:r>
            <w:r>
              <w:rPr>
                <w:rFonts w:ascii="Times New Roman"/>
                <w:sz w:val="18"/>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148,733.61</w:t>
            </w:r>
          </w:p>
        </w:tc>
      </w:tr>
      <w:tr>
        <w:trPr>
          <w:trHeight w:val="386" w:hRule="exact"/>
        </w:trPr>
        <w:tc>
          <w:tcPr>
            <w:tcW w:w="1921" w:type="dxa"/>
            <w:tcBorders>
              <w:top w:val="nil" w:sz="6" w:space="0" w:color="auto"/>
              <w:left w:val="nil" w:sz="6" w:space="0" w:color="auto"/>
              <w:bottom w:val="nil" w:sz="6" w:space="0" w:color="auto"/>
              <w:right w:val="nil" w:sz="6" w:space="0" w:color="auto"/>
            </w:tcBorders>
          </w:tcPr>
          <w:p>
            <w:pPr>
              <w:pStyle w:val="TableParagraph"/>
              <w:tabs>
                <w:tab w:pos="582" w:val="left" w:leader="none"/>
              </w:tabs>
              <w:spacing w:line="240" w:lineRule="auto" w:before="21"/>
              <w:ind w:left="80"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435"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126"/>
              <w:jc w:val="right"/>
              <w:rPr>
                <w:rFonts w:ascii="Times New Roman" w:hAnsi="Times New Roman" w:cs="Times New Roman" w:eastAsia="Times New Roman" w:hint="default"/>
                <w:sz w:val="18"/>
                <w:szCs w:val="18"/>
              </w:rPr>
            </w:pPr>
            <w:r>
              <w:rPr>
                <w:rFonts w:ascii="Times New Roman"/>
                <w:spacing w:val="-1"/>
                <w:sz w:val="18"/>
              </w:rPr>
              <w:t>95,242,610.31</w:t>
            </w:r>
          </w:p>
        </w:tc>
        <w:tc>
          <w:tcPr>
            <w:tcW w:w="1320"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155"/>
              <w:jc w:val="right"/>
              <w:rPr>
                <w:rFonts w:ascii="Times New Roman" w:hAnsi="Times New Roman" w:cs="Times New Roman" w:eastAsia="Times New Roman" w:hint="default"/>
                <w:sz w:val="18"/>
                <w:szCs w:val="18"/>
              </w:rPr>
            </w:pPr>
            <w:r>
              <w:rPr>
                <w:rFonts w:ascii="Times New Roman"/>
                <w:spacing w:val="-1"/>
                <w:sz w:val="18"/>
              </w:rPr>
              <w:t>28,722,546.85</w:t>
            </w:r>
          </w:p>
        </w:tc>
        <w:tc>
          <w:tcPr>
            <w:tcW w:w="1412"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218"/>
              <w:jc w:val="right"/>
              <w:rPr>
                <w:rFonts w:ascii="Times New Roman" w:hAnsi="Times New Roman" w:cs="Times New Roman" w:eastAsia="Times New Roman" w:hint="default"/>
                <w:sz w:val="18"/>
                <w:szCs w:val="18"/>
              </w:rPr>
            </w:pPr>
            <w:r>
              <w:rPr>
                <w:rFonts w:ascii="Times New Roman"/>
                <w:spacing w:val="-1"/>
                <w:sz w:val="18"/>
              </w:rPr>
              <w:t>72,166,609.76</w:t>
            </w:r>
          </w:p>
        </w:tc>
        <w:tc>
          <w:tcPr>
            <w:tcW w:w="1283"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pacing w:val="-1"/>
                <w:sz w:val="18"/>
              </w:rPr>
              <w:t>14,622,529.26</w:t>
            </w:r>
          </w:p>
        </w:tc>
      </w:tr>
    </w:tbl>
    <w:p>
      <w:pPr>
        <w:spacing w:line="259" w:lineRule="exact" w:before="0"/>
        <w:ind w:left="197" w:right="125"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spacing w:line="240" w:lineRule="auto" w:before="4"/>
        <w:rPr>
          <w:rFonts w:ascii="宋体" w:hAnsi="宋体" w:cs="宋体" w:eastAsia="宋体" w:hint="default"/>
          <w:sz w:val="6"/>
          <w:szCs w:val="6"/>
        </w:rPr>
      </w:pPr>
    </w:p>
    <w:p>
      <w:pPr>
        <w:spacing w:line="20" w:lineRule="exact"/>
        <w:ind w:left="3082" w:right="0" w:firstLine="0"/>
        <w:rPr>
          <w:rFonts w:ascii="宋体" w:hAnsi="宋体" w:cs="宋体" w:eastAsia="宋体" w:hint="default"/>
          <w:sz w:val="2"/>
          <w:szCs w:val="2"/>
        </w:rPr>
      </w:pPr>
      <w:r>
        <w:rPr>
          <w:rFonts w:ascii="宋体" w:hAnsi="宋体" w:cs="宋体" w:eastAsia="宋体" w:hint="default"/>
          <w:sz w:val="2"/>
          <w:szCs w:val="2"/>
        </w:rPr>
        <w:pict>
          <v:group style="width:273pt;height:.5pt;mso-position-horizontal-relative:char;mso-position-vertical-relative:line" coordorigin="0,0" coordsize="5460,10">
            <v:group style="position:absolute;left:5;top:5;width:1335;height:2" coordorigin="5,5" coordsize="1335,2">
              <v:shape style="position:absolute;left:5;top:5;width:1335;height:2" coordorigin="5,5" coordsize="1335,0" path="m5,5l1339,5e" filled="false" stroked="true" strokeweight=".48pt" strokecolor="#000000">
                <v:path arrowok="t"/>
              </v:shape>
            </v:group>
            <v:group style="position:absolute;left:1402;top:5;width:1229;height:2" coordorigin="1402,5" coordsize="1229,2">
              <v:shape style="position:absolute;left:1402;top:5;width:1229;height:2" coordorigin="1402,5" coordsize="1229,0" path="m1402,5l2630,5e" filled="false" stroked="true" strokeweight=".48pt" strokecolor="#000000">
                <v:path arrowok="t"/>
              </v:shape>
            </v:group>
            <v:group style="position:absolute;left:2693;top:5;width:1287;height:2" coordorigin="2693,5" coordsize="1287,2">
              <v:shape style="position:absolute;left:2693;top:5;width:1287;height:2" coordorigin="2693,5" coordsize="1287,0" path="m2693,5l3979,5e" filled="false" stroked="true" strokeweight=".48pt" strokecolor="#000000">
                <v:path arrowok="t"/>
              </v:shape>
            </v:group>
            <v:group style="position:absolute;left:4039;top:5;width:1416;height:2" coordorigin="4039,5" coordsize="1416,2">
              <v:shape style="position:absolute;left:4039;top:5;width:1416;height:2" coordorigin="4039,5" coordsize="1416,0" path="m4039,5l5455,5e" filled="false" stroked="true" strokeweight=".48pt" strokecolor="#000000">
                <v:path arrowok="t"/>
              </v:shape>
            </v:group>
          </v:group>
        </w:pict>
      </w:r>
      <w:r>
        <w:rPr>
          <w:rFonts w:ascii="宋体" w:hAnsi="宋体" w:cs="宋体" w:eastAsia="宋体" w:hint="default"/>
          <w:sz w:val="2"/>
          <w:szCs w:val="2"/>
        </w:rPr>
      </w:r>
    </w:p>
    <w:p>
      <w:pPr>
        <w:tabs>
          <w:tab w:pos="3358" w:val="left" w:leader="none"/>
          <w:tab w:pos="4649" w:val="left" w:leader="none"/>
          <w:tab w:pos="5998" w:val="left" w:leader="none"/>
          <w:tab w:pos="7474" w:val="left" w:leader="none"/>
        </w:tabs>
        <w:spacing w:before="5"/>
        <w:ind w:left="1347" w:right="125"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position w:val="1"/>
          <w:sz w:val="18"/>
          <w:szCs w:val="18"/>
        </w:rPr>
        <w:t>95,242,610.31</w:t>
        <w:tab/>
        <w:t>28,722,546.85</w:t>
        <w:tab/>
        <w:t>72,166,609.76</w:t>
        <w:tab/>
        <w:t>14,622,529.26</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sz w:val="7"/>
          <w:szCs w:val="7"/>
        </w:rPr>
      </w:pPr>
    </w:p>
    <w:p>
      <w:pPr>
        <w:spacing w:line="43" w:lineRule="exact"/>
        <w:ind w:left="3065"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74pt;height:2.2pt;mso-position-horizontal-relative:char;mso-position-vertical-relative:line" coordorigin="0,0" coordsize="5480,44">
            <v:group style="position:absolute;left:7;top:36;width:1349;height:2" coordorigin="7,36" coordsize="1349,2">
              <v:shape style="position:absolute;left:7;top:36;width:1349;height:2" coordorigin="7,36" coordsize="1349,0" path="m7,36l1356,36e" filled="false" stroked="true" strokeweight=".72pt" strokecolor="#000000">
                <v:path arrowok="t"/>
              </v:shape>
            </v:group>
            <v:group style="position:absolute;left:7;top:7;width:1349;height:2" coordorigin="7,7" coordsize="1349,2">
              <v:shape style="position:absolute;left:7;top:7;width:1349;height:2" coordorigin="7,7" coordsize="1349,0" path="m7,7l1356,7e" filled="false" stroked="true" strokeweight=".72pt" strokecolor="#000000">
                <v:path arrowok="t"/>
              </v:shape>
            </v:group>
            <v:group style="position:absolute;left:1404;top:36;width:1244;height:2" coordorigin="1404,36" coordsize="1244,2">
              <v:shape style="position:absolute;left:1404;top:36;width:1244;height:2" coordorigin="1404,36" coordsize="1244,0" path="m1404,36l2647,36e" filled="false" stroked="true" strokeweight=".72pt" strokecolor="#000000">
                <v:path arrowok="t"/>
              </v:shape>
            </v:group>
            <v:group style="position:absolute;left:1404;top:7;width:1244;height:2" coordorigin="1404,7" coordsize="1244,2">
              <v:shape style="position:absolute;left:1404;top:7;width:1244;height:2" coordorigin="1404,7" coordsize="1244,0" path="m1404,7l2647,7e" filled="false" stroked="true" strokeweight=".72pt" strokecolor="#000000">
                <v:path arrowok="t"/>
              </v:shape>
            </v:group>
            <v:group style="position:absolute;left:2695;top:36;width:1301;height:2" coordorigin="2695,36" coordsize="1301,2">
              <v:shape style="position:absolute;left:2695;top:36;width:1301;height:2" coordorigin="2695,36" coordsize="1301,0" path="m2695,36l3996,36e" filled="false" stroked="true" strokeweight=".72pt" strokecolor="#000000">
                <v:path arrowok="t"/>
              </v:shape>
            </v:group>
            <v:group style="position:absolute;left:2695;top:7;width:1301;height:2" coordorigin="2695,7" coordsize="1301,2">
              <v:shape style="position:absolute;left:2695;top:7;width:1301;height:2" coordorigin="2695,7" coordsize="1301,0" path="m2695,7l3996,7e" filled="false" stroked="true" strokeweight=".72pt" strokecolor="#000000">
                <v:path arrowok="t"/>
              </v:shape>
            </v:group>
            <v:group style="position:absolute;left:4042;top:36;width:1431;height:2" coordorigin="4042,36" coordsize="1431,2">
              <v:shape style="position:absolute;left:4042;top:36;width:1431;height:2" coordorigin="4042,36" coordsize="1431,0" path="m4042,36l5472,36e" filled="false" stroked="true" strokeweight=".72pt" strokecolor="#000000">
                <v:path arrowok="t"/>
              </v:shape>
            </v:group>
            <v:group style="position:absolute;left:4042;top:7;width:1431;height:2" coordorigin="4042,7" coordsize="1431,2">
              <v:shape style="position:absolute;left:4042;top:7;width:1431;height:2" coordorigin="4042,7" coordsize="1431,0" path="m4042,7l5472,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BodyText"/>
        <w:spacing w:line="240" w:lineRule="auto" w:before="26"/>
        <w:ind w:left="677" w:right="125"/>
        <w:jc w:val="left"/>
      </w:pPr>
      <w:r>
        <w:rPr/>
        <w:t>（</w:t>
      </w:r>
      <w:r>
        <w:rPr>
          <w:rFonts w:ascii="Times New Roman" w:hAnsi="Times New Roman" w:cs="Times New Roman" w:eastAsia="Times New Roman" w:hint="default"/>
        </w:rPr>
        <w:t>3</w:t>
      </w:r>
      <w:r>
        <w:rPr/>
        <w:t>）主营业务（分地区）</w:t>
      </w:r>
    </w:p>
    <w:p>
      <w:pPr>
        <w:spacing w:line="240" w:lineRule="auto" w:before="6"/>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2712"/>
        <w:gridCol w:w="2215"/>
        <w:gridCol w:w="1164"/>
        <w:gridCol w:w="1140"/>
        <w:gridCol w:w="1123"/>
      </w:tblGrid>
      <w:tr>
        <w:trPr>
          <w:trHeight w:val="260" w:hRule="exact"/>
        </w:trPr>
        <w:tc>
          <w:tcPr>
            <w:tcW w:w="2712"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4" w:space="0" w:color="000000"/>
              <w:right w:val="nil" w:sz="6" w:space="0" w:color="auto"/>
            </w:tcBorders>
          </w:tcPr>
          <w:p>
            <w:pPr>
              <w:pStyle w:val="TableParagraph"/>
              <w:spacing w:line="180" w:lineRule="exact"/>
              <w:ind w:right="86"/>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164" w:type="dxa"/>
            <w:tcBorders>
              <w:top w:val="nil" w:sz="6" w:space="0" w:color="auto"/>
              <w:left w:val="nil" w:sz="6" w:space="0" w:color="auto"/>
              <w:bottom w:val="single" w:sz="4" w:space="0" w:color="000000"/>
              <w:right w:val="nil" w:sz="6" w:space="0" w:color="auto"/>
            </w:tcBorders>
          </w:tcPr>
          <w:p>
            <w:pPr/>
          </w:p>
        </w:tc>
        <w:tc>
          <w:tcPr>
            <w:tcW w:w="2263"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4" w:hRule="exact"/>
        </w:trPr>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67" w:right="0"/>
              <w:jc w:val="center"/>
              <w:rPr>
                <w:rFonts w:ascii="宋体" w:hAnsi="宋体" w:cs="宋体" w:eastAsia="宋体" w:hint="default"/>
                <w:sz w:val="20"/>
                <w:szCs w:val="20"/>
              </w:rPr>
            </w:pPr>
            <w:r>
              <w:rPr>
                <w:rFonts w:ascii="宋体" w:hAnsi="宋体" w:cs="宋体" w:eastAsia="宋体" w:hint="default"/>
                <w:sz w:val="20"/>
                <w:szCs w:val="20"/>
              </w:rPr>
              <w:t>地区名称</w:t>
            </w:r>
          </w:p>
        </w:tc>
        <w:tc>
          <w:tcPr>
            <w:tcW w:w="221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686"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6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70"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59"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12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03"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346" w:hRule="exact"/>
        </w:trPr>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北方</w:t>
            </w: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55"/>
              <w:jc w:val="right"/>
              <w:rPr>
                <w:rFonts w:ascii="Times New Roman" w:hAnsi="Times New Roman" w:cs="Times New Roman" w:eastAsia="Times New Roman" w:hint="default"/>
                <w:sz w:val="18"/>
                <w:szCs w:val="18"/>
              </w:rPr>
            </w:pPr>
            <w:r>
              <w:rPr>
                <w:rFonts w:ascii="Times New Roman"/>
                <w:spacing w:val="-1"/>
                <w:sz w:val="18"/>
              </w:rPr>
              <w:t>75,443,819.99</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7"/>
              <w:jc w:val="right"/>
              <w:rPr>
                <w:rFonts w:ascii="Times New Roman" w:hAnsi="Times New Roman" w:cs="Times New Roman" w:eastAsia="Times New Roman" w:hint="default"/>
                <w:sz w:val="18"/>
                <w:szCs w:val="18"/>
              </w:rPr>
            </w:pPr>
            <w:r>
              <w:rPr>
                <w:rFonts w:ascii="Times New Roman"/>
                <w:spacing w:val="-1"/>
                <w:sz w:val="18"/>
              </w:rPr>
              <w:t>20,912,219.82</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6"/>
              <w:jc w:val="center"/>
              <w:rPr>
                <w:rFonts w:ascii="Times New Roman" w:hAnsi="Times New Roman" w:cs="Times New Roman" w:eastAsia="Times New Roman" w:hint="default"/>
                <w:sz w:val="18"/>
                <w:szCs w:val="18"/>
              </w:rPr>
            </w:pPr>
            <w:r>
              <w:rPr>
                <w:rFonts w:ascii="Times New Roman"/>
                <w:sz w:val="18"/>
              </w:rPr>
              <w:t>45,843,371.81</w:t>
            </w: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6"/>
              <w:jc w:val="right"/>
              <w:rPr>
                <w:rFonts w:ascii="Times New Roman" w:hAnsi="Times New Roman" w:cs="Times New Roman" w:eastAsia="Times New Roman" w:hint="default"/>
                <w:sz w:val="18"/>
                <w:szCs w:val="18"/>
              </w:rPr>
            </w:pPr>
            <w:r>
              <w:rPr>
                <w:rFonts w:ascii="Times New Roman"/>
                <w:spacing w:val="-1"/>
                <w:sz w:val="18"/>
              </w:rPr>
              <w:t>8,249,127.63</w:t>
            </w:r>
            <w:r>
              <w:rPr>
                <w:rFonts w:ascii="Times New Roman"/>
                <w:sz w:val="18"/>
              </w:rPr>
            </w:r>
          </w:p>
        </w:tc>
      </w:tr>
      <w:tr>
        <w:trPr>
          <w:trHeight w:val="345"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南方</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55"/>
              <w:jc w:val="right"/>
              <w:rPr>
                <w:rFonts w:ascii="Times New Roman" w:hAnsi="Times New Roman" w:cs="Times New Roman" w:eastAsia="Times New Roman" w:hint="default"/>
                <w:sz w:val="18"/>
                <w:szCs w:val="18"/>
              </w:rPr>
            </w:pPr>
            <w:r>
              <w:rPr>
                <w:rFonts w:ascii="Times New Roman"/>
                <w:spacing w:val="-1"/>
                <w:sz w:val="18"/>
              </w:rPr>
              <w:t>19,798,790.32</w:t>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6"/>
              <w:jc w:val="right"/>
              <w:rPr>
                <w:rFonts w:ascii="Times New Roman" w:hAnsi="Times New Roman" w:cs="Times New Roman" w:eastAsia="Times New Roman" w:hint="default"/>
                <w:sz w:val="18"/>
                <w:szCs w:val="18"/>
              </w:rPr>
            </w:pPr>
            <w:r>
              <w:rPr>
                <w:rFonts w:ascii="Times New Roman"/>
                <w:spacing w:val="-1"/>
                <w:sz w:val="18"/>
              </w:rPr>
              <w:t>7,810,327.03</w:t>
            </w:r>
            <w:r>
              <w:rPr>
                <w:rFonts w:ascii="Times New Roman"/>
                <w:sz w:val="18"/>
              </w:rPr>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center"/>
              <w:rPr>
                <w:rFonts w:ascii="Times New Roman" w:hAnsi="Times New Roman" w:cs="Times New Roman" w:eastAsia="Times New Roman" w:hint="default"/>
                <w:sz w:val="18"/>
                <w:szCs w:val="18"/>
              </w:rPr>
            </w:pPr>
            <w:r>
              <w:rPr>
                <w:rFonts w:ascii="Times New Roman"/>
                <w:sz w:val="18"/>
              </w:rPr>
              <w:t>26,323,237.95</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6,373,401.63</w:t>
            </w:r>
            <w:r>
              <w:rPr>
                <w:rFonts w:ascii="Times New Roman"/>
                <w:sz w:val="18"/>
              </w:rPr>
            </w:r>
          </w:p>
        </w:tc>
      </w:tr>
      <w:tr>
        <w:trPr>
          <w:trHeight w:val="353"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center"/>
              <w:rPr>
                <w:rFonts w:ascii="宋体" w:hAnsi="宋体" w:cs="宋体" w:eastAsia="宋体" w:hint="default"/>
                <w:sz w:val="20"/>
                <w:szCs w:val="20"/>
              </w:rPr>
            </w:pPr>
            <w:r>
              <w:rPr>
                <w:rFonts w:ascii="宋体" w:hAnsi="宋体" w:cs="宋体" w:eastAsia="宋体" w:hint="default"/>
                <w:sz w:val="20"/>
                <w:szCs w:val="20"/>
              </w:rPr>
              <w:t>境内小计</w:t>
            </w:r>
          </w:p>
        </w:tc>
        <w:tc>
          <w:tcPr>
            <w:tcW w:w="221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55"/>
              <w:jc w:val="right"/>
              <w:rPr>
                <w:rFonts w:ascii="Times New Roman" w:hAnsi="Times New Roman" w:cs="Times New Roman" w:eastAsia="Times New Roman" w:hint="default"/>
                <w:sz w:val="18"/>
                <w:szCs w:val="18"/>
              </w:rPr>
            </w:pPr>
            <w:r>
              <w:rPr>
                <w:rFonts w:ascii="Times New Roman"/>
                <w:spacing w:val="-1"/>
                <w:sz w:val="18"/>
              </w:rPr>
              <w:t>95,242,610.31</w:t>
            </w:r>
          </w:p>
        </w:tc>
        <w:tc>
          <w:tcPr>
            <w:tcW w:w="1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63" w:hRule="exact"/>
        </w:trPr>
        <w:tc>
          <w:tcPr>
            <w:tcW w:w="271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3"/>
              <w:ind w:right="3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15"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155"/>
              <w:jc w:val="right"/>
              <w:rPr>
                <w:rFonts w:ascii="Times New Roman" w:hAnsi="Times New Roman" w:cs="Times New Roman" w:eastAsia="Times New Roman" w:hint="default"/>
                <w:sz w:val="18"/>
                <w:szCs w:val="18"/>
              </w:rPr>
            </w:pPr>
            <w:r>
              <w:rPr>
                <w:rFonts w:ascii="Times New Roman"/>
                <w:spacing w:val="-1"/>
                <w:sz w:val="18"/>
              </w:rPr>
              <w:t>95,242,610.31</w:t>
            </w:r>
          </w:p>
        </w:tc>
        <w:tc>
          <w:tcPr>
            <w:tcW w:w="1164"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18"/>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48"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减：公司内各地区抵销数</w:t>
            </w:r>
          </w:p>
        </w:tc>
        <w:tc>
          <w:tcPr>
            <w:tcW w:w="2215" w:type="dxa"/>
            <w:tcBorders>
              <w:top w:val="nil" w:sz="6" w:space="0" w:color="auto"/>
              <w:left w:val="nil" w:sz="6" w:space="0" w:color="auto"/>
              <w:bottom w:val="single" w:sz="4" w:space="0" w:color="000000"/>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
        </w:tc>
      </w:tr>
      <w:tr>
        <w:trPr>
          <w:trHeight w:val="353" w:hRule="exact"/>
        </w:trPr>
        <w:tc>
          <w:tcPr>
            <w:tcW w:w="271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6"/>
              <w:ind w:right="31"/>
              <w:jc w:val="center"/>
              <w:rPr>
                <w:rFonts w:ascii="宋体" w:hAnsi="宋体" w:cs="宋体" w:eastAsia="宋体" w:hint="default"/>
                <w:sz w:val="20"/>
                <w:szCs w:val="20"/>
              </w:rPr>
            </w:pPr>
            <w:r>
              <w:rPr>
                <w:rFonts w:ascii="宋体" w:hAnsi="宋体" w:cs="宋体" w:eastAsia="宋体" w:hint="default"/>
                <w:w w:val="95"/>
                <w:sz w:val="20"/>
                <w:szCs w:val="20"/>
              </w:rPr>
              <w:t>总</w:t>
              <w:tab/>
            </w:r>
            <w:r>
              <w:rPr>
                <w:rFonts w:ascii="宋体" w:hAnsi="宋体" w:cs="宋体" w:eastAsia="宋体" w:hint="default"/>
                <w:sz w:val="20"/>
                <w:szCs w:val="20"/>
              </w:rPr>
              <w:t>计</w:t>
            </w:r>
          </w:p>
        </w:tc>
        <w:tc>
          <w:tcPr>
            <w:tcW w:w="221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56"/>
              <w:jc w:val="right"/>
              <w:rPr>
                <w:rFonts w:ascii="Times New Roman" w:hAnsi="Times New Roman" w:cs="Times New Roman" w:eastAsia="Times New Roman" w:hint="default"/>
                <w:sz w:val="18"/>
                <w:szCs w:val="18"/>
              </w:rPr>
            </w:pPr>
            <w:r>
              <w:rPr>
                <w:rFonts w:ascii="Times New Roman"/>
                <w:spacing w:val="-1"/>
                <w:sz w:val="18"/>
              </w:rPr>
              <w:t>95,242,610.31</w:t>
            </w:r>
            <w:r>
              <w:rPr>
                <w:rFonts w:ascii="Times New Roman"/>
                <w:sz w:val="18"/>
              </w:rPr>
            </w:r>
          </w:p>
        </w:tc>
        <w:tc>
          <w:tcPr>
            <w:tcW w:w="1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14,622,529.26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ind w:left="680" w:right="125"/>
        <w:jc w:val="left"/>
        <w:rPr>
          <w:b w:val="0"/>
          <w:bCs w:val="0"/>
        </w:rPr>
      </w:pPr>
      <w:r>
        <w:rPr>
          <w:rFonts w:ascii="Times New Roman" w:hAnsi="Times New Roman" w:cs="Times New Roman" w:eastAsia="Times New Roman" w:hint="default"/>
        </w:rPr>
        <w:t>25</w:t>
      </w:r>
      <w:r>
        <w:rPr/>
        <w:t>、营业税金及附加</w:t>
      </w:r>
      <w:r>
        <w:rPr>
          <w:b w:val="0"/>
          <w:bCs w:val="0"/>
        </w:rPr>
      </w:r>
    </w:p>
    <w:p>
      <w:pPr>
        <w:spacing w:line="240" w:lineRule="auto" w:before="9"/>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492"/>
        <w:gridCol w:w="2785"/>
        <w:gridCol w:w="2067"/>
      </w:tblGrid>
      <w:tr>
        <w:trPr>
          <w:trHeight w:val="270" w:hRule="exact"/>
        </w:trPr>
        <w:tc>
          <w:tcPr>
            <w:tcW w:w="3492"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466"/>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785" w:type="dxa"/>
            <w:tcBorders>
              <w:top w:val="nil" w:sz="6" w:space="0" w:color="auto"/>
              <w:left w:val="nil" w:sz="6" w:space="0" w:color="auto"/>
              <w:bottom w:val="single" w:sz="4" w:space="0" w:color="000000"/>
              <w:right w:val="nil" w:sz="6" w:space="0" w:color="auto"/>
            </w:tcBorders>
          </w:tcPr>
          <w:p>
            <w:pPr>
              <w:pStyle w:val="TableParagraph"/>
              <w:spacing w:line="199" w:lineRule="exact"/>
              <w:ind w:left="732"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199" w:lineRule="exact"/>
              <w:ind w:left="394"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349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92"/>
              <w:jc w:val="right"/>
              <w:rPr>
                <w:rFonts w:ascii="Times New Roman" w:hAnsi="Times New Roman" w:cs="Times New Roman" w:eastAsia="Times New Roman" w:hint="default"/>
                <w:sz w:val="18"/>
                <w:szCs w:val="18"/>
              </w:rPr>
            </w:pPr>
            <w:r>
              <w:rPr>
                <w:rFonts w:ascii="Times New Roman"/>
                <w:sz w:val="18"/>
              </w:rPr>
              <w:t>324,817.31</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
              <w:jc w:val="right"/>
              <w:rPr>
                <w:rFonts w:ascii="Times New Roman" w:hAnsi="Times New Roman" w:cs="Times New Roman" w:eastAsia="Times New Roman" w:hint="default"/>
                <w:sz w:val="18"/>
                <w:szCs w:val="18"/>
              </w:rPr>
            </w:pPr>
            <w:r>
              <w:rPr>
                <w:rFonts w:ascii="Times New Roman"/>
                <w:sz w:val="18"/>
              </w:rPr>
              <w:t>2,231.50</w:t>
            </w:r>
          </w:p>
        </w:tc>
      </w:tr>
      <w:tr>
        <w:trPr>
          <w:trHeight w:val="336"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2"/>
              <w:jc w:val="right"/>
              <w:rPr>
                <w:rFonts w:ascii="Times New Roman" w:hAnsi="Times New Roman" w:cs="Times New Roman" w:eastAsia="Times New Roman" w:hint="default"/>
                <w:sz w:val="18"/>
                <w:szCs w:val="18"/>
              </w:rPr>
            </w:pPr>
            <w:r>
              <w:rPr>
                <w:rFonts w:ascii="Times New Roman"/>
                <w:sz w:val="18"/>
              </w:rPr>
              <w:t>687,992.87</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858,197.94</w:t>
            </w:r>
          </w:p>
        </w:tc>
      </w:tr>
      <w:tr>
        <w:trPr>
          <w:trHeight w:val="34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92"/>
              <w:jc w:val="right"/>
              <w:rPr>
                <w:rFonts w:ascii="Times New Roman" w:hAnsi="Times New Roman" w:cs="Times New Roman" w:eastAsia="Times New Roman" w:hint="default"/>
                <w:sz w:val="18"/>
                <w:szCs w:val="18"/>
              </w:rPr>
            </w:pPr>
            <w:r>
              <w:rPr>
                <w:rFonts w:ascii="Times New Roman"/>
                <w:sz w:val="18"/>
              </w:rPr>
              <w:t>294,854.09</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367,799.10</w:t>
            </w:r>
          </w:p>
        </w:tc>
      </w:tr>
      <w:tr>
        <w:trPr>
          <w:trHeight w:val="353" w:hRule="exact"/>
        </w:trPr>
        <w:tc>
          <w:tcPr>
            <w:tcW w:w="349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1466"/>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7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392"/>
              <w:jc w:val="right"/>
              <w:rPr>
                <w:rFonts w:ascii="Times New Roman" w:hAnsi="Times New Roman" w:cs="Times New Roman" w:eastAsia="Times New Roman" w:hint="default"/>
                <w:sz w:val="18"/>
                <w:szCs w:val="18"/>
              </w:rPr>
            </w:pPr>
            <w:r>
              <w:rPr>
                <w:rFonts w:ascii="Times New Roman"/>
                <w:spacing w:val="-1"/>
                <w:sz w:val="18"/>
              </w:rPr>
              <w:t>1,307,664.27</w:t>
            </w:r>
            <w:r>
              <w:rPr>
                <w:rFonts w:ascii="Times New Roman"/>
                <w:sz w:val="18"/>
              </w:rPr>
            </w:r>
          </w:p>
        </w:tc>
        <w:tc>
          <w:tcPr>
            <w:tcW w:w="206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1,228,228.54</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26"/>
        <w:ind w:left="680" w:right="1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、销售费用</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2986"/>
        <w:gridCol w:w="180"/>
        <w:gridCol w:w="2501"/>
        <w:gridCol w:w="180"/>
        <w:gridCol w:w="2635"/>
      </w:tblGrid>
      <w:tr>
        <w:trPr>
          <w:trHeight w:val="279" w:hRule="exact"/>
        </w:trPr>
        <w:tc>
          <w:tcPr>
            <w:tcW w:w="2986"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199" w:lineRule="exact"/>
              <w:ind w:left="74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single" w:sz="4" w:space="0" w:color="000000"/>
              <w:right w:val="nil" w:sz="6" w:space="0" w:color="auto"/>
            </w:tcBorders>
          </w:tcPr>
          <w:p>
            <w:pPr>
              <w:pStyle w:val="TableParagraph"/>
              <w:spacing w:line="199" w:lineRule="exact"/>
              <w:ind w:left="816"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29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84"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1"/>
              <w:jc w:val="right"/>
              <w:rPr>
                <w:rFonts w:ascii="Times New Roman" w:hAnsi="Times New Roman" w:cs="Times New Roman" w:eastAsia="Times New Roman" w:hint="default"/>
                <w:sz w:val="18"/>
                <w:szCs w:val="18"/>
              </w:rPr>
            </w:pPr>
            <w:r>
              <w:rPr>
                <w:rFonts w:ascii="Times New Roman"/>
                <w:spacing w:val="-1"/>
                <w:sz w:val="18"/>
              </w:rPr>
              <w:t>5,158,936.86</w:t>
            </w:r>
            <w:r>
              <w:rPr>
                <w:rFonts w:ascii="Times New Roman"/>
                <w:sz w:val="18"/>
              </w:rPr>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0"/>
              <w:jc w:val="right"/>
              <w:rPr>
                <w:rFonts w:ascii="Times New Roman" w:hAnsi="Times New Roman" w:cs="Times New Roman" w:eastAsia="Times New Roman" w:hint="default"/>
                <w:sz w:val="18"/>
                <w:szCs w:val="18"/>
              </w:rPr>
            </w:pPr>
            <w:r>
              <w:rPr>
                <w:rFonts w:ascii="Times New Roman"/>
                <w:spacing w:val="-1"/>
                <w:sz w:val="18"/>
              </w:rPr>
              <w:t>3,070,669.15</w:t>
            </w:r>
          </w:p>
        </w:tc>
      </w:tr>
      <w:tr>
        <w:trPr>
          <w:trHeight w:val="33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83"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Times New Roman" w:hAnsi="Times New Roman" w:cs="Times New Roman" w:eastAsia="Times New Roman" w:hint="default"/>
                <w:sz w:val="18"/>
                <w:szCs w:val="18"/>
              </w:rPr>
            </w:pPr>
            <w:r>
              <w:rPr>
                <w:rFonts w:ascii="Times New Roman"/>
                <w:spacing w:val="-1"/>
                <w:sz w:val="18"/>
              </w:rPr>
              <w:t>3,650,646.11</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0"/>
              <w:jc w:val="right"/>
              <w:rPr>
                <w:rFonts w:ascii="Times New Roman" w:hAnsi="Times New Roman" w:cs="Times New Roman" w:eastAsia="Times New Roman" w:hint="default"/>
                <w:sz w:val="18"/>
                <w:szCs w:val="18"/>
              </w:rPr>
            </w:pPr>
            <w:r>
              <w:rPr>
                <w:rFonts w:ascii="Times New Roman"/>
                <w:spacing w:val="-1"/>
                <w:sz w:val="18"/>
              </w:rPr>
              <w:t>2,159,731.00</w:t>
            </w:r>
          </w:p>
        </w:tc>
      </w:tr>
      <w:tr>
        <w:trPr>
          <w:trHeight w:val="340"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 w:right="0"/>
              <w:jc w:val="left"/>
              <w:rPr>
                <w:rFonts w:ascii="宋体" w:hAnsi="宋体" w:cs="宋体" w:eastAsia="宋体" w:hint="default"/>
                <w:sz w:val="20"/>
                <w:szCs w:val="20"/>
              </w:rPr>
            </w:pPr>
            <w:r>
              <w:rPr>
                <w:rFonts w:ascii="宋体" w:hAnsi="宋体" w:cs="宋体" w:eastAsia="宋体" w:hint="default"/>
                <w:sz w:val="20"/>
                <w:szCs w:val="20"/>
              </w:rPr>
              <w:t>招待费</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0"/>
              <w:jc w:val="right"/>
              <w:rPr>
                <w:rFonts w:ascii="Times New Roman" w:hAnsi="Times New Roman" w:cs="Times New Roman" w:eastAsia="Times New Roman" w:hint="default"/>
                <w:sz w:val="18"/>
                <w:szCs w:val="18"/>
              </w:rPr>
            </w:pPr>
            <w:r>
              <w:rPr>
                <w:rFonts w:ascii="Times New Roman"/>
                <w:spacing w:val="-1"/>
                <w:sz w:val="18"/>
              </w:rPr>
              <w:t>1,140,675.00</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7"/>
              <w:jc w:val="right"/>
              <w:rPr>
                <w:rFonts w:ascii="Times New Roman" w:hAnsi="Times New Roman" w:cs="Times New Roman" w:eastAsia="Times New Roman" w:hint="default"/>
                <w:sz w:val="18"/>
                <w:szCs w:val="18"/>
              </w:rPr>
            </w:pPr>
            <w:r>
              <w:rPr>
                <w:rFonts w:ascii="Times New Roman"/>
                <w:spacing w:val="-1"/>
                <w:sz w:val="18"/>
              </w:rPr>
              <w:t>783,490.40</w:t>
            </w:r>
          </w:p>
        </w:tc>
      </w:tr>
      <w:tr>
        <w:trPr>
          <w:trHeight w:val="34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 w:right="0"/>
              <w:jc w:val="left"/>
              <w:rPr>
                <w:rFonts w:ascii="宋体" w:hAnsi="宋体" w:cs="宋体" w:eastAsia="宋体" w:hint="default"/>
                <w:sz w:val="20"/>
                <w:szCs w:val="20"/>
              </w:rPr>
            </w:pPr>
            <w:r>
              <w:rPr>
                <w:rFonts w:ascii="宋体" w:hAnsi="宋体" w:cs="宋体" w:eastAsia="宋体" w:hint="default"/>
                <w:sz w:val="20"/>
                <w:szCs w:val="20"/>
              </w:rPr>
              <w:t>社会保险</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643,203.72</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388,774.20</w:t>
            </w:r>
          </w:p>
        </w:tc>
      </w:tr>
      <w:tr>
        <w:trPr>
          <w:trHeight w:val="34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 w:right="0"/>
              <w:jc w:val="left"/>
              <w:rPr>
                <w:rFonts w:ascii="宋体" w:hAnsi="宋体" w:cs="宋体" w:eastAsia="宋体" w:hint="default"/>
                <w:sz w:val="20"/>
                <w:szCs w:val="20"/>
              </w:rPr>
            </w:pPr>
            <w:r>
              <w:rPr>
                <w:rFonts w:ascii="宋体" w:hAnsi="宋体" w:cs="宋体" w:eastAsia="宋体" w:hint="default"/>
                <w:sz w:val="20"/>
                <w:szCs w:val="20"/>
              </w:rPr>
              <w:t>宣传费</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556,400.00</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481,689.90</w:t>
            </w:r>
          </w:p>
        </w:tc>
      </w:tr>
      <w:tr>
        <w:trPr>
          <w:trHeight w:val="34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464,573.65</w:t>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7"/>
              <w:jc w:val="right"/>
              <w:rPr>
                <w:rFonts w:ascii="Times New Roman" w:hAnsi="Times New Roman" w:cs="Times New Roman" w:eastAsia="Times New Roman" w:hint="default"/>
                <w:sz w:val="18"/>
                <w:szCs w:val="18"/>
              </w:rPr>
            </w:pPr>
            <w:r>
              <w:rPr>
                <w:rFonts w:ascii="Times New Roman"/>
                <w:spacing w:val="-1"/>
                <w:sz w:val="18"/>
              </w:rPr>
              <w:t>360,670.19</w:t>
            </w:r>
          </w:p>
        </w:tc>
      </w:tr>
      <w:tr>
        <w:trPr>
          <w:trHeight w:val="27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180"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6"/>
              <w:jc w:val="right"/>
              <w:rPr>
                <w:rFonts w:ascii="Times New Roman" w:hAnsi="Times New Roman" w:cs="Times New Roman" w:eastAsia="Times New Roman" w:hint="default"/>
                <w:sz w:val="18"/>
                <w:szCs w:val="18"/>
              </w:rPr>
            </w:pPr>
            <w:r>
              <w:rPr>
                <w:rFonts w:ascii="Times New Roman"/>
                <w:spacing w:val="-1"/>
                <w:sz w:val="18"/>
              </w:rPr>
              <w:t>192,373.50</w:t>
            </w:r>
            <w:r>
              <w:rPr>
                <w:rFonts w:ascii="Times New Roman"/>
                <w:sz w:val="18"/>
              </w:rPr>
            </w:r>
          </w:p>
        </w:tc>
        <w:tc>
          <w:tcPr>
            <w:tcW w:w="180"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0"/>
              <w:jc w:val="right"/>
              <w:rPr>
                <w:rFonts w:ascii="Times New Roman" w:hAnsi="Times New Roman" w:cs="Times New Roman" w:eastAsia="Times New Roman" w:hint="default"/>
                <w:sz w:val="18"/>
                <w:szCs w:val="18"/>
              </w:rPr>
            </w:pPr>
            <w:r>
              <w:rPr>
                <w:rFonts w:ascii="Times New Roman"/>
                <w:spacing w:val="-1"/>
                <w:sz w:val="18"/>
              </w:rPr>
              <w:t>63,227.64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1380" w:left="1600" w:right="1600"/>
        </w:sectPr>
      </w:pPr>
    </w:p>
    <w:tbl>
      <w:tblPr>
        <w:tblW w:w="0" w:type="auto"/>
        <w:jc w:val="left"/>
        <w:tblInd w:w="168" w:type="dxa"/>
        <w:tblLayout w:type="fixed"/>
        <w:tblCellMar>
          <w:top w:w="0" w:type="dxa"/>
          <w:left w:w="0" w:type="dxa"/>
          <w:bottom w:w="0" w:type="dxa"/>
          <w:right w:w="0" w:type="dxa"/>
        </w:tblCellMar>
        <w:tblLook w:val="01E0"/>
      </w:tblPr>
      <w:tblGrid>
        <w:gridCol w:w="2930"/>
        <w:gridCol w:w="173"/>
        <w:gridCol w:w="2508"/>
        <w:gridCol w:w="173"/>
        <w:gridCol w:w="2585"/>
      </w:tblGrid>
      <w:tr>
        <w:trPr>
          <w:trHeight w:val="379" w:hRule="exact"/>
        </w:trPr>
        <w:tc>
          <w:tcPr>
            <w:tcW w:w="2930"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right="1295"/>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73" w:type="dxa"/>
            <w:tcBorders>
              <w:top w:val="single" w:sz="6" w:space="0" w:color="000000"/>
              <w:left w:val="nil" w:sz="6" w:space="0" w:color="auto"/>
              <w:bottom w:val="nil" w:sz="6" w:space="0" w:color="auto"/>
              <w:right w:val="nil" w:sz="6" w:space="0" w:color="auto"/>
            </w:tcBorders>
          </w:tcPr>
          <w:p>
            <w:pPr/>
          </w:p>
        </w:tc>
        <w:tc>
          <w:tcPr>
            <w:tcW w:w="2508"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756"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73" w:type="dxa"/>
            <w:tcBorders>
              <w:top w:val="single" w:sz="6" w:space="0" w:color="000000"/>
              <w:left w:val="nil" w:sz="6" w:space="0" w:color="auto"/>
              <w:bottom w:val="nil" w:sz="6" w:space="0" w:color="auto"/>
              <w:right w:val="nil" w:sz="6" w:space="0" w:color="auto"/>
            </w:tcBorders>
          </w:tcPr>
          <w:p>
            <w:pPr/>
          </w:p>
        </w:tc>
        <w:tc>
          <w:tcPr>
            <w:tcW w:w="2585"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823"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8"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47"/>
              <w:jc w:val="right"/>
              <w:rPr>
                <w:rFonts w:ascii="Times New Roman" w:hAnsi="Times New Roman" w:cs="Times New Roman" w:eastAsia="Times New Roman" w:hint="default"/>
                <w:sz w:val="18"/>
                <w:szCs w:val="18"/>
              </w:rPr>
            </w:pPr>
            <w:r>
              <w:rPr>
                <w:rFonts w:ascii="Times New Roman"/>
                <w:spacing w:val="-1"/>
                <w:sz w:val="18"/>
              </w:rPr>
              <w:t>159,175.00</w:t>
            </w:r>
          </w:p>
        </w:tc>
        <w:tc>
          <w:tcPr>
            <w:tcW w:w="173" w:type="dxa"/>
            <w:tcBorders>
              <w:top w:val="nil" w:sz="6" w:space="0" w:color="auto"/>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2"/>
              <w:jc w:val="right"/>
              <w:rPr>
                <w:rFonts w:ascii="Times New Roman" w:hAnsi="Times New Roman" w:cs="Times New Roman" w:eastAsia="Times New Roman" w:hint="default"/>
                <w:sz w:val="18"/>
                <w:szCs w:val="18"/>
              </w:rPr>
            </w:pPr>
            <w:r>
              <w:rPr>
                <w:rFonts w:ascii="Times New Roman"/>
                <w:spacing w:val="-1"/>
                <w:sz w:val="18"/>
              </w:rPr>
              <w:t>93,900.00</w:t>
            </w:r>
          </w:p>
        </w:tc>
      </w:tr>
      <w:tr>
        <w:trPr>
          <w:trHeight w:val="344"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验收费</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0"/>
              <w:jc w:val="right"/>
              <w:rPr>
                <w:rFonts w:ascii="Times New Roman" w:hAnsi="Times New Roman" w:cs="Times New Roman" w:eastAsia="Times New Roman" w:hint="default"/>
                <w:sz w:val="18"/>
                <w:szCs w:val="18"/>
              </w:rPr>
            </w:pPr>
            <w:r>
              <w:rPr>
                <w:rFonts w:ascii="Times New Roman"/>
                <w:spacing w:val="-1"/>
                <w:sz w:val="18"/>
              </w:rPr>
              <w:t>82,550.00</w:t>
            </w:r>
          </w:p>
        </w:tc>
        <w:tc>
          <w:tcPr>
            <w:tcW w:w="173"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2"/>
              <w:jc w:val="right"/>
              <w:rPr>
                <w:rFonts w:ascii="Times New Roman" w:hAnsi="Times New Roman" w:cs="Times New Roman" w:eastAsia="Times New Roman" w:hint="default"/>
                <w:sz w:val="18"/>
                <w:szCs w:val="18"/>
              </w:rPr>
            </w:pPr>
            <w:r>
              <w:rPr>
                <w:rFonts w:ascii="Times New Roman"/>
                <w:spacing w:val="-1"/>
                <w:sz w:val="18"/>
              </w:rPr>
              <w:t>85,522.00</w:t>
            </w:r>
          </w:p>
        </w:tc>
      </w:tr>
      <w:tr>
        <w:trPr>
          <w:trHeight w:val="351"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其他费用</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47"/>
              <w:jc w:val="right"/>
              <w:rPr>
                <w:rFonts w:ascii="Times New Roman" w:hAnsi="Times New Roman" w:cs="Times New Roman" w:eastAsia="Times New Roman" w:hint="default"/>
                <w:sz w:val="18"/>
                <w:szCs w:val="18"/>
              </w:rPr>
            </w:pPr>
            <w:r>
              <w:rPr>
                <w:rFonts w:ascii="Times New Roman"/>
                <w:spacing w:val="-1"/>
                <w:sz w:val="18"/>
              </w:rPr>
              <w:t>410,464.04</w:t>
            </w:r>
          </w:p>
        </w:tc>
        <w:tc>
          <w:tcPr>
            <w:tcW w:w="173"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90"/>
              <w:jc w:val="right"/>
              <w:rPr>
                <w:rFonts w:ascii="Times New Roman" w:hAnsi="Times New Roman" w:cs="Times New Roman" w:eastAsia="Times New Roman" w:hint="default"/>
                <w:sz w:val="18"/>
                <w:szCs w:val="18"/>
              </w:rPr>
            </w:pPr>
            <w:r>
              <w:rPr>
                <w:rFonts w:ascii="Times New Roman"/>
                <w:spacing w:val="-1"/>
                <w:sz w:val="18"/>
              </w:rPr>
              <w:t>205,884.65</w:t>
            </w:r>
          </w:p>
        </w:tc>
      </w:tr>
      <w:tr>
        <w:trPr>
          <w:trHeight w:val="36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5"/>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83"/>
              <w:jc w:val="right"/>
              <w:rPr>
                <w:rFonts w:ascii="Times New Roman" w:hAnsi="Times New Roman" w:cs="Times New Roman" w:eastAsia="Times New Roman" w:hint="default"/>
                <w:sz w:val="20"/>
                <w:szCs w:val="20"/>
              </w:rPr>
            </w:pPr>
            <w:r>
              <w:rPr>
                <w:rFonts w:ascii="Times New Roman"/>
                <w:w w:val="95"/>
                <w:sz w:val="20"/>
              </w:rPr>
              <w:t>12,458,997.88</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w w:val="95"/>
                <w:sz w:val="20"/>
              </w:rPr>
              <w:t>7,693,559.13</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26"/>
        <w:ind w:left="680" w:right="1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r>
      <w:r>
        <w:rPr>
          <w:rFonts w:ascii="宋体" w:hAnsi="宋体" w:cs="宋体" w:eastAsia="宋体" w:hint="default"/>
          <w:b/>
          <w:bCs/>
          <w:sz w:val="24"/>
          <w:szCs w:val="24"/>
        </w:rPr>
        <w:t>、管理费用</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2986"/>
        <w:gridCol w:w="173"/>
        <w:gridCol w:w="2508"/>
        <w:gridCol w:w="173"/>
        <w:gridCol w:w="2642"/>
      </w:tblGrid>
      <w:tr>
        <w:trPr>
          <w:trHeight w:val="277" w:hRule="exact"/>
        </w:trPr>
        <w:tc>
          <w:tcPr>
            <w:tcW w:w="2986" w:type="dxa"/>
            <w:tcBorders>
              <w:top w:val="nil" w:sz="6" w:space="0" w:color="auto"/>
              <w:left w:val="nil" w:sz="6" w:space="0" w:color="auto"/>
              <w:bottom w:val="single" w:sz="4" w:space="0" w:color="000000"/>
              <w:right w:val="nil" w:sz="6" w:space="0" w:color="auto"/>
            </w:tcBorders>
          </w:tcPr>
          <w:p>
            <w:pPr>
              <w:pStyle w:val="TableParagraph"/>
              <w:spacing w:line="199" w:lineRule="exact"/>
              <w:ind w:right="1295"/>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4" w:space="0" w:color="000000"/>
              <w:right w:val="nil" w:sz="6" w:space="0" w:color="auto"/>
            </w:tcBorders>
          </w:tcPr>
          <w:p>
            <w:pPr>
              <w:pStyle w:val="TableParagraph"/>
              <w:spacing w:line="199" w:lineRule="exact"/>
              <w:ind w:left="756"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single" w:sz="4" w:space="0" w:color="000000"/>
              <w:right w:val="nil" w:sz="6" w:space="0" w:color="auto"/>
            </w:tcBorders>
          </w:tcPr>
          <w:p>
            <w:pPr>
              <w:pStyle w:val="TableParagraph"/>
              <w:spacing w:line="199" w:lineRule="exact"/>
              <w:ind w:left="823"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50" w:hRule="exact"/>
        </w:trPr>
        <w:tc>
          <w:tcPr>
            <w:tcW w:w="298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84"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82"/>
              <w:jc w:val="right"/>
              <w:rPr>
                <w:rFonts w:ascii="Times New Roman" w:hAnsi="Times New Roman" w:cs="Times New Roman" w:eastAsia="Times New Roman" w:hint="default"/>
                <w:sz w:val="20"/>
                <w:szCs w:val="20"/>
              </w:rPr>
            </w:pPr>
            <w:r>
              <w:rPr>
                <w:rFonts w:ascii="Times New Roman"/>
                <w:w w:val="95"/>
                <w:sz w:val="20"/>
              </w:rPr>
              <w:t>9,325,828.77</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82"/>
              <w:jc w:val="right"/>
              <w:rPr>
                <w:rFonts w:ascii="Times New Roman" w:hAnsi="Times New Roman" w:cs="Times New Roman" w:eastAsia="Times New Roman" w:hint="default"/>
                <w:sz w:val="20"/>
                <w:szCs w:val="20"/>
              </w:rPr>
            </w:pPr>
            <w:r>
              <w:rPr>
                <w:rFonts w:ascii="Times New Roman"/>
                <w:w w:val="95"/>
                <w:sz w:val="20"/>
              </w:rPr>
              <w:t>7,121,616.02</w:t>
            </w:r>
            <w:r>
              <w:rPr>
                <w:rFonts w:ascii="Times New Roman"/>
                <w:sz w:val="20"/>
              </w:rPr>
            </w:r>
          </w:p>
        </w:tc>
      </w:tr>
      <w:tr>
        <w:trPr>
          <w:trHeight w:val="33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61" w:lineRule="exact"/>
              <w:ind w:left="83"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2"/>
              <w:jc w:val="right"/>
              <w:rPr>
                <w:rFonts w:ascii="Times New Roman" w:hAnsi="Times New Roman" w:cs="Times New Roman" w:eastAsia="Times New Roman" w:hint="default"/>
                <w:sz w:val="20"/>
                <w:szCs w:val="20"/>
              </w:rPr>
            </w:pPr>
            <w:r>
              <w:rPr>
                <w:rFonts w:ascii="Times New Roman"/>
                <w:w w:val="95"/>
                <w:sz w:val="20"/>
              </w:rPr>
              <w:t>1,696,238.26</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4"/>
              <w:jc w:val="right"/>
              <w:rPr>
                <w:rFonts w:ascii="Times New Roman" w:hAnsi="Times New Roman" w:cs="Times New Roman" w:eastAsia="Times New Roman" w:hint="default"/>
                <w:sz w:val="20"/>
                <w:szCs w:val="20"/>
              </w:rPr>
            </w:pPr>
            <w:r>
              <w:rPr>
                <w:rFonts w:ascii="Times New Roman"/>
                <w:w w:val="95"/>
                <w:sz w:val="20"/>
              </w:rPr>
              <w:t>522,295.00</w:t>
            </w:r>
            <w:r>
              <w:rPr>
                <w:rFonts w:ascii="Times New Roman"/>
                <w:sz w:val="20"/>
              </w:rPr>
            </w:r>
          </w:p>
        </w:tc>
      </w:tr>
      <w:tr>
        <w:trPr>
          <w:trHeight w:val="34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ind w:left="83"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4"/>
              <w:jc w:val="right"/>
              <w:rPr>
                <w:rFonts w:ascii="Times New Roman" w:hAnsi="Times New Roman" w:cs="Times New Roman" w:eastAsia="Times New Roman" w:hint="default"/>
                <w:sz w:val="20"/>
                <w:szCs w:val="20"/>
              </w:rPr>
            </w:pPr>
            <w:r>
              <w:rPr>
                <w:rFonts w:ascii="Times New Roman"/>
                <w:w w:val="95"/>
                <w:sz w:val="20"/>
              </w:rPr>
              <w:t>787,131.34</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4"/>
              <w:jc w:val="right"/>
              <w:rPr>
                <w:rFonts w:ascii="Times New Roman" w:hAnsi="Times New Roman" w:cs="Times New Roman" w:eastAsia="Times New Roman" w:hint="default"/>
                <w:sz w:val="20"/>
                <w:szCs w:val="20"/>
              </w:rPr>
            </w:pPr>
            <w:r>
              <w:rPr>
                <w:rFonts w:ascii="Times New Roman"/>
                <w:w w:val="95"/>
                <w:sz w:val="20"/>
              </w:rPr>
              <w:t>301,521.60</w:t>
            </w:r>
            <w:r>
              <w:rPr>
                <w:rFonts w:ascii="Times New Roman"/>
                <w:sz w:val="20"/>
              </w:rPr>
            </w:r>
          </w:p>
        </w:tc>
      </w:tr>
      <w:tr>
        <w:trPr>
          <w:trHeight w:val="34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税金</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612,603.57</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Times New Roman" w:hAnsi="Times New Roman" w:cs="Times New Roman" w:eastAsia="Times New Roman" w:hint="default"/>
                <w:sz w:val="20"/>
                <w:szCs w:val="20"/>
              </w:rPr>
            </w:pPr>
            <w:r>
              <w:rPr>
                <w:rFonts w:ascii="Times New Roman"/>
                <w:w w:val="95"/>
                <w:sz w:val="20"/>
              </w:rPr>
              <w:t>60,810.80</w:t>
            </w:r>
            <w:r>
              <w:rPr>
                <w:rFonts w:ascii="Times New Roman"/>
                <w:sz w:val="20"/>
              </w:rPr>
            </w:r>
          </w:p>
        </w:tc>
      </w:tr>
      <w:tr>
        <w:trPr>
          <w:trHeight w:val="34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办公场租</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475,825.02</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Times New Roman" w:hAnsi="Times New Roman" w:cs="Times New Roman" w:eastAsia="Times New Roman" w:hint="default"/>
                <w:sz w:val="20"/>
                <w:szCs w:val="20"/>
              </w:rPr>
            </w:pPr>
            <w:r>
              <w:rPr>
                <w:rFonts w:ascii="Times New Roman"/>
                <w:w w:val="95"/>
                <w:sz w:val="20"/>
              </w:rPr>
              <w:t>1,199,433.40</w:t>
            </w:r>
            <w:r>
              <w:rPr>
                <w:rFonts w:ascii="Times New Roman"/>
                <w:sz w:val="20"/>
              </w:rPr>
            </w:r>
          </w:p>
        </w:tc>
      </w:tr>
      <w:tr>
        <w:trPr>
          <w:trHeight w:val="34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 w:right="0"/>
              <w:jc w:val="left"/>
              <w:rPr>
                <w:rFonts w:ascii="宋体" w:hAnsi="宋体" w:cs="宋体" w:eastAsia="宋体" w:hint="default"/>
                <w:sz w:val="20"/>
                <w:szCs w:val="20"/>
              </w:rPr>
            </w:pPr>
            <w:r>
              <w:rPr>
                <w:rFonts w:ascii="宋体" w:hAnsi="宋体" w:cs="宋体" w:eastAsia="宋体" w:hint="default"/>
                <w:sz w:val="20"/>
                <w:szCs w:val="20"/>
              </w:rPr>
              <w:t>上海办事处费用</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
              <w:jc w:val="right"/>
              <w:rPr>
                <w:rFonts w:ascii="Times New Roman" w:hAnsi="Times New Roman" w:cs="Times New Roman" w:eastAsia="Times New Roman" w:hint="default"/>
                <w:sz w:val="20"/>
                <w:szCs w:val="20"/>
              </w:rPr>
            </w:pPr>
            <w:r>
              <w:rPr>
                <w:rFonts w:ascii="Times New Roman"/>
                <w:w w:val="95"/>
                <w:sz w:val="20"/>
              </w:rPr>
              <w:t>327,541.60</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
              <w:jc w:val="right"/>
              <w:rPr>
                <w:rFonts w:ascii="Times New Roman" w:hAnsi="Times New Roman" w:cs="Times New Roman" w:eastAsia="Times New Roman" w:hint="default"/>
                <w:sz w:val="20"/>
                <w:szCs w:val="20"/>
              </w:rPr>
            </w:pPr>
            <w:r>
              <w:rPr>
                <w:rFonts w:ascii="Times New Roman"/>
                <w:w w:val="95"/>
                <w:sz w:val="20"/>
              </w:rPr>
              <w:t>360,547.29</w:t>
            </w:r>
            <w:r>
              <w:rPr>
                <w:rFonts w:ascii="Times New Roman"/>
                <w:sz w:val="20"/>
              </w:rPr>
            </w:r>
          </w:p>
        </w:tc>
      </w:tr>
      <w:tr>
        <w:trPr>
          <w:trHeight w:val="34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社会保险</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317,821.03</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170,153.89</w:t>
            </w:r>
            <w:r>
              <w:rPr>
                <w:rFonts w:ascii="Times New Roman"/>
                <w:sz w:val="20"/>
              </w:rPr>
            </w:r>
          </w:p>
        </w:tc>
      </w:tr>
      <w:tr>
        <w:trPr>
          <w:trHeight w:val="346"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福利费</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300,530.75</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20"/>
                <w:szCs w:val="20"/>
              </w:rPr>
            </w:pPr>
            <w:r>
              <w:rPr>
                <w:rFonts w:ascii="Times New Roman"/>
                <w:w w:val="95"/>
                <w:sz w:val="20"/>
              </w:rPr>
              <w:t>189,712.60</w:t>
            </w:r>
            <w:r>
              <w:rPr>
                <w:rFonts w:ascii="Times New Roman"/>
                <w:sz w:val="20"/>
              </w:rPr>
            </w:r>
          </w:p>
        </w:tc>
      </w:tr>
      <w:tr>
        <w:trPr>
          <w:trHeight w:val="34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Times New Roman" w:hAnsi="Times New Roman" w:cs="Times New Roman" w:eastAsia="Times New Roman" w:hint="default"/>
                <w:sz w:val="20"/>
                <w:szCs w:val="20"/>
              </w:rPr>
            </w:pPr>
            <w:r>
              <w:rPr>
                <w:rFonts w:ascii="Times New Roman"/>
                <w:w w:val="95"/>
                <w:sz w:val="20"/>
              </w:rPr>
              <w:t>282,000.00</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Times New Roman" w:hAnsi="Times New Roman" w:cs="Times New Roman" w:eastAsia="Times New Roman" w:hint="default"/>
                <w:sz w:val="20"/>
                <w:szCs w:val="20"/>
              </w:rPr>
            </w:pPr>
            <w:r>
              <w:rPr>
                <w:rFonts w:ascii="Times New Roman"/>
                <w:w w:val="95"/>
                <w:sz w:val="20"/>
              </w:rPr>
              <w:t>70,500.00</w:t>
            </w:r>
            <w:r>
              <w:rPr>
                <w:rFonts w:ascii="Times New Roman"/>
                <w:sz w:val="20"/>
              </w:rPr>
            </w:r>
          </w:p>
        </w:tc>
      </w:tr>
      <w:tr>
        <w:trPr>
          <w:trHeight w:val="34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 w:right="0"/>
              <w:jc w:val="left"/>
              <w:rPr>
                <w:rFonts w:ascii="宋体" w:hAnsi="宋体" w:cs="宋体" w:eastAsia="宋体" w:hint="default"/>
                <w:sz w:val="20"/>
                <w:szCs w:val="20"/>
              </w:rPr>
            </w:pPr>
            <w:r>
              <w:rPr>
                <w:rFonts w:ascii="宋体" w:hAnsi="宋体" w:cs="宋体" w:eastAsia="宋体" w:hint="default"/>
                <w:sz w:val="20"/>
                <w:szCs w:val="20"/>
              </w:rPr>
              <w:t>汽车费</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2"/>
              <w:jc w:val="right"/>
              <w:rPr>
                <w:rFonts w:ascii="Times New Roman" w:hAnsi="Times New Roman" w:cs="Times New Roman" w:eastAsia="Times New Roman" w:hint="default"/>
                <w:sz w:val="20"/>
                <w:szCs w:val="20"/>
              </w:rPr>
            </w:pPr>
            <w:r>
              <w:rPr>
                <w:rFonts w:ascii="Times New Roman"/>
                <w:w w:val="95"/>
                <w:sz w:val="20"/>
              </w:rPr>
              <w:t>121,237.02</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20"/>
                <w:szCs w:val="20"/>
              </w:rPr>
            </w:pPr>
            <w:r>
              <w:rPr>
                <w:rFonts w:ascii="Times New Roman"/>
                <w:w w:val="95"/>
                <w:sz w:val="20"/>
              </w:rPr>
              <w:t>43,624.90</w:t>
            </w:r>
            <w:r>
              <w:rPr>
                <w:rFonts w:ascii="Times New Roman"/>
                <w:sz w:val="20"/>
              </w:rPr>
            </w:r>
          </w:p>
        </w:tc>
      </w:tr>
      <w:tr>
        <w:trPr>
          <w:trHeight w:val="347"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8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2"/>
              <w:jc w:val="right"/>
              <w:rPr>
                <w:rFonts w:ascii="Times New Roman" w:hAnsi="Times New Roman" w:cs="Times New Roman" w:eastAsia="Times New Roman" w:hint="default"/>
                <w:sz w:val="20"/>
                <w:szCs w:val="20"/>
              </w:rPr>
            </w:pPr>
            <w:r>
              <w:rPr>
                <w:rFonts w:ascii="Times New Roman"/>
                <w:w w:val="95"/>
                <w:sz w:val="20"/>
              </w:rPr>
              <w:t>1,267,397.28</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2"/>
              <w:jc w:val="right"/>
              <w:rPr>
                <w:rFonts w:ascii="Times New Roman" w:hAnsi="Times New Roman" w:cs="Times New Roman" w:eastAsia="Times New Roman" w:hint="default"/>
                <w:sz w:val="20"/>
                <w:szCs w:val="20"/>
              </w:rPr>
            </w:pPr>
            <w:r>
              <w:rPr>
                <w:rFonts w:ascii="Times New Roman"/>
                <w:w w:val="95"/>
                <w:sz w:val="20"/>
              </w:rPr>
              <w:t>2,728,298.51</w:t>
            </w:r>
            <w:r>
              <w:rPr>
                <w:rFonts w:ascii="Times New Roman"/>
                <w:sz w:val="20"/>
              </w:rPr>
            </w:r>
          </w:p>
        </w:tc>
      </w:tr>
      <w:tr>
        <w:trPr>
          <w:trHeight w:val="36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4"/>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173"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83"/>
              <w:jc w:val="right"/>
              <w:rPr>
                <w:rFonts w:ascii="Times New Roman" w:hAnsi="Times New Roman" w:cs="Times New Roman" w:eastAsia="Times New Roman" w:hint="default"/>
                <w:sz w:val="20"/>
                <w:szCs w:val="20"/>
              </w:rPr>
            </w:pPr>
            <w:r>
              <w:rPr>
                <w:rFonts w:ascii="Times New Roman"/>
                <w:w w:val="95"/>
                <w:sz w:val="20"/>
              </w:rPr>
              <w:t>15,514,154.64</w:t>
            </w:r>
            <w:r>
              <w:rPr>
                <w:rFonts w:ascii="Times New Roman"/>
                <w:sz w:val="20"/>
              </w:rPr>
            </w:r>
          </w:p>
        </w:tc>
        <w:tc>
          <w:tcPr>
            <w:tcW w:w="173" w:type="dxa"/>
            <w:tcBorders>
              <w:top w:val="nil" w:sz="6" w:space="0" w:color="auto"/>
              <w:left w:val="nil" w:sz="6" w:space="0" w:color="auto"/>
              <w:bottom w:val="nil" w:sz="6" w:space="0" w:color="auto"/>
              <w:right w:val="nil" w:sz="6" w:space="0" w:color="auto"/>
            </w:tcBorders>
          </w:tcPr>
          <w:p>
            <w:pPr/>
          </w:p>
        </w:tc>
        <w:tc>
          <w:tcPr>
            <w:tcW w:w="2642"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83"/>
              <w:jc w:val="right"/>
              <w:rPr>
                <w:rFonts w:ascii="Times New Roman" w:hAnsi="Times New Roman" w:cs="Times New Roman" w:eastAsia="Times New Roman" w:hint="default"/>
                <w:sz w:val="20"/>
                <w:szCs w:val="20"/>
              </w:rPr>
            </w:pPr>
            <w:r>
              <w:rPr>
                <w:rFonts w:ascii="Times New Roman"/>
                <w:w w:val="95"/>
                <w:sz w:val="20"/>
              </w:rPr>
              <w:t>12,768,514.01</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26"/>
        <w:ind w:left="680" w:right="1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w:t>
      </w:r>
      <w:r>
        <w:rPr>
          <w:rFonts w:ascii="宋体" w:hAnsi="宋体" w:cs="宋体" w:eastAsia="宋体" w:hint="default"/>
          <w:b/>
          <w:bCs/>
          <w:sz w:val="24"/>
          <w:szCs w:val="24"/>
        </w:rPr>
        <w:t>、财务费用</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409"/>
        <w:gridCol w:w="2305"/>
        <w:gridCol w:w="1631"/>
      </w:tblGrid>
      <w:tr>
        <w:trPr>
          <w:trHeight w:val="270" w:hRule="exact"/>
        </w:trPr>
        <w:tc>
          <w:tcPr>
            <w:tcW w:w="4409"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187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305" w:type="dxa"/>
            <w:tcBorders>
              <w:top w:val="nil" w:sz="6" w:space="0" w:color="auto"/>
              <w:left w:val="nil" w:sz="6" w:space="0" w:color="auto"/>
              <w:bottom w:val="single" w:sz="4" w:space="0" w:color="000000"/>
              <w:right w:val="nil" w:sz="6" w:space="0" w:color="auto"/>
            </w:tcBorders>
          </w:tcPr>
          <w:p>
            <w:pPr>
              <w:pStyle w:val="TableParagraph"/>
              <w:spacing w:line="199" w:lineRule="exact"/>
              <w:ind w:left="56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199" w:lineRule="exact"/>
              <w:ind w:left="250"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44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305" w:type="dxa"/>
            <w:tcBorders>
              <w:top w:val="single" w:sz="4" w:space="0" w:color="000000"/>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
        </w:tc>
      </w:tr>
      <w:tr>
        <w:trPr>
          <w:trHeight w:val="33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8"/>
              <w:jc w:val="right"/>
              <w:rPr>
                <w:rFonts w:ascii="Times New Roman" w:hAnsi="Times New Roman" w:cs="Times New Roman" w:eastAsia="Times New Roman" w:hint="default"/>
                <w:sz w:val="18"/>
                <w:szCs w:val="18"/>
              </w:rPr>
            </w:pPr>
            <w:r>
              <w:rPr>
                <w:rFonts w:ascii="Times New Roman"/>
                <w:spacing w:val="-1"/>
                <w:sz w:val="18"/>
              </w:rPr>
              <w:t>9,648,659.87</w:t>
            </w:r>
            <w:r>
              <w:rPr>
                <w:rFonts w:ascii="Times New Roman"/>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sz w:val="18"/>
              </w:rPr>
              <w:t>808,079.62</w:t>
            </w:r>
          </w:p>
        </w:tc>
      </w:tr>
      <w:tr>
        <w:trPr>
          <w:trHeight w:val="33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减：利息资本化金额</w:t>
            </w:r>
          </w:p>
        </w:tc>
        <w:tc>
          <w:tcPr>
            <w:tcW w:w="2305"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3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汇兑损益</w:t>
            </w:r>
          </w:p>
        </w:tc>
        <w:tc>
          <w:tcPr>
            <w:tcW w:w="2305"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3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减：汇兑损益资本化金额</w:t>
            </w:r>
          </w:p>
        </w:tc>
        <w:tc>
          <w:tcPr>
            <w:tcW w:w="2305"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r>
        <w:trPr>
          <w:trHeight w:val="348"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0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50"/>
              <w:jc w:val="right"/>
              <w:rPr>
                <w:rFonts w:ascii="Times New Roman" w:hAnsi="Times New Roman" w:cs="Times New Roman" w:eastAsia="Times New Roman" w:hint="default"/>
                <w:sz w:val="18"/>
                <w:szCs w:val="18"/>
              </w:rPr>
            </w:pPr>
            <w:r>
              <w:rPr>
                <w:rFonts w:ascii="Times New Roman"/>
                <w:spacing w:val="-1"/>
                <w:sz w:val="18"/>
              </w:rPr>
              <w:t>30,391.84</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15,986.85</w:t>
            </w:r>
          </w:p>
        </w:tc>
      </w:tr>
      <w:tr>
        <w:trPr>
          <w:trHeight w:val="353" w:hRule="exact"/>
        </w:trPr>
        <w:tc>
          <w:tcPr>
            <w:tcW w:w="440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192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3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8"/>
              <w:jc w:val="right"/>
              <w:rPr>
                <w:rFonts w:ascii="Times New Roman" w:hAnsi="Times New Roman" w:cs="Times New Roman" w:eastAsia="Times New Roman" w:hint="default"/>
                <w:sz w:val="18"/>
                <w:szCs w:val="18"/>
              </w:rPr>
            </w:pPr>
            <w:r>
              <w:rPr>
                <w:rFonts w:ascii="Times New Roman"/>
                <w:spacing w:val="-1"/>
                <w:sz w:val="18"/>
              </w:rPr>
              <w:t>-9,618,268.03</w:t>
            </w:r>
            <w:r>
              <w:rPr>
                <w:rFonts w:ascii="Times New Roman"/>
                <w:sz w:val="18"/>
              </w:rPr>
            </w:r>
          </w:p>
        </w:tc>
        <w:tc>
          <w:tcPr>
            <w:tcW w:w="16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-792,092.77</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26"/>
        <w:ind w:left="680" w:right="1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、资产减值损失</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946"/>
        <w:gridCol w:w="2880"/>
        <w:gridCol w:w="1519"/>
      </w:tblGrid>
      <w:tr>
        <w:trPr>
          <w:trHeight w:val="270" w:hRule="exact"/>
        </w:trPr>
        <w:tc>
          <w:tcPr>
            <w:tcW w:w="3946" w:type="dxa"/>
            <w:tcBorders>
              <w:top w:val="nil" w:sz="6" w:space="0" w:color="auto"/>
              <w:left w:val="nil" w:sz="6" w:space="0" w:color="auto"/>
              <w:bottom w:val="single" w:sz="4" w:space="0" w:color="000000"/>
              <w:right w:val="nil" w:sz="6" w:space="0" w:color="auto"/>
            </w:tcBorders>
          </w:tcPr>
          <w:p>
            <w:pPr>
              <w:pStyle w:val="TableParagraph"/>
              <w:tabs>
                <w:tab w:pos="2488" w:val="left" w:leader="none"/>
              </w:tabs>
              <w:spacing w:line="199" w:lineRule="exact"/>
              <w:ind w:left="198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80" w:type="dxa"/>
            <w:tcBorders>
              <w:top w:val="nil" w:sz="6" w:space="0" w:color="auto"/>
              <w:left w:val="nil" w:sz="6" w:space="0" w:color="auto"/>
              <w:bottom w:val="single" w:sz="4" w:space="0" w:color="000000"/>
              <w:right w:val="nil" w:sz="6" w:space="0" w:color="auto"/>
            </w:tcBorders>
          </w:tcPr>
          <w:p>
            <w:pPr>
              <w:pStyle w:val="TableParagraph"/>
              <w:spacing w:line="199" w:lineRule="exact"/>
              <w:ind w:left="1257"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199" w:lineRule="exact"/>
              <w:ind w:left="213"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39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88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718" w:right="0"/>
              <w:jc w:val="left"/>
              <w:rPr>
                <w:rFonts w:ascii="Times New Roman" w:hAnsi="Times New Roman" w:cs="Times New Roman" w:eastAsia="Times New Roman" w:hint="default"/>
                <w:sz w:val="18"/>
                <w:szCs w:val="18"/>
              </w:rPr>
            </w:pPr>
            <w:r>
              <w:rPr>
                <w:rFonts w:ascii="Times New Roman"/>
                <w:sz w:val="18"/>
              </w:rPr>
              <w:t>1,641,127.57</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691" w:right="0"/>
              <w:jc w:val="left"/>
              <w:rPr>
                <w:rFonts w:ascii="Times New Roman" w:hAnsi="Times New Roman" w:cs="Times New Roman" w:eastAsia="Times New Roman" w:hint="default"/>
                <w:sz w:val="18"/>
                <w:szCs w:val="18"/>
              </w:rPr>
            </w:pPr>
            <w:r>
              <w:rPr>
                <w:rFonts w:ascii="Times New Roman"/>
                <w:sz w:val="18"/>
              </w:rPr>
              <w:t>212,821.99</w:t>
            </w:r>
          </w:p>
        </w:tc>
      </w:tr>
      <w:tr>
        <w:trPr>
          <w:trHeight w:val="336"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288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268"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88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79" w:top="1380" w:bottom="1160" w:left="1600" w:right="1600"/>
        </w:sectPr>
      </w:pPr>
    </w:p>
    <w:tbl>
      <w:tblPr>
        <w:tblW w:w="0" w:type="auto"/>
        <w:jc w:val="left"/>
        <w:tblInd w:w="108" w:type="dxa"/>
        <w:tblLayout w:type="fixed"/>
        <w:tblCellMar>
          <w:top w:w="0" w:type="dxa"/>
          <w:left w:w="0" w:type="dxa"/>
          <w:bottom w:w="0" w:type="dxa"/>
          <w:right w:w="0" w:type="dxa"/>
        </w:tblCellMar>
        <w:tblLook w:val="01E0"/>
      </w:tblPr>
      <w:tblGrid>
        <w:gridCol w:w="4726"/>
        <w:gridCol w:w="2112"/>
        <w:gridCol w:w="1531"/>
      </w:tblGrid>
      <w:tr>
        <w:trPr>
          <w:trHeight w:val="379" w:hRule="exact"/>
        </w:trPr>
        <w:tc>
          <w:tcPr>
            <w:tcW w:w="4726" w:type="dxa"/>
            <w:tcBorders>
              <w:top w:val="single" w:sz="6" w:space="0" w:color="000000"/>
              <w:left w:val="nil" w:sz="6" w:space="0" w:color="auto"/>
              <w:bottom w:val="single" w:sz="4" w:space="0" w:color="000000"/>
              <w:right w:val="nil" w:sz="6" w:space="0" w:color="auto"/>
            </w:tcBorders>
          </w:tcPr>
          <w:p>
            <w:pPr>
              <w:pStyle w:val="TableParagraph"/>
              <w:tabs>
                <w:tab w:pos="2500" w:val="left" w:leader="none"/>
              </w:tabs>
              <w:spacing w:line="240" w:lineRule="auto" w:before="30"/>
              <w:ind w:left="1999"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112"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left="489"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531" w:type="dxa"/>
            <w:tcBorders>
              <w:top w:val="single" w:sz="6" w:space="0" w:color="000000"/>
              <w:left w:val="nil" w:sz="6" w:space="0" w:color="auto"/>
              <w:bottom w:val="single" w:sz="12" w:space="0" w:color="000000"/>
              <w:right w:val="nil" w:sz="6" w:space="0" w:color="auto"/>
            </w:tcBorders>
          </w:tcPr>
          <w:p>
            <w:pPr>
              <w:pStyle w:val="TableParagraph"/>
              <w:spacing w:line="240" w:lineRule="auto" w:before="30"/>
              <w:ind w:left="213"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2" w:hRule="exact"/>
        </w:trPr>
        <w:tc>
          <w:tcPr>
            <w:tcW w:w="4726" w:type="dxa"/>
            <w:tcBorders>
              <w:top w:val="single" w:sz="4" w:space="0" w:color="000000"/>
              <w:left w:val="nil" w:sz="6" w:space="0" w:color="auto"/>
              <w:bottom w:val="nil" w:sz="6" w:space="0" w:color="auto"/>
              <w:right w:val="nil" w:sz="6" w:space="0" w:color="auto"/>
            </w:tcBorders>
          </w:tcPr>
          <w:p>
            <w:pPr>
              <w:pStyle w:val="TableParagraph"/>
              <w:tabs>
                <w:tab w:pos="2450" w:val="left" w:leader="none"/>
              </w:tabs>
              <w:spacing w:line="240" w:lineRule="auto" w:before="9"/>
              <w:ind w:left="204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112" w:type="dxa"/>
            <w:tcBorders>
              <w:top w:val="single" w:sz="12" w:space="0" w:color="000000"/>
              <w:left w:val="nil" w:sz="6" w:space="0" w:color="auto"/>
              <w:bottom w:val="single" w:sz="17" w:space="0" w:color="000000"/>
              <w:right w:val="nil" w:sz="6" w:space="0" w:color="auto"/>
            </w:tcBorders>
          </w:tcPr>
          <w:p>
            <w:pPr>
              <w:pStyle w:val="TableParagraph"/>
              <w:spacing w:line="240" w:lineRule="auto" w:before="57"/>
              <w:ind w:left="950" w:right="0"/>
              <w:jc w:val="left"/>
              <w:rPr>
                <w:rFonts w:ascii="Times New Roman" w:hAnsi="Times New Roman" w:cs="Times New Roman" w:eastAsia="Times New Roman" w:hint="default"/>
                <w:sz w:val="18"/>
                <w:szCs w:val="18"/>
              </w:rPr>
            </w:pPr>
            <w:r>
              <w:rPr>
                <w:rFonts w:ascii="Times New Roman"/>
                <w:sz w:val="18"/>
              </w:rPr>
              <w:t>1,641,127.57</w:t>
            </w:r>
          </w:p>
        </w:tc>
        <w:tc>
          <w:tcPr>
            <w:tcW w:w="1531" w:type="dxa"/>
            <w:tcBorders>
              <w:top w:val="single" w:sz="12" w:space="0" w:color="000000"/>
              <w:left w:val="nil" w:sz="6" w:space="0" w:color="auto"/>
              <w:bottom w:val="single" w:sz="17" w:space="0" w:color="000000"/>
              <w:right w:val="nil" w:sz="6" w:space="0" w:color="auto"/>
            </w:tcBorders>
          </w:tcPr>
          <w:p>
            <w:pPr>
              <w:pStyle w:val="TableParagraph"/>
              <w:spacing w:line="240" w:lineRule="auto" w:before="57"/>
              <w:ind w:left="691" w:right="0"/>
              <w:jc w:val="left"/>
              <w:rPr>
                <w:rFonts w:ascii="Times New Roman" w:hAnsi="Times New Roman" w:cs="Times New Roman" w:eastAsia="Times New Roman" w:hint="default"/>
                <w:sz w:val="18"/>
                <w:szCs w:val="18"/>
              </w:rPr>
            </w:pPr>
            <w:r>
              <w:rPr>
                <w:rFonts w:ascii="Times New Roman"/>
                <w:sz w:val="18"/>
              </w:rPr>
              <w:t>212,821.99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spacing w:before="26"/>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、营业外收入</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spacing w:line="240" w:lineRule="auto"/>
        <w:ind w:left="617" w:right="0"/>
        <w:jc w:val="left"/>
      </w:pPr>
      <w:r>
        <w:rPr/>
        <w:t>（</w:t>
      </w:r>
      <w:r>
        <w:rPr>
          <w:rFonts w:ascii="Times New Roman" w:hAnsi="Times New Roman" w:cs="Times New Roman" w:eastAsia="Times New Roman" w:hint="default"/>
        </w:rPr>
        <w:t>1</w:t>
      </w:r>
      <w:r>
        <w:rPr/>
        <w:t>）营业外收入明细</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272"/>
        <w:gridCol w:w="2177"/>
        <w:gridCol w:w="1906"/>
      </w:tblGrid>
      <w:tr>
        <w:trPr>
          <w:trHeight w:val="279" w:hRule="exact"/>
        </w:trPr>
        <w:tc>
          <w:tcPr>
            <w:tcW w:w="4272"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1781"/>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177" w:type="dxa"/>
            <w:tcBorders>
              <w:top w:val="nil" w:sz="6" w:space="0" w:color="auto"/>
              <w:left w:val="nil" w:sz="6" w:space="0" w:color="auto"/>
              <w:bottom w:val="single" w:sz="4" w:space="0" w:color="000000"/>
              <w:right w:val="nil" w:sz="6" w:space="0" w:color="auto"/>
            </w:tcBorders>
          </w:tcPr>
          <w:p>
            <w:pPr>
              <w:pStyle w:val="TableParagraph"/>
              <w:spacing w:line="199" w:lineRule="exact"/>
              <w:ind w:left="62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199" w:lineRule="exact"/>
              <w:ind w:left="489"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74" w:hRule="exact"/>
        </w:trPr>
        <w:tc>
          <w:tcPr>
            <w:tcW w:w="427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1"/>
              <w:jc w:val="right"/>
              <w:rPr>
                <w:rFonts w:ascii="Times New Roman" w:hAnsi="Times New Roman" w:cs="Times New Roman" w:eastAsia="Times New Roman" w:hint="default"/>
                <w:sz w:val="20"/>
                <w:szCs w:val="20"/>
              </w:rPr>
            </w:pPr>
            <w:r>
              <w:rPr>
                <w:rFonts w:ascii="Times New Roman"/>
                <w:w w:val="95"/>
                <w:sz w:val="20"/>
              </w:rPr>
              <w:t>17,457,096.78</w:t>
            </w:r>
            <w:r>
              <w:rPr>
                <w:rFonts w:ascii="Times New Roman"/>
                <w:sz w:val="20"/>
              </w:rPr>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
              <w:jc w:val="right"/>
              <w:rPr>
                <w:rFonts w:ascii="Times New Roman" w:hAnsi="Times New Roman" w:cs="Times New Roman" w:eastAsia="Times New Roman" w:hint="default"/>
                <w:sz w:val="20"/>
                <w:szCs w:val="20"/>
              </w:rPr>
            </w:pPr>
            <w:r>
              <w:rPr>
                <w:rFonts w:ascii="Times New Roman"/>
                <w:w w:val="95"/>
                <w:sz w:val="20"/>
              </w:rPr>
              <w:t>9,854,191.22</w:t>
            </w:r>
            <w:r>
              <w:rPr>
                <w:rFonts w:ascii="Times New Roman"/>
                <w:sz w:val="20"/>
              </w:rPr>
            </w:r>
          </w:p>
        </w:tc>
      </w:tr>
      <w:tr>
        <w:trPr>
          <w:trHeight w:val="372" w:hRule="exact"/>
        </w:trPr>
        <w:tc>
          <w:tcPr>
            <w:tcW w:w="427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
              <w:ind w:right="172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1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1"/>
              <w:jc w:val="right"/>
              <w:rPr>
                <w:rFonts w:ascii="Times New Roman" w:hAnsi="Times New Roman" w:cs="Times New Roman" w:eastAsia="Times New Roman" w:hint="default"/>
                <w:sz w:val="20"/>
                <w:szCs w:val="20"/>
              </w:rPr>
            </w:pPr>
            <w:r>
              <w:rPr>
                <w:rFonts w:ascii="Times New Roman"/>
                <w:w w:val="95"/>
                <w:sz w:val="20"/>
              </w:rPr>
              <w:t>17,457,096.78</w:t>
            </w:r>
            <w:r>
              <w:rPr>
                <w:rFonts w:ascii="Times New Roman"/>
                <w:sz w:val="20"/>
              </w:rPr>
            </w:r>
          </w:p>
        </w:tc>
        <w:tc>
          <w:tcPr>
            <w:tcW w:w="190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w w:val="95"/>
                <w:sz w:val="20"/>
              </w:rPr>
              <w:t>9,854,191.22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left="617" w:right="0"/>
        <w:jc w:val="left"/>
      </w:pPr>
      <w:r>
        <w:rPr/>
        <w:t>（</w:t>
      </w:r>
      <w:r>
        <w:rPr>
          <w:rFonts w:ascii="Times New Roman" w:hAnsi="Times New Roman" w:cs="Times New Roman" w:eastAsia="Times New Roman" w:hint="default"/>
        </w:rPr>
        <w:t>2</w:t>
      </w:r>
      <w:r>
        <w:rPr/>
        <w:t>）政府补助明细</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5381"/>
        <w:gridCol w:w="1321"/>
        <w:gridCol w:w="1146"/>
        <w:gridCol w:w="506"/>
      </w:tblGrid>
      <w:tr>
        <w:trPr>
          <w:trHeight w:val="279" w:hRule="exact"/>
        </w:trPr>
        <w:tc>
          <w:tcPr>
            <w:tcW w:w="5381"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31"/>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199" w:lineRule="exact"/>
              <w:ind w:left="134"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199" w:lineRule="exact"/>
              <w:ind w:left="66" w:right="0"/>
              <w:jc w:val="left"/>
              <w:rPr>
                <w:rFonts w:ascii="宋体" w:hAnsi="宋体" w:cs="宋体" w:eastAsia="宋体" w:hint="default"/>
                <w:sz w:val="20"/>
                <w:szCs w:val="20"/>
              </w:rPr>
            </w:pPr>
            <w:r>
              <w:rPr>
                <w:rFonts w:ascii="宋体" w:hAnsi="宋体" w:cs="宋体" w:eastAsia="宋体" w:hint="default"/>
                <w:sz w:val="20"/>
                <w:szCs w:val="20"/>
              </w:rPr>
              <w:t>上期发生额</w:t>
            </w:r>
          </w:p>
        </w:tc>
        <w:tc>
          <w:tcPr>
            <w:tcW w:w="506"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349" w:hRule="exact"/>
        </w:trPr>
        <w:tc>
          <w:tcPr>
            <w:tcW w:w="538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增值税返还</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10,126,212.14</w:t>
            </w:r>
            <w:r>
              <w:rPr>
                <w:rFonts w:ascii="Times New Roman"/>
                <w:sz w:val="20"/>
              </w:rPr>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2"/>
              <w:jc w:val="right"/>
              <w:rPr>
                <w:rFonts w:ascii="Times New Roman" w:hAnsi="Times New Roman" w:cs="Times New Roman" w:eastAsia="Times New Roman" w:hint="default"/>
                <w:sz w:val="20"/>
                <w:szCs w:val="20"/>
              </w:rPr>
            </w:pPr>
            <w:r>
              <w:rPr>
                <w:rFonts w:ascii="Times New Roman"/>
                <w:w w:val="95"/>
                <w:sz w:val="20"/>
              </w:rPr>
              <w:t>9,533,691.22</w:t>
            </w:r>
            <w:r>
              <w:rPr>
                <w:rFonts w:ascii="Times New Roman"/>
                <w:sz w:val="20"/>
              </w:rPr>
            </w:r>
          </w:p>
        </w:tc>
        <w:tc>
          <w:tcPr>
            <w:tcW w:w="506" w:type="dxa"/>
            <w:tcBorders>
              <w:top w:val="single" w:sz="4" w:space="0" w:color="000000"/>
              <w:left w:val="nil" w:sz="6" w:space="0" w:color="auto"/>
              <w:bottom w:val="nil" w:sz="6" w:space="0" w:color="auto"/>
              <w:right w:val="nil" w:sz="6" w:space="0" w:color="auto"/>
            </w:tcBorders>
          </w:tcPr>
          <w:p>
            <w:pPr/>
          </w:p>
        </w:tc>
      </w:tr>
      <w:tr>
        <w:trPr>
          <w:trHeight w:val="336"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上市补助资金</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r>
      <w:tr>
        <w:trPr>
          <w:trHeight w:val="336"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TD-SCDMA</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行业信息化应用方案开发及产业化</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Times New Roman" w:hAnsi="Times New Roman" w:cs="Times New Roman" w:eastAsia="Times New Roman" w:hint="default"/>
                <w:sz w:val="20"/>
                <w:szCs w:val="20"/>
              </w:rPr>
            </w:pPr>
            <w:r>
              <w:rPr>
                <w:rFonts w:ascii="Times New Roman"/>
                <w:w w:val="95"/>
                <w:sz w:val="20"/>
              </w:rPr>
              <w:t>2,249,903.92</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r>
      <w:tr>
        <w:trPr>
          <w:trHeight w:val="336"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3G</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网络的职能化城市管理系统及专用职能终端开发</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Times New Roman" w:hAnsi="Times New Roman" w:cs="Times New Roman" w:eastAsia="Times New Roman" w:hint="default"/>
                <w:sz w:val="20"/>
                <w:szCs w:val="20"/>
              </w:rPr>
            </w:pPr>
            <w:r>
              <w:rPr>
                <w:rFonts w:ascii="Times New Roman"/>
                <w:w w:val="95"/>
                <w:sz w:val="20"/>
              </w:rPr>
              <w:t>1,798,980.72</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r>
      <w:tr>
        <w:trPr>
          <w:trHeight w:val="336"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3G</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无线通信的数字化城市管理系统开发</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r>
      <w:tr>
        <w:trPr>
          <w:trHeight w:val="336"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数字社区服务信息平台</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Times New Roman" w:hAnsi="Times New Roman" w:cs="Times New Roman" w:eastAsia="Times New Roman" w:hint="default"/>
                <w:sz w:val="20"/>
                <w:szCs w:val="20"/>
              </w:rPr>
            </w:pPr>
            <w:r>
              <w:rPr>
                <w:rFonts w:ascii="Times New Roman"/>
                <w:w w:val="95"/>
                <w:sz w:val="20"/>
              </w:rPr>
              <w:t>282,000.00</w:t>
            </w:r>
            <w:r>
              <w:rPr>
                <w:rFonts w:ascii="Times New Roman"/>
                <w:sz w:val="20"/>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3"/>
              <w:jc w:val="right"/>
              <w:rPr>
                <w:rFonts w:ascii="Times New Roman" w:hAnsi="Times New Roman" w:cs="Times New Roman" w:eastAsia="Times New Roman" w:hint="default"/>
                <w:sz w:val="20"/>
                <w:szCs w:val="20"/>
              </w:rPr>
            </w:pPr>
            <w:r>
              <w:rPr>
                <w:rFonts w:ascii="Times New Roman"/>
                <w:w w:val="95"/>
                <w:sz w:val="20"/>
              </w:rPr>
              <w:t>70,500.00</w:t>
            </w:r>
            <w:r>
              <w:rPr>
                <w:rFonts w:ascii="Times New Roman"/>
                <w:sz w:val="20"/>
              </w:rPr>
            </w:r>
          </w:p>
        </w:tc>
        <w:tc>
          <w:tcPr>
            <w:tcW w:w="506" w:type="dxa"/>
            <w:tcBorders>
              <w:top w:val="nil" w:sz="6" w:space="0" w:color="auto"/>
              <w:left w:val="nil" w:sz="6" w:space="0" w:color="auto"/>
              <w:bottom w:val="nil" w:sz="6" w:space="0" w:color="auto"/>
              <w:right w:val="nil" w:sz="6" w:space="0" w:color="auto"/>
            </w:tcBorders>
          </w:tcPr>
          <w:p>
            <w:pPr/>
          </w:p>
        </w:tc>
      </w:tr>
      <w:tr>
        <w:trPr>
          <w:trHeight w:val="342" w:hRule="exact"/>
        </w:trPr>
        <w:tc>
          <w:tcPr>
            <w:tcW w:w="5381"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中小企业基金</w:t>
            </w:r>
          </w:p>
        </w:tc>
        <w:tc>
          <w:tcPr>
            <w:tcW w:w="1321" w:type="dxa"/>
            <w:tcBorders>
              <w:top w:val="nil" w:sz="6" w:space="0" w:color="auto"/>
              <w:left w:val="nil" w:sz="6" w:space="0" w:color="auto"/>
              <w:bottom w:val="single" w:sz="4" w:space="0" w:color="000000"/>
              <w:right w:val="nil" w:sz="6" w:space="0" w:color="auto"/>
            </w:tcBorders>
          </w:tcPr>
          <w:p>
            <w:pP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506" w:type="dxa"/>
            <w:tcBorders>
              <w:top w:val="nil" w:sz="6" w:space="0" w:color="auto"/>
              <w:left w:val="nil" w:sz="6" w:space="0" w:color="auto"/>
              <w:bottom w:val="nil" w:sz="6" w:space="0" w:color="auto"/>
              <w:right w:val="nil" w:sz="6" w:space="0" w:color="auto"/>
            </w:tcBorders>
          </w:tcPr>
          <w:p>
            <w:pPr/>
          </w:p>
        </w:tc>
      </w:tr>
      <w:tr>
        <w:trPr>
          <w:trHeight w:val="353" w:hRule="exact"/>
        </w:trPr>
        <w:tc>
          <w:tcPr>
            <w:tcW w:w="538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3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21"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65"/>
              <w:jc w:val="right"/>
              <w:rPr>
                <w:rFonts w:ascii="Times New Roman" w:hAnsi="Times New Roman" w:cs="Times New Roman" w:eastAsia="Times New Roman" w:hint="default"/>
                <w:sz w:val="20"/>
                <w:szCs w:val="20"/>
              </w:rPr>
            </w:pPr>
            <w:r>
              <w:rPr>
                <w:rFonts w:ascii="Times New Roman"/>
                <w:w w:val="95"/>
                <w:sz w:val="20"/>
              </w:rPr>
              <w:t>17,457,096.78</w:t>
            </w:r>
            <w:r>
              <w:rPr>
                <w:rFonts w:ascii="Times New Roman"/>
                <w:sz w:val="20"/>
              </w:rPr>
            </w:r>
          </w:p>
        </w:tc>
        <w:tc>
          <w:tcPr>
            <w:tcW w:w="11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9,854,191.22</w:t>
            </w:r>
            <w:r>
              <w:rPr>
                <w:rFonts w:ascii="Times New Roman"/>
                <w:sz w:val="20"/>
              </w:rPr>
            </w:r>
          </w:p>
        </w:tc>
        <w:tc>
          <w:tcPr>
            <w:tcW w:w="5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、营业外支出</w:t>
      </w:r>
      <w:r>
        <w:rPr>
          <w:b w:val="0"/>
          <w:bCs w:val="0"/>
        </w:rPr>
      </w:r>
    </w:p>
    <w:p>
      <w:pPr>
        <w:spacing w:line="240" w:lineRule="auto" w:before="9"/>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5203"/>
        <w:gridCol w:w="1787"/>
        <w:gridCol w:w="1355"/>
      </w:tblGrid>
      <w:tr>
        <w:trPr>
          <w:trHeight w:val="270" w:hRule="exact"/>
        </w:trPr>
        <w:tc>
          <w:tcPr>
            <w:tcW w:w="5203"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2270"/>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787" w:type="dxa"/>
            <w:tcBorders>
              <w:top w:val="nil" w:sz="6" w:space="0" w:color="auto"/>
              <w:left w:val="nil" w:sz="6" w:space="0" w:color="auto"/>
              <w:bottom w:val="single" w:sz="4" w:space="0" w:color="000000"/>
              <w:right w:val="nil" w:sz="6" w:space="0" w:color="auto"/>
            </w:tcBorders>
          </w:tcPr>
          <w:p>
            <w:pPr>
              <w:pStyle w:val="TableParagraph"/>
              <w:spacing w:line="199" w:lineRule="exact"/>
              <w:ind w:left="352"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199" w:lineRule="exact"/>
              <w:ind w:left="16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520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8"/>
                <w:szCs w:val="18"/>
              </w:rPr>
            </w:pPr>
            <w:r>
              <w:rPr>
                <w:rFonts w:ascii="Times New Roman"/>
                <w:spacing w:val="-1"/>
                <w:sz w:val="18"/>
              </w:rPr>
              <w:t>13,606.98</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5,361.21</w:t>
            </w:r>
          </w:p>
        </w:tc>
      </w:tr>
      <w:tr>
        <w:trPr>
          <w:trHeight w:val="341"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固定资产处置损失</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1"/>
              <w:jc w:val="right"/>
              <w:rPr>
                <w:rFonts w:ascii="Times New Roman" w:hAnsi="Times New Roman" w:cs="Times New Roman" w:eastAsia="Times New Roman" w:hint="default"/>
                <w:sz w:val="18"/>
                <w:szCs w:val="18"/>
              </w:rPr>
            </w:pPr>
            <w:r>
              <w:rPr>
                <w:rFonts w:ascii="Times New Roman"/>
                <w:spacing w:val="-1"/>
                <w:sz w:val="18"/>
              </w:rPr>
              <w:t>13,606.98</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
              <w:jc w:val="right"/>
              <w:rPr>
                <w:rFonts w:ascii="Times New Roman" w:hAnsi="Times New Roman" w:cs="Times New Roman" w:eastAsia="Times New Roman" w:hint="default"/>
                <w:sz w:val="18"/>
                <w:szCs w:val="18"/>
              </w:rPr>
            </w:pPr>
            <w:r>
              <w:rPr>
                <w:rFonts w:ascii="Times New Roman"/>
                <w:w w:val="95"/>
                <w:sz w:val="18"/>
              </w:rPr>
              <w:t>5,361.21</w:t>
            </w:r>
          </w:p>
        </w:tc>
      </w:tr>
      <w:tr>
        <w:trPr>
          <w:trHeight w:val="342"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ind w:left="16" w:right="0"/>
              <w:jc w:val="left"/>
              <w:rPr>
                <w:rFonts w:ascii="宋体" w:hAnsi="宋体" w:cs="宋体" w:eastAsia="宋体" w:hint="default"/>
                <w:sz w:val="20"/>
                <w:szCs w:val="20"/>
              </w:rPr>
            </w:pPr>
            <w:r>
              <w:rPr>
                <w:rFonts w:ascii="宋体" w:hAnsi="宋体" w:cs="宋体" w:eastAsia="宋体" w:hint="default"/>
                <w:sz w:val="20"/>
                <w:szCs w:val="20"/>
              </w:rPr>
              <w:t>其他支出</w:t>
            </w:r>
          </w:p>
        </w:tc>
        <w:tc>
          <w:tcPr>
            <w:tcW w:w="178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9"/>
              <w:jc w:val="right"/>
              <w:rPr>
                <w:rFonts w:ascii="Times New Roman" w:hAnsi="Times New Roman" w:cs="Times New Roman" w:eastAsia="Times New Roman" w:hint="default"/>
                <w:sz w:val="18"/>
                <w:szCs w:val="18"/>
              </w:rPr>
            </w:pPr>
            <w:r>
              <w:rPr>
                <w:rFonts w:ascii="Times New Roman"/>
                <w:spacing w:val="-1"/>
                <w:sz w:val="18"/>
              </w:rPr>
              <w:t>4,420,000.00</w:t>
            </w:r>
            <w:r>
              <w:rPr>
                <w:rFonts w:ascii="Times New Roman"/>
                <w:sz w:val="18"/>
              </w:rPr>
            </w:r>
          </w:p>
        </w:tc>
        <w:tc>
          <w:tcPr>
            <w:tcW w:w="1355" w:type="dxa"/>
            <w:tcBorders>
              <w:top w:val="nil" w:sz="6" w:space="0" w:color="auto"/>
              <w:left w:val="nil" w:sz="6" w:space="0" w:color="auto"/>
              <w:bottom w:val="single" w:sz="4" w:space="0" w:color="000000"/>
              <w:right w:val="nil" w:sz="6" w:space="0" w:color="auto"/>
            </w:tcBorders>
          </w:tcPr>
          <w:p>
            <w:pPr/>
          </w:p>
        </w:tc>
      </w:tr>
      <w:tr>
        <w:trPr>
          <w:trHeight w:val="353" w:hRule="exact"/>
        </w:trPr>
        <w:tc>
          <w:tcPr>
            <w:tcW w:w="520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2321"/>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78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59"/>
              <w:jc w:val="right"/>
              <w:rPr>
                <w:rFonts w:ascii="Times New Roman" w:hAnsi="Times New Roman" w:cs="Times New Roman" w:eastAsia="Times New Roman" w:hint="default"/>
                <w:sz w:val="18"/>
                <w:szCs w:val="18"/>
              </w:rPr>
            </w:pPr>
            <w:r>
              <w:rPr>
                <w:rFonts w:ascii="Times New Roman"/>
                <w:spacing w:val="-1"/>
                <w:sz w:val="18"/>
              </w:rPr>
              <w:t>4,433,606.98</w:t>
            </w:r>
            <w:r>
              <w:rPr>
                <w:rFonts w:ascii="Times New Roman"/>
                <w:sz w:val="18"/>
              </w:rPr>
            </w:r>
          </w:p>
        </w:tc>
        <w:tc>
          <w:tcPr>
            <w:tcW w:w="135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z w:val="18"/>
              </w:rPr>
              <w:t>5,361.21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26"/>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32</w:t>
      </w:r>
      <w:r>
        <w:rPr>
          <w:rFonts w:ascii="宋体" w:hAnsi="宋体" w:cs="宋体" w:eastAsia="宋体" w:hint="default"/>
          <w:b/>
          <w:bCs/>
          <w:sz w:val="24"/>
          <w:szCs w:val="24"/>
        </w:rPr>
        <w:t>、所得税费用</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5153"/>
        <w:gridCol w:w="1733"/>
        <w:gridCol w:w="1459"/>
      </w:tblGrid>
      <w:tr>
        <w:trPr>
          <w:trHeight w:val="270" w:hRule="exact"/>
        </w:trPr>
        <w:tc>
          <w:tcPr>
            <w:tcW w:w="515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29"/>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199" w:lineRule="exact"/>
              <w:ind w:left="309"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199" w:lineRule="exact"/>
              <w:ind w:left="18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4" w:hRule="exact"/>
        </w:trPr>
        <w:tc>
          <w:tcPr>
            <w:tcW w:w="515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6"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85"/>
              <w:jc w:val="right"/>
              <w:rPr>
                <w:rFonts w:ascii="Times New Roman" w:hAnsi="Times New Roman" w:cs="Times New Roman" w:eastAsia="Times New Roman" w:hint="default"/>
                <w:sz w:val="18"/>
                <w:szCs w:val="18"/>
              </w:rPr>
            </w:pPr>
            <w:r>
              <w:rPr>
                <w:rFonts w:ascii="Times New Roman"/>
                <w:spacing w:val="-1"/>
                <w:sz w:val="18"/>
              </w:rPr>
              <w:t>7,581,472.60</w:t>
            </w:r>
            <w:r>
              <w:rPr>
                <w:rFonts w:ascii="Times New Roman"/>
                <w:sz w:val="18"/>
              </w:rPr>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
              <w:jc w:val="right"/>
              <w:rPr>
                <w:rFonts w:ascii="Times New Roman" w:hAnsi="Times New Roman" w:cs="Times New Roman" w:eastAsia="Times New Roman" w:hint="default"/>
                <w:sz w:val="18"/>
                <w:szCs w:val="18"/>
              </w:rPr>
            </w:pPr>
            <w:r>
              <w:rPr>
                <w:rFonts w:ascii="Times New Roman"/>
                <w:spacing w:val="-1"/>
                <w:sz w:val="18"/>
              </w:rPr>
              <w:t>5,082,567.45</w:t>
            </w:r>
            <w:r>
              <w:rPr>
                <w:rFonts w:ascii="Times New Roman"/>
                <w:sz w:val="18"/>
              </w:rPr>
            </w:r>
          </w:p>
        </w:tc>
      </w:tr>
      <w:tr>
        <w:trPr>
          <w:trHeight w:val="348" w:hRule="exact"/>
        </w:trPr>
        <w:tc>
          <w:tcPr>
            <w:tcW w:w="51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20"/>
                <w:szCs w:val="20"/>
              </w:rPr>
            </w:pPr>
            <w:r>
              <w:rPr>
                <w:rFonts w:ascii="宋体" w:hAnsi="宋体" w:cs="宋体" w:eastAsia="宋体" w:hint="default"/>
                <w:sz w:val="20"/>
                <w:szCs w:val="20"/>
              </w:rPr>
              <w:t>递延所得税调整</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85"/>
              <w:jc w:val="right"/>
              <w:rPr>
                <w:rFonts w:ascii="Times New Roman" w:hAnsi="Times New Roman" w:cs="Times New Roman" w:eastAsia="Times New Roman" w:hint="default"/>
                <w:sz w:val="18"/>
                <w:szCs w:val="18"/>
              </w:rPr>
            </w:pPr>
            <w:r>
              <w:rPr>
                <w:rFonts w:ascii="Times New Roman"/>
                <w:spacing w:val="-1"/>
                <w:sz w:val="18"/>
              </w:rPr>
              <w:t>-292,196.45</w:t>
            </w:r>
            <w:r>
              <w:rPr>
                <w:rFonts w:ascii="Times New Roman"/>
                <w:sz w:val="18"/>
              </w:rPr>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2"/>
              <w:jc w:val="right"/>
              <w:rPr>
                <w:rFonts w:ascii="Times New Roman" w:hAnsi="Times New Roman" w:cs="Times New Roman" w:eastAsia="Times New Roman" w:hint="default"/>
                <w:sz w:val="18"/>
                <w:szCs w:val="18"/>
              </w:rPr>
            </w:pPr>
            <w:r>
              <w:rPr>
                <w:rFonts w:ascii="Times New Roman"/>
                <w:w w:val="95"/>
                <w:sz w:val="18"/>
              </w:rPr>
              <w:t>-37,210.79</w:t>
            </w:r>
            <w:r>
              <w:rPr>
                <w:rFonts w:ascii="Times New Roman"/>
                <w:sz w:val="18"/>
              </w:rPr>
            </w:r>
          </w:p>
        </w:tc>
      </w:tr>
      <w:tr>
        <w:trPr>
          <w:trHeight w:val="353" w:hRule="exact"/>
        </w:trPr>
        <w:tc>
          <w:tcPr>
            <w:tcW w:w="515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29"/>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73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85"/>
              <w:jc w:val="right"/>
              <w:rPr>
                <w:rFonts w:ascii="Times New Roman" w:hAnsi="Times New Roman" w:cs="Times New Roman" w:eastAsia="Times New Roman" w:hint="default"/>
                <w:sz w:val="18"/>
                <w:szCs w:val="18"/>
              </w:rPr>
            </w:pPr>
            <w:r>
              <w:rPr>
                <w:rFonts w:ascii="Times New Roman"/>
                <w:spacing w:val="-1"/>
                <w:sz w:val="18"/>
              </w:rPr>
              <w:t>7,289,276.15</w:t>
            </w:r>
            <w:r>
              <w:rPr>
                <w:rFonts w:ascii="Times New Roman"/>
                <w:sz w:val="18"/>
              </w:rPr>
            </w:r>
          </w:p>
        </w:tc>
        <w:tc>
          <w:tcPr>
            <w:tcW w:w="14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pacing w:val="-1"/>
                <w:sz w:val="18"/>
              </w:rPr>
              <w:t>5,045,356.66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979" w:top="1380" w:bottom="1160" w:left="1660" w:right="1660"/>
        </w:sectPr>
      </w:pPr>
    </w:p>
    <w:p>
      <w:pPr>
        <w:spacing w:line="20" w:lineRule="exact"/>
        <w:ind w:left="40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73"/>
        <w:ind w:left="920" w:right="449"/>
        <w:jc w:val="left"/>
        <w:rPr>
          <w:b w:val="0"/>
          <w:bCs w:val="0"/>
        </w:rPr>
      </w:pPr>
      <w:r>
        <w:rPr>
          <w:rFonts w:ascii="Times New Roman" w:hAnsi="Times New Roman" w:cs="Times New Roman" w:eastAsia="Times New Roman" w:hint="default"/>
        </w:rPr>
        <w:t>33</w:t>
      </w:r>
      <w:r>
        <w:rPr/>
        <w:t>、基本每股收益和稀释每股收益</w:t>
      </w:r>
      <w:r>
        <w:rPr>
          <w:b w:val="0"/>
          <w:bCs w:val="0"/>
        </w:rPr>
      </w:r>
    </w:p>
    <w:p>
      <w:pPr>
        <w:spacing w:line="240" w:lineRule="auto" w:before="9"/>
        <w:rPr>
          <w:rFonts w:ascii="宋体" w:hAnsi="宋体" w:cs="宋体" w:eastAsia="宋体" w:hint="default"/>
          <w:b/>
          <w:bCs/>
          <w:sz w:val="17"/>
          <w:szCs w:val="17"/>
        </w:rPr>
      </w:pPr>
    </w:p>
    <w:p>
      <w:pPr>
        <w:pStyle w:val="BodyText"/>
        <w:spacing w:line="304" w:lineRule="auto"/>
        <w:ind w:left="437" w:right="433" w:firstLine="480"/>
        <w:jc w:val="both"/>
      </w:pPr>
      <w:r>
        <w:rPr>
          <w:spacing w:val="-3"/>
        </w:rPr>
        <w:t>基本每股收益按照归属于本公司普通股股东的当期净利润，除以发行在外普</w:t>
      </w:r>
      <w:r>
        <w:rPr/>
        <w:t> </w:t>
      </w:r>
      <w:r>
        <w:rPr>
          <w:spacing w:val="-3"/>
        </w:rPr>
        <w:t>通股的加权平均数计算。新发行普通股股数，根据发行合同的具体条款，从应收</w:t>
      </w:r>
      <w:r>
        <w:rPr>
          <w:spacing w:val="-102"/>
        </w:rPr>
        <w:t> </w:t>
      </w:r>
      <w:r>
        <w:rPr>
          <w:spacing w:val="-102"/>
        </w:rPr>
      </w:r>
      <w:r>
        <w:rPr/>
        <w:t>对价之日（一般为股票发行日）起计算确定。</w:t>
      </w:r>
    </w:p>
    <w:p>
      <w:pPr>
        <w:pStyle w:val="BodyText"/>
        <w:spacing w:line="297" w:lineRule="auto" w:before="185"/>
        <w:ind w:left="437" w:right="433" w:firstLine="480"/>
        <w:jc w:val="right"/>
      </w:pPr>
      <w:r>
        <w:rPr>
          <w:spacing w:val="-3"/>
        </w:rPr>
        <w:t>稀释每股收益的分子以归属于本公司普通股股东的当期净利润，调整下述因</w:t>
      </w:r>
      <w:r>
        <w:rPr/>
        <w:t> </w:t>
      </w:r>
      <w:r>
        <w:rPr>
          <w:spacing w:val="-3"/>
        </w:rPr>
        <w:t>素后确定：（</w:t>
      </w:r>
      <w:r>
        <w:rPr>
          <w:rFonts w:ascii="Times New Roman" w:hAnsi="Times New Roman" w:cs="Times New Roman" w:eastAsia="Times New Roman" w:hint="default"/>
          <w:spacing w:val="-3"/>
        </w:rPr>
        <w:t>1</w:t>
      </w:r>
      <w:r>
        <w:rPr>
          <w:spacing w:val="-3"/>
        </w:rPr>
        <w:t>）当期已确认为费用的稀释性潜在普通股的利息；（</w:t>
      </w:r>
      <w:r>
        <w:rPr>
          <w:rFonts w:ascii="Times New Roman" w:hAnsi="Times New Roman" w:cs="Times New Roman" w:eastAsia="Times New Roman" w:hint="default"/>
          <w:spacing w:val="-3"/>
        </w:rPr>
        <w:t>2</w:t>
      </w:r>
      <w:r>
        <w:rPr>
          <w:spacing w:val="-3"/>
        </w:rPr>
        <w:t>）稀释性潜</w:t>
      </w:r>
      <w:r>
        <w:rPr>
          <w:spacing w:val="-108"/>
        </w:rPr>
        <w:t> </w:t>
      </w:r>
      <w:r>
        <w:rPr>
          <w:spacing w:val="-108"/>
        </w:rPr>
      </w:r>
      <w:r>
        <w:rPr/>
        <w:t>在普通股转换时将产生的收益或费用；以及（</w:t>
      </w:r>
      <w:r>
        <w:rPr>
          <w:rFonts w:ascii="Times New Roman" w:hAnsi="Times New Roman" w:cs="Times New Roman" w:eastAsia="Times New Roman" w:hint="default"/>
        </w:rPr>
        <w:t>3</w:t>
      </w:r>
      <w:r>
        <w:rPr/>
        <w:t>）上述调整相关的所得税影响。</w:t>
      </w:r>
    </w:p>
    <w:p>
      <w:pPr>
        <w:pStyle w:val="BodyText"/>
        <w:spacing w:line="290" w:lineRule="auto" w:before="165"/>
        <w:ind w:left="437" w:right="466" w:firstLine="480"/>
        <w:jc w:val="both"/>
      </w:pPr>
      <w:r>
        <w:rPr/>
        <w:t>稀释每股收益的分母等于下列两项之和：（</w:t>
      </w:r>
      <w:r>
        <w:rPr>
          <w:rFonts w:ascii="Times New Roman" w:hAnsi="Times New Roman" w:cs="Times New Roman" w:eastAsia="Times New Roman" w:hint="default"/>
        </w:rPr>
        <w:t>1</w:t>
      </w:r>
      <w:r>
        <w:rPr/>
        <w:t>）基本每股收益中母公司已发 行普通股的加权平均数；及（</w:t>
      </w:r>
      <w:r>
        <w:rPr>
          <w:rFonts w:ascii="Times New Roman" w:hAnsi="Times New Roman" w:cs="Times New Roman" w:eastAsia="Times New Roman" w:hint="default"/>
        </w:rPr>
        <w:t>2</w:t>
      </w:r>
      <w:r>
        <w:rPr/>
        <w:t>）假定稀释性潜在普通股转换为普通股而增加的 普通股的加权平均数。</w:t>
      </w:r>
    </w:p>
    <w:p>
      <w:pPr>
        <w:pStyle w:val="BodyText"/>
        <w:spacing w:line="307" w:lineRule="auto" w:before="197"/>
        <w:ind w:left="437" w:right="428" w:firstLine="480"/>
        <w:jc w:val="left"/>
      </w:pPr>
      <w:r>
        <w:rPr/>
        <w:t>在计算稀释性潜在普通股转换为已发行普通股而增加的普通股股数的加权 </w:t>
      </w:r>
      <w:r>
        <w:rPr>
          <w:spacing w:val="-3"/>
        </w:rPr>
        <w:t>平均数时，以前期间发行的稀释性潜在普通股，假设在当期期初转换；当期发行</w:t>
      </w:r>
      <w:r>
        <w:rPr>
          <w:spacing w:val="-102"/>
        </w:rPr>
        <w:t> </w:t>
      </w:r>
      <w:r>
        <w:rPr>
          <w:spacing w:val="-102"/>
        </w:rPr>
      </w:r>
      <w:r>
        <w:rPr/>
        <w:t>的稀释性潜在普通股，假设在发行日转换。</w:t>
      </w:r>
    </w:p>
    <w:p>
      <w:pPr>
        <w:pStyle w:val="BodyText"/>
        <w:spacing w:line="240" w:lineRule="auto" w:before="180"/>
        <w:ind w:left="917" w:right="449"/>
        <w:jc w:val="left"/>
      </w:pPr>
      <w:r>
        <w:rPr/>
        <w:t>（</w:t>
      </w:r>
      <w:r>
        <w:rPr>
          <w:rFonts w:ascii="Times New Roman" w:hAnsi="Times New Roman" w:cs="Times New Roman" w:eastAsia="Times New Roman" w:hint="default"/>
        </w:rPr>
        <w:t>1</w:t>
      </w:r>
      <w:r>
        <w:rPr/>
        <w:t>）各期基本每股收益和稀释每股收益金额列示</w:t>
      </w:r>
    </w:p>
    <w:p>
      <w:pPr>
        <w:tabs>
          <w:tab w:pos="6879" w:val="left" w:leader="none"/>
        </w:tabs>
        <w:spacing w:before="91"/>
        <w:ind w:left="3420" w:right="449" w:firstLine="0"/>
        <w:jc w:val="left"/>
        <w:rPr>
          <w:rFonts w:ascii="宋体" w:hAnsi="宋体" w:cs="宋体" w:eastAsia="宋体" w:hint="default"/>
          <w:sz w:val="20"/>
          <w:szCs w:val="20"/>
        </w:rPr>
      </w:pPr>
      <w:r>
        <w:rPr>
          <w:rFonts w:ascii="宋体" w:hAnsi="宋体" w:cs="宋体" w:eastAsia="宋体" w:hint="default"/>
          <w:w w:val="95"/>
          <w:sz w:val="20"/>
          <w:szCs w:val="20"/>
        </w:rPr>
        <w:t>本期发生额</w:t>
        <w:tab/>
      </w:r>
      <w:r>
        <w:rPr>
          <w:rFonts w:ascii="宋体" w:hAnsi="宋体" w:cs="宋体" w:eastAsia="宋体" w:hint="default"/>
          <w:sz w:val="20"/>
          <w:szCs w:val="20"/>
        </w:rPr>
        <w:t>上期发生额</w:t>
      </w:r>
    </w:p>
    <w:p>
      <w:pPr>
        <w:spacing w:line="229" w:lineRule="exact" w:before="0"/>
        <w:ind w:left="631" w:right="449" w:firstLine="0"/>
        <w:jc w:val="left"/>
        <w:rPr>
          <w:rFonts w:ascii="宋体" w:hAnsi="宋体" w:cs="宋体" w:eastAsia="宋体" w:hint="default"/>
          <w:sz w:val="20"/>
          <w:szCs w:val="20"/>
        </w:rPr>
      </w:pPr>
      <w:r>
        <w:rPr/>
        <w:pict>
          <v:group style="position:absolute;margin-left:186.960007pt;margin-top:6.274599pt;width:154.35pt;height:.5pt;mso-position-horizontal-relative:page;mso-position-vertical-relative:paragraph;z-index:3760" coordorigin="3739,125" coordsize="3087,10">
            <v:group style="position:absolute;left:3744;top:130;width:1354;height:2" coordorigin="3744,130" coordsize="1354,2">
              <v:shape style="position:absolute;left:3744;top:130;width:1354;height:2" coordorigin="3744,130" coordsize="1354,0" path="m3744,130l5098,130e" filled="false" stroked="true" strokeweight=".48pt" strokecolor="#000000">
                <v:path arrowok="t"/>
              </v:shape>
            </v:group>
            <v:group style="position:absolute;left:5098;top:130;width:10;height:2" coordorigin="5098,130" coordsize="10,2">
              <v:shape style="position:absolute;left:5098;top:130;width:10;height:2" coordorigin="5098,130" coordsize="10,0" path="m5098,130l5107,130e" filled="false" stroked="true" strokeweight=".48pt" strokecolor="#000000">
                <v:path arrowok="t"/>
              </v:shape>
            </v:group>
            <v:group style="position:absolute;left:5107;top:130;width:219;height:2" coordorigin="5107,130" coordsize="219,2">
              <v:shape style="position:absolute;left:5107;top:130;width:219;height:2" coordorigin="5107,130" coordsize="219,0" path="m5107,130l5326,130e" filled="false" stroked="true" strokeweight=".48pt" strokecolor="#000000">
                <v:path arrowok="t"/>
              </v:shape>
            </v:group>
            <v:group style="position:absolute;left:5326;top:130;width:10;height:2" coordorigin="5326,130" coordsize="10,2">
              <v:shape style="position:absolute;left:5326;top:130;width:10;height:2" coordorigin="5326,130" coordsize="10,0" path="m5326,130l5335,130e" filled="false" stroked="true" strokeweight=".48pt" strokecolor="#000000">
                <v:path arrowok="t"/>
              </v:shape>
            </v:group>
            <v:group style="position:absolute;left:5335;top:130;width:1486;height:2" coordorigin="5335,130" coordsize="1486,2">
              <v:shape style="position:absolute;left:5335;top:130;width:1486;height:2" coordorigin="5335,130" coordsize="1486,0" path="m5335,130l6821,130e" filled="false" stroked="true" strokeweight=".48pt" strokecolor="#000000">
                <v:path arrowok="t"/>
              </v:shape>
            </v:group>
            <w10:wrap type="none"/>
          </v:group>
        </w:pict>
      </w:r>
      <w:r>
        <w:rPr/>
        <w:pict>
          <v:group style="position:absolute;margin-left:352.200012pt;margin-top:6.274599pt;width:169.8pt;height:.5pt;mso-position-horizontal-relative:page;mso-position-vertical-relative:paragraph;z-index:3784" coordorigin="7044,125" coordsize="3396,10">
            <v:group style="position:absolute;left:7049;top:130;width:1493;height:2" coordorigin="7049,130" coordsize="1493,2">
              <v:shape style="position:absolute;left:7049;top:130;width:1493;height:2" coordorigin="7049,130" coordsize="1493,0" path="m7049,130l8542,130e" filled="false" stroked="true" strokeweight=".48pt" strokecolor="#000000">
                <v:path arrowok="t"/>
              </v:shape>
            </v:group>
            <v:group style="position:absolute;left:8542;top:130;width:10;height:2" coordorigin="8542,130" coordsize="10,2">
              <v:shape style="position:absolute;left:8542;top:130;width:10;height:2" coordorigin="8542,130" coordsize="10,0" path="m8542,130l8551,130e" filled="false" stroked="true" strokeweight=".48pt" strokecolor="#000000">
                <v:path arrowok="t"/>
              </v:shape>
            </v:group>
            <v:group style="position:absolute;left:8551;top:130;width:219;height:2" coordorigin="8551,130" coordsize="219,2">
              <v:shape style="position:absolute;left:8551;top:130;width:219;height:2" coordorigin="8551,130" coordsize="219,0" path="m8551,130l8770,130e" filled="false" stroked="true" strokeweight=".48pt" strokecolor="#000000">
                <v:path arrowok="t"/>
              </v:shape>
            </v:group>
            <v:group style="position:absolute;left:8770;top:130;width:10;height:2" coordorigin="8770,130" coordsize="10,2">
              <v:shape style="position:absolute;left:8770;top:130;width:10;height:2" coordorigin="8770,130" coordsize="10,0" path="m8770,130l8779,130e" filled="false" stroked="true" strokeweight=".48pt" strokecolor="#000000">
                <v:path arrowok="t"/>
              </v:shape>
            </v:group>
            <v:group style="position:absolute;left:8779;top:130;width:1656;height:2" coordorigin="8779,130" coordsize="1656,2">
              <v:shape style="position:absolute;left:8779;top:130;width:1656;height:2" coordorigin="8779,130" coordsize="1656,0" path="m8779,130l10435,130e" filled="false" stroked="true" strokeweight=".48pt" strokecolor="#000000">
                <v:path arrowok="t"/>
              </v:shape>
            </v:group>
            <w10:wrap type="none"/>
          </v:group>
        </w:pict>
      </w:r>
      <w:r>
        <w:rPr>
          <w:rFonts w:ascii="宋体" w:hAnsi="宋体" w:cs="宋体" w:eastAsia="宋体" w:hint="default"/>
          <w:sz w:val="20"/>
          <w:szCs w:val="20"/>
        </w:rPr>
        <w:t>报告期利润</w:t>
      </w:r>
    </w:p>
    <w:p>
      <w:pPr>
        <w:tabs>
          <w:tab w:pos="4111" w:val="left" w:leader="none"/>
          <w:tab w:pos="5832" w:val="left" w:leader="none"/>
          <w:tab w:pos="7641" w:val="left" w:leader="none"/>
        </w:tabs>
        <w:spacing w:line="246" w:lineRule="exact" w:before="0"/>
        <w:ind w:left="2458" w:right="0" w:firstLine="0"/>
        <w:jc w:val="left"/>
        <w:rPr>
          <w:rFonts w:ascii="宋体" w:hAnsi="宋体" w:cs="宋体" w:eastAsia="宋体" w:hint="default"/>
          <w:sz w:val="20"/>
          <w:szCs w:val="20"/>
        </w:rPr>
      </w:pPr>
      <w:r>
        <w:rPr>
          <w:rFonts w:ascii="宋体" w:hAnsi="宋体" w:cs="宋体" w:eastAsia="宋体" w:hint="default"/>
          <w:w w:val="95"/>
          <w:sz w:val="20"/>
          <w:szCs w:val="20"/>
        </w:rPr>
        <w:t>基本每股收益</w:t>
        <w:tab/>
        <w:t>稀释每股收益</w:t>
        <w:tab/>
        <w:t>基本每股收益</w:t>
        <w:tab/>
      </w:r>
      <w:r>
        <w:rPr>
          <w:rFonts w:ascii="宋体" w:hAnsi="宋体" w:cs="宋体" w:eastAsia="宋体" w:hint="default"/>
          <w:sz w:val="20"/>
          <w:szCs w:val="20"/>
        </w:rPr>
        <w:t>稀释每股收益</w:t>
      </w:r>
    </w:p>
    <w:p>
      <w:pPr>
        <w:spacing w:line="240" w:lineRule="auto" w:before="11"/>
        <w:rPr>
          <w:rFonts w:ascii="宋体" w:hAnsi="宋体" w:cs="宋体" w:eastAsia="宋体" w:hint="default"/>
          <w:sz w:val="10"/>
          <w:szCs w:val="10"/>
        </w:rPr>
      </w:pPr>
    </w:p>
    <w:p>
      <w:pPr>
        <w:tabs>
          <w:tab w:pos="2379" w:val="left" w:leader="none"/>
          <w:tab w:pos="3960" w:val="left" w:leader="none"/>
          <w:tab w:pos="5684" w:val="left" w:leader="none"/>
          <w:tab w:pos="7404" w:val="left" w:leader="none"/>
        </w:tabs>
        <w:spacing w:line="20" w:lineRule="exact"/>
        <w:ind w:left="106" w:right="0" w:firstLine="0"/>
        <w:rPr>
          <w:rFonts w:ascii="宋体" w:hAnsi="宋体" w:cs="宋体" w:eastAsia="宋体" w:hint="default"/>
          <w:sz w:val="2"/>
          <w:szCs w:val="2"/>
        </w:rPr>
      </w:pPr>
      <w:r>
        <w:rPr>
          <w:rFonts w:ascii="宋体"/>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pt" strokecolor="#000000">
                <v:path arrowok="t"/>
              </v:shape>
            </v:group>
          </v:group>
        </w:pict>
      </w:r>
      <w:r>
        <w:rPr>
          <w:rFonts w:ascii="宋体"/>
          <w:sz w:val="2"/>
        </w:rPr>
      </w:r>
      <w:r>
        <w:rPr>
          <w:rFonts w:ascii="宋体"/>
          <w:sz w:val="2"/>
        </w:rPr>
        <w:tab/>
      </w:r>
      <w:r>
        <w:rPr>
          <w:rFonts w:ascii="宋体"/>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z w:val="2"/>
        </w:rPr>
      </w:r>
      <w:r>
        <w:rPr>
          <w:rFonts w:ascii="宋体"/>
          <w:sz w:val="2"/>
        </w:rPr>
        <w:tab/>
      </w:r>
      <w:r>
        <w:rPr>
          <w:rFonts w:ascii="宋体"/>
          <w:sz w:val="2"/>
        </w:rPr>
        <w:pict>
          <v:group style="width:75.150pt;height:.5pt;mso-position-horizontal-relative:char;mso-position-vertical-relative:line" coordorigin="0,0" coordsize="1503,10">
            <v:group style="position:absolute;left:5;top:5;width:1493;height:2" coordorigin="5,5" coordsize="1493,2">
              <v:shape style="position:absolute;left:5;top:5;width:1493;height:2" coordorigin="5,5" coordsize="1493,0" path="m5,5l1498,5e" filled="false" stroked="true" strokeweight=".48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footerReference w:type="default" r:id="rId41"/>
          <w:pgSz w:w="11910" w:h="16840"/>
          <w:pgMar w:footer="979" w:header="850" w:top="1380" w:bottom="1160" w:left="1360" w:right="1360"/>
        </w:sectPr>
      </w:pPr>
    </w:p>
    <w:p>
      <w:pPr>
        <w:spacing w:line="300" w:lineRule="auto" w:before="0"/>
        <w:ind w:left="140" w:right="0" w:firstLine="0"/>
        <w:jc w:val="left"/>
        <w:rPr>
          <w:rFonts w:ascii="宋体" w:hAnsi="宋体" w:cs="宋体" w:eastAsia="宋体" w:hint="default"/>
          <w:sz w:val="20"/>
          <w:szCs w:val="20"/>
        </w:rPr>
      </w:pPr>
      <w:r>
        <w:rPr>
          <w:rFonts w:ascii="宋体" w:hAnsi="宋体" w:cs="宋体" w:eastAsia="宋体" w:hint="default"/>
          <w:w w:val="95"/>
          <w:sz w:val="20"/>
          <w:szCs w:val="20"/>
        </w:rPr>
        <w:t>归属于公司普通股股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东的净利润</w:t>
      </w:r>
      <w:r>
        <w:rPr>
          <w:rFonts w:ascii="宋体" w:hAnsi="宋体" w:cs="宋体" w:eastAsia="宋体" w:hint="default"/>
          <w:w w:val="99"/>
          <w:sz w:val="20"/>
          <w:szCs w:val="20"/>
        </w:rPr>
        <w:t> </w:t>
      </w:r>
      <w:r>
        <w:rPr>
          <w:rFonts w:ascii="宋体" w:hAnsi="宋体" w:cs="宋体" w:eastAsia="宋体" w:hint="default"/>
          <w:w w:val="95"/>
          <w:sz w:val="20"/>
          <w:szCs w:val="20"/>
        </w:rPr>
        <w:t>扣除非经常性损益后</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归属于公司普通股股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东的净利润</w:t>
      </w:r>
    </w:p>
    <w:p>
      <w:pPr>
        <w:spacing w:line="240" w:lineRule="auto" w:before="3"/>
        <w:rPr>
          <w:rFonts w:ascii="宋体" w:hAnsi="宋体" w:cs="宋体" w:eastAsia="宋体" w:hint="default"/>
          <w:sz w:val="15"/>
          <w:szCs w:val="15"/>
        </w:rPr>
      </w:pPr>
      <w:r>
        <w:rPr/>
        <w:br w:type="column"/>
      </w:r>
      <w:r>
        <w:rPr>
          <w:rFonts w:ascii="宋体"/>
          <w:sz w:val="15"/>
        </w:rPr>
      </w:r>
    </w:p>
    <w:p>
      <w:pPr>
        <w:tabs>
          <w:tab w:pos="1863" w:val="left" w:leader="none"/>
          <w:tab w:pos="3583" w:val="left" w:leader="none"/>
          <w:tab w:pos="5477" w:val="left" w:leader="none"/>
        </w:tabs>
        <w:spacing w:before="0"/>
        <w:ind w:left="140" w:right="0" w:firstLine="0"/>
        <w:jc w:val="left"/>
        <w:rPr>
          <w:rFonts w:ascii="Times New Roman" w:hAnsi="Times New Roman" w:cs="Times New Roman" w:eastAsia="Times New Roman" w:hint="default"/>
          <w:sz w:val="20"/>
          <w:szCs w:val="20"/>
        </w:rPr>
      </w:pPr>
      <w:r>
        <w:rPr>
          <w:rFonts w:ascii="Times New Roman"/>
          <w:sz w:val="20"/>
        </w:rPr>
        <w:t>1.00</w:t>
        <w:tab/>
        <w:t>1.00</w:t>
        <w:tab/>
        <w:t>0.98</w:t>
        <w:tab/>
        <w:t>0.98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1863" w:val="left" w:leader="none"/>
          <w:tab w:pos="3583" w:val="left" w:leader="none"/>
          <w:tab w:pos="5477" w:val="left" w:leader="none"/>
        </w:tabs>
        <w:spacing w:before="123"/>
        <w:ind w:left="140" w:right="0" w:firstLine="0"/>
        <w:jc w:val="left"/>
        <w:rPr>
          <w:rFonts w:ascii="Times New Roman" w:hAnsi="Times New Roman" w:cs="Times New Roman" w:eastAsia="Times New Roman" w:hint="default"/>
          <w:sz w:val="20"/>
          <w:szCs w:val="20"/>
        </w:rPr>
      </w:pPr>
      <w:r>
        <w:rPr>
          <w:rFonts w:ascii="Times New Roman"/>
          <w:sz w:val="20"/>
        </w:rPr>
        <w:t>0.95</w:t>
        <w:tab/>
        <w:t>0.95</w:t>
        <w:tab/>
        <w:t>0.98</w:t>
        <w:tab/>
        <w:t>0.98</w:t>
      </w:r>
    </w:p>
    <w:p>
      <w:pPr>
        <w:spacing w:after="0"/>
        <w:jc w:val="left"/>
        <w:rPr>
          <w:rFonts w:ascii="Times New Roman" w:hAnsi="Times New Roman" w:cs="Times New Roman" w:eastAsia="Times New Roman" w:hint="default"/>
          <w:sz w:val="20"/>
          <w:szCs w:val="20"/>
        </w:rPr>
        <w:sectPr>
          <w:type w:val="continuous"/>
          <w:pgSz w:w="11910" w:h="16840"/>
          <w:pgMar w:top="1380" w:bottom="1380" w:left="1360" w:right="1360"/>
          <w:cols w:num="2" w:equalWidth="0">
            <w:col w:w="1938" w:space="1280"/>
            <w:col w:w="597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pStyle w:val="BodyText"/>
        <w:spacing w:line="240" w:lineRule="auto" w:before="26"/>
        <w:ind w:left="917" w:right="449"/>
        <w:jc w:val="left"/>
      </w:pPr>
      <w:r>
        <w:rPr/>
        <w:t>（</w:t>
      </w:r>
      <w:r>
        <w:rPr>
          <w:rFonts w:ascii="Times New Roman" w:hAnsi="Times New Roman" w:cs="Times New Roman" w:eastAsia="Times New Roman" w:hint="default"/>
        </w:rPr>
        <w:t>2</w:t>
      </w:r>
      <w:r>
        <w:rPr/>
        <w:t>）每股收益和稀释每股收益的计算过程</w:t>
      </w:r>
    </w:p>
    <w:p>
      <w:pPr>
        <w:spacing w:line="240" w:lineRule="auto" w:before="9"/>
        <w:rPr>
          <w:rFonts w:ascii="宋体" w:hAnsi="宋体" w:cs="宋体" w:eastAsia="宋体" w:hint="default"/>
          <w:sz w:val="17"/>
          <w:szCs w:val="17"/>
        </w:rPr>
      </w:pPr>
    </w:p>
    <w:p>
      <w:pPr>
        <w:pStyle w:val="BodyText"/>
        <w:spacing w:line="307" w:lineRule="auto"/>
        <w:ind w:left="437" w:right="428" w:firstLine="480"/>
        <w:jc w:val="left"/>
      </w:pPr>
      <w:r>
        <w:rPr>
          <w:spacing w:val="-3"/>
        </w:rPr>
        <w:t>于报告期内，本公司不存在具有稀释性的潜在普通股，因此，稀释每股收益</w:t>
      </w:r>
      <w:r>
        <w:rPr/>
        <w:t> 等于基本每股收益。</w:t>
      </w:r>
    </w:p>
    <w:p>
      <w:pPr>
        <w:pStyle w:val="BodyText"/>
        <w:spacing w:line="240" w:lineRule="auto" w:before="180"/>
        <w:ind w:left="917" w:right="449"/>
        <w:jc w:val="left"/>
      </w:pPr>
      <w:r>
        <w:rPr/>
        <w:t>① 计算基本每股收益时，归属于普通股股东的当期净利润为：</w:t>
      </w: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186"/>
        <w:gridCol w:w="122"/>
        <w:gridCol w:w="2321"/>
        <w:gridCol w:w="125"/>
        <w:gridCol w:w="2210"/>
      </w:tblGrid>
      <w:tr>
        <w:trPr>
          <w:trHeight w:val="272" w:hRule="exact"/>
        </w:trPr>
        <w:tc>
          <w:tcPr>
            <w:tcW w:w="4186" w:type="dxa"/>
            <w:tcBorders>
              <w:top w:val="nil" w:sz="6" w:space="0" w:color="auto"/>
              <w:left w:val="nil" w:sz="6" w:space="0" w:color="auto"/>
              <w:bottom w:val="single" w:sz="6"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single" w:sz="6" w:space="0" w:color="000000"/>
              <w:right w:val="nil" w:sz="6" w:space="0" w:color="auto"/>
            </w:tcBorders>
          </w:tcPr>
          <w:p>
            <w:pPr>
              <w:pStyle w:val="TableParagraph"/>
              <w:spacing w:line="199" w:lineRule="exact"/>
              <w:ind w:left="660"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6" w:space="0" w:color="000000"/>
              <w:right w:val="nil" w:sz="6" w:space="0" w:color="auto"/>
            </w:tcBorders>
          </w:tcPr>
          <w:p>
            <w:pPr>
              <w:pStyle w:val="TableParagraph"/>
              <w:spacing w:line="199" w:lineRule="exact"/>
              <w:ind w:left="602"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90" w:hRule="exact"/>
        </w:trPr>
        <w:tc>
          <w:tcPr>
            <w:tcW w:w="4186"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1666"/>
              <w:jc w:val="right"/>
              <w:rPr>
                <w:rFonts w:ascii="宋体" w:hAnsi="宋体" w:cs="宋体" w:eastAsia="宋体" w:hint="default"/>
                <w:sz w:val="20"/>
                <w:szCs w:val="20"/>
              </w:rPr>
            </w:pPr>
            <w:r>
              <w:rPr>
                <w:rFonts w:ascii="宋体" w:hAnsi="宋体" w:cs="宋体" w:eastAsia="宋体" w:hint="default"/>
                <w:spacing w:val="-24"/>
                <w:sz w:val="20"/>
                <w:szCs w:val="20"/>
              </w:rPr>
              <w:t>归属于普通股股东的当期净利润</w:t>
            </w: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51,449,622.88</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41,251,019.92</w:t>
            </w:r>
            <w:r>
              <w:rPr>
                <w:rFonts w:ascii="Times New Roman"/>
                <w:sz w:val="20"/>
              </w:rPr>
            </w:r>
          </w:p>
        </w:tc>
      </w:tr>
      <w:tr>
        <w:trPr>
          <w:trHeight w:val="374" w:hRule="exact"/>
        </w:trPr>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6"/>
              <w:jc w:val="right"/>
              <w:rPr>
                <w:rFonts w:ascii="宋体" w:hAnsi="宋体" w:cs="宋体" w:eastAsia="宋体" w:hint="default"/>
                <w:sz w:val="20"/>
                <w:szCs w:val="20"/>
              </w:rPr>
            </w:pPr>
            <w:r>
              <w:rPr>
                <w:rFonts w:ascii="宋体" w:hAnsi="宋体" w:cs="宋体" w:eastAsia="宋体" w:hint="default"/>
                <w:spacing w:val="-24"/>
                <w:sz w:val="20"/>
                <w:szCs w:val="20"/>
              </w:rPr>
              <w:t>其中：归属于持续经营的净利润</w:t>
            </w: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Times New Roman" w:hAnsi="Times New Roman" w:cs="Times New Roman" w:eastAsia="Times New Roman" w:hint="default"/>
                <w:sz w:val="20"/>
                <w:szCs w:val="20"/>
              </w:rPr>
            </w:pPr>
            <w:r>
              <w:rPr>
                <w:rFonts w:ascii="Times New Roman"/>
                <w:w w:val="95"/>
                <w:sz w:val="20"/>
              </w:rPr>
              <w:t>51,449,622.88</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Times New Roman" w:hAnsi="Times New Roman" w:cs="Times New Roman" w:eastAsia="Times New Roman" w:hint="default"/>
                <w:sz w:val="20"/>
                <w:szCs w:val="20"/>
              </w:rPr>
            </w:pPr>
            <w:r>
              <w:rPr>
                <w:rFonts w:ascii="Times New Roman"/>
                <w:w w:val="95"/>
                <w:sz w:val="20"/>
              </w:rPr>
              <w:t>41,251,019.92</w:t>
            </w:r>
            <w:r>
              <w:rPr>
                <w:rFonts w:ascii="Times New Roman"/>
                <w:sz w:val="20"/>
              </w:rPr>
            </w:r>
          </w:p>
        </w:tc>
      </w:tr>
      <w:tr>
        <w:trPr>
          <w:trHeight w:val="355" w:hRule="exact"/>
        </w:trPr>
        <w:tc>
          <w:tcPr>
            <w:tcW w:w="41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1"/>
              <w:jc w:val="right"/>
              <w:rPr>
                <w:rFonts w:ascii="宋体" w:hAnsi="宋体" w:cs="宋体" w:eastAsia="宋体" w:hint="default"/>
                <w:sz w:val="20"/>
                <w:szCs w:val="20"/>
              </w:rPr>
            </w:pPr>
            <w:r>
              <w:rPr>
                <w:rFonts w:ascii="宋体" w:hAnsi="宋体" w:cs="宋体" w:eastAsia="宋体" w:hint="default"/>
                <w:spacing w:val="-23"/>
                <w:w w:val="95"/>
                <w:sz w:val="20"/>
                <w:szCs w:val="20"/>
              </w:rPr>
              <w:t>归属于终止经营的净利润</w:t>
            </w:r>
            <w:r>
              <w:rPr>
                <w:rFonts w:ascii="宋体" w:hAnsi="宋体" w:cs="宋体" w:eastAsia="宋体" w:hint="default"/>
                <w:spacing w:val="-23"/>
                <w:sz w:val="20"/>
                <w:szCs w:val="20"/>
              </w:rPr>
            </w: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r>
        <w:trPr>
          <w:trHeight w:val="256" w:hRule="exact"/>
        </w:trPr>
        <w:tc>
          <w:tcPr>
            <w:tcW w:w="4186" w:type="dxa"/>
            <w:vMerge w:val="restart"/>
            <w:tcBorders>
              <w:top w:val="nil" w:sz="6" w:space="0" w:color="auto"/>
              <w:left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扣除非经常性损益后归属于公司普通股股东的</w:t>
            </w:r>
          </w:p>
          <w:p>
            <w:pPr>
              <w:pStyle w:val="TableParagraph"/>
              <w:spacing w:line="240" w:lineRule="auto" w:before="98"/>
              <w:ind w:left="31"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0"/>
                <w:szCs w:val="20"/>
              </w:rPr>
            </w:pPr>
            <w:r>
              <w:rPr>
                <w:rFonts w:ascii="Times New Roman"/>
                <w:spacing w:val="-1"/>
                <w:sz w:val="20"/>
              </w:rPr>
              <w:t>41,043,076.95</w:t>
            </w:r>
            <w:r>
              <w:rPr>
                <w:rFonts w:ascii="Times New Roman"/>
                <w:sz w:val="20"/>
              </w:rPr>
            </w:r>
          </w:p>
        </w:tc>
      </w:tr>
      <w:tr>
        <w:trPr>
          <w:trHeight w:val="389" w:hRule="exact"/>
        </w:trPr>
        <w:tc>
          <w:tcPr>
            <w:tcW w:w="4186" w:type="dxa"/>
            <w:vMerge/>
            <w:tcBorders>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186" w:lineRule="exact"/>
              <w:ind w:right="28"/>
              <w:jc w:val="right"/>
              <w:rPr>
                <w:rFonts w:ascii="Times New Roman" w:hAnsi="Times New Roman" w:cs="Times New Roman" w:eastAsia="Times New Roman" w:hint="default"/>
                <w:sz w:val="20"/>
                <w:szCs w:val="20"/>
              </w:rPr>
            </w:pPr>
            <w:r>
              <w:rPr>
                <w:rFonts w:ascii="Times New Roman"/>
                <w:w w:val="95"/>
                <w:sz w:val="20"/>
              </w:rPr>
              <w:t>48,986,936.87</w:t>
            </w:r>
            <w:r>
              <w:rPr>
                <w:rFonts w:ascii="Times New Roman"/>
                <w:sz w:val="20"/>
              </w:rPr>
            </w:r>
          </w:p>
        </w:tc>
        <w:tc>
          <w:tcPr>
            <w:tcW w:w="125"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380" w:bottom="1380" w:left="1360" w:right="1360"/>
        </w:sectPr>
      </w:pPr>
    </w:p>
    <w:tbl>
      <w:tblPr>
        <w:tblW w:w="0" w:type="auto"/>
        <w:jc w:val="left"/>
        <w:tblInd w:w="102" w:type="dxa"/>
        <w:tblLayout w:type="fixed"/>
        <w:tblCellMar>
          <w:top w:w="0" w:type="dxa"/>
          <w:left w:w="0" w:type="dxa"/>
          <w:bottom w:w="0" w:type="dxa"/>
          <w:right w:w="0" w:type="dxa"/>
        </w:tblCellMar>
        <w:tblLook w:val="01E0"/>
      </w:tblPr>
      <w:tblGrid>
        <w:gridCol w:w="4151"/>
        <w:gridCol w:w="3208"/>
        <w:gridCol w:w="1943"/>
      </w:tblGrid>
      <w:tr>
        <w:trPr>
          <w:trHeight w:val="424" w:hRule="exact"/>
        </w:trPr>
        <w:tc>
          <w:tcPr>
            <w:tcW w:w="4151"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right="1463"/>
              <w:jc w:val="right"/>
              <w:rPr>
                <w:rFonts w:ascii="宋体" w:hAnsi="宋体" w:cs="宋体" w:eastAsia="宋体" w:hint="default"/>
                <w:sz w:val="20"/>
                <w:szCs w:val="20"/>
              </w:rPr>
            </w:pPr>
            <w:r>
              <w:rPr>
                <w:rFonts w:ascii="宋体" w:hAnsi="宋体" w:cs="宋体" w:eastAsia="宋体" w:hint="default"/>
                <w:spacing w:val="-24"/>
                <w:sz w:val="20"/>
                <w:szCs w:val="20"/>
              </w:rPr>
              <w:t>其中：归属于持续经营的净利润</w:t>
            </w:r>
          </w:p>
        </w:tc>
        <w:tc>
          <w:tcPr>
            <w:tcW w:w="3208" w:type="dxa"/>
            <w:tcBorders>
              <w:top w:val="single" w:sz="6" w:space="0" w:color="000000"/>
              <w:left w:val="nil" w:sz="6" w:space="0" w:color="auto"/>
              <w:bottom w:val="nil" w:sz="6" w:space="0" w:color="auto"/>
              <w:right w:val="nil" w:sz="6" w:space="0" w:color="auto"/>
            </w:tcBorders>
          </w:tcPr>
          <w:p>
            <w:pPr>
              <w:pStyle w:val="TableParagraph"/>
              <w:spacing w:line="240" w:lineRule="auto" w:before="84"/>
              <w:ind w:left="1465" w:right="0"/>
              <w:jc w:val="left"/>
              <w:rPr>
                <w:rFonts w:ascii="Times New Roman" w:hAnsi="Times New Roman" w:cs="Times New Roman" w:eastAsia="Times New Roman" w:hint="default"/>
                <w:sz w:val="20"/>
                <w:szCs w:val="20"/>
              </w:rPr>
            </w:pPr>
            <w:r>
              <w:rPr>
                <w:rFonts w:ascii="Times New Roman"/>
                <w:sz w:val="20"/>
              </w:rPr>
              <w:t>48,986,936.87</w:t>
            </w:r>
          </w:p>
        </w:tc>
        <w:tc>
          <w:tcPr>
            <w:tcW w:w="1943" w:type="dxa"/>
            <w:tcBorders>
              <w:top w:val="single" w:sz="6" w:space="0" w:color="000000"/>
              <w:left w:val="nil" w:sz="6" w:space="0" w:color="auto"/>
              <w:bottom w:val="nil" w:sz="6" w:space="0" w:color="auto"/>
              <w:right w:val="nil" w:sz="6" w:space="0" w:color="auto"/>
            </w:tcBorders>
          </w:tcPr>
          <w:p>
            <w:pPr>
              <w:pStyle w:val="TableParagraph"/>
              <w:spacing w:line="240" w:lineRule="auto" w:before="84"/>
              <w:ind w:left="592" w:right="0"/>
              <w:jc w:val="left"/>
              <w:rPr>
                <w:rFonts w:ascii="Times New Roman" w:hAnsi="Times New Roman" w:cs="Times New Roman" w:eastAsia="Times New Roman" w:hint="default"/>
                <w:sz w:val="20"/>
                <w:szCs w:val="20"/>
              </w:rPr>
            </w:pPr>
            <w:r>
              <w:rPr>
                <w:rFonts w:ascii="Times New Roman"/>
                <w:sz w:val="20"/>
              </w:rPr>
              <w:t>41,043,076.95</w:t>
            </w:r>
          </w:p>
        </w:tc>
      </w:tr>
      <w:tr>
        <w:trPr>
          <w:trHeight w:val="278" w:hRule="exact"/>
        </w:trPr>
        <w:tc>
          <w:tcPr>
            <w:tcW w:w="41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8"/>
              <w:jc w:val="right"/>
              <w:rPr>
                <w:rFonts w:ascii="宋体" w:hAnsi="宋体" w:cs="宋体" w:eastAsia="宋体" w:hint="default"/>
                <w:sz w:val="20"/>
                <w:szCs w:val="20"/>
              </w:rPr>
            </w:pPr>
            <w:r>
              <w:rPr>
                <w:rFonts w:ascii="宋体" w:hAnsi="宋体" w:cs="宋体" w:eastAsia="宋体" w:hint="default"/>
                <w:spacing w:val="-23"/>
                <w:w w:val="95"/>
                <w:sz w:val="20"/>
                <w:szCs w:val="20"/>
              </w:rPr>
              <w:t>归属于终止经营的净利润</w:t>
            </w:r>
            <w:r>
              <w:rPr>
                <w:rFonts w:ascii="宋体" w:hAnsi="宋体" w:cs="宋体" w:eastAsia="宋体" w:hint="default"/>
                <w:spacing w:val="-23"/>
                <w:sz w:val="20"/>
                <w:szCs w:val="20"/>
              </w:rPr>
            </w:r>
          </w:p>
        </w:tc>
        <w:tc>
          <w:tcPr>
            <w:tcW w:w="3208" w:type="dxa"/>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26"/>
        <w:ind w:left="1077" w:right="0"/>
        <w:jc w:val="left"/>
      </w:pPr>
      <w:r>
        <w:rPr/>
        <w:t>②计算基本每股收益时</w:t>
      </w:r>
      <w:r>
        <w:rPr>
          <w:spacing w:val="-104"/>
        </w:rPr>
        <w:t>，</w:t>
      </w:r>
      <w:r>
        <w:rPr/>
        <w:t>分母为发行在外普通股加权平均数</w:t>
      </w:r>
      <w:r>
        <w:rPr>
          <w:spacing w:val="-104"/>
        </w:rPr>
        <w:t>，</w:t>
      </w:r>
      <w:r>
        <w:rPr/>
        <w:t>计算过程如下：</w:t>
      </w:r>
    </w:p>
    <w:p>
      <w:pPr>
        <w:spacing w:line="240" w:lineRule="auto" w:before="12"/>
        <w:rPr>
          <w:rFonts w:ascii="宋体" w:hAnsi="宋体" w:cs="宋体" w:eastAsia="宋体" w:hint="default"/>
          <w:sz w:val="18"/>
          <w:szCs w:val="18"/>
        </w:rPr>
      </w:pPr>
    </w:p>
    <w:p>
      <w:pPr>
        <w:pStyle w:val="BodyText"/>
        <w:spacing w:line="240" w:lineRule="auto"/>
        <w:ind w:left="0" w:right="595"/>
        <w:jc w:val="right"/>
      </w:pPr>
      <w:r>
        <w:rPr/>
        <w:t>人民币元</w:t>
      </w:r>
    </w:p>
    <w:p>
      <w:pPr>
        <w:spacing w:line="240" w:lineRule="auto" w:before="5"/>
        <w:rPr>
          <w:rFonts w:ascii="宋体" w:hAnsi="宋体" w:cs="宋体" w:eastAsia="宋体" w:hint="default"/>
          <w:sz w:val="8"/>
          <w:szCs w:val="8"/>
        </w:rPr>
      </w:pPr>
    </w:p>
    <w:tbl>
      <w:tblPr>
        <w:tblW w:w="0" w:type="auto"/>
        <w:jc w:val="left"/>
        <w:tblInd w:w="271" w:type="dxa"/>
        <w:tblLayout w:type="fixed"/>
        <w:tblCellMar>
          <w:top w:w="0" w:type="dxa"/>
          <w:left w:w="0" w:type="dxa"/>
          <w:bottom w:w="0" w:type="dxa"/>
          <w:right w:w="0" w:type="dxa"/>
        </w:tblCellMar>
        <w:tblLook w:val="01E0"/>
      </w:tblPr>
      <w:tblGrid>
        <w:gridCol w:w="4284"/>
        <w:gridCol w:w="134"/>
        <w:gridCol w:w="2287"/>
        <w:gridCol w:w="132"/>
        <w:gridCol w:w="2126"/>
      </w:tblGrid>
      <w:tr>
        <w:trPr>
          <w:trHeight w:val="272" w:hRule="exact"/>
        </w:trPr>
        <w:tc>
          <w:tcPr>
            <w:tcW w:w="4284" w:type="dxa"/>
            <w:tcBorders>
              <w:top w:val="nil" w:sz="6" w:space="0" w:color="auto"/>
              <w:left w:val="nil" w:sz="6" w:space="0" w:color="auto"/>
              <w:bottom w:val="single" w:sz="6"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single" w:sz="6" w:space="0" w:color="000000"/>
              <w:right w:val="nil" w:sz="6" w:space="0" w:color="auto"/>
            </w:tcBorders>
          </w:tcPr>
          <w:p>
            <w:pPr>
              <w:pStyle w:val="TableParagraph"/>
              <w:spacing w:line="199" w:lineRule="exact"/>
              <w:ind w:left="640"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3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6" w:space="0" w:color="000000"/>
              <w:right w:val="nil" w:sz="6" w:space="0" w:color="auto"/>
            </w:tcBorders>
          </w:tcPr>
          <w:p>
            <w:pPr>
              <w:pStyle w:val="TableParagraph"/>
              <w:spacing w:line="199" w:lineRule="exact"/>
              <w:ind w:left="561"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90" w:hRule="exact"/>
        </w:trPr>
        <w:tc>
          <w:tcPr>
            <w:tcW w:w="4284"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left="31" w:right="0"/>
              <w:jc w:val="left"/>
              <w:rPr>
                <w:rFonts w:ascii="宋体" w:hAnsi="宋体" w:cs="宋体" w:eastAsia="宋体" w:hint="default"/>
                <w:sz w:val="20"/>
                <w:szCs w:val="20"/>
              </w:rPr>
            </w:pPr>
            <w:r>
              <w:rPr>
                <w:rFonts w:ascii="宋体" w:hAnsi="宋体" w:cs="宋体" w:eastAsia="宋体" w:hint="default"/>
                <w:sz w:val="20"/>
                <w:szCs w:val="20"/>
              </w:rPr>
              <w:t>期初发行在外的普通股股数</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42,000,000.00</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6"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20"/>
                <w:szCs w:val="20"/>
              </w:rPr>
            </w:pPr>
            <w:r>
              <w:rPr>
                <w:rFonts w:ascii="Times New Roman"/>
                <w:w w:val="95"/>
                <w:sz w:val="20"/>
              </w:rPr>
              <w:t>42,000,000.00</w:t>
            </w:r>
            <w:r>
              <w:rPr>
                <w:rFonts w:ascii="Times New Roman"/>
                <w:sz w:val="20"/>
              </w:rPr>
            </w:r>
          </w:p>
        </w:tc>
      </w:tr>
      <w:tr>
        <w:trPr>
          <w:trHeight w:val="357"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1" w:right="0"/>
              <w:jc w:val="left"/>
              <w:rPr>
                <w:rFonts w:ascii="宋体" w:hAnsi="宋体" w:cs="宋体" w:eastAsia="宋体" w:hint="default"/>
                <w:sz w:val="20"/>
                <w:szCs w:val="20"/>
              </w:rPr>
            </w:pPr>
            <w:r>
              <w:rPr>
                <w:rFonts w:ascii="宋体" w:hAnsi="宋体" w:cs="宋体" w:eastAsia="宋体" w:hint="default"/>
                <w:sz w:val="20"/>
                <w:szCs w:val="20"/>
              </w:rPr>
              <w:t>加：本期发行的普通股加权数</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Times New Roman" w:hAnsi="Times New Roman" w:cs="Times New Roman" w:eastAsia="Times New Roman" w:hint="default"/>
                <w:sz w:val="20"/>
                <w:szCs w:val="20"/>
              </w:rPr>
            </w:pPr>
            <w:r>
              <w:rPr>
                <w:rFonts w:ascii="Times New Roman"/>
                <w:w w:val="95"/>
                <w:sz w:val="20"/>
              </w:rPr>
              <w:t>9,333,333.33</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364"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1" w:right="0"/>
              <w:jc w:val="left"/>
              <w:rPr>
                <w:rFonts w:ascii="宋体" w:hAnsi="宋体" w:cs="宋体" w:eastAsia="宋体" w:hint="default"/>
                <w:sz w:val="20"/>
                <w:szCs w:val="20"/>
              </w:rPr>
            </w:pPr>
            <w:r>
              <w:rPr>
                <w:rFonts w:ascii="宋体" w:hAnsi="宋体" w:cs="宋体" w:eastAsia="宋体" w:hint="default"/>
                <w:sz w:val="20"/>
                <w:szCs w:val="20"/>
              </w:rPr>
              <w:t>减：本期回购的普通股加权数</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311" w:hRule="exact"/>
        </w:trPr>
        <w:tc>
          <w:tcPr>
            <w:tcW w:w="42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 w:right="0"/>
              <w:jc w:val="left"/>
              <w:rPr>
                <w:rFonts w:ascii="宋体" w:hAnsi="宋体" w:cs="宋体" w:eastAsia="宋体" w:hint="default"/>
                <w:sz w:val="20"/>
                <w:szCs w:val="20"/>
              </w:rPr>
            </w:pPr>
            <w:r>
              <w:rPr>
                <w:rFonts w:ascii="宋体" w:hAnsi="宋体" w:cs="宋体" w:eastAsia="宋体" w:hint="default"/>
                <w:sz w:val="20"/>
                <w:szCs w:val="20"/>
              </w:rPr>
              <w:t>期末发行在外的普通股加权数</w:t>
            </w:r>
          </w:p>
        </w:tc>
        <w:tc>
          <w:tcPr>
            <w:tcW w:w="134"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20"/>
                <w:szCs w:val="20"/>
              </w:rPr>
            </w:pPr>
            <w:r>
              <w:rPr>
                <w:rFonts w:ascii="Times New Roman"/>
                <w:w w:val="95"/>
                <w:sz w:val="20"/>
              </w:rPr>
              <w:t>51,333,333.33</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20"/>
                <w:szCs w:val="20"/>
              </w:rPr>
            </w:pPr>
            <w:r>
              <w:rPr>
                <w:rFonts w:ascii="Times New Roman"/>
                <w:w w:val="95"/>
                <w:sz w:val="20"/>
              </w:rPr>
              <w:t>42,000,000.00</w:t>
            </w:r>
            <w:r>
              <w:rPr>
                <w:rFonts w:ascii="Times New Roman"/>
                <w:sz w:val="20"/>
              </w:rPr>
            </w:r>
          </w:p>
        </w:tc>
      </w:tr>
    </w:tbl>
    <w:p>
      <w:pPr>
        <w:spacing w:line="240" w:lineRule="auto" w:before="6"/>
        <w:rPr>
          <w:rFonts w:ascii="宋体" w:hAnsi="宋体" w:cs="宋体" w:eastAsia="宋体" w:hint="default"/>
          <w:sz w:val="21"/>
          <w:szCs w:val="21"/>
        </w:rPr>
      </w:pPr>
    </w:p>
    <w:p>
      <w:pPr>
        <w:pStyle w:val="Heading3"/>
        <w:spacing w:line="240" w:lineRule="auto"/>
        <w:ind w:left="1080" w:right="609"/>
        <w:jc w:val="left"/>
        <w:rPr>
          <w:b w:val="0"/>
          <w:bCs w:val="0"/>
        </w:rPr>
      </w:pPr>
      <w:r>
        <w:rPr>
          <w:rFonts w:ascii="Times New Roman" w:hAnsi="Times New Roman" w:cs="Times New Roman" w:eastAsia="Times New Roman" w:hint="default"/>
        </w:rPr>
        <w:t>34</w:t>
      </w:r>
      <w:r>
        <w:rPr/>
        <w:t>、现金流量表注释项目</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1077" w:right="609"/>
        <w:jc w:val="left"/>
      </w:pPr>
      <w:r>
        <w:rPr/>
        <w:t>（</w:t>
      </w:r>
      <w:r>
        <w:rPr>
          <w:rFonts w:ascii="Times New Roman" w:hAnsi="Times New Roman" w:cs="Times New Roman" w:eastAsia="Times New Roman" w:hint="default"/>
        </w:rPr>
        <w:t>1</w:t>
      </w:r>
      <w:r>
        <w:rPr/>
        <w:t>）收到其他与经营活动有关的现金</w:t>
      </w:r>
    </w:p>
    <w:p>
      <w:pPr>
        <w:spacing w:line="240" w:lineRule="auto" w:before="6"/>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3386"/>
        <w:gridCol w:w="2785"/>
        <w:gridCol w:w="2183"/>
      </w:tblGrid>
      <w:tr>
        <w:trPr>
          <w:trHeight w:val="279" w:hRule="exact"/>
        </w:trPr>
        <w:tc>
          <w:tcPr>
            <w:tcW w:w="3386" w:type="dxa"/>
            <w:tcBorders>
              <w:top w:val="nil" w:sz="6" w:space="0" w:color="auto"/>
              <w:left w:val="nil" w:sz="6" w:space="0" w:color="auto"/>
              <w:bottom w:val="single" w:sz="4" w:space="0" w:color="000000"/>
              <w:right w:val="nil" w:sz="6" w:space="0" w:color="auto"/>
            </w:tcBorders>
          </w:tcPr>
          <w:p>
            <w:pPr>
              <w:pStyle w:val="TableParagraph"/>
              <w:spacing w:line="199" w:lineRule="exact"/>
              <w:ind w:right="67"/>
              <w:jc w:val="center"/>
              <w:rPr>
                <w:rFonts w:ascii="宋体" w:hAnsi="宋体" w:cs="宋体" w:eastAsia="宋体" w:hint="default"/>
                <w:sz w:val="20"/>
                <w:szCs w:val="20"/>
              </w:rPr>
            </w:pPr>
            <w:r>
              <w:rPr>
                <w:rFonts w:ascii="宋体" w:hAnsi="宋体" w:cs="宋体" w:eastAsia="宋体" w:hint="default"/>
                <w:sz w:val="20"/>
                <w:szCs w:val="20"/>
              </w:rPr>
              <w:t>项目</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199" w:lineRule="exact"/>
              <w:ind w:left="68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199" w:lineRule="exact"/>
              <w:ind w:left="418"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8" w:hRule="exact"/>
        </w:trPr>
        <w:tc>
          <w:tcPr>
            <w:tcW w:w="3386"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416"/>
              <w:jc w:val="right"/>
              <w:rPr>
                <w:rFonts w:ascii="Times New Roman" w:hAnsi="Times New Roman" w:cs="Times New Roman" w:eastAsia="Times New Roman" w:hint="default"/>
                <w:sz w:val="20"/>
                <w:szCs w:val="20"/>
              </w:rPr>
            </w:pPr>
            <w:r>
              <w:rPr>
                <w:rFonts w:ascii="Times New Roman"/>
                <w:w w:val="95"/>
                <w:sz w:val="20"/>
              </w:rPr>
              <w:t>5,685,000.00</w:t>
            </w:r>
            <w:r>
              <w:rPr>
                <w:rFonts w:ascii="Times New Roman"/>
                <w:sz w:val="20"/>
              </w:rPr>
            </w: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7"/>
              <w:jc w:val="right"/>
              <w:rPr>
                <w:rFonts w:ascii="Times New Roman" w:hAnsi="Times New Roman" w:cs="Times New Roman" w:eastAsia="Times New Roman" w:hint="default"/>
                <w:sz w:val="20"/>
                <w:szCs w:val="20"/>
              </w:rPr>
            </w:pPr>
            <w:r>
              <w:rPr>
                <w:rFonts w:ascii="Times New Roman"/>
                <w:w w:val="95"/>
                <w:sz w:val="20"/>
              </w:rPr>
              <w:t>1,087,612.00</w:t>
            </w:r>
            <w:r>
              <w:rPr>
                <w:rFonts w:ascii="Times New Roman"/>
                <w:sz w:val="20"/>
              </w:rPr>
            </w:r>
          </w:p>
        </w:tc>
      </w:tr>
      <w:tr>
        <w:trPr>
          <w:trHeight w:val="355" w:hRule="exact"/>
        </w:trPr>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财务费用</w:t>
            </w:r>
            <w:r>
              <w:rPr>
                <w:rFonts w:ascii="Times New Roman" w:hAnsi="Times New Roman" w:cs="Times New Roman" w:eastAsia="Times New Roman" w:hint="default"/>
                <w:sz w:val="20"/>
                <w:szCs w:val="20"/>
              </w:rPr>
              <w:t>--</w:t>
            </w:r>
            <w:r>
              <w:rPr>
                <w:rFonts w:ascii="宋体" w:hAnsi="宋体" w:cs="宋体" w:eastAsia="宋体" w:hint="default"/>
                <w:sz w:val="20"/>
                <w:szCs w:val="20"/>
              </w:rPr>
              <w:t>利息收入</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7,612,659.87</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810,129.65</w:t>
            </w:r>
            <w:r>
              <w:rPr>
                <w:rFonts w:ascii="Times New Roman"/>
                <w:sz w:val="20"/>
              </w:rPr>
            </w:r>
          </w:p>
        </w:tc>
      </w:tr>
      <w:tr>
        <w:trPr>
          <w:trHeight w:val="355" w:hRule="exact"/>
        </w:trPr>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除税费返还外的其他政府补助收入</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2,500,000.00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r>
      <w:tr>
        <w:trPr>
          <w:trHeight w:val="361" w:hRule="exact"/>
        </w:trPr>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投标保证金、往来款及个人备用金等</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4,830,298.35</w:t>
            </w:r>
            <w:r>
              <w:rPr>
                <w:rFonts w:ascii="Times New Roman"/>
                <w:sz w:val="20"/>
              </w:rPr>
            </w:r>
          </w:p>
        </w:tc>
        <w:tc>
          <w:tcPr>
            <w:tcW w:w="218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4,229,315.94</w:t>
            </w:r>
            <w:r>
              <w:rPr>
                <w:rFonts w:ascii="Times New Roman"/>
                <w:sz w:val="20"/>
              </w:rPr>
            </w:r>
          </w:p>
        </w:tc>
      </w:tr>
      <w:tr>
        <w:trPr>
          <w:trHeight w:val="372" w:hRule="exact"/>
        </w:trPr>
        <w:tc>
          <w:tcPr>
            <w:tcW w:w="3386"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62"/>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418"/>
              <w:jc w:val="right"/>
              <w:rPr>
                <w:rFonts w:ascii="Times New Roman" w:hAnsi="Times New Roman" w:cs="Times New Roman" w:eastAsia="Times New Roman" w:hint="default"/>
                <w:sz w:val="20"/>
                <w:szCs w:val="20"/>
              </w:rPr>
            </w:pPr>
            <w:r>
              <w:rPr>
                <w:rFonts w:ascii="Times New Roman"/>
                <w:w w:val="95"/>
                <w:sz w:val="20"/>
              </w:rPr>
              <w:t>20,627,958.22</w:t>
            </w:r>
            <w:r>
              <w:rPr>
                <w:rFonts w:ascii="Times New Roman"/>
                <w:sz w:val="20"/>
              </w:rPr>
            </w:r>
          </w:p>
        </w:tc>
        <w:tc>
          <w:tcPr>
            <w:tcW w:w="21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w w:val="95"/>
                <w:sz w:val="20"/>
              </w:rPr>
              <w:t>6,377,057.59</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1080" w:right="609"/>
        <w:jc w:val="left"/>
      </w:pPr>
      <w:r>
        <w:rPr/>
        <w:t>（</w:t>
      </w:r>
      <w:r>
        <w:rPr>
          <w:rFonts w:ascii="Times New Roman" w:hAnsi="Times New Roman" w:cs="Times New Roman" w:eastAsia="Times New Roman" w:hint="default"/>
        </w:rPr>
        <w:t>2</w:t>
      </w:r>
      <w:r>
        <w:rPr/>
        <w:t>）支付其他与经营活动有关的现金</w:t>
      </w:r>
    </w:p>
    <w:p>
      <w:pPr>
        <w:spacing w:line="240" w:lineRule="auto" w:before="6"/>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3547"/>
        <w:gridCol w:w="2624"/>
        <w:gridCol w:w="2183"/>
      </w:tblGrid>
      <w:tr>
        <w:trPr>
          <w:trHeight w:val="279" w:hRule="exact"/>
        </w:trPr>
        <w:tc>
          <w:tcPr>
            <w:tcW w:w="3547" w:type="dxa"/>
            <w:tcBorders>
              <w:top w:val="nil" w:sz="6" w:space="0" w:color="auto"/>
              <w:left w:val="nil" w:sz="6" w:space="0" w:color="auto"/>
              <w:bottom w:val="single" w:sz="4" w:space="0" w:color="000000"/>
              <w:right w:val="nil" w:sz="6" w:space="0" w:color="auto"/>
            </w:tcBorders>
          </w:tcPr>
          <w:p>
            <w:pPr>
              <w:pStyle w:val="TableParagraph"/>
              <w:spacing w:line="199" w:lineRule="exact"/>
              <w:ind w:right="228"/>
              <w:jc w:val="center"/>
              <w:rPr>
                <w:rFonts w:ascii="宋体" w:hAnsi="宋体" w:cs="宋体" w:eastAsia="宋体" w:hint="default"/>
                <w:sz w:val="20"/>
                <w:szCs w:val="20"/>
              </w:rPr>
            </w:pPr>
            <w:r>
              <w:rPr>
                <w:rFonts w:ascii="宋体" w:hAnsi="宋体" w:cs="宋体" w:eastAsia="宋体" w:hint="default"/>
                <w:sz w:val="20"/>
                <w:szCs w:val="20"/>
              </w:rPr>
              <w:t>项目</w:t>
            </w:r>
          </w:p>
        </w:tc>
        <w:tc>
          <w:tcPr>
            <w:tcW w:w="2624" w:type="dxa"/>
            <w:tcBorders>
              <w:top w:val="nil" w:sz="6" w:space="0" w:color="auto"/>
              <w:left w:val="nil" w:sz="6" w:space="0" w:color="auto"/>
              <w:bottom w:val="single" w:sz="4" w:space="0" w:color="000000"/>
              <w:right w:val="nil" w:sz="6" w:space="0" w:color="auto"/>
            </w:tcBorders>
          </w:tcPr>
          <w:p>
            <w:pPr>
              <w:pStyle w:val="TableParagraph"/>
              <w:spacing w:line="199" w:lineRule="exact"/>
              <w:ind w:left="52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199" w:lineRule="exact"/>
              <w:ind w:left="418"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8" w:hRule="exact"/>
        </w:trPr>
        <w:tc>
          <w:tcPr>
            <w:tcW w:w="354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投标保证金、往来款及个人备用金</w:t>
            </w:r>
          </w:p>
        </w:tc>
        <w:tc>
          <w:tcPr>
            <w:tcW w:w="2624"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418"/>
              <w:jc w:val="right"/>
              <w:rPr>
                <w:rFonts w:ascii="Times New Roman" w:hAnsi="Times New Roman" w:cs="Times New Roman" w:eastAsia="Times New Roman" w:hint="default"/>
                <w:sz w:val="20"/>
                <w:szCs w:val="20"/>
              </w:rPr>
            </w:pPr>
            <w:r>
              <w:rPr>
                <w:rFonts w:ascii="Times New Roman"/>
                <w:w w:val="95"/>
                <w:sz w:val="20"/>
              </w:rPr>
              <w:t>14,452,342.00</w:t>
            </w:r>
            <w:r>
              <w:rPr>
                <w:rFonts w:ascii="Times New Roman"/>
                <w:sz w:val="20"/>
              </w:rPr>
            </w: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7"/>
              <w:jc w:val="right"/>
              <w:rPr>
                <w:rFonts w:ascii="Times New Roman" w:hAnsi="Times New Roman" w:cs="Times New Roman" w:eastAsia="Times New Roman" w:hint="default"/>
                <w:sz w:val="20"/>
                <w:szCs w:val="20"/>
              </w:rPr>
            </w:pPr>
            <w:r>
              <w:rPr>
                <w:rFonts w:ascii="Times New Roman"/>
                <w:w w:val="95"/>
                <w:sz w:val="20"/>
              </w:rPr>
              <w:t>3,350,813.40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5,120,123.00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5,252,788.72</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办公场租</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475,313.00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1,199,433.40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招待费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1,207,234.00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815,894.90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569,529.68</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797,518.40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公共人事费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108,830.20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694,700.00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宣传费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556,400.00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481,689.90</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上海办事处</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312,541.60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360,547.29</w:t>
            </w:r>
            <w:r>
              <w:rPr>
                <w:rFonts w:ascii="Times New Roman"/>
                <w:sz w:val="20"/>
              </w:rPr>
            </w:r>
          </w:p>
        </w:tc>
      </w:tr>
      <w:tr>
        <w:trPr>
          <w:trHeight w:val="354"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培训费</w:t>
            </w:r>
          </w:p>
        </w:tc>
        <w:tc>
          <w:tcPr>
            <w:tcW w:w="2624"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199,450.75</w:t>
            </w:r>
            <w:r>
              <w:rPr>
                <w:rFonts w:ascii="Times New Roman"/>
                <w:sz w:val="20"/>
              </w:rPr>
            </w:r>
          </w:p>
        </w:tc>
      </w:tr>
      <w:tr>
        <w:trPr>
          <w:trHeight w:val="354"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交通费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16"/>
              <w:jc w:val="right"/>
              <w:rPr>
                <w:rFonts w:ascii="Times New Roman" w:hAnsi="Times New Roman" w:cs="Times New Roman" w:eastAsia="Times New Roman" w:hint="default"/>
                <w:sz w:val="20"/>
                <w:szCs w:val="20"/>
              </w:rPr>
            </w:pPr>
            <w:r>
              <w:rPr>
                <w:rFonts w:ascii="Times New Roman"/>
                <w:w w:val="95"/>
                <w:sz w:val="20"/>
              </w:rPr>
              <w:t>200,004.70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
              <w:jc w:val="right"/>
              <w:rPr>
                <w:rFonts w:ascii="Times New Roman" w:hAnsi="Times New Roman" w:cs="Times New Roman" w:eastAsia="Times New Roman" w:hint="default"/>
                <w:sz w:val="20"/>
                <w:szCs w:val="20"/>
              </w:rPr>
            </w:pPr>
            <w:r>
              <w:rPr>
                <w:rFonts w:ascii="Times New Roman"/>
                <w:w w:val="95"/>
                <w:sz w:val="20"/>
              </w:rPr>
              <w:t>156,465.45</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通讯费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8"/>
              <w:jc w:val="right"/>
              <w:rPr>
                <w:rFonts w:ascii="Times New Roman" w:hAnsi="Times New Roman" w:cs="Times New Roman" w:eastAsia="Times New Roman" w:hint="default"/>
                <w:sz w:val="20"/>
                <w:szCs w:val="20"/>
              </w:rPr>
            </w:pPr>
            <w:r>
              <w:rPr>
                <w:rFonts w:ascii="Times New Roman"/>
                <w:w w:val="95"/>
                <w:sz w:val="20"/>
              </w:rPr>
              <w:t>70,329.73</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148,117.36</w:t>
            </w:r>
            <w:r>
              <w:rPr>
                <w:rFonts w:ascii="Times New Roman"/>
                <w:sz w:val="20"/>
              </w:rPr>
            </w:r>
          </w:p>
        </w:tc>
      </w:tr>
      <w:tr>
        <w:trPr>
          <w:trHeight w:val="355"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上市服务费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4,420,000.00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right"/>
              <w:rPr>
                <w:rFonts w:ascii="Times New Roman" w:hAnsi="Times New Roman" w:cs="Times New Roman" w:eastAsia="Times New Roman" w:hint="default"/>
                <w:sz w:val="20"/>
                <w:szCs w:val="20"/>
              </w:rPr>
            </w:pPr>
            <w:r>
              <w:rPr>
                <w:rFonts w:ascii="Times New Roman"/>
                <w:w w:val="95"/>
                <w:sz w:val="20"/>
              </w:rPr>
              <w:t>107,510.00</w:t>
            </w:r>
            <w:r>
              <w:rPr>
                <w:rFonts w:ascii="Times New Roman"/>
                <w:sz w:val="20"/>
              </w:rPr>
            </w:r>
          </w:p>
        </w:tc>
      </w:tr>
      <w:tr>
        <w:trPr>
          <w:trHeight w:val="283"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验收费</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8"/>
              <w:jc w:val="right"/>
              <w:rPr>
                <w:rFonts w:ascii="Times New Roman" w:hAnsi="Times New Roman" w:cs="Times New Roman" w:eastAsia="Times New Roman" w:hint="default"/>
                <w:sz w:val="20"/>
                <w:szCs w:val="20"/>
              </w:rPr>
            </w:pPr>
            <w:r>
              <w:rPr>
                <w:rFonts w:ascii="Times New Roman"/>
                <w:w w:val="95"/>
                <w:sz w:val="20"/>
              </w:rPr>
              <w:t>82,550.00</w:t>
            </w:r>
            <w:r>
              <w:rPr>
                <w:rFonts w:ascii="Times New Roman"/>
                <w:sz w:val="20"/>
              </w:rPr>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
              <w:jc w:val="right"/>
              <w:rPr>
                <w:rFonts w:ascii="Times New Roman" w:hAnsi="Times New Roman" w:cs="Times New Roman" w:eastAsia="Times New Roman" w:hint="default"/>
                <w:sz w:val="20"/>
                <w:szCs w:val="20"/>
              </w:rPr>
            </w:pPr>
            <w:r>
              <w:rPr>
                <w:rFonts w:ascii="Times New Roman"/>
                <w:w w:val="95"/>
                <w:sz w:val="20"/>
              </w:rPr>
              <w:t>85,522.00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42"/>
          <w:pgSz w:w="11910" w:h="16840"/>
          <w:pgMar w:footer="979" w:header="850" w:top="1380" w:bottom="1160" w:left="1200" w:right="1200"/>
          <w:pgNumType w:start="121"/>
        </w:sectPr>
      </w:pPr>
    </w:p>
    <w:tbl>
      <w:tblPr>
        <w:tblW w:w="0" w:type="auto"/>
        <w:jc w:val="left"/>
        <w:tblInd w:w="108" w:type="dxa"/>
        <w:tblLayout w:type="fixed"/>
        <w:tblCellMar>
          <w:top w:w="0" w:type="dxa"/>
          <w:left w:w="0" w:type="dxa"/>
          <w:bottom w:w="0" w:type="dxa"/>
          <w:right w:w="0" w:type="dxa"/>
        </w:tblCellMar>
        <w:tblLook w:val="01E0"/>
      </w:tblPr>
      <w:tblGrid>
        <w:gridCol w:w="3394"/>
        <w:gridCol w:w="2785"/>
        <w:gridCol w:w="2190"/>
      </w:tblGrid>
      <w:tr>
        <w:trPr>
          <w:trHeight w:val="389" w:hRule="exact"/>
        </w:trPr>
        <w:tc>
          <w:tcPr>
            <w:tcW w:w="3394" w:type="dxa"/>
            <w:tcBorders>
              <w:top w:val="single" w:sz="6" w:space="0" w:color="000000"/>
              <w:left w:val="nil" w:sz="6" w:space="0" w:color="auto"/>
              <w:bottom w:val="single" w:sz="4" w:space="0" w:color="000000"/>
              <w:right w:val="nil" w:sz="6" w:space="0" w:color="auto"/>
            </w:tcBorders>
          </w:tcPr>
          <w:p>
            <w:pPr>
              <w:pStyle w:val="TableParagraph"/>
              <w:spacing w:line="240" w:lineRule="auto" w:before="40"/>
              <w:ind w:right="60"/>
              <w:jc w:val="center"/>
              <w:rPr>
                <w:rFonts w:ascii="宋体" w:hAnsi="宋体" w:cs="宋体" w:eastAsia="宋体" w:hint="default"/>
                <w:sz w:val="20"/>
                <w:szCs w:val="20"/>
              </w:rPr>
            </w:pPr>
            <w:r>
              <w:rPr>
                <w:rFonts w:ascii="宋体" w:hAnsi="宋体" w:cs="宋体" w:eastAsia="宋体" w:hint="default"/>
                <w:sz w:val="20"/>
                <w:szCs w:val="20"/>
              </w:rPr>
              <w:t>项目</w:t>
            </w:r>
          </w:p>
        </w:tc>
        <w:tc>
          <w:tcPr>
            <w:tcW w:w="2785" w:type="dxa"/>
            <w:tcBorders>
              <w:top w:val="single" w:sz="6" w:space="0" w:color="000000"/>
              <w:left w:val="nil" w:sz="6" w:space="0" w:color="auto"/>
              <w:bottom w:val="single" w:sz="4" w:space="0" w:color="000000"/>
              <w:right w:val="nil" w:sz="6" w:space="0" w:color="auto"/>
            </w:tcBorders>
          </w:tcPr>
          <w:p>
            <w:pPr>
              <w:pStyle w:val="TableParagraph"/>
              <w:spacing w:line="240" w:lineRule="auto" w:before="40"/>
              <w:ind w:left="68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190" w:type="dxa"/>
            <w:tcBorders>
              <w:top w:val="single" w:sz="6" w:space="0" w:color="000000"/>
              <w:left w:val="nil" w:sz="6" w:space="0" w:color="auto"/>
              <w:bottom w:val="single" w:sz="4" w:space="0" w:color="000000"/>
              <w:right w:val="nil" w:sz="6" w:space="0" w:color="auto"/>
            </w:tcBorders>
          </w:tcPr>
          <w:p>
            <w:pPr>
              <w:pStyle w:val="TableParagraph"/>
              <w:spacing w:line="240" w:lineRule="auto" w:before="40"/>
              <w:ind w:left="418"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8" w:hRule="exact"/>
        </w:trPr>
        <w:tc>
          <w:tcPr>
            <w:tcW w:w="3394"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设备维修费</w:t>
            </w:r>
          </w:p>
        </w:tc>
        <w:tc>
          <w:tcPr>
            <w:tcW w:w="2785" w:type="dxa"/>
            <w:tcBorders>
              <w:top w:val="single" w:sz="4" w:space="0" w:color="000000"/>
              <w:left w:val="nil" w:sz="6" w:space="0" w:color="auto"/>
              <w:bottom w:val="nil" w:sz="6" w:space="0" w:color="auto"/>
              <w:right w:val="nil" w:sz="6" w:space="0" w:color="auto"/>
            </w:tcBorders>
          </w:tcPr>
          <w:p>
            <w:pPr/>
          </w:p>
        </w:tc>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25"/>
              <w:jc w:val="right"/>
              <w:rPr>
                <w:rFonts w:ascii="Times New Roman" w:hAnsi="Times New Roman" w:cs="Times New Roman" w:eastAsia="Times New Roman" w:hint="default"/>
                <w:sz w:val="20"/>
                <w:szCs w:val="20"/>
              </w:rPr>
            </w:pPr>
            <w:r>
              <w:rPr>
                <w:rFonts w:ascii="Times New Roman"/>
                <w:w w:val="95"/>
                <w:sz w:val="20"/>
              </w:rPr>
              <w:t>71,914.16</w:t>
            </w:r>
            <w:r>
              <w:rPr>
                <w:rFonts w:ascii="Times New Roman"/>
                <w:sz w:val="20"/>
              </w:rPr>
            </w:r>
          </w:p>
        </w:tc>
      </w:tr>
      <w:tr>
        <w:trPr>
          <w:trHeight w:val="355"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电费</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8"/>
              <w:jc w:val="right"/>
              <w:rPr>
                <w:rFonts w:ascii="Times New Roman" w:hAnsi="Times New Roman" w:cs="Times New Roman" w:eastAsia="Times New Roman" w:hint="default"/>
                <w:sz w:val="20"/>
                <w:szCs w:val="20"/>
              </w:rPr>
            </w:pPr>
            <w:r>
              <w:rPr>
                <w:rFonts w:ascii="Times New Roman"/>
                <w:w w:val="95"/>
                <w:sz w:val="20"/>
              </w:rPr>
              <w:t>82,187.00</w:t>
            </w:r>
            <w:r>
              <w:rPr>
                <w:rFonts w:ascii="Times New Roman"/>
                <w:sz w:val="20"/>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
              <w:jc w:val="right"/>
              <w:rPr>
                <w:rFonts w:ascii="Times New Roman" w:hAnsi="Times New Roman" w:cs="Times New Roman" w:eastAsia="Times New Roman" w:hint="default"/>
                <w:sz w:val="20"/>
                <w:szCs w:val="20"/>
              </w:rPr>
            </w:pPr>
            <w:r>
              <w:rPr>
                <w:rFonts w:ascii="Times New Roman"/>
                <w:w w:val="95"/>
                <w:sz w:val="20"/>
              </w:rPr>
              <w:t>44,133.00</w:t>
            </w:r>
            <w:r>
              <w:rPr>
                <w:rFonts w:ascii="Times New Roman"/>
                <w:sz w:val="20"/>
              </w:rPr>
            </w:r>
          </w:p>
        </w:tc>
      </w:tr>
      <w:tr>
        <w:trPr>
          <w:trHeight w:val="355"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汽车费</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121,212.02</w:t>
            </w:r>
            <w:r>
              <w:rPr>
                <w:rFonts w:ascii="Times New Roman"/>
                <w:sz w:val="20"/>
              </w:rPr>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Times New Roman" w:hAnsi="Times New Roman" w:cs="Times New Roman" w:eastAsia="Times New Roman" w:hint="default"/>
                <w:sz w:val="20"/>
                <w:szCs w:val="20"/>
              </w:rPr>
            </w:pPr>
            <w:r>
              <w:rPr>
                <w:rFonts w:ascii="Times New Roman"/>
                <w:spacing w:val="-1"/>
                <w:sz w:val="20"/>
              </w:rPr>
              <w:t>43,624.90</w:t>
            </w:r>
            <w:r>
              <w:rPr>
                <w:rFonts w:ascii="Times New Roman"/>
                <w:sz w:val="20"/>
              </w:rPr>
            </w:r>
          </w:p>
        </w:tc>
      </w:tr>
      <w:tr>
        <w:trPr>
          <w:trHeight w:val="361"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4,003,929.76</w:t>
            </w:r>
            <w:r>
              <w:rPr>
                <w:rFonts w:ascii="Times New Roman"/>
                <w:sz w:val="20"/>
              </w:rPr>
            </w:r>
          </w:p>
        </w:tc>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4"/>
              <w:jc w:val="right"/>
              <w:rPr>
                <w:rFonts w:ascii="Times New Roman" w:hAnsi="Times New Roman" w:cs="Times New Roman" w:eastAsia="Times New Roman" w:hint="default"/>
                <w:sz w:val="20"/>
                <w:szCs w:val="20"/>
              </w:rPr>
            </w:pPr>
            <w:r>
              <w:rPr>
                <w:rFonts w:ascii="Times New Roman"/>
                <w:w w:val="95"/>
                <w:sz w:val="20"/>
              </w:rPr>
              <w:t>298,581.88</w:t>
            </w:r>
            <w:r>
              <w:rPr>
                <w:rFonts w:ascii="Times New Roman"/>
                <w:sz w:val="20"/>
              </w:rPr>
            </w:r>
          </w:p>
        </w:tc>
      </w:tr>
      <w:tr>
        <w:trPr>
          <w:trHeight w:val="372" w:hRule="exact"/>
        </w:trPr>
        <w:tc>
          <w:tcPr>
            <w:tcW w:w="3394"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5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418"/>
              <w:jc w:val="right"/>
              <w:rPr>
                <w:rFonts w:ascii="Times New Roman" w:hAnsi="Times New Roman" w:cs="Times New Roman" w:eastAsia="Times New Roman" w:hint="default"/>
                <w:sz w:val="20"/>
                <w:szCs w:val="20"/>
              </w:rPr>
            </w:pPr>
            <w:r>
              <w:rPr>
                <w:rFonts w:ascii="Times New Roman"/>
                <w:w w:val="95"/>
                <w:sz w:val="20"/>
              </w:rPr>
              <w:t>31,782,526.69</w:t>
            </w:r>
            <w:r>
              <w:rPr>
                <w:rFonts w:ascii="Times New Roman"/>
                <w:sz w:val="20"/>
              </w:rPr>
            </w:r>
          </w:p>
        </w:tc>
        <w:tc>
          <w:tcPr>
            <w:tcW w:w="21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14,108,705.51</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26"/>
        <w:ind w:left="617" w:right="0"/>
        <w:jc w:val="left"/>
      </w:pPr>
      <w:r>
        <w:rPr/>
        <w:t>（</w:t>
      </w:r>
      <w:r>
        <w:rPr>
          <w:rFonts w:ascii="Times New Roman" w:hAnsi="Times New Roman" w:cs="Times New Roman" w:eastAsia="Times New Roman" w:hint="default"/>
        </w:rPr>
        <w:t>3</w:t>
      </w:r>
      <w:r>
        <w:rPr/>
        <w:t>）收到其他与筹资活动有关的现金</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17"/>
        <w:gridCol w:w="2515"/>
        <w:gridCol w:w="2522"/>
      </w:tblGrid>
      <w:tr>
        <w:trPr>
          <w:trHeight w:val="279" w:hRule="exact"/>
        </w:trPr>
        <w:tc>
          <w:tcPr>
            <w:tcW w:w="3317"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15" w:type="dxa"/>
            <w:tcBorders>
              <w:top w:val="nil" w:sz="6" w:space="0" w:color="auto"/>
              <w:left w:val="nil" w:sz="6" w:space="0" w:color="auto"/>
              <w:bottom w:val="single" w:sz="4" w:space="0" w:color="000000"/>
              <w:right w:val="nil" w:sz="6" w:space="0" w:color="auto"/>
            </w:tcBorders>
          </w:tcPr>
          <w:p>
            <w:pPr>
              <w:pStyle w:val="TableParagraph"/>
              <w:spacing w:line="199" w:lineRule="exact"/>
              <w:ind w:left="75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522" w:type="dxa"/>
            <w:tcBorders>
              <w:top w:val="nil" w:sz="6" w:space="0" w:color="auto"/>
              <w:left w:val="nil" w:sz="6" w:space="0" w:color="auto"/>
              <w:bottom w:val="single" w:sz="4" w:space="0" w:color="000000"/>
              <w:right w:val="nil" w:sz="6" w:space="0" w:color="auto"/>
            </w:tcBorders>
          </w:tcPr>
          <w:p>
            <w:pPr>
              <w:pStyle w:val="TableParagraph"/>
              <w:spacing w:line="199" w:lineRule="exact"/>
              <w:ind w:left="758"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74" w:hRule="exact"/>
        </w:trPr>
        <w:tc>
          <w:tcPr>
            <w:tcW w:w="331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股东投入款利息收入</w:t>
            </w:r>
          </w:p>
        </w:tc>
        <w:tc>
          <w:tcPr>
            <w:tcW w:w="2515" w:type="dxa"/>
            <w:tcBorders>
              <w:top w:val="single" w:sz="4" w:space="0" w:color="000000"/>
              <w:left w:val="nil" w:sz="6" w:space="0" w:color="auto"/>
              <w:bottom w:val="single" w:sz="4" w:space="0" w:color="000000"/>
              <w:right w:val="nil" w:sz="6" w:space="0" w:color="auto"/>
            </w:tcBorders>
          </w:tcPr>
          <w:p>
            <w:pPr/>
          </w:p>
        </w:tc>
        <w:tc>
          <w:tcPr>
            <w:tcW w:w="252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17"/>
              <w:jc w:val="right"/>
              <w:rPr>
                <w:rFonts w:ascii="Times New Roman" w:hAnsi="Times New Roman" w:cs="Times New Roman" w:eastAsia="Times New Roman" w:hint="default"/>
                <w:sz w:val="20"/>
                <w:szCs w:val="20"/>
              </w:rPr>
            </w:pPr>
            <w:r>
              <w:rPr>
                <w:rFonts w:ascii="Times New Roman"/>
                <w:sz w:val="20"/>
              </w:rPr>
              <w:t>73.02</w:t>
            </w:r>
          </w:p>
        </w:tc>
      </w:tr>
      <w:tr>
        <w:trPr>
          <w:trHeight w:val="372" w:hRule="exact"/>
        </w:trPr>
        <w:tc>
          <w:tcPr>
            <w:tcW w:w="3317" w:type="dxa"/>
            <w:tcBorders>
              <w:top w:val="nil" w:sz="6" w:space="0" w:color="auto"/>
              <w:left w:val="nil" w:sz="6" w:space="0" w:color="auto"/>
              <w:bottom w:val="nil" w:sz="6" w:space="0" w:color="auto"/>
              <w:right w:val="nil" w:sz="6" w:space="0" w:color="auto"/>
            </w:tcBorders>
          </w:tcPr>
          <w:p>
            <w:pPr>
              <w:pStyle w:val="TableParagraph"/>
              <w:tabs>
                <w:tab w:pos="506" w:val="left" w:leader="none"/>
              </w:tabs>
              <w:spacing w:line="240" w:lineRule="auto" w:before="13"/>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15" w:type="dxa"/>
            <w:tcBorders>
              <w:top w:val="single" w:sz="4" w:space="0" w:color="000000"/>
              <w:left w:val="nil" w:sz="6" w:space="0" w:color="auto"/>
              <w:bottom w:val="single" w:sz="17" w:space="0" w:color="000000"/>
              <w:right w:val="nil" w:sz="6" w:space="0" w:color="auto"/>
            </w:tcBorders>
          </w:tcPr>
          <w:p>
            <w:pPr/>
          </w:p>
        </w:tc>
        <w:tc>
          <w:tcPr>
            <w:tcW w:w="25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sz w:val="20"/>
              </w:rPr>
              <w:t>73.02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before="26"/>
        <w:ind w:left="620" w:right="0"/>
        <w:jc w:val="left"/>
      </w:pPr>
      <w:r>
        <w:rPr/>
        <w:t>（</w:t>
      </w:r>
      <w:r>
        <w:rPr>
          <w:rFonts w:ascii="Times New Roman" w:hAnsi="Times New Roman" w:cs="Times New Roman" w:eastAsia="Times New Roman" w:hint="default"/>
        </w:rPr>
        <w:t>4</w:t>
      </w:r>
      <w:r>
        <w:rPr/>
        <w:t>）支付其他与筹资活动有关的现金</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86"/>
        <w:gridCol w:w="2785"/>
        <w:gridCol w:w="2183"/>
      </w:tblGrid>
      <w:tr>
        <w:trPr>
          <w:trHeight w:val="279" w:hRule="exact"/>
        </w:trPr>
        <w:tc>
          <w:tcPr>
            <w:tcW w:w="3386" w:type="dxa"/>
            <w:tcBorders>
              <w:top w:val="nil" w:sz="6" w:space="0" w:color="auto"/>
              <w:left w:val="nil" w:sz="6" w:space="0" w:color="auto"/>
              <w:bottom w:val="single" w:sz="4" w:space="0" w:color="000000"/>
              <w:right w:val="nil" w:sz="6" w:space="0" w:color="auto"/>
            </w:tcBorders>
          </w:tcPr>
          <w:p>
            <w:pPr>
              <w:pStyle w:val="TableParagraph"/>
              <w:spacing w:line="199" w:lineRule="exact"/>
              <w:ind w:right="67"/>
              <w:jc w:val="center"/>
              <w:rPr>
                <w:rFonts w:ascii="宋体" w:hAnsi="宋体" w:cs="宋体" w:eastAsia="宋体" w:hint="default"/>
                <w:sz w:val="20"/>
                <w:szCs w:val="20"/>
              </w:rPr>
            </w:pPr>
            <w:r>
              <w:rPr>
                <w:rFonts w:ascii="宋体" w:hAnsi="宋体" w:cs="宋体" w:eastAsia="宋体" w:hint="default"/>
                <w:sz w:val="20"/>
                <w:szCs w:val="20"/>
              </w:rPr>
              <w:t>项目</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199" w:lineRule="exact"/>
              <w:ind w:left="688"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199" w:lineRule="exact"/>
              <w:ind w:left="418"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68" w:hRule="exact"/>
        </w:trPr>
        <w:tc>
          <w:tcPr>
            <w:tcW w:w="3386"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支付的上市费用</w:t>
            </w:r>
          </w:p>
        </w:tc>
        <w:tc>
          <w:tcPr>
            <w:tcW w:w="2785" w:type="dxa"/>
            <w:tcBorders>
              <w:top w:val="single" w:sz="4" w:space="0" w:color="000000"/>
              <w:left w:val="nil" w:sz="6" w:space="0" w:color="auto"/>
              <w:bottom w:val="nil" w:sz="6" w:space="0" w:color="auto"/>
              <w:right w:val="nil" w:sz="6" w:space="0" w:color="auto"/>
            </w:tcBorders>
          </w:tcPr>
          <w:p>
            <w:pP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7"/>
              <w:jc w:val="right"/>
              <w:rPr>
                <w:rFonts w:ascii="Times New Roman" w:hAnsi="Times New Roman" w:cs="Times New Roman" w:eastAsia="Times New Roman" w:hint="default"/>
                <w:sz w:val="20"/>
                <w:szCs w:val="20"/>
              </w:rPr>
            </w:pPr>
            <w:r>
              <w:rPr>
                <w:rFonts w:ascii="Times New Roman"/>
                <w:w w:val="95"/>
                <w:sz w:val="20"/>
              </w:rPr>
              <w:t>1,957,997.74</w:t>
            </w:r>
            <w:r>
              <w:rPr>
                <w:rFonts w:ascii="Times New Roman"/>
                <w:sz w:val="20"/>
              </w:rPr>
            </w:r>
          </w:p>
        </w:tc>
      </w:tr>
      <w:tr>
        <w:trPr>
          <w:trHeight w:val="361" w:hRule="exact"/>
        </w:trPr>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支付的发行费用</w:t>
            </w:r>
          </w:p>
        </w:tc>
        <w:tc>
          <w:tcPr>
            <w:tcW w:w="27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16"/>
              <w:jc w:val="right"/>
              <w:rPr>
                <w:rFonts w:ascii="Times New Roman" w:hAnsi="Times New Roman" w:cs="Times New Roman" w:eastAsia="Times New Roman" w:hint="default"/>
                <w:sz w:val="20"/>
                <w:szCs w:val="20"/>
              </w:rPr>
            </w:pPr>
            <w:r>
              <w:rPr>
                <w:rFonts w:ascii="Times New Roman"/>
                <w:w w:val="95"/>
                <w:sz w:val="20"/>
              </w:rPr>
              <w:t>3,709,000.00</w:t>
            </w:r>
            <w:r>
              <w:rPr>
                <w:rFonts w:ascii="Times New Roman"/>
                <w:sz w:val="20"/>
              </w:rPr>
            </w:r>
          </w:p>
        </w:tc>
        <w:tc>
          <w:tcPr>
            <w:tcW w:w="2183" w:type="dxa"/>
            <w:tcBorders>
              <w:top w:val="nil" w:sz="6" w:space="0" w:color="auto"/>
              <w:left w:val="nil" w:sz="6" w:space="0" w:color="auto"/>
              <w:bottom w:val="single" w:sz="4" w:space="0" w:color="000000"/>
              <w:right w:val="nil" w:sz="6" w:space="0" w:color="auto"/>
            </w:tcBorders>
          </w:tcPr>
          <w:p>
            <w:pPr/>
          </w:p>
        </w:tc>
      </w:tr>
      <w:tr>
        <w:trPr>
          <w:trHeight w:val="372" w:hRule="exact"/>
        </w:trPr>
        <w:tc>
          <w:tcPr>
            <w:tcW w:w="3386"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62"/>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416"/>
              <w:jc w:val="right"/>
              <w:rPr>
                <w:rFonts w:ascii="Times New Roman" w:hAnsi="Times New Roman" w:cs="Times New Roman" w:eastAsia="Times New Roman" w:hint="default"/>
                <w:sz w:val="20"/>
                <w:szCs w:val="20"/>
              </w:rPr>
            </w:pPr>
            <w:r>
              <w:rPr>
                <w:rFonts w:ascii="Times New Roman"/>
                <w:w w:val="95"/>
                <w:sz w:val="20"/>
              </w:rPr>
              <w:t>3,709,000.00</w:t>
            </w:r>
            <w:r>
              <w:rPr>
                <w:rFonts w:ascii="Times New Roman"/>
                <w:sz w:val="20"/>
              </w:rPr>
            </w:r>
          </w:p>
        </w:tc>
        <w:tc>
          <w:tcPr>
            <w:tcW w:w="21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w w:val="95"/>
                <w:sz w:val="20"/>
              </w:rPr>
              <w:t>1,957,997.74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35</w:t>
      </w:r>
      <w:r>
        <w:rPr/>
        <w:t>、现金流量表补充资料</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617" w:right="0"/>
        <w:jc w:val="left"/>
      </w:pPr>
      <w:r>
        <w:rPr/>
        <w:t>（</w:t>
      </w:r>
      <w:r>
        <w:rPr>
          <w:rFonts w:ascii="Times New Roman" w:hAnsi="Times New Roman" w:cs="Times New Roman" w:eastAsia="Times New Roman" w:hint="default"/>
        </w:rPr>
        <w:t>1</w:t>
      </w:r>
      <w:r>
        <w:rPr/>
        <w:t>）将净利润调节为经营活动现金流量的信息</w:t>
      </w:r>
    </w:p>
    <w:p>
      <w:pPr>
        <w:spacing w:line="240" w:lineRule="auto" w:before="9"/>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985"/>
        <w:gridCol w:w="211"/>
        <w:gridCol w:w="1851"/>
        <w:gridCol w:w="1253"/>
      </w:tblGrid>
      <w:tr>
        <w:trPr>
          <w:trHeight w:val="270" w:hRule="exact"/>
        </w:trPr>
        <w:tc>
          <w:tcPr>
            <w:tcW w:w="4985" w:type="dxa"/>
            <w:tcBorders>
              <w:top w:val="nil" w:sz="6" w:space="0" w:color="auto"/>
              <w:left w:val="nil" w:sz="6" w:space="0" w:color="auto"/>
              <w:bottom w:val="single" w:sz="4" w:space="0" w:color="000000"/>
              <w:right w:val="nil" w:sz="6" w:space="0" w:color="auto"/>
            </w:tcBorders>
          </w:tcPr>
          <w:p>
            <w:pPr>
              <w:pStyle w:val="TableParagraph"/>
              <w:spacing w:line="189" w:lineRule="exact"/>
              <w:ind w:left="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Style w:val="TableParagraph"/>
              <w:spacing w:line="199" w:lineRule="exact"/>
              <w:ind w:left="44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199" w:lineRule="exact"/>
              <w:ind w:left="167"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498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51,449,622.88</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41,251,152.95</w:t>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pacing w:val="-1"/>
                <w:sz w:val="18"/>
              </w:rPr>
              <w:t>1,641,127.57</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sz w:val="18"/>
              </w:rPr>
              <w:t>212,821.99</w:t>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pacing w:val="-1"/>
                <w:sz w:val="18"/>
              </w:rPr>
              <w:t>1,411,596.35</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sz w:val="18"/>
              </w:rPr>
              <w:t>427,476.04</w:t>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z w:val="18"/>
              </w:rPr>
              <w:t>282,000.00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
              <w:jc w:val="right"/>
              <w:rPr>
                <w:rFonts w:ascii="Times New Roman" w:hAnsi="Times New Roman" w:cs="Times New Roman" w:eastAsia="Times New Roman" w:hint="default"/>
                <w:sz w:val="18"/>
                <w:szCs w:val="18"/>
              </w:rPr>
            </w:pPr>
            <w:r>
              <w:rPr>
                <w:rFonts w:ascii="Times New Roman"/>
                <w:spacing w:val="-1"/>
                <w:sz w:val="18"/>
              </w:rPr>
              <w:t>70,500.00</w:t>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63,287.04</w:t>
            </w:r>
          </w:p>
        </w:tc>
        <w:tc>
          <w:tcPr>
            <w:tcW w:w="1253" w:type="dxa"/>
            <w:tcBorders>
              <w:top w:val="nil" w:sz="6" w:space="0" w:color="auto"/>
              <w:left w:val="nil" w:sz="6" w:space="0" w:color="auto"/>
              <w:bottom w:val="nil" w:sz="6" w:space="0" w:color="auto"/>
              <w:right w:val="nil" w:sz="6" w:space="0" w:color="auto"/>
            </w:tcBorders>
          </w:tcPr>
          <w:p>
            <w:pPr/>
          </w:p>
        </w:tc>
      </w:tr>
      <w:tr>
        <w:trPr>
          <w:trHeight w:val="662"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9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13,606.98</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5,361.21</w:t>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spacing w:val="-1"/>
                <w:sz w:val="18"/>
              </w:rPr>
              <w:t>2,545,900.00</w:t>
            </w:r>
            <w:r>
              <w:rPr>
                <w:rFonts w:ascii="Times New Roman"/>
                <w:sz w:val="18"/>
              </w:rPr>
            </w:r>
          </w:p>
        </w:tc>
      </w:tr>
      <w:tr>
        <w:trPr>
          <w:trHeight w:val="3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Times New Roman" w:hAnsi="Times New Roman" w:cs="Times New Roman" w:eastAsia="Times New Roman" w:hint="default"/>
                <w:sz w:val="18"/>
                <w:szCs w:val="18"/>
              </w:rPr>
            </w:pPr>
            <w:r>
              <w:rPr>
                <w:rFonts w:ascii="Times New Roman"/>
                <w:spacing w:val="-1"/>
                <w:sz w:val="18"/>
              </w:rPr>
              <w:t>-292,196.45</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w w:val="95"/>
                <w:sz w:val="18"/>
              </w:rPr>
              <w:t>-37,210.79</w:t>
            </w:r>
            <w:r>
              <w:rPr>
                <w:rFonts w:ascii="Times New Roman"/>
                <w:sz w:val="18"/>
              </w:rPr>
            </w:r>
          </w:p>
        </w:tc>
      </w:tr>
      <w:tr>
        <w:trPr>
          <w:trHeight w:val="263"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79" w:top="1380" w:bottom="1160" w:left="1660" w:right="1660"/>
        </w:sectPr>
      </w:pPr>
    </w:p>
    <w:tbl>
      <w:tblPr>
        <w:tblW w:w="0" w:type="auto"/>
        <w:jc w:val="left"/>
        <w:tblInd w:w="108" w:type="dxa"/>
        <w:tblLayout w:type="fixed"/>
        <w:tblCellMar>
          <w:top w:w="0" w:type="dxa"/>
          <w:left w:w="0" w:type="dxa"/>
          <w:bottom w:w="0" w:type="dxa"/>
          <w:right w:w="0" w:type="dxa"/>
        </w:tblCellMar>
        <w:tblLook w:val="01E0"/>
      </w:tblPr>
      <w:tblGrid>
        <w:gridCol w:w="4992"/>
        <w:gridCol w:w="211"/>
        <w:gridCol w:w="1851"/>
        <w:gridCol w:w="1315"/>
      </w:tblGrid>
      <w:tr>
        <w:trPr>
          <w:trHeight w:val="370" w:hRule="exact"/>
        </w:trPr>
        <w:tc>
          <w:tcPr>
            <w:tcW w:w="4992"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1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1" w:type="dxa"/>
            <w:tcBorders>
              <w:top w:val="single" w:sz="6" w:space="0" w:color="000000"/>
              <w:left w:val="nil" w:sz="6" w:space="0" w:color="auto"/>
              <w:bottom w:val="nil" w:sz="6" w:space="0" w:color="auto"/>
              <w:right w:val="nil" w:sz="6" w:space="0" w:color="auto"/>
            </w:tcBorders>
          </w:tcPr>
          <w:p>
            <w:pPr/>
          </w:p>
        </w:tc>
        <w:tc>
          <w:tcPr>
            <w:tcW w:w="1851"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44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315"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167"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499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66"/>
              <w:jc w:val="right"/>
              <w:rPr>
                <w:rFonts w:ascii="Times New Roman" w:hAnsi="Times New Roman" w:cs="Times New Roman" w:eastAsia="Times New Roman" w:hint="default"/>
                <w:sz w:val="18"/>
                <w:szCs w:val="18"/>
              </w:rPr>
            </w:pPr>
            <w:r>
              <w:rPr>
                <w:rFonts w:ascii="Times New Roman"/>
                <w:spacing w:val="-1"/>
                <w:sz w:val="18"/>
              </w:rPr>
              <w:t>-1,119,759.96</w:t>
            </w:r>
            <w:r>
              <w:rPr>
                <w:rFonts w:ascii="Times New Roman"/>
                <w:sz w:val="18"/>
              </w:rPr>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77"/>
              <w:jc w:val="right"/>
              <w:rPr>
                <w:rFonts w:ascii="Times New Roman" w:hAnsi="Times New Roman" w:cs="Times New Roman" w:eastAsia="Times New Roman" w:hint="default"/>
                <w:sz w:val="18"/>
                <w:szCs w:val="18"/>
              </w:rPr>
            </w:pPr>
            <w:r>
              <w:rPr>
                <w:rFonts w:ascii="Times New Roman"/>
                <w:sz w:val="18"/>
              </w:rPr>
              <w:t>935,712.97</w:t>
            </w: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2"/>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-19,105,621.09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
              <w:jc w:val="right"/>
              <w:rPr>
                <w:rFonts w:ascii="Times New Roman" w:hAnsi="Times New Roman" w:cs="Times New Roman" w:eastAsia="Times New Roman" w:hint="default"/>
                <w:sz w:val="18"/>
                <w:szCs w:val="18"/>
              </w:rPr>
            </w:pPr>
            <w:r>
              <w:rPr>
                <w:rFonts w:ascii="Times New Roman"/>
                <w:spacing w:val="-1"/>
                <w:sz w:val="18"/>
              </w:rPr>
              <w:t>-245,295.23</w:t>
            </w:r>
            <w:r>
              <w:rPr>
                <w:rFonts w:ascii="Times New Roman"/>
                <w:sz w:val="18"/>
              </w:rPr>
            </w: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2"/>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-19,580,429.45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
              <w:jc w:val="right"/>
              <w:rPr>
                <w:rFonts w:ascii="Times New Roman" w:hAnsi="Times New Roman" w:cs="Times New Roman" w:eastAsia="Times New Roman" w:hint="default"/>
                <w:sz w:val="18"/>
                <w:szCs w:val="18"/>
              </w:rPr>
            </w:pPr>
            <w:r>
              <w:rPr>
                <w:rFonts w:ascii="Times New Roman"/>
                <w:sz w:val="18"/>
              </w:rPr>
              <w:t>246,220.32</w:t>
            </w:r>
          </w:p>
        </w:tc>
      </w:tr>
      <w:tr>
        <w:trPr>
          <w:trHeight w:val="343"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
        </w:tc>
      </w:tr>
      <w:tr>
        <w:trPr>
          <w:trHeight w:val="353"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67"/>
              <w:jc w:val="right"/>
              <w:rPr>
                <w:rFonts w:ascii="Times New Roman" w:hAnsi="Times New Roman" w:cs="Times New Roman" w:eastAsia="Times New Roman" w:hint="default"/>
                <w:sz w:val="18"/>
                <w:szCs w:val="18"/>
              </w:rPr>
            </w:pPr>
            <w:r>
              <w:rPr>
                <w:rFonts w:ascii="Times New Roman"/>
                <w:spacing w:val="-1"/>
                <w:sz w:val="18"/>
              </w:rPr>
              <w:t>14,763,233.87</w:t>
            </w:r>
          </w:p>
        </w:tc>
        <w:tc>
          <w:tcPr>
            <w:tcW w:w="13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78"/>
              <w:jc w:val="right"/>
              <w:rPr>
                <w:rFonts w:ascii="Times New Roman" w:hAnsi="Times New Roman" w:cs="Times New Roman" w:eastAsia="Times New Roman" w:hint="default"/>
                <w:sz w:val="18"/>
                <w:szCs w:val="18"/>
              </w:rPr>
            </w:pPr>
            <w:r>
              <w:rPr>
                <w:rFonts w:ascii="Times New Roman"/>
                <w:spacing w:val="-1"/>
                <w:sz w:val="18"/>
              </w:rPr>
              <w:t>45,412,639.46</w:t>
            </w:r>
          </w:p>
        </w:tc>
      </w:tr>
      <w:tr>
        <w:trPr>
          <w:trHeight w:val="367"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single" w:sz="17" w:space="0" w:color="000000"/>
              <w:left w:val="nil" w:sz="6" w:space="0" w:color="auto"/>
              <w:bottom w:val="nil" w:sz="6" w:space="0" w:color="auto"/>
              <w:right w:val="nil" w:sz="6" w:space="0" w:color="auto"/>
            </w:tcBorders>
          </w:tcPr>
          <w:p>
            <w:pPr/>
          </w:p>
        </w:tc>
        <w:tc>
          <w:tcPr>
            <w:tcW w:w="1315" w:type="dxa"/>
            <w:tcBorders>
              <w:top w:val="single" w:sz="17" w:space="0" w:color="000000"/>
              <w:left w:val="nil" w:sz="6" w:space="0" w:color="auto"/>
              <w:bottom w:val="nil" w:sz="6" w:space="0" w:color="auto"/>
              <w:right w:val="nil" w:sz="6" w:space="0" w:color="auto"/>
            </w:tcBorders>
          </w:tcPr>
          <w:p>
            <w:pPr/>
          </w:p>
        </w:tc>
      </w:tr>
      <w:tr>
        <w:trPr>
          <w:trHeight w:val="331"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41"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pacing w:val="-1"/>
                <w:sz w:val="18"/>
              </w:rPr>
              <w:t>774,570,706.59</w:t>
            </w:r>
            <w:r>
              <w:rPr>
                <w:rFonts w:ascii="Times New Roman"/>
                <w:sz w:val="18"/>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8"/>
                <w:szCs w:val="18"/>
              </w:rPr>
            </w:pPr>
            <w:r>
              <w:rPr>
                <w:rFonts w:ascii="Times New Roman"/>
                <w:spacing w:val="-1"/>
                <w:sz w:val="18"/>
              </w:rPr>
              <w:t>96,073,116.01</w:t>
            </w:r>
          </w:p>
        </w:tc>
      </w:tr>
      <w:tr>
        <w:trPr>
          <w:trHeight w:val="33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8"/>
                <w:szCs w:val="18"/>
              </w:rPr>
            </w:pPr>
            <w:r>
              <w:rPr>
                <w:rFonts w:ascii="Times New Roman"/>
                <w:spacing w:val="-1"/>
                <w:sz w:val="18"/>
              </w:rPr>
              <w:t>96,073,116.01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8"/>
                <w:szCs w:val="18"/>
              </w:rPr>
            </w:pPr>
            <w:r>
              <w:rPr>
                <w:rFonts w:ascii="Times New Roman"/>
                <w:spacing w:val="-1"/>
                <w:sz w:val="18"/>
              </w:rPr>
              <w:t>76,125,863.45</w:t>
            </w:r>
          </w:p>
        </w:tc>
      </w:tr>
      <w:tr>
        <w:trPr>
          <w:trHeight w:val="331"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r>
      <w:tr>
        <w:trPr>
          <w:trHeight w:val="348"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
        </w:tc>
      </w:tr>
      <w:tr>
        <w:trPr>
          <w:trHeight w:val="353"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1"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65"/>
              <w:jc w:val="right"/>
              <w:rPr>
                <w:rFonts w:ascii="Times New Roman" w:hAnsi="Times New Roman" w:cs="Times New Roman" w:eastAsia="Times New Roman" w:hint="default"/>
                <w:sz w:val="18"/>
                <w:szCs w:val="18"/>
              </w:rPr>
            </w:pPr>
            <w:r>
              <w:rPr>
                <w:rFonts w:ascii="Times New Roman"/>
                <w:spacing w:val="-1"/>
                <w:sz w:val="18"/>
              </w:rPr>
              <w:t>678,497,590.58</w:t>
            </w:r>
            <w:r>
              <w:rPr>
                <w:rFonts w:ascii="Times New Roman"/>
                <w:sz w:val="18"/>
              </w:rPr>
            </w:r>
          </w:p>
        </w:tc>
        <w:tc>
          <w:tcPr>
            <w:tcW w:w="13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78"/>
              <w:jc w:val="right"/>
              <w:rPr>
                <w:rFonts w:ascii="Times New Roman" w:hAnsi="Times New Roman" w:cs="Times New Roman" w:eastAsia="Times New Roman" w:hint="default"/>
                <w:sz w:val="18"/>
                <w:szCs w:val="18"/>
              </w:rPr>
            </w:pPr>
            <w:r>
              <w:rPr>
                <w:rFonts w:ascii="Times New Roman"/>
                <w:spacing w:val="-1"/>
                <w:sz w:val="18"/>
              </w:rPr>
              <w:t>19,947,252.56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26"/>
        <w:ind w:left="562" w:right="0"/>
        <w:jc w:val="left"/>
      </w:pPr>
      <w:r>
        <w:rPr/>
        <w:t>（</w:t>
      </w:r>
      <w:r>
        <w:rPr>
          <w:rFonts w:ascii="宋体" w:hAnsi="宋体" w:cs="宋体" w:eastAsia="宋体" w:hint="default"/>
        </w:rPr>
        <w:t>2</w:t>
      </w:r>
      <w:r>
        <w:rPr/>
        <w:t>）现金及现金等价物的构成</w:t>
      </w:r>
    </w:p>
    <w:p>
      <w:pPr>
        <w:spacing w:line="240" w:lineRule="auto" w:before="1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968"/>
        <w:gridCol w:w="2851"/>
        <w:gridCol w:w="1525"/>
      </w:tblGrid>
      <w:tr>
        <w:trPr>
          <w:trHeight w:val="272" w:hRule="exact"/>
        </w:trPr>
        <w:tc>
          <w:tcPr>
            <w:tcW w:w="3968" w:type="dxa"/>
            <w:tcBorders>
              <w:top w:val="nil" w:sz="6" w:space="0" w:color="auto"/>
              <w:left w:val="nil" w:sz="6" w:space="0" w:color="auto"/>
              <w:bottom w:val="single" w:sz="4" w:space="0" w:color="000000"/>
              <w:right w:val="nil" w:sz="6" w:space="0" w:color="auto"/>
            </w:tcBorders>
          </w:tcPr>
          <w:p>
            <w:pPr>
              <w:pStyle w:val="TableParagraph"/>
              <w:tabs>
                <w:tab w:pos="2493" w:val="left" w:leader="none"/>
              </w:tabs>
              <w:spacing w:line="199" w:lineRule="exact"/>
              <w:ind w:left="199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51" w:type="dxa"/>
            <w:tcBorders>
              <w:top w:val="nil" w:sz="6" w:space="0" w:color="auto"/>
              <w:left w:val="nil" w:sz="6" w:space="0" w:color="auto"/>
              <w:bottom w:val="single" w:sz="4" w:space="0" w:color="000000"/>
              <w:right w:val="nil" w:sz="6" w:space="0" w:color="auto"/>
            </w:tcBorders>
          </w:tcPr>
          <w:p>
            <w:pPr>
              <w:pStyle w:val="TableParagraph"/>
              <w:spacing w:line="199" w:lineRule="exact"/>
              <w:ind w:left="1275"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525" w:type="dxa"/>
            <w:tcBorders>
              <w:top w:val="nil" w:sz="6" w:space="0" w:color="auto"/>
              <w:left w:val="nil" w:sz="6" w:space="0" w:color="auto"/>
              <w:bottom w:val="single" w:sz="4" w:space="0" w:color="000000"/>
              <w:right w:val="nil" w:sz="6" w:space="0" w:color="auto"/>
            </w:tcBorders>
          </w:tcPr>
          <w:p>
            <w:pPr>
              <w:pStyle w:val="TableParagraph"/>
              <w:spacing w:line="199" w:lineRule="exact"/>
              <w:ind w:left="250"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396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28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8"/>
              <w:jc w:val="right"/>
              <w:rPr>
                <w:rFonts w:ascii="Times New Roman" w:hAnsi="Times New Roman" w:cs="Times New Roman" w:eastAsia="Times New Roman" w:hint="default"/>
                <w:sz w:val="18"/>
                <w:szCs w:val="18"/>
              </w:rPr>
            </w:pPr>
            <w:r>
              <w:rPr>
                <w:rFonts w:ascii="Times New Roman"/>
                <w:spacing w:val="-1"/>
                <w:sz w:val="18"/>
              </w:rPr>
              <w:t>774,570,706.59</w:t>
            </w:r>
            <w:r>
              <w:rPr>
                <w:rFonts w:ascii="Times New Roman"/>
                <w:sz w:val="18"/>
              </w:rPr>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3"/>
              <w:jc w:val="right"/>
              <w:rPr>
                <w:rFonts w:ascii="Times New Roman" w:hAnsi="Times New Roman" w:cs="Times New Roman" w:eastAsia="Times New Roman" w:hint="default"/>
                <w:sz w:val="18"/>
                <w:szCs w:val="18"/>
              </w:rPr>
            </w:pPr>
            <w:r>
              <w:rPr>
                <w:rFonts w:ascii="Times New Roman"/>
                <w:spacing w:val="-1"/>
                <w:sz w:val="18"/>
              </w:rPr>
              <w:t>96,073,116.01</w:t>
            </w: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1"/>
              <w:jc w:val="right"/>
              <w:rPr>
                <w:rFonts w:ascii="Times New Roman" w:hAnsi="Times New Roman" w:cs="Times New Roman" w:eastAsia="Times New Roman" w:hint="default"/>
                <w:sz w:val="18"/>
                <w:szCs w:val="18"/>
              </w:rPr>
            </w:pPr>
            <w:r>
              <w:rPr>
                <w:rFonts w:ascii="Times New Roman"/>
                <w:spacing w:val="-1"/>
                <w:sz w:val="18"/>
              </w:rPr>
              <w:t>463.63</w:t>
            </w:r>
            <w:r>
              <w:rPr>
                <w:rFonts w:ascii="Times New Roman"/>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spacing w:val="-1"/>
                <w:sz w:val="18"/>
              </w:rPr>
              <w:t>649.98</w:t>
            </w:r>
            <w:r>
              <w:rPr>
                <w:rFonts w:ascii="Times New Roman"/>
                <w:sz w:val="18"/>
              </w:rPr>
            </w: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8"/>
              <w:jc w:val="right"/>
              <w:rPr>
                <w:rFonts w:ascii="Times New Roman" w:hAnsi="Times New Roman" w:cs="Times New Roman" w:eastAsia="Times New Roman" w:hint="default"/>
                <w:sz w:val="18"/>
                <w:szCs w:val="18"/>
              </w:rPr>
            </w:pPr>
            <w:r>
              <w:rPr>
                <w:rFonts w:ascii="Times New Roman"/>
                <w:spacing w:val="-1"/>
                <w:sz w:val="18"/>
              </w:rPr>
              <w:t>774,570,242.96</w:t>
            </w:r>
            <w:r>
              <w:rPr>
                <w:rFonts w:ascii="Times New Roman"/>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right"/>
              <w:rPr>
                <w:rFonts w:ascii="Times New Roman" w:hAnsi="Times New Roman" w:cs="Times New Roman" w:eastAsia="Times New Roman" w:hint="default"/>
                <w:sz w:val="18"/>
                <w:szCs w:val="18"/>
              </w:rPr>
            </w:pPr>
            <w:r>
              <w:rPr>
                <w:rFonts w:ascii="Times New Roman"/>
                <w:spacing w:val="-1"/>
                <w:sz w:val="18"/>
              </w:rPr>
              <w:t>96,072,466.03</w:t>
            </w:r>
          </w:p>
        </w:tc>
      </w:tr>
      <w:tr>
        <w:trPr>
          <w:trHeight w:val="331"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9"/>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9"/>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 w:right="0"/>
              <w:jc w:val="left"/>
              <w:rPr>
                <w:rFonts w:ascii="宋体" w:hAnsi="宋体" w:cs="宋体" w:eastAsia="宋体" w:hint="default"/>
                <w:sz w:val="18"/>
                <w:szCs w:val="18"/>
              </w:rPr>
            </w:pPr>
            <w:r>
              <w:rPr>
                <w:rFonts w:ascii="宋体" w:hAnsi="宋体" w:cs="宋体" w:eastAsia="宋体" w:hint="default"/>
                <w:b/>
                <w:bCs/>
                <w:sz w:val="18"/>
                <w:szCs w:val="18"/>
              </w:rPr>
              <w:t>二、现金等价物</w:t>
            </w:r>
            <w:r>
              <w:rPr>
                <w:rFonts w:ascii="宋体" w:hAnsi="宋体" w:cs="宋体" w:eastAsia="宋体" w:hint="default"/>
                <w:sz w:val="18"/>
                <w:szCs w:val="18"/>
              </w:rPr>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336"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851"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268" w:hRule="exact"/>
        </w:trPr>
        <w:tc>
          <w:tcPr>
            <w:tcW w:w="39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8"/>
              <w:jc w:val="right"/>
              <w:rPr>
                <w:rFonts w:ascii="Times New Roman" w:hAnsi="Times New Roman" w:cs="Times New Roman" w:eastAsia="Times New Roman" w:hint="default"/>
                <w:sz w:val="18"/>
                <w:szCs w:val="18"/>
              </w:rPr>
            </w:pPr>
            <w:r>
              <w:rPr>
                <w:rFonts w:ascii="Times New Roman"/>
                <w:spacing w:val="-1"/>
                <w:sz w:val="18"/>
              </w:rPr>
              <w:t>774,570,706.59</w:t>
            </w:r>
            <w:r>
              <w:rPr>
                <w:rFonts w:ascii="Times New Roman"/>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96,073,116.01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432" w:lineRule="auto"/>
        <w:ind w:left="617" w:right="4576"/>
        <w:jc w:val="left"/>
        <w:rPr>
          <w:rFonts w:ascii="宋体" w:hAnsi="宋体" w:cs="宋体" w:eastAsia="宋体" w:hint="default"/>
          <w:b w:val="0"/>
          <w:bCs w:val="0"/>
        </w:rPr>
      </w:pPr>
      <w:r>
        <w:rPr/>
        <w:t>八、资产证券化业务的会计处理</w:t>
      </w:r>
      <w:r>
        <w:rPr>
          <w:w w:val="99"/>
        </w:rPr>
        <w:t> </w:t>
      </w:r>
      <w:r>
        <w:rPr>
          <w:rFonts w:ascii="宋体" w:hAnsi="宋体" w:cs="宋体" w:eastAsia="宋体" w:hint="default"/>
          <w:b w:val="0"/>
          <w:bCs w:val="0"/>
        </w:rPr>
        <w:t>无。</w:t>
      </w:r>
    </w:p>
    <w:p>
      <w:pPr>
        <w:spacing w:before="55"/>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九、关联方及关联交易</w:t>
      </w:r>
      <w:r>
        <w:rPr>
          <w:rFonts w:ascii="宋体" w:hAnsi="宋体" w:cs="宋体" w:eastAsia="宋体" w:hint="default"/>
          <w:sz w:val="24"/>
          <w:szCs w:val="24"/>
        </w:rPr>
      </w:r>
    </w:p>
    <w:p>
      <w:pPr>
        <w:spacing w:line="240" w:lineRule="auto" w:before="1"/>
        <w:rPr>
          <w:rFonts w:ascii="宋体" w:hAnsi="宋体" w:cs="宋体" w:eastAsia="宋体" w:hint="default"/>
          <w:b/>
          <w:bCs/>
          <w:sz w:val="19"/>
          <w:szCs w:val="19"/>
        </w:rPr>
      </w:pPr>
    </w:p>
    <w:p>
      <w:pPr>
        <w:pStyle w:val="BodyText"/>
        <w:spacing w:line="240" w:lineRule="auto"/>
        <w:ind w:left="617" w:right="0"/>
        <w:jc w:val="left"/>
      </w:pPr>
      <w:r>
        <w:rPr>
          <w:rFonts w:ascii="Times New Roman" w:hAnsi="Times New Roman" w:cs="Times New Roman" w:eastAsia="Times New Roman" w:hint="default"/>
        </w:rPr>
        <w:t>1</w:t>
      </w:r>
      <w:r>
        <w:rPr/>
        <w:t>、本公司实际控制人情况</w:t>
      </w:r>
    </w:p>
    <w:p>
      <w:pPr>
        <w:spacing w:after="0" w:line="240" w:lineRule="auto"/>
        <w:jc w:val="left"/>
        <w:sectPr>
          <w:pgSz w:w="11910" w:h="16840"/>
          <w:pgMar w:header="850" w:footer="979" w:top="1380" w:bottom="1160" w:left="1660" w:right="1660"/>
        </w:sectPr>
      </w:pPr>
    </w:p>
    <w:p>
      <w:pPr>
        <w:spacing w:line="20" w:lineRule="exact"/>
        <w:ind w:left="441" w:right="0" w:firstLine="0"/>
        <w:rPr>
          <w:rFonts w:ascii="宋体" w:hAnsi="宋体" w:cs="宋体" w:eastAsia="宋体" w:hint="default"/>
          <w:sz w:val="2"/>
          <w:szCs w:val="2"/>
        </w:rPr>
      </w:pPr>
      <w:r>
        <w:rPr>
          <w:rFonts w:ascii="宋体" w:hAnsi="宋体" w:cs="宋体" w:eastAsia="宋体"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宋体" w:hAnsi="宋体" w:cs="宋体" w:eastAsia="宋体" w:hint="default"/>
          <w:sz w:val="2"/>
          <w:szCs w:val="2"/>
        </w:rPr>
      </w:r>
    </w:p>
    <w:p>
      <w:pPr>
        <w:pStyle w:val="BodyText"/>
        <w:spacing w:line="290" w:lineRule="auto" w:before="73"/>
        <w:ind w:left="477" w:right="530" w:firstLine="480"/>
        <w:jc w:val="left"/>
      </w:pPr>
      <w:r>
        <w:rPr/>
        <w:t>本公司股东吴强华为实际控制人，持有公司</w:t>
      </w:r>
      <w:r>
        <w:rPr>
          <w:spacing w:val="-61"/>
        </w:rPr>
        <w:t> </w:t>
      </w:r>
      <w:r>
        <w:rPr>
          <w:rFonts w:ascii="Times New Roman" w:hAnsi="Times New Roman" w:cs="Times New Roman" w:eastAsia="Times New Roman" w:hint="default"/>
        </w:rPr>
        <w:t>32.82%</w:t>
      </w:r>
      <w:r>
        <w:rPr/>
        <w:t>的股权，对本公司的表 决权比例为</w:t>
      </w:r>
      <w:r>
        <w:rPr>
          <w:spacing w:val="-61"/>
        </w:rPr>
        <w:t> </w:t>
      </w:r>
      <w:r>
        <w:rPr>
          <w:rFonts w:ascii="Times New Roman" w:hAnsi="Times New Roman" w:cs="Times New Roman" w:eastAsia="Times New Roman" w:hint="default"/>
        </w:rPr>
        <w:t>32.82%</w:t>
      </w:r>
      <w:r>
        <w:rPr/>
        <w:t>。</w:t>
      </w:r>
    </w:p>
    <w:p>
      <w:pPr>
        <w:pStyle w:val="BodyText"/>
        <w:spacing w:line="405" w:lineRule="auto" w:before="173"/>
        <w:ind w:left="957" w:right="5289"/>
        <w:jc w:val="left"/>
      </w:pPr>
      <w:r>
        <w:rPr/>
        <w:pict>
          <v:shape style="position:absolute;margin-left:73.559998pt;margin-top:86.946274pt;width:448.2pt;height:28.4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0"/>
                    <w:gridCol w:w="785"/>
                    <w:gridCol w:w="2040"/>
                    <w:gridCol w:w="888"/>
                    <w:gridCol w:w="2081"/>
                  </w:tblGrid>
                  <w:tr>
                    <w:trPr>
                      <w:trHeight w:val="286" w:hRule="exact"/>
                    </w:trPr>
                    <w:tc>
                      <w:tcPr>
                        <w:tcW w:w="3170"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其他关联方名称</w:t>
                        </w:r>
                      </w:p>
                    </w:tc>
                    <w:tc>
                      <w:tcPr>
                        <w:tcW w:w="78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888"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199" w:lineRule="exact"/>
                          <w:ind w:left="439" w:right="0"/>
                          <w:jc w:val="left"/>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282" w:hRule="exact"/>
                    </w:trPr>
                    <w:tc>
                      <w:tcPr>
                        <w:tcW w:w="317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许欣</w:t>
                        </w:r>
                      </w:p>
                    </w:tc>
                    <w:tc>
                      <w:tcPr>
                        <w:tcW w:w="785"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2"/>
                          <w:jc w:val="center"/>
                          <w:rPr>
                            <w:rFonts w:ascii="宋体" w:hAnsi="宋体" w:cs="宋体" w:eastAsia="宋体" w:hint="default"/>
                            <w:sz w:val="20"/>
                            <w:szCs w:val="20"/>
                          </w:rPr>
                        </w:pPr>
                        <w:r>
                          <w:rPr>
                            <w:rFonts w:ascii="宋体" w:hAnsi="宋体" w:cs="宋体" w:eastAsia="宋体" w:hint="default"/>
                            <w:sz w:val="20"/>
                            <w:szCs w:val="20"/>
                          </w:rPr>
                          <w:t>本公司员工</w:t>
                        </w:r>
                      </w:p>
                    </w:tc>
                    <w:tc>
                      <w:tcPr>
                        <w:tcW w:w="888"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2</w:t>
      </w:r>
      <w:r>
        <w:rPr/>
        <w:t>、本公司的子公司 详见附注六、</w:t>
      </w:r>
      <w:r>
        <w:rPr>
          <w:rFonts w:ascii="Times New Roman" w:hAnsi="Times New Roman" w:cs="Times New Roman" w:eastAsia="Times New Roman" w:hint="default"/>
        </w:rPr>
        <w:t>1</w:t>
      </w:r>
      <w:r>
        <w:rPr/>
        <w:t>、子公司情况 </w:t>
      </w:r>
      <w:r>
        <w:rPr>
          <w:rFonts w:ascii="Times New Roman" w:hAnsi="Times New Roman" w:cs="Times New Roman" w:eastAsia="Times New Roman" w:hint="default"/>
        </w:rPr>
        <w:t>3</w:t>
      </w:r>
      <w:r>
        <w:rPr/>
        <w:t>、本公司的其他关联方情况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405" w:lineRule="auto" w:before="26"/>
        <w:ind w:left="957" w:right="6369" w:firstLine="2"/>
        <w:jc w:val="left"/>
      </w:pPr>
      <w:r>
        <w:rPr>
          <w:rFonts w:ascii="Times New Roman" w:hAnsi="Times New Roman" w:cs="Times New Roman" w:eastAsia="Times New Roman" w:hint="default"/>
        </w:rPr>
        <w:t>4</w:t>
      </w:r>
      <w:r>
        <w:rPr/>
        <w:t>、其他关联交易 关键管理人员报酬</w:t>
      </w:r>
    </w:p>
    <w:tbl>
      <w:tblPr>
        <w:tblW w:w="0" w:type="auto"/>
        <w:jc w:val="left"/>
        <w:tblInd w:w="362" w:type="dxa"/>
        <w:tblLayout w:type="fixed"/>
        <w:tblCellMar>
          <w:top w:w="0" w:type="dxa"/>
          <w:left w:w="0" w:type="dxa"/>
          <w:bottom w:w="0" w:type="dxa"/>
          <w:right w:w="0" w:type="dxa"/>
        </w:tblCellMar>
        <w:tblLook w:val="01E0"/>
      </w:tblPr>
      <w:tblGrid>
        <w:gridCol w:w="4421"/>
        <w:gridCol w:w="122"/>
        <w:gridCol w:w="1903"/>
        <w:gridCol w:w="115"/>
        <w:gridCol w:w="1889"/>
      </w:tblGrid>
      <w:tr>
        <w:trPr>
          <w:trHeight w:val="325" w:hRule="exact"/>
        </w:trPr>
        <w:tc>
          <w:tcPr>
            <w:tcW w:w="4421" w:type="dxa"/>
            <w:tcBorders>
              <w:top w:val="nil" w:sz="6" w:space="0" w:color="auto"/>
              <w:left w:val="nil" w:sz="6" w:space="0" w:color="auto"/>
              <w:bottom w:val="single" w:sz="4" w:space="0" w:color="000000"/>
              <w:right w:val="nil" w:sz="6" w:space="0" w:color="auto"/>
            </w:tcBorders>
          </w:tcPr>
          <w:p>
            <w:pPr>
              <w:pStyle w:val="TableParagraph"/>
              <w:spacing w:line="199" w:lineRule="exact"/>
              <w:ind w:left="88" w:right="0"/>
              <w:jc w:val="center"/>
              <w:rPr>
                <w:rFonts w:ascii="宋体" w:hAnsi="宋体" w:cs="宋体" w:eastAsia="宋体" w:hint="default"/>
                <w:sz w:val="20"/>
                <w:szCs w:val="20"/>
              </w:rPr>
            </w:pPr>
            <w:r>
              <w:rPr>
                <w:rFonts w:ascii="宋体" w:hAnsi="宋体" w:cs="宋体" w:eastAsia="宋体" w:hint="default"/>
                <w:sz w:val="20"/>
                <w:szCs w:val="20"/>
              </w:rPr>
              <w:t>年度报酬区间</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上期数</w:t>
            </w:r>
          </w:p>
        </w:tc>
      </w:tr>
      <w:tr>
        <w:trPr>
          <w:trHeight w:val="474" w:hRule="exact"/>
        </w:trPr>
        <w:tc>
          <w:tcPr>
            <w:tcW w:w="442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20"/>
                <w:szCs w:val="20"/>
              </w:rPr>
            </w:pPr>
            <w:r>
              <w:rPr>
                <w:rFonts w:ascii="宋体" w:hAnsi="宋体" w:cs="宋体" w:eastAsia="宋体" w:hint="default"/>
                <w:sz w:val="20"/>
                <w:szCs w:val="20"/>
              </w:rPr>
              <w:t>总额</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4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250.90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44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124.30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r>
      <w:tr>
        <w:trPr>
          <w:trHeight w:val="460" w:hRule="exact"/>
        </w:trPr>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2" w:right="0"/>
              <w:jc w:val="left"/>
              <w:rPr>
                <w:rFonts w:ascii="宋体" w:hAnsi="宋体" w:cs="宋体" w:eastAsia="宋体" w:hint="default"/>
                <w:sz w:val="20"/>
                <w:szCs w:val="20"/>
              </w:rPr>
            </w:pPr>
            <w:r>
              <w:rPr>
                <w:rFonts w:ascii="宋体" w:hAnsi="宋体" w:cs="宋体" w:eastAsia="宋体" w:hint="default"/>
                <w:sz w:val="20"/>
                <w:szCs w:val="20"/>
              </w:rPr>
              <w:t>其中：（各金额区间人数）</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r>
      <w:tr>
        <w:trPr>
          <w:trHeight w:val="470" w:hRule="exact"/>
        </w:trPr>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万元以上</w:t>
            </w:r>
            <w:r>
              <w:rPr>
                <w:rFonts w:ascii="Times New Roman" w:hAnsi="Times New Roman" w:cs="Times New Roman" w:eastAsia="Times New Roman" w:hint="default"/>
                <w:sz w:val="20"/>
                <w:szCs w:val="20"/>
              </w:rPr>
              <w:t>]</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4" w:hRule="exact"/>
        </w:trPr>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[15</w:t>
            </w:r>
            <w:r>
              <w:rPr>
                <w:rFonts w:ascii="宋体" w:hAnsi="宋体" w:cs="宋体" w:eastAsia="宋体" w:hint="default"/>
                <w:sz w:val="20"/>
                <w:szCs w:val="20"/>
              </w:rPr>
              <w:t>～</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466" w:hRule="exact"/>
        </w:trPr>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38" w:hRule="exact"/>
        </w:trPr>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万元以下</w:t>
            </w:r>
            <w:r>
              <w:rPr>
                <w:rFonts w:ascii="Times New Roman" w:hAnsi="Times New Roman" w:cs="Times New Roman" w:eastAsia="Times New Roman" w:hint="default"/>
                <w:sz w:val="20"/>
                <w:szCs w:val="20"/>
              </w:rPr>
              <w:t>]</w:t>
            </w:r>
          </w:p>
        </w:tc>
        <w:tc>
          <w:tcPr>
            <w:tcW w:w="122"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0" w:footer="979" w:top="1380" w:bottom="1160" w:left="1320" w:right="1320"/>
        </w:sectPr>
      </w:pPr>
    </w:p>
    <w:p>
      <w:pPr>
        <w:pStyle w:val="BodyText"/>
        <w:spacing w:line="240" w:lineRule="auto" w:before="26"/>
        <w:ind w:left="960" w:right="-20"/>
        <w:jc w:val="left"/>
      </w:pPr>
      <w:r>
        <w:rPr>
          <w:rFonts w:ascii="Times New Roman" w:hAnsi="Times New Roman" w:cs="Times New Roman" w:eastAsia="Times New Roman" w:hint="default"/>
        </w:rPr>
        <w:t>5</w:t>
      </w:r>
      <w:r>
        <w:rPr/>
        <w:t>、关联方应收应付款项</w:t>
      </w:r>
    </w:p>
    <w:p>
      <w:pPr>
        <w:spacing w:before="197"/>
        <w:ind w:left="1526" w:right="-20" w:firstLine="0"/>
        <w:jc w:val="left"/>
        <w:rPr>
          <w:rFonts w:ascii="宋体" w:hAnsi="宋体" w:cs="宋体" w:eastAsia="宋体" w:hint="default"/>
          <w:sz w:val="20"/>
          <w:szCs w:val="20"/>
        </w:rPr>
      </w:pPr>
      <w:r>
        <w:rPr>
          <w:rFonts w:ascii="宋体" w:hAnsi="宋体" w:cs="宋体" w:eastAsia="宋体" w:hint="default"/>
          <w:sz w:val="20"/>
          <w:szCs w:val="20"/>
        </w:rPr>
        <w:t>项目名称</w:t>
      </w:r>
    </w:p>
    <w:p>
      <w:pPr>
        <w:spacing w:line="240" w:lineRule="auto" w:before="11"/>
        <w:rPr>
          <w:rFonts w:ascii="宋体" w:hAnsi="宋体" w:cs="宋体" w:eastAsia="宋体" w:hint="default"/>
          <w:sz w:val="17"/>
          <w:szCs w:val="17"/>
        </w:rPr>
      </w:pPr>
    </w:p>
    <w:p>
      <w:pPr>
        <w:spacing w:line="20" w:lineRule="exact"/>
        <w:ind w:left="115" w:right="-310" w:firstLine="0"/>
        <w:rPr>
          <w:rFonts w:ascii="宋体" w:hAnsi="宋体" w:cs="宋体" w:eastAsia="宋体" w:hint="default"/>
          <w:sz w:val="2"/>
          <w:szCs w:val="2"/>
        </w:rPr>
      </w:pPr>
      <w:r>
        <w:rPr>
          <w:rFonts w:ascii="宋体" w:hAnsi="宋体" w:cs="宋体" w:eastAsia="宋体" w:hint="default"/>
          <w:sz w:val="2"/>
          <w:szCs w:val="2"/>
        </w:rPr>
        <w:pict>
          <v:group style="width:181.2pt;height:.5pt;mso-position-horizontal-relative:char;mso-position-vertical-relative:line" coordorigin="0,0" coordsize="3624,10">
            <v:group style="position:absolute;left:5;top:5;width:3615;height:2" coordorigin="5,5" coordsize="3615,2">
              <v:shape style="position:absolute;left:5;top:5;width:3615;height:2" coordorigin="5,5" coordsize="3615,0" path="m5,5l3619,5e" filled="false" stroked="true" strokeweight=".48pt" strokecolor="#000000">
                <v:path arrowok="t"/>
              </v:shape>
            </v:group>
          </v:group>
        </w:pict>
      </w:r>
      <w:r>
        <w:rPr>
          <w:rFonts w:ascii="宋体" w:hAnsi="宋体" w:cs="宋体" w:eastAsia="宋体" w:hint="default"/>
          <w:sz w:val="2"/>
          <w:szCs w:val="2"/>
        </w:rPr>
      </w:r>
    </w:p>
    <w:p>
      <w:pPr>
        <w:spacing w:before="8"/>
        <w:ind w:left="146" w:right="-20" w:firstLine="0"/>
        <w:jc w:val="left"/>
        <w:rPr>
          <w:rFonts w:ascii="宋体" w:hAnsi="宋体" w:cs="宋体" w:eastAsia="宋体" w:hint="default"/>
          <w:sz w:val="20"/>
          <w:szCs w:val="20"/>
        </w:rPr>
      </w:pPr>
      <w:r>
        <w:rPr>
          <w:rFonts w:ascii="宋体" w:hAnsi="宋体" w:cs="宋体" w:eastAsia="宋体" w:hint="default"/>
          <w:sz w:val="20"/>
          <w:szCs w:val="20"/>
        </w:rPr>
        <w:t>其他应收款：</w:t>
      </w:r>
    </w:p>
    <w:p>
      <w:pPr>
        <w:spacing w:line="240" w:lineRule="auto" w:before="8"/>
        <w:rPr>
          <w:rFonts w:ascii="宋体" w:hAnsi="宋体" w:cs="宋体" w:eastAsia="宋体" w:hint="default"/>
          <w:sz w:val="29"/>
          <w:szCs w:val="29"/>
        </w:rPr>
      </w:pPr>
      <w:r>
        <w:rPr/>
        <w:br w:type="column"/>
      </w:r>
      <w:r>
        <w:rPr>
          <w:rFonts w:ascii="宋体"/>
          <w:sz w:val="29"/>
        </w:rPr>
      </w:r>
    </w:p>
    <w:p>
      <w:pPr>
        <w:tabs>
          <w:tab w:pos="2723" w:val="left" w:leader="none"/>
        </w:tabs>
        <w:spacing w:before="0"/>
        <w:ind w:left="0" w:right="357" w:firstLine="0"/>
        <w:jc w:val="center"/>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line="240" w:lineRule="auto" w:before="0"/>
        <w:rPr>
          <w:rFonts w:ascii="宋体" w:hAnsi="宋体" w:cs="宋体" w:eastAsia="宋体" w:hint="default"/>
          <w:sz w:val="5"/>
          <w:szCs w:val="5"/>
        </w:rPr>
      </w:pPr>
    </w:p>
    <w:p>
      <w:pPr>
        <w:spacing w:line="20" w:lineRule="exact"/>
        <w:ind w:left="-185" w:right="0" w:firstLine="0"/>
        <w:rPr>
          <w:rFonts w:ascii="宋体" w:hAnsi="宋体" w:cs="宋体" w:eastAsia="宋体" w:hint="default"/>
          <w:sz w:val="2"/>
          <w:szCs w:val="2"/>
        </w:rPr>
      </w:pPr>
      <w:r>
        <w:rPr>
          <w:rFonts w:ascii="宋体"/>
          <w:sz w:val="2"/>
        </w:rPr>
        <w:pict>
          <v:group style="width:128.3pt;height:.5pt;mso-position-horizontal-relative:char;mso-position-vertical-relative:line" coordorigin="0,0" coordsize="2566,10">
            <v:group style="position:absolute;left:5;top:5;width:1378;height:2" coordorigin="5,5" coordsize="1378,2">
              <v:shape style="position:absolute;left:5;top:5;width:1378;height:2" coordorigin="5,5" coordsize="1378,0" path="m5,5l1382,5e" filled="false" stroked="true" strokeweight=".48pt" strokecolor="#000000">
                <v:path arrowok="t"/>
              </v:shape>
            </v:group>
            <v:group style="position:absolute;left:1382;top:5;width:10;height:2" coordorigin="1382,5" coordsize="10,2">
              <v:shape style="position:absolute;left:1382;top:5;width:10;height:2" coordorigin="1382,5" coordsize="10,0" path="m1382,5l1392,5e" filled="false" stroked="true" strokeweight=".48pt" strokecolor="#000000">
                <v:path arrowok="t"/>
              </v:shape>
            </v:group>
            <v:group style="position:absolute;left:1392;top:5;width:65;height:2" coordorigin="1392,5" coordsize="65,2">
              <v:shape style="position:absolute;left:1392;top:5;width:65;height:2" coordorigin="1392,5" coordsize="65,0" path="m1392,5l1457,5e" filled="false" stroked="true" strokeweight=".48pt" strokecolor="#000000">
                <v:path arrowok="t"/>
              </v:shape>
            </v:group>
            <v:group style="position:absolute;left:1457;top:5;width:10;height:2" coordorigin="1457,5" coordsize="10,2">
              <v:shape style="position:absolute;left:1457;top:5;width:10;height:2" coordorigin="1457,5" coordsize="10,0" path="m1457,5l1466,5e" filled="false" stroked="true" strokeweight=".48pt" strokecolor="#000000">
                <v:path arrowok="t"/>
              </v:shape>
            </v:group>
            <v:group style="position:absolute;left:1466;top:5;width:1095;height:2" coordorigin="1466,5" coordsize="1095,2">
              <v:shape style="position:absolute;left:1466;top:5;width:1095;height:2" coordorigin="1466,5" coordsize="1095,0" path="m1466,5l2561,5e" filled="false" stroked="true" strokeweight=".48pt" strokecolor="#000000">
                <v:path arrowok="t"/>
              </v:shape>
            </v:group>
          </v:group>
        </w:pict>
      </w:r>
      <w:r>
        <w:rPr>
          <w:rFonts w:ascii="宋体"/>
          <w:sz w:val="2"/>
        </w:rPr>
      </w:r>
      <w:r>
        <w:rPr>
          <w:rFonts w:ascii="Times New Roman"/>
          <w:spacing w:val="90"/>
          <w:sz w:val="2"/>
        </w:rPr>
        <w:t> </w:t>
      </w:r>
      <w:r>
        <w:rPr>
          <w:rFonts w:ascii="宋体"/>
          <w:spacing w:val="90"/>
          <w:sz w:val="2"/>
        </w:rPr>
        <w:pict>
          <v:group style="width:134.050pt;height:.5pt;mso-position-horizontal-relative:char;mso-position-vertical-relative:line" coordorigin="0,0" coordsize="268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1416;top:5;width:10;height:2" coordorigin="1416,5" coordsize="10,2">
              <v:shape style="position:absolute;left:1416;top:5;width:10;height:2" coordorigin="1416,5" coordsize="10,0" path="m1416,5l1426,5e" filled="false" stroked="true" strokeweight=".48pt" strokecolor="#000000">
                <v:path arrowok="t"/>
              </v:shape>
            </v:group>
            <v:group style="position:absolute;left:1426;top:5;width:65;height:2" coordorigin="1426,5" coordsize="65,2">
              <v:shape style="position:absolute;left:1426;top:5;width:65;height:2" coordorigin="1426,5" coordsize="65,0" path="m1426,5l1490,5e" filled="false" stroked="true" strokeweight=".48pt" strokecolor="#000000">
                <v:path arrowok="t"/>
              </v:shape>
            </v:group>
            <v:group style="position:absolute;left:1490;top:5;width:10;height:2" coordorigin="1490,5" coordsize="10,2">
              <v:shape style="position:absolute;left:1490;top:5;width:10;height:2" coordorigin="1490,5" coordsize="10,0" path="m1490,5l1500,5e" filled="false" stroked="true" strokeweight=".48pt" strokecolor="#000000">
                <v:path arrowok="t"/>
              </v:shape>
            </v:group>
            <v:group style="position:absolute;left:1500;top:5;width:1176;height:2" coordorigin="1500,5" coordsize="1176,2">
              <v:shape style="position:absolute;left:1500;top:5;width:1176;height:2" coordorigin="1500,5" coordsize="1176,0" path="m1500,5l2676,5e" filled="false" stroked="true" strokeweight=".48pt" strokecolor="#000000">
                <v:path arrowok="t"/>
              </v:shape>
            </v:group>
          </v:group>
        </w:pict>
      </w:r>
      <w:r>
        <w:rPr>
          <w:rFonts w:ascii="宋体"/>
          <w:spacing w:val="90"/>
          <w:sz w:val="2"/>
        </w:rPr>
      </w:r>
    </w:p>
    <w:p>
      <w:pPr>
        <w:tabs>
          <w:tab w:pos="1317" w:val="left" w:leader="none"/>
          <w:tab w:pos="2644" w:val="left" w:leader="none"/>
          <w:tab w:pos="4017" w:val="left" w:leader="none"/>
        </w:tabs>
        <w:spacing w:before="0"/>
        <w:ind w:left="0" w:right="165" w:firstLine="0"/>
        <w:jc w:val="center"/>
        <w:rPr>
          <w:rFonts w:ascii="宋体" w:hAnsi="宋体" w:cs="宋体" w:eastAsia="宋体" w:hint="default"/>
          <w:sz w:val="20"/>
          <w:szCs w:val="20"/>
        </w:rPr>
      </w:pPr>
      <w:r>
        <w:rPr/>
        <w:pict>
          <v:group style="position:absolute;margin-left:256.320007pt;margin-top:16.359701pt;width:128.3pt;height:1.45pt;mso-position-horizontal-relative:page;mso-position-vertical-relative:paragraph;z-index:4000" coordorigin="5126,327" coordsize="2566,29">
            <v:group style="position:absolute;left:5131;top:332;width:1378;height:2" coordorigin="5131,332" coordsize="1378,2">
              <v:shape style="position:absolute;left:5131;top:332;width:1378;height:2" coordorigin="5131,332" coordsize="1378,0" path="m5131,332l6509,332e" filled="false" stroked="true" strokeweight=".48pt" strokecolor="#000000">
                <v:path arrowok="t"/>
              </v:shape>
            </v:group>
            <v:group style="position:absolute;left:5131;top:351;width:1378;height:2" coordorigin="5131,351" coordsize="1378,2">
              <v:shape style="position:absolute;left:5131;top:351;width:1378;height:2" coordorigin="5131,351" coordsize="1378,0" path="m5131,351l6509,351e" filled="false" stroked="true" strokeweight=".48pt" strokecolor="#000000">
                <v:path arrowok="t"/>
              </v:shape>
            </v:group>
            <v:group style="position:absolute;left:6583;top:332;width:1104;height:2" coordorigin="6583,332" coordsize="1104,2">
              <v:shape style="position:absolute;left:6583;top:332;width:1104;height:2" coordorigin="6583,332" coordsize="1104,0" path="m6583,332l7687,332e" filled="false" stroked="true" strokeweight=".48pt" strokecolor="#000000">
                <v:path arrowok="t"/>
              </v:shape>
            </v:group>
            <v:group style="position:absolute;left:6583;top:351;width:1104;height:2" coordorigin="6583,351" coordsize="1104,2">
              <v:shape style="position:absolute;left:6583;top:351;width:1104;height:2" coordorigin="6583,351" coordsize="1104,0" path="m6583,351l7687,351e" filled="false" stroked="true" strokeweight=".48pt" strokecolor="#000000">
                <v:path arrowok="t"/>
              </v:shape>
            </v:group>
            <w10:wrap type="none"/>
          </v:group>
        </w:pict>
      </w:r>
      <w:r>
        <w:rPr/>
        <w:pict>
          <v:group style="position:absolute;margin-left:389.640015pt;margin-top:16.359701pt;width:134.050pt;height:1.45pt;mso-position-horizontal-relative:page;mso-position-vertical-relative:paragraph;z-index:4024" coordorigin="7793,327" coordsize="2681,29">
            <v:group style="position:absolute;left:7798;top:332;width:1412;height:2" coordorigin="7798,332" coordsize="1412,2">
              <v:shape style="position:absolute;left:7798;top:332;width:1412;height:2" coordorigin="7798,332" coordsize="1412,0" path="m7798,332l9209,332e" filled="false" stroked="true" strokeweight=".48pt" strokecolor="#000000">
                <v:path arrowok="t"/>
              </v:shape>
            </v:group>
            <v:group style="position:absolute;left:7798;top:351;width:1412;height:2" coordorigin="7798,351" coordsize="1412,2">
              <v:shape style="position:absolute;left:7798;top:351;width:1412;height:2" coordorigin="7798,351" coordsize="1412,0" path="m7798,351l9209,351e" filled="false" stroked="true" strokeweight=".48pt" strokecolor="#000000">
                <v:path arrowok="t"/>
              </v:shape>
            </v:group>
            <v:group style="position:absolute;left:9283;top:332;width:1186;height:2" coordorigin="9283,332" coordsize="1186,2">
              <v:shape style="position:absolute;left:9283;top:332;width:1186;height:2" coordorigin="9283,332" coordsize="1186,0" path="m9283,332l10469,332e" filled="false" stroked="true" strokeweight=".48pt" strokecolor="#000000">
                <v:path arrowok="t"/>
              </v:shape>
            </v:group>
            <v:group style="position:absolute;left:9283;top:351;width:1186;height:2" coordorigin="9283,351" coordsize="1186,2">
              <v:shape style="position:absolute;left:9283;top:351;width:1186;height:2" coordorigin="9283,351" coordsize="1186,0" path="m9283,351l10469,351e" filled="false" stroked="true" strokeweight=".48pt" strokecolor="#000000">
                <v:path arrowok="t"/>
              </v:shape>
            </v:group>
            <w10:wrap type="none"/>
          </v:group>
        </w:pict>
      </w:r>
      <w:r>
        <w:rPr>
          <w:rFonts w:ascii="宋体" w:hAnsi="宋体" w:cs="宋体" w:eastAsia="宋体" w:hint="default"/>
          <w:position w:val="1"/>
          <w:sz w:val="18"/>
          <w:szCs w:val="18"/>
        </w:rPr>
        <w:t>账面余额</w:t>
        <w:tab/>
        <w:t>坏账准备</w:t>
        <w:tab/>
      </w:r>
      <w:r>
        <w:rPr>
          <w:rFonts w:ascii="宋体" w:hAnsi="宋体" w:cs="宋体" w:eastAsia="宋体" w:hint="default"/>
          <w:w w:val="95"/>
          <w:sz w:val="20"/>
          <w:szCs w:val="20"/>
        </w:rPr>
        <w:t>账面余额</w:t>
        <w:tab/>
      </w:r>
      <w:r>
        <w:rPr>
          <w:rFonts w:ascii="宋体" w:hAnsi="宋体" w:cs="宋体" w:eastAsia="宋体" w:hint="default"/>
          <w:sz w:val="20"/>
          <w:szCs w:val="20"/>
        </w:rPr>
        <w:t>坏账准备</w:t>
      </w:r>
    </w:p>
    <w:p>
      <w:pPr>
        <w:spacing w:after="0"/>
        <w:jc w:val="center"/>
        <w:rPr>
          <w:rFonts w:ascii="宋体" w:hAnsi="宋体" w:cs="宋体" w:eastAsia="宋体" w:hint="default"/>
          <w:sz w:val="20"/>
          <w:szCs w:val="20"/>
        </w:rPr>
        <w:sectPr>
          <w:type w:val="continuous"/>
          <w:pgSz w:w="11910" w:h="16840"/>
          <w:pgMar w:top="1380" w:bottom="1380" w:left="1320" w:right="1320"/>
          <w:cols w:num="2" w:equalWidth="0">
            <w:col w:w="3481" w:space="511"/>
            <w:col w:w="5278"/>
          </w:cols>
        </w:sectPr>
      </w:pPr>
    </w:p>
    <w:p>
      <w:pPr>
        <w:tabs>
          <w:tab w:pos="4526" w:val="left" w:leader="none"/>
        </w:tabs>
        <w:spacing w:before="64"/>
        <w:ind w:left="146" w:right="53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许欣</w:t>
        <w:tab/>
      </w:r>
      <w:r>
        <w:rPr>
          <w:rFonts w:ascii="Times New Roman" w:hAnsi="Times New Roman" w:cs="Times New Roman" w:eastAsia="Times New Roman" w:hint="default"/>
          <w:position w:val="1"/>
          <w:sz w:val="18"/>
          <w:szCs w:val="18"/>
        </w:rPr>
        <w:t>6,593.97</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5"/>
          <w:szCs w:val="5"/>
        </w:rPr>
      </w:pPr>
    </w:p>
    <w:p>
      <w:pPr>
        <w:spacing w:line="20" w:lineRule="exact"/>
        <w:ind w:left="3806" w:right="0" w:firstLine="0"/>
        <w:rPr>
          <w:rFonts w:ascii="Times New Roman" w:hAnsi="Times New Roman" w:cs="Times New Roman" w:eastAsia="Times New Roman" w:hint="default"/>
          <w:sz w:val="2"/>
          <w:szCs w:val="2"/>
        </w:rPr>
      </w:pPr>
      <w:r>
        <w:rPr>
          <w:rFonts w:ascii="Times New Roman"/>
          <w:sz w:val="2"/>
        </w:rPr>
        <w:pict>
          <v:group style="width:128.3pt;height:.5pt;mso-position-horizontal-relative:char;mso-position-vertical-relative:line" coordorigin="0,0" coordsize="2566,10">
            <v:group style="position:absolute;left:5;top:5;width:1378;height:2" coordorigin="5,5" coordsize="1378,2">
              <v:shape style="position:absolute;left:5;top:5;width:1378;height:2" coordorigin="5,5" coordsize="1378,0" path="m5,5l1382,5e" filled="false" stroked="true" strokeweight=".48pt" strokecolor="#000000">
                <v:path arrowok="t"/>
              </v:shape>
            </v:group>
            <v:group style="position:absolute;left:1457;top:5;width:1104;height:2" coordorigin="1457,5" coordsize="1104,2">
              <v:shape style="position:absolute;left:1457;top:5;width:1104;height:2" coordorigin="1457,5" coordsize="1104,0" path="m1457,5l2561,5e" filled="false" stroked="true" strokeweight=".48pt" strokecolor="#000000">
                <v:path arrowok="t"/>
              </v:shape>
            </v:group>
          </v:group>
        </w:pict>
      </w:r>
      <w:r>
        <w:rPr>
          <w:rFonts w:ascii="Times New Roman"/>
          <w:sz w:val="2"/>
        </w:rPr>
      </w:r>
      <w:r>
        <w:rPr>
          <w:rFonts w:ascii="Times New Roman"/>
          <w:spacing w:val="90"/>
          <w:sz w:val="2"/>
        </w:rPr>
        <w:t> </w:t>
      </w:r>
      <w:r>
        <w:rPr>
          <w:rFonts w:ascii="Times New Roman"/>
          <w:spacing w:val="90"/>
          <w:sz w:val="2"/>
        </w:rPr>
        <w:pict>
          <v:group style="width:134.050pt;height:.5pt;mso-position-horizontal-relative:char;mso-position-vertical-relative:line" coordorigin="0,0" coordsize="2681,10">
            <v:group style="position:absolute;left:5;top:5;width:1412;height:2" coordorigin="5,5" coordsize="1412,2">
              <v:shape style="position:absolute;left:5;top:5;width:1412;height:2" coordorigin="5,5" coordsize="1412,0" path="m5,5l1416,5e" filled="false" stroked="true" strokeweight=".48pt" strokecolor="#000000">
                <v:path arrowok="t"/>
              </v:shape>
            </v:group>
            <v:group style="position:absolute;left:1490;top:5;width:1186;height:2" coordorigin="1490,5" coordsize="1186,2">
              <v:shape style="position:absolute;left:1490;top:5;width:1186;height:2" coordorigin="1490,5" coordsize="1186,0" path="m1490,5l2676,5e" filled="false" stroked="true" strokeweight=".48pt" strokecolor="#000000">
                <v:path arrowok="t"/>
              </v:shape>
            </v:group>
          </v:group>
        </w:pict>
      </w:r>
      <w:r>
        <w:rPr>
          <w:rFonts w:ascii="Times New Roman"/>
          <w:spacing w:val="90"/>
          <w:sz w:val="2"/>
        </w:rPr>
      </w:r>
    </w:p>
    <w:p>
      <w:pPr>
        <w:tabs>
          <w:tab w:pos="2179" w:val="left" w:leader="none"/>
          <w:tab w:pos="4526" w:val="left" w:leader="none"/>
        </w:tabs>
        <w:spacing w:before="0"/>
        <w:ind w:left="1476" w:right="53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合</w:t>
        <w:tab/>
        <w:t>计</w:t>
        <w:tab/>
      </w:r>
      <w:r>
        <w:rPr>
          <w:rFonts w:ascii="Times New Roman" w:hAnsi="Times New Roman" w:cs="Times New Roman" w:eastAsia="Times New Roman" w:hint="default"/>
          <w:position w:val="1"/>
          <w:sz w:val="18"/>
          <w:szCs w:val="18"/>
        </w:rPr>
        <w:t>6,593.97</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5"/>
          <w:szCs w:val="5"/>
        </w:rPr>
      </w:pPr>
    </w:p>
    <w:p>
      <w:pPr>
        <w:spacing w:line="28" w:lineRule="exact"/>
        <w:ind w:left="3792" w:right="0" w:firstLine="0"/>
        <w:rPr>
          <w:rFonts w:ascii="Times New Roman" w:hAnsi="Times New Roman" w:cs="Times New Roman" w:eastAsia="Times New Roman" w:hint="default"/>
          <w:sz w:val="2"/>
          <w:szCs w:val="2"/>
        </w:rPr>
      </w:pPr>
      <w:r>
        <w:rPr>
          <w:rFonts w:ascii="Times New Roman"/>
          <w:position w:val="0"/>
          <w:sz w:val="2"/>
        </w:rPr>
        <w:pict>
          <v:group style="width:129pt;height:1.45pt;mso-position-horizontal-relative:char;mso-position-vertical-relative:line" coordorigin="0,0" coordsize="2580,29">
            <v:group style="position:absolute;left:5;top:24;width:1392;height:2" coordorigin="5,24" coordsize="1392,2">
              <v:shape style="position:absolute;left:5;top:24;width:1392;height:2" coordorigin="5,24" coordsize="1392,0" path="m5,24l1397,24e" filled="false" stroked="true" strokeweight=".48pt" strokecolor="#000000">
                <v:path arrowok="t"/>
              </v:shape>
            </v:group>
            <v:group style="position:absolute;left:5;top:5;width:1392;height:2" coordorigin="5,5" coordsize="1392,2">
              <v:shape style="position:absolute;left:5;top:5;width:1392;height:2" coordorigin="5,5" coordsize="1392,0" path="m5,5l1397,5e" filled="false" stroked="true" strokeweight=".48pt" strokecolor="#000000">
                <v:path arrowok="t"/>
              </v:shape>
            </v:group>
            <v:group style="position:absolute;left:1457;top:24;width:1119;height:2" coordorigin="1457,24" coordsize="1119,2">
              <v:shape style="position:absolute;left:1457;top:24;width:1119;height:2" coordorigin="1457,24" coordsize="1119,0" path="m1457,24l2575,24e" filled="false" stroked="true" strokeweight=".48pt" strokecolor="#000000">
                <v:path arrowok="t"/>
              </v:shape>
            </v:group>
            <v:group style="position:absolute;left:1457;top:5;width:1119;height:2" coordorigin="1457,5" coordsize="1119,2">
              <v:shape style="position:absolute;left:1457;top:5;width:1119;height:2" coordorigin="1457,5" coordsize="1119,0" path="m1457,5l2575,5e" filled="false" stroked="true" strokeweight=".48pt" strokecolor="#000000">
                <v:path arrowok="t"/>
              </v:shape>
            </v:group>
          </v:group>
        </w:pict>
      </w:r>
      <w:r>
        <w:rPr>
          <w:rFonts w:ascii="Times New Roman"/>
          <w:position w:val="0"/>
          <w:sz w:val="2"/>
        </w:rPr>
      </w:r>
      <w:r>
        <w:rPr>
          <w:rFonts w:ascii="Times New Roman"/>
          <w:spacing w:val="71"/>
          <w:position w:val="0"/>
          <w:sz w:val="2"/>
        </w:rPr>
        <w:t> </w:t>
      </w:r>
      <w:r>
        <w:rPr>
          <w:rFonts w:ascii="Times New Roman"/>
          <w:spacing w:val="71"/>
          <w:position w:val="0"/>
          <w:sz w:val="2"/>
        </w:rPr>
        <w:pict>
          <v:group style="width:134.8pt;height:1.45pt;mso-position-horizontal-relative:char;mso-position-vertical-relative:line" coordorigin="0,0" coordsize="2696,29">
            <v:group style="position:absolute;left:5;top:24;width:1426;height:2" coordorigin="5,24" coordsize="1426,2">
              <v:shape style="position:absolute;left:5;top:24;width:1426;height:2" coordorigin="5,24" coordsize="1426,0" path="m5,24l1430,24e" filled="false" stroked="true" strokeweight=".48pt" strokecolor="#000000">
                <v:path arrowok="t"/>
              </v:shape>
            </v:group>
            <v:group style="position:absolute;left:5;top:5;width:1426;height:2" coordorigin="5,5" coordsize="1426,2">
              <v:shape style="position:absolute;left:5;top:5;width:1426;height:2" coordorigin="5,5" coordsize="1426,0" path="m5,5l1430,5e" filled="false" stroked="true" strokeweight=".48pt" strokecolor="#000000">
                <v:path arrowok="t"/>
              </v:shape>
            </v:group>
            <v:group style="position:absolute;left:1490;top:24;width:1200;height:2" coordorigin="1490,24" coordsize="1200,2">
              <v:shape style="position:absolute;left:1490;top:24;width:1200;height:2" coordorigin="1490,24" coordsize="1200,0" path="m1490,24l2690,24e" filled="false" stroked="true" strokeweight=".48pt" strokecolor="#000000">
                <v:path arrowok="t"/>
              </v:shape>
            </v:group>
            <v:group style="position:absolute;left:1490;top:5;width:1200;height:2" coordorigin="1490,5" coordsize="1200,2">
              <v:shape style="position:absolute;left:1490;top:5;width:1200;height:2" coordorigin="1490,5" coordsize="1200,0" path="m1490,5l2690,5e" filled="false" stroked="true" strokeweight=".48pt" strokecolor="#000000">
                <v:path arrowok="t"/>
              </v:shape>
            </v:group>
          </v:group>
        </w:pict>
      </w:r>
      <w:r>
        <w:rPr>
          <w:rFonts w:ascii="Times New Roman"/>
          <w:spacing w:val="71"/>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pStyle w:val="Heading3"/>
        <w:spacing w:line="429" w:lineRule="auto"/>
        <w:ind w:left="957" w:right="6401" w:firstLine="2"/>
        <w:jc w:val="left"/>
        <w:rPr>
          <w:b w:val="0"/>
          <w:bCs w:val="0"/>
        </w:rPr>
      </w:pPr>
      <w:r>
        <w:rPr/>
        <w:t>十、股份支付</w:t>
      </w:r>
      <w:r>
        <w:rPr>
          <w:w w:val="99"/>
        </w:rPr>
        <w:t> </w:t>
      </w:r>
      <w:r>
        <w:rPr>
          <w:rFonts w:ascii="宋体" w:hAnsi="宋体" w:cs="宋体" w:eastAsia="宋体" w:hint="default"/>
          <w:b w:val="0"/>
          <w:bCs w:val="0"/>
        </w:rPr>
        <w:t>无。 </w:t>
      </w:r>
      <w:r>
        <w:rPr/>
        <w:t>十一、或有事项</w:t>
      </w:r>
      <w:r>
        <w:rPr>
          <w:b w:val="0"/>
          <w:bCs w:val="0"/>
        </w:rPr>
      </w:r>
    </w:p>
    <w:p>
      <w:pPr>
        <w:pStyle w:val="BodyText"/>
        <w:spacing w:line="240" w:lineRule="auto" w:before="60"/>
        <w:ind w:left="1017" w:right="530"/>
        <w:jc w:val="left"/>
      </w:pPr>
      <w:r>
        <w:rPr/>
        <w:t>截止</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日本集团无需要披露的重大或有事项。</w:t>
      </w:r>
    </w:p>
    <w:p>
      <w:pPr>
        <w:spacing w:after="0" w:line="240" w:lineRule="auto"/>
        <w:jc w:val="left"/>
        <w:sectPr>
          <w:type w:val="continuous"/>
          <w:pgSz w:w="11910" w:h="16840"/>
          <w:pgMar w:top="1380" w:bottom="1380" w:left="1320" w:right="1320"/>
        </w:sectPr>
      </w:pPr>
    </w:p>
    <w:p>
      <w:pPr>
        <w:pStyle w:val="Heading3"/>
        <w:spacing w:line="240" w:lineRule="auto" w:before="93"/>
        <w:ind w:left="677" w:right="0"/>
        <w:jc w:val="left"/>
        <w:rPr>
          <w:b w:val="0"/>
          <w:bCs w:val="0"/>
        </w:rPr>
      </w:pPr>
      <w:r>
        <w:rPr/>
        <w:t>十二、承诺事项</w:t>
      </w:r>
      <w:r>
        <w:rPr>
          <w:b w:val="0"/>
          <w:bCs w:val="0"/>
        </w:rPr>
      </w:r>
    </w:p>
    <w:p>
      <w:pPr>
        <w:spacing w:line="240" w:lineRule="auto" w:before="1"/>
        <w:rPr>
          <w:rFonts w:ascii="宋体" w:hAnsi="宋体" w:cs="宋体" w:eastAsia="宋体" w:hint="default"/>
          <w:b/>
          <w:bCs/>
          <w:sz w:val="19"/>
          <w:szCs w:val="19"/>
        </w:rPr>
      </w:pPr>
    </w:p>
    <w:p>
      <w:pPr>
        <w:spacing w:line="405" w:lineRule="auto" w:before="0"/>
        <w:ind w:left="620" w:right="2009" w:firstLine="57"/>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日本集团无需要披露的承诺事项。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line="429" w:lineRule="auto" w:before="84"/>
        <w:ind w:left="677" w:right="5239"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宋体" w:hAnsi="宋体" w:cs="宋体" w:eastAsia="宋体" w:hint="default"/>
          <w:b/>
          <w:bCs/>
          <w:sz w:val="24"/>
          <w:szCs w:val="24"/>
        </w:rPr>
        <w:t>十四、其他重要事项说明</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3"/>
        <w:spacing w:line="240" w:lineRule="auto" w:before="60"/>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18"/>
          <w:szCs w:val="18"/>
        </w:rPr>
      </w:pPr>
    </w:p>
    <w:p>
      <w:pPr>
        <w:spacing w:before="0"/>
        <w:ind w:left="61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9"/>
        <w:rPr>
          <w:rFonts w:ascii="宋体" w:hAnsi="宋体" w:cs="宋体" w:eastAsia="宋体" w:hint="default"/>
          <w:b/>
          <w:bCs/>
          <w:sz w:val="17"/>
          <w:szCs w:val="17"/>
        </w:rPr>
      </w:pPr>
    </w:p>
    <w:p>
      <w:pPr>
        <w:pStyle w:val="BodyText"/>
        <w:spacing w:line="240" w:lineRule="auto"/>
        <w:ind w:left="619" w:right="0"/>
        <w:jc w:val="left"/>
      </w:pPr>
      <w:r>
        <w:rPr/>
        <w:t>（</w:t>
      </w:r>
      <w:r>
        <w:rPr>
          <w:rFonts w:ascii="Times New Roman" w:hAnsi="Times New Roman" w:cs="Times New Roman" w:eastAsia="Times New Roman" w:hint="default"/>
        </w:rPr>
        <w:t>1</w:t>
      </w:r>
      <w:r>
        <w:rPr/>
        <w:t>）应收账款按种类列示</w:t>
      </w:r>
    </w:p>
    <w:p>
      <w:pPr>
        <w:spacing w:line="240" w:lineRule="auto" w:before="1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080"/>
        <w:gridCol w:w="1238"/>
        <w:gridCol w:w="971"/>
        <w:gridCol w:w="1156"/>
        <w:gridCol w:w="926"/>
      </w:tblGrid>
      <w:tr>
        <w:trPr>
          <w:trHeight w:val="260" w:hRule="exact"/>
        </w:trPr>
        <w:tc>
          <w:tcPr>
            <w:tcW w:w="837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783"/>
              <w:jc w:val="righ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0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6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080" w:type="dxa"/>
            <w:tcBorders>
              <w:top w:val="nil" w:sz="6" w:space="0" w:color="auto"/>
              <w:left w:val="nil" w:sz="6" w:space="0" w:color="auto"/>
              <w:bottom w:val="single" w:sz="4" w:space="0" w:color="000000"/>
              <w:right w:val="nil" w:sz="6" w:space="0" w:color="auto"/>
            </w:tcBorders>
          </w:tcPr>
          <w:p>
            <w:pP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1"/>
              <w:jc w:val="center"/>
              <w:rPr>
                <w:rFonts w:ascii="宋体" w:hAnsi="宋体" w:cs="宋体" w:eastAsia="宋体" w:hint="default"/>
                <w:sz w:val="18"/>
                <w:szCs w:val="18"/>
              </w:rPr>
            </w:pPr>
            <w:r>
              <w:rPr>
                <w:rFonts w:ascii="宋体" w:hAnsi="宋体" w:cs="宋体" w:eastAsia="宋体" w:hint="default"/>
                <w:sz w:val="18"/>
                <w:szCs w:val="18"/>
              </w:rPr>
              <w:t>金额</w:t>
            </w:r>
          </w:p>
        </w:tc>
        <w:tc>
          <w:tcPr>
            <w:tcW w:w="971"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5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86" w:hRule="exact"/>
        </w:trPr>
        <w:tc>
          <w:tcPr>
            <w:tcW w:w="408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6"/>
              <w:jc w:val="right"/>
              <w:rPr>
                <w:rFonts w:ascii="Times New Roman" w:hAnsi="Times New Roman" w:cs="Times New Roman" w:eastAsia="Times New Roman" w:hint="default"/>
                <w:sz w:val="20"/>
                <w:szCs w:val="20"/>
              </w:rPr>
            </w:pPr>
            <w:r>
              <w:rPr>
                <w:rFonts w:ascii="Times New Roman"/>
                <w:w w:val="95"/>
                <w:sz w:val="20"/>
              </w:rPr>
              <w:t>32,587,349.27</w:t>
            </w:r>
            <w:r>
              <w:rPr>
                <w:rFonts w:ascii="Times New Roman"/>
                <w:sz w:val="20"/>
              </w:rPr>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8"/>
              <w:jc w:val="right"/>
              <w:rPr>
                <w:rFonts w:ascii="Times New Roman" w:hAnsi="Times New Roman" w:cs="Times New Roman" w:eastAsia="Times New Roman" w:hint="default"/>
                <w:sz w:val="20"/>
                <w:szCs w:val="20"/>
              </w:rPr>
            </w:pPr>
            <w:r>
              <w:rPr>
                <w:rFonts w:ascii="Times New Roman"/>
                <w:sz w:val="20"/>
              </w:rPr>
              <w:t>84.13</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5"/>
              <w:jc w:val="right"/>
              <w:rPr>
                <w:rFonts w:ascii="Times New Roman" w:hAnsi="Times New Roman" w:cs="Times New Roman" w:eastAsia="Times New Roman" w:hint="default"/>
                <w:sz w:val="20"/>
                <w:szCs w:val="20"/>
              </w:rPr>
            </w:pPr>
            <w:r>
              <w:rPr>
                <w:rFonts w:ascii="Times New Roman"/>
                <w:w w:val="95"/>
                <w:sz w:val="20"/>
              </w:rPr>
              <w:t>1,657,542.46</w:t>
            </w:r>
            <w:r>
              <w:rPr>
                <w:rFonts w:ascii="Times New Roman"/>
                <w:sz w:val="20"/>
              </w:rPr>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sz w:val="20"/>
              </w:rPr>
              <w:t>76.59</w:t>
            </w:r>
          </w:p>
        </w:tc>
      </w:tr>
      <w:tr>
        <w:trPr>
          <w:trHeight w:val="401"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20"/>
                <w:szCs w:val="20"/>
              </w:rPr>
            </w:pPr>
            <w:r>
              <w:rPr>
                <w:rFonts w:ascii="Times New Roman"/>
                <w:w w:val="95"/>
                <w:sz w:val="20"/>
              </w:rPr>
              <w:t>6,146,002.12</w:t>
            </w:r>
            <w:r>
              <w:rPr>
                <w:rFonts w:ascii="Times New Roman"/>
                <w:sz w:val="20"/>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8"/>
              <w:jc w:val="right"/>
              <w:rPr>
                <w:rFonts w:ascii="Times New Roman" w:hAnsi="Times New Roman" w:cs="Times New Roman" w:eastAsia="Times New Roman" w:hint="default"/>
                <w:sz w:val="20"/>
                <w:szCs w:val="20"/>
              </w:rPr>
            </w:pPr>
            <w:r>
              <w:rPr>
                <w:rFonts w:ascii="Times New Roman"/>
                <w:sz w:val="20"/>
              </w:rPr>
              <w:t>15.87</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20"/>
                <w:szCs w:val="20"/>
              </w:rPr>
            </w:pPr>
            <w:r>
              <w:rPr>
                <w:rFonts w:ascii="Times New Roman"/>
                <w:w w:val="95"/>
                <w:sz w:val="20"/>
              </w:rPr>
              <w:t>506,595.11</w:t>
            </w:r>
            <w:r>
              <w:rPr>
                <w:rFonts w:ascii="Times New Roman"/>
                <w:sz w:val="20"/>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sz w:val="20"/>
              </w:rPr>
              <w:t>23.41</w:t>
            </w:r>
          </w:p>
        </w:tc>
      </w:tr>
      <w:tr>
        <w:trPr>
          <w:trHeight w:val="363" w:hRule="exact"/>
        </w:trPr>
        <w:tc>
          <w:tcPr>
            <w:tcW w:w="837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r>
      <w:tr>
        <w:trPr>
          <w:trHeight w:val="374"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56"/>
              <w:jc w:val="right"/>
              <w:rPr>
                <w:rFonts w:ascii="Times New Roman" w:hAnsi="Times New Roman" w:cs="Times New Roman" w:eastAsia="Times New Roman" w:hint="default"/>
                <w:sz w:val="20"/>
                <w:szCs w:val="20"/>
              </w:rPr>
            </w:pPr>
            <w:r>
              <w:rPr>
                <w:rFonts w:ascii="Times New Roman"/>
                <w:w w:val="95"/>
                <w:sz w:val="20"/>
              </w:rPr>
              <w:t>38,733,351.39</w:t>
            </w:r>
            <w:r>
              <w:rPr>
                <w:rFonts w:ascii="Times New Roman"/>
                <w:sz w:val="20"/>
              </w:rPr>
            </w:r>
          </w:p>
        </w:tc>
        <w:tc>
          <w:tcPr>
            <w:tcW w:w="97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7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55"/>
              <w:jc w:val="right"/>
              <w:rPr>
                <w:rFonts w:ascii="Times New Roman" w:hAnsi="Times New Roman" w:cs="Times New Roman" w:eastAsia="Times New Roman" w:hint="default"/>
                <w:sz w:val="20"/>
                <w:szCs w:val="20"/>
              </w:rPr>
            </w:pPr>
            <w:r>
              <w:rPr>
                <w:rFonts w:ascii="Times New Roman"/>
                <w:w w:val="95"/>
                <w:sz w:val="20"/>
              </w:rPr>
              <w:t>2,164,137.57</w:t>
            </w:r>
            <w:r>
              <w:rPr>
                <w:rFonts w:ascii="Times New Roman"/>
                <w:sz w:val="20"/>
              </w:rPr>
            </w:r>
          </w:p>
        </w:tc>
        <w:tc>
          <w:tcPr>
            <w:tcW w:w="9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6"/>
        <w:rPr>
          <w:rFonts w:ascii="宋体" w:hAnsi="宋体" w:cs="宋体" w:eastAsia="宋体" w:hint="default"/>
          <w:sz w:val="13"/>
          <w:szCs w:val="13"/>
        </w:rPr>
      </w:pPr>
    </w:p>
    <w:p>
      <w:pPr>
        <w:pStyle w:val="BodyText"/>
        <w:spacing w:line="240" w:lineRule="auto" w:before="26"/>
        <w:ind w:right="0"/>
        <w:jc w:val="left"/>
      </w:pPr>
      <w:r>
        <w:rPr/>
        <w:t>（续）</w:t>
      </w:r>
    </w:p>
    <w:p>
      <w:pPr>
        <w:spacing w:line="240" w:lineRule="auto" w:before="5"/>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080"/>
        <w:gridCol w:w="1139"/>
        <w:gridCol w:w="1062"/>
        <w:gridCol w:w="1106"/>
        <w:gridCol w:w="982"/>
      </w:tblGrid>
      <w:tr>
        <w:trPr>
          <w:trHeight w:val="260"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781"/>
              <w:jc w:val="right"/>
              <w:rPr>
                <w:rFonts w:ascii="宋体" w:hAnsi="宋体" w:cs="宋体" w:eastAsia="宋体" w:hint="default"/>
                <w:sz w:val="18"/>
                <w:szCs w:val="18"/>
              </w:rPr>
            </w:pPr>
            <w:r>
              <w:rPr>
                <w:rFonts w:ascii="宋体" w:hAnsi="宋体" w:cs="宋体" w:eastAsia="宋体" w:hint="default"/>
                <w:sz w:val="18"/>
                <w:szCs w:val="18"/>
              </w:rPr>
              <w:t>期 初</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8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080" w:type="dxa"/>
            <w:tcBorders>
              <w:top w:val="nil" w:sz="6" w:space="0" w:color="auto"/>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3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4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86" w:hRule="exact"/>
        </w:trPr>
        <w:tc>
          <w:tcPr>
            <w:tcW w:w="408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5"/>
              <w:jc w:val="center"/>
              <w:rPr>
                <w:rFonts w:ascii="Times New Roman" w:hAnsi="Times New Roman" w:cs="Times New Roman" w:eastAsia="Times New Roman" w:hint="default"/>
                <w:sz w:val="20"/>
                <w:szCs w:val="20"/>
              </w:rPr>
            </w:pPr>
            <w:r>
              <w:rPr>
                <w:rFonts w:ascii="Times New Roman"/>
                <w:sz w:val="20"/>
              </w:rPr>
              <w:t>4,587,195.00</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51"/>
              <w:jc w:val="right"/>
              <w:rPr>
                <w:rFonts w:ascii="Times New Roman" w:hAnsi="Times New Roman" w:cs="Times New Roman" w:eastAsia="Times New Roman" w:hint="default"/>
                <w:sz w:val="20"/>
                <w:szCs w:val="20"/>
              </w:rPr>
            </w:pPr>
            <w:r>
              <w:rPr>
                <w:rFonts w:ascii="Times New Roman"/>
                <w:sz w:val="20"/>
              </w:rPr>
              <w:t>54.11</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229,359.75</w:t>
            </w:r>
            <w:r>
              <w:rPr>
                <w:rFonts w:ascii="Times New Roman"/>
                <w:sz w:val="20"/>
              </w:rPr>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sz w:val="20"/>
              </w:rPr>
              <w:t>43.85</w:t>
            </w:r>
          </w:p>
        </w:tc>
      </w:tr>
      <w:tr>
        <w:trPr>
          <w:trHeight w:val="401"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center"/>
              <w:rPr>
                <w:rFonts w:ascii="Times New Roman" w:hAnsi="Times New Roman" w:cs="Times New Roman" w:eastAsia="Times New Roman" w:hint="default"/>
                <w:sz w:val="20"/>
                <w:szCs w:val="20"/>
              </w:rPr>
            </w:pPr>
            <w:r>
              <w:rPr>
                <w:rFonts w:ascii="Times New Roman"/>
                <w:sz w:val="20"/>
              </w:rPr>
              <w:t>3,891,005.00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2"/>
              <w:jc w:val="right"/>
              <w:rPr>
                <w:rFonts w:ascii="Times New Roman" w:hAnsi="Times New Roman" w:cs="Times New Roman" w:eastAsia="Times New Roman" w:hint="default"/>
                <w:sz w:val="20"/>
                <w:szCs w:val="20"/>
              </w:rPr>
            </w:pPr>
            <w:r>
              <w:rPr>
                <w:rFonts w:ascii="Times New Roman"/>
                <w:sz w:val="20"/>
              </w:rPr>
              <w:t>45.89</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5"/>
              <w:jc w:val="right"/>
              <w:rPr>
                <w:rFonts w:ascii="Times New Roman" w:hAnsi="Times New Roman" w:cs="Times New Roman" w:eastAsia="Times New Roman" w:hint="default"/>
                <w:sz w:val="20"/>
                <w:szCs w:val="20"/>
              </w:rPr>
            </w:pPr>
            <w:r>
              <w:rPr>
                <w:rFonts w:ascii="Times New Roman"/>
                <w:w w:val="95"/>
                <w:sz w:val="20"/>
              </w:rPr>
              <w:t>293,650.25</w:t>
            </w:r>
            <w:r>
              <w:rPr>
                <w:rFonts w:ascii="Times New Roman"/>
                <w:sz w:val="20"/>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20"/>
                <w:szCs w:val="20"/>
              </w:rPr>
            </w:pPr>
            <w:r>
              <w:rPr>
                <w:rFonts w:ascii="Times New Roman"/>
                <w:sz w:val="20"/>
              </w:rPr>
              <w:t>56.15</w:t>
            </w:r>
          </w:p>
        </w:tc>
      </w:tr>
      <w:tr>
        <w:trPr>
          <w:trHeight w:val="363"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r>
      <w:tr>
        <w:trPr>
          <w:trHeight w:val="374"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3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center"/>
              <w:rPr>
                <w:rFonts w:ascii="Times New Roman" w:hAnsi="Times New Roman" w:cs="Times New Roman" w:eastAsia="Times New Roman" w:hint="default"/>
                <w:sz w:val="20"/>
                <w:szCs w:val="20"/>
              </w:rPr>
            </w:pPr>
            <w:r>
              <w:rPr>
                <w:rFonts w:ascii="Times New Roman"/>
                <w:sz w:val="20"/>
              </w:rPr>
              <w:t>8,478,200.00</w:t>
            </w:r>
          </w:p>
        </w:tc>
        <w:tc>
          <w:tcPr>
            <w:tcW w:w="106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5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0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523,010.00</w:t>
            </w:r>
            <w:r>
              <w:rPr>
                <w:rFonts w:ascii="Times New Roman"/>
                <w:sz w:val="20"/>
              </w:rPr>
            </w:r>
          </w:p>
        </w:tc>
        <w:tc>
          <w:tcPr>
            <w:tcW w:w="98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50" w:footer="979" w:top="1380" w:bottom="1160" w:left="1660" w:right="1660"/>
        </w:sectPr>
      </w:pPr>
    </w:p>
    <w:p>
      <w:pPr>
        <w:pStyle w:val="BodyText"/>
        <w:spacing w:line="240" w:lineRule="auto" w:before="26"/>
        <w:ind w:left="617" w:right="-20"/>
        <w:jc w:val="left"/>
      </w:pPr>
      <w:r>
        <w:rPr/>
        <w:t>（</w:t>
      </w:r>
      <w:r>
        <w:rPr>
          <w:rFonts w:ascii="Times New Roman" w:hAnsi="Times New Roman" w:cs="Times New Roman" w:eastAsia="Times New Roman" w:hint="default"/>
        </w:rPr>
        <w:t>2</w:t>
      </w:r>
      <w:r>
        <w:rPr/>
        <w:t>）应收账款按账龄列示</w:t>
      </w:r>
    </w:p>
    <w:p>
      <w:pPr>
        <w:spacing w:line="235" w:lineRule="exact" w:before="211"/>
        <w:ind w:left="569" w:right="1221" w:firstLine="0"/>
        <w:jc w:val="center"/>
        <w:rPr>
          <w:rFonts w:ascii="宋体" w:hAnsi="宋体" w:cs="宋体" w:eastAsia="宋体" w:hint="default"/>
          <w:sz w:val="20"/>
          <w:szCs w:val="20"/>
        </w:rPr>
      </w:pPr>
      <w:r>
        <w:rPr/>
        <w:pict>
          <v:group style="position:absolute;margin-left:214.800003pt;margin-top:18.269691pt;width:292pt;height:.5pt;mso-position-horizontal-relative:page;mso-position-vertical-relative:paragraph;z-index:4072" coordorigin="4296,365" coordsize="5840,10">
            <v:group style="position:absolute;left:4301;top:370;width:3015;height:2" coordorigin="4301,370" coordsize="3015,2">
              <v:shape style="position:absolute;left:4301;top:370;width:3015;height:2" coordorigin="4301,370" coordsize="3015,0" path="m4301,370l7315,370e" filled="false" stroked="true" strokeweight=".48pt" strokecolor="#000000">
                <v:path arrowok="t"/>
              </v:shape>
            </v:group>
            <v:group style="position:absolute;left:7354;top:370;width:2777;height:2" coordorigin="7354,370" coordsize="2777,2">
              <v:shape style="position:absolute;left:7354;top:370;width:2777;height:2" coordorigin="7354,370" coordsize="2777,0" path="m7354,370l10130,370e" filled="false" stroked="true" strokeweight=".48pt" strokecolor="#000000">
                <v:path arrowok="t"/>
              </v:shape>
            </v:group>
            <w10:wrap type="none"/>
          </v:group>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tabs>
          <w:tab w:pos="3360" w:val="left" w:leader="none"/>
        </w:tabs>
        <w:spacing w:before="135"/>
        <w:ind w:left="430" w:right="0"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after="0"/>
        <w:jc w:val="left"/>
        <w:rPr>
          <w:rFonts w:ascii="宋体" w:hAnsi="宋体" w:cs="宋体" w:eastAsia="宋体" w:hint="default"/>
          <w:sz w:val="20"/>
          <w:szCs w:val="20"/>
        </w:rPr>
        <w:sectPr>
          <w:type w:val="continuous"/>
          <w:pgSz w:w="11910" w:h="16840"/>
          <w:pgMar w:top="1380" w:bottom="1380" w:left="1660" w:right="1660"/>
          <w:cols w:num="2" w:equalWidth="0">
            <w:col w:w="3378" w:space="40"/>
            <w:col w:w="5172"/>
          </w:cols>
        </w:sectPr>
      </w:pPr>
    </w:p>
    <w:p>
      <w:pPr>
        <w:tabs>
          <w:tab w:pos="4272" w:val="left" w:leader="none"/>
          <w:tab w:pos="6031" w:val="left" w:leader="none"/>
          <w:tab w:pos="7159" w:val="left" w:leader="none"/>
        </w:tabs>
        <w:spacing w:line="214" w:lineRule="exact" w:before="0"/>
        <w:ind w:left="3032" w:right="0" w:firstLine="0"/>
        <w:jc w:val="left"/>
        <w:rPr>
          <w:rFonts w:ascii="宋体" w:hAnsi="宋体" w:cs="宋体" w:eastAsia="宋体" w:hint="default"/>
          <w:sz w:val="20"/>
          <w:szCs w:val="20"/>
        </w:rPr>
      </w:pPr>
      <w:r>
        <w:rPr>
          <w:rFonts w:ascii="宋体" w:hAnsi="宋体" w:cs="宋体" w:eastAsia="宋体" w:hint="default"/>
          <w:w w:val="95"/>
          <w:sz w:val="20"/>
          <w:szCs w:val="20"/>
        </w:rPr>
        <w:t>金额</w:t>
        <w:tab/>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tab/>
        <w:t>金额</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tabs>
          <w:tab w:pos="2657" w:val="left" w:leader="none"/>
          <w:tab w:pos="5187" w:val="left" w:leader="none"/>
          <w:tab w:pos="8451" w:val="right" w:leader="none"/>
        </w:tabs>
        <w:spacing w:before="68"/>
        <w:ind w:left="137" w:right="0" w:firstLine="0"/>
        <w:jc w:val="left"/>
        <w:rPr>
          <w:rFonts w:ascii="Times New Roman" w:hAnsi="Times New Roman" w:cs="Times New Roman" w:eastAsia="Times New Roman" w:hint="default"/>
          <w:sz w:val="20"/>
          <w:szCs w:val="20"/>
        </w:rPr>
      </w:pPr>
      <w:r>
        <w:rPr/>
        <w:pict>
          <v:group style="position:absolute;margin-left:88.559998pt;margin-top:2.479693pt;width:418.2pt;height:.5pt;mso-position-horizontal-relative:page;mso-position-vertical-relative:paragraph;z-index:4096" coordorigin="1771,50" coordsize="8364,10">
            <v:group style="position:absolute;left:1776;top:54;width:2489;height:2" coordorigin="1776,54" coordsize="2489,2">
              <v:shape style="position:absolute;left:1776;top:54;width:2489;height:2" coordorigin="1776,54" coordsize="2489,0" path="m1776,54l4265,54e" filled="false" stroked="true" strokeweight=".48pt" strokecolor="#000000">
                <v:path arrowok="t"/>
              </v:shape>
            </v:group>
            <v:group style="position:absolute;left:4301;top:54;width:1184;height:2" coordorigin="4301,54" coordsize="1184,2">
              <v:shape style="position:absolute;left:4301;top:54;width:1184;height:2" coordorigin="4301,54" coordsize="1184,0" path="m4301,54l5484,54e" filled="false" stroked="true" strokeweight=".48pt" strokecolor="#000000">
                <v:path arrowok="t"/>
              </v:shape>
            </v:group>
            <v:group style="position:absolute;left:5522;top:54;width:1793;height:2" coordorigin="5522,54" coordsize="1793,2">
              <v:shape style="position:absolute;left:5522;top:54;width:1793;height:2" coordorigin="5522,54" coordsize="1793,0" path="m5522,54l7315,54e" filled="false" stroked="true" strokeweight=".48pt" strokecolor="#000000">
                <v:path arrowok="t"/>
              </v:shape>
            </v:group>
            <v:group style="position:absolute;left:7354;top:54;width:1080;height:2" coordorigin="7354,54" coordsize="1080,2">
              <v:shape style="position:absolute;left:7354;top:54;width:1080;height:2" coordorigin="7354,54" coordsize="1080,0" path="m7354,54l8434,54e" filled="false" stroked="true" strokeweight=".48pt" strokecolor="#000000">
                <v:path arrowok="t"/>
              </v:shape>
            </v:group>
            <v:group style="position:absolute;left:8484;top:54;width:1647;height:2" coordorigin="8484,54" coordsize="1647,2">
              <v:shape style="position:absolute;left:8484;top:54;width:1647;height:2" coordorigin="8484,54" coordsize="1647,0" path="m8484,54l10130,54e" filled="false" stroked="true" strokeweight=".48pt" strokecolor="#000000">
                <v:path arrowok="t"/>
              </v:shape>
            </v:group>
            <w10:wrap type="none"/>
          </v:group>
        </w:pic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tab/>
      </w:r>
      <w:r>
        <w:rPr>
          <w:rFonts w:ascii="Times New Roman" w:hAnsi="Times New Roman" w:cs="Times New Roman" w:eastAsia="Times New Roman" w:hint="default"/>
          <w:w w:val="95"/>
          <w:sz w:val="20"/>
          <w:szCs w:val="20"/>
        </w:rPr>
        <w:t>36,605,951.39</w:t>
        <w:tab/>
      </w:r>
      <w:r>
        <w:rPr>
          <w:rFonts w:ascii="Times New Roman" w:hAnsi="Times New Roman" w:cs="Times New Roman" w:eastAsia="Times New Roman" w:hint="default"/>
          <w:sz w:val="20"/>
          <w:szCs w:val="20"/>
        </w:rPr>
        <w:t>94.51</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7,016,200.00</w:t>
        <w:tab/>
        <w:t>82.75</w:t>
      </w:r>
    </w:p>
    <w:p>
      <w:pPr>
        <w:tabs>
          <w:tab w:pos="2755" w:val="left" w:leader="none"/>
          <w:tab w:pos="5287" w:val="left" w:leader="none"/>
          <w:tab w:pos="8451" w:val="right" w:leader="none"/>
        </w:tabs>
        <w:spacing w:before="59"/>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tab/>
      </w:r>
      <w:r>
        <w:rPr>
          <w:rFonts w:ascii="Times New Roman" w:hAnsi="Times New Roman" w:cs="Times New Roman" w:eastAsia="Times New Roman" w:hint="default"/>
          <w:w w:val="95"/>
          <w:sz w:val="20"/>
          <w:szCs w:val="20"/>
        </w:rPr>
        <w:t>1,684,400.00</w:t>
        <w:tab/>
      </w:r>
      <w:r>
        <w:rPr>
          <w:rFonts w:ascii="Times New Roman" w:hAnsi="Times New Roman" w:cs="Times New Roman" w:eastAsia="Times New Roman" w:hint="default"/>
          <w:sz w:val="20"/>
          <w:szCs w:val="20"/>
        </w:rPr>
        <w:t>4.35</w:t>
      </w:r>
      <w:r>
        <w:rPr>
          <w:rFonts w:ascii="Times New Roman" w:hAnsi="Times New Roman" w:cs="Times New Roman" w:eastAsia="Times New Roman" w:hint="default"/>
          <w:spacing w:val="18"/>
          <w:sz w:val="20"/>
          <w:szCs w:val="20"/>
        </w:rPr>
        <w:t> </w:t>
      </w:r>
      <w:r>
        <w:rPr>
          <w:rFonts w:ascii="Times New Roman" w:hAnsi="Times New Roman" w:cs="Times New Roman" w:eastAsia="Times New Roman" w:hint="default"/>
          <w:sz w:val="20"/>
          <w:szCs w:val="20"/>
        </w:rPr>
        <w:t>1,397,000.00</w:t>
        <w:tab/>
        <w:t>16.48</w:t>
      </w:r>
    </w:p>
    <w:p>
      <w:pPr>
        <w:tabs>
          <w:tab w:pos="2907" w:val="left" w:leader="none"/>
          <w:tab w:pos="5640" w:val="right" w:leader="none"/>
        </w:tabs>
        <w:spacing w:before="59"/>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tab/>
      </w:r>
      <w:r>
        <w:rPr>
          <w:rFonts w:ascii="Times New Roman" w:hAnsi="Times New Roman" w:cs="Times New Roman" w:eastAsia="Times New Roman" w:hint="default"/>
          <w:sz w:val="20"/>
          <w:szCs w:val="20"/>
        </w:rPr>
        <w:t>378,000.00</w:t>
        <w:tab/>
        <w:t>0.97</w:t>
      </w:r>
    </w:p>
    <w:p>
      <w:pPr>
        <w:tabs>
          <w:tab w:pos="5959" w:val="left" w:leader="none"/>
          <w:tab w:pos="8451" w:val="right" w:leader="none"/>
        </w:tabs>
        <w:spacing w:before="59"/>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tab/>
      </w:r>
      <w:r>
        <w:rPr>
          <w:rFonts w:ascii="Times New Roman" w:hAnsi="Times New Roman" w:cs="Times New Roman" w:eastAsia="Times New Roman" w:hint="default"/>
          <w:sz w:val="20"/>
          <w:szCs w:val="20"/>
        </w:rPr>
        <w:t>65,000.00</w:t>
        <w:tab/>
        <w:t>0.77</w:t>
      </w:r>
    </w:p>
    <w:p>
      <w:pPr>
        <w:spacing w:after="0"/>
        <w:jc w:val="left"/>
        <w:rPr>
          <w:rFonts w:ascii="Times New Roman" w:hAnsi="Times New Roman" w:cs="Times New Roman" w:eastAsia="Times New Roman" w:hint="default"/>
          <w:sz w:val="20"/>
          <w:szCs w:val="20"/>
        </w:rPr>
        <w:sectPr>
          <w:type w:val="continuous"/>
          <w:pgSz w:w="11910" w:h="16840"/>
          <w:pgMar w:top="1380" w:bottom="1380" w:left="1660" w:right="1660"/>
        </w:sect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5567" w:val="left" w:leader="none"/>
        </w:tabs>
        <w:spacing w:line="217" w:lineRule="exact" w:before="43"/>
        <w:ind w:left="2637" w:right="0" w:firstLine="0"/>
        <w:jc w:val="center"/>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line="173" w:lineRule="exact" w:before="0"/>
        <w:ind w:left="1162" w:right="0" w:firstLine="0"/>
        <w:jc w:val="left"/>
        <w:rPr>
          <w:rFonts w:ascii="宋体" w:hAnsi="宋体" w:cs="宋体" w:eastAsia="宋体" w:hint="default"/>
          <w:sz w:val="20"/>
          <w:szCs w:val="20"/>
        </w:rPr>
      </w:pPr>
      <w:r>
        <w:rPr/>
        <w:pict>
          <v:group style="position:absolute;margin-left:214.800003pt;margin-top:5.496699pt;width:292pt;height:.5pt;mso-position-horizontal-relative:page;mso-position-vertical-relative:paragraph;z-index:4216" coordorigin="4296,110" coordsize="5840,10">
            <v:group style="position:absolute;left:4301;top:115;width:3015;height:2" coordorigin="4301,115" coordsize="3015,2">
              <v:shape style="position:absolute;left:4301;top:115;width:3015;height:2" coordorigin="4301,115" coordsize="3015,0" path="m4301,115l7315,115e" filled="false" stroked="true" strokeweight=".48pt" strokecolor="#000000">
                <v:path arrowok="t"/>
              </v:shape>
            </v:group>
            <v:group style="position:absolute;left:7354;top:115;width:2777;height:2" coordorigin="7354,115" coordsize="2777,2">
              <v:shape style="position:absolute;left:7354;top:115;width:2777;height:2" coordorigin="7354,115" coordsize="2777,0" path="m7354,115l10130,115e" filled="false" stroked="true" strokeweight=".48pt" strokecolor="#000000">
                <v:path arrowok="t"/>
              </v:shape>
            </v:group>
            <w10:wrap type="none"/>
          </v:group>
        </w:pict>
      </w:r>
      <w:r>
        <w:rPr>
          <w:rFonts w:ascii="宋体" w:hAnsi="宋体" w:cs="宋体" w:eastAsia="宋体" w:hint="default"/>
          <w:sz w:val="20"/>
          <w:szCs w:val="20"/>
        </w:rPr>
        <w:t>项目</w:t>
      </w:r>
    </w:p>
    <w:p>
      <w:pPr>
        <w:tabs>
          <w:tab w:pos="3811" w:val="left" w:leader="none"/>
          <w:tab w:pos="5570" w:val="left" w:leader="none"/>
          <w:tab w:pos="6698" w:val="left" w:leader="none"/>
        </w:tabs>
        <w:spacing w:line="232" w:lineRule="exact" w:before="0"/>
        <w:ind w:left="2570" w:right="0" w:firstLine="0"/>
        <w:jc w:val="center"/>
        <w:rPr>
          <w:rFonts w:ascii="宋体" w:hAnsi="宋体" w:cs="宋体" w:eastAsia="宋体" w:hint="default"/>
          <w:sz w:val="20"/>
          <w:szCs w:val="20"/>
        </w:rPr>
      </w:pPr>
      <w:r>
        <w:rPr/>
        <w:pict>
          <v:group style="position:absolute;margin-left:88.559998pt;margin-top:14.136715pt;width:418.2pt;height:.5pt;mso-position-horizontal-relative:page;mso-position-vertical-relative:paragraph;z-index:4240" coordorigin="1771,283" coordsize="8364,10">
            <v:group style="position:absolute;left:1776;top:288;width:2489;height:2" coordorigin="1776,288" coordsize="2489,2">
              <v:shape style="position:absolute;left:1776;top:288;width:2489;height:2" coordorigin="1776,288" coordsize="2489,0" path="m1776,288l4265,288e" filled="false" stroked="true" strokeweight=".48pt" strokecolor="#000000">
                <v:path arrowok="t"/>
              </v:shape>
            </v:group>
            <v:group style="position:absolute;left:4301;top:288;width:1184;height:2" coordorigin="4301,288" coordsize="1184,2">
              <v:shape style="position:absolute;left:4301;top:288;width:1184;height:2" coordorigin="4301,288" coordsize="1184,0" path="m4301,288l5484,288e" filled="false" stroked="true" strokeweight=".48pt" strokecolor="#000000">
                <v:path arrowok="t"/>
              </v:shape>
            </v:group>
            <v:group style="position:absolute;left:5522;top:288;width:1793;height:2" coordorigin="5522,288" coordsize="1793,2">
              <v:shape style="position:absolute;left:5522;top:288;width:1793;height:2" coordorigin="5522,288" coordsize="1793,0" path="m5522,288l7315,288e" filled="false" stroked="true" strokeweight=".48pt" strokecolor="#000000">
                <v:path arrowok="t"/>
              </v:shape>
            </v:group>
            <v:group style="position:absolute;left:7354;top:288;width:1080;height:2" coordorigin="7354,288" coordsize="1080,2">
              <v:shape style="position:absolute;left:7354;top:288;width:1080;height:2" coordorigin="7354,288" coordsize="1080,0" path="m7354,288l8434,288e" filled="false" stroked="true" strokeweight=".48pt" strokecolor="#000000">
                <v:path arrowok="t"/>
              </v:shape>
            </v:group>
            <v:group style="position:absolute;left:8484;top:288;width:1647;height:2" coordorigin="8484,288" coordsize="1647,2">
              <v:shape style="position:absolute;left:8484;top:288;width:1647;height:2" coordorigin="8484,288" coordsize="1647,0" path="m8484,288l10130,288e" filled="false" stroked="true" strokeweight=".48pt" strokecolor="#000000">
                <v:path arrowok="t"/>
              </v:shape>
            </v:group>
            <w10:wrap type="none"/>
          </v:group>
        </w:pict>
      </w:r>
      <w:r>
        <w:rPr>
          <w:rFonts w:ascii="宋体" w:hAnsi="宋体" w:cs="宋体" w:eastAsia="宋体" w:hint="default"/>
          <w:w w:val="95"/>
          <w:sz w:val="20"/>
          <w:szCs w:val="20"/>
        </w:rPr>
        <w:t>金额</w:t>
        <w:tab/>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tab/>
        <w:t>金额</w:t>
        <w:tab/>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tabs>
          <w:tab w:pos="3007" w:val="left" w:leader="none"/>
          <w:tab w:pos="5640" w:val="right" w:leader="none"/>
        </w:tabs>
        <w:spacing w:before="68"/>
        <w:ind w:left="137"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tab/>
      </w:r>
      <w:r>
        <w:rPr>
          <w:rFonts w:ascii="Times New Roman" w:hAnsi="Times New Roman" w:cs="Times New Roman" w:eastAsia="Times New Roman" w:hint="default"/>
          <w:sz w:val="20"/>
          <w:szCs w:val="20"/>
        </w:rPr>
        <w:t>65,000.00</w:t>
        <w:tab/>
        <w:t>0.17</w:t>
      </w:r>
    </w:p>
    <w:p>
      <w:pPr>
        <w:spacing w:before="59"/>
        <w:ind w:left="137"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p>
      <w:pPr>
        <w:tabs>
          <w:tab w:pos="2657" w:val="left" w:leader="none"/>
          <w:tab w:pos="5088" w:val="left" w:leader="none"/>
          <w:tab w:pos="7899" w:val="left" w:leader="none"/>
        </w:tabs>
        <w:spacing w:before="71"/>
        <w:ind w:left="137" w:right="0" w:firstLine="0"/>
        <w:jc w:val="left"/>
        <w:rPr>
          <w:rFonts w:ascii="Times New Roman" w:hAnsi="Times New Roman" w:cs="Times New Roman" w:eastAsia="Times New Roman" w:hint="default"/>
          <w:sz w:val="20"/>
          <w:szCs w:val="20"/>
        </w:rPr>
      </w:pPr>
      <w:r>
        <w:rPr/>
        <w:pict>
          <v:group style="position:absolute;margin-left:214.800003pt;margin-top:2.989666pt;width:292pt;height:.5pt;mso-position-horizontal-relative:page;mso-position-vertical-relative:paragraph;z-index:4264" coordorigin="4296,60" coordsize="5840,10">
            <v:group style="position:absolute;left:4301;top:65;width:1184;height:2" coordorigin="4301,65" coordsize="1184,2">
              <v:shape style="position:absolute;left:4301;top:65;width:1184;height:2" coordorigin="4301,65" coordsize="1184,0" path="m4301,65l5484,65e" filled="false" stroked="true" strokeweight=".48pt" strokecolor="#000000">
                <v:path arrowok="t"/>
              </v:shape>
            </v:group>
            <v:group style="position:absolute;left:5522;top:65;width:1793;height:2" coordorigin="5522,65" coordsize="1793,2">
              <v:shape style="position:absolute;left:5522;top:65;width:1793;height:2" coordorigin="5522,65" coordsize="1793,0" path="m5522,65l7315,65e" filled="false" stroked="true" strokeweight=".48pt" strokecolor="#000000">
                <v:path arrowok="t"/>
              </v:shape>
            </v:group>
            <v:group style="position:absolute;left:7354;top:65;width:1080;height:2" coordorigin="7354,65" coordsize="1080,2">
              <v:shape style="position:absolute;left:7354;top:65;width:1080;height:2" coordorigin="7354,65" coordsize="1080,0" path="m7354,65l8434,65e" filled="false" stroked="true" strokeweight=".48pt" strokecolor="#000000">
                <v:path arrowok="t"/>
              </v:shape>
            </v:group>
            <v:group style="position:absolute;left:8484;top:65;width:1647;height:2" coordorigin="8484,65" coordsize="1647,2">
              <v:shape style="position:absolute;left:8484;top:65;width:1647;height:2" coordorigin="8484,65" coordsize="1647,0" path="m8484,65l10130,65e" filled="false" stroked="true" strokeweight=".48pt" strokecolor="#000000">
                <v:path arrowok="t"/>
              </v:shape>
            </v:group>
            <w10:wrap type="none"/>
          </v:group>
        </w:pict>
      </w:r>
      <w:r>
        <w:rPr/>
        <w:pict>
          <v:group style="position:absolute;margin-left:214.679993pt;margin-top:19.789665pt;width:292.2pt;height:2.2pt;mso-position-horizontal-relative:page;mso-position-vertical-relative:paragraph;z-index:4288" coordorigin="4294,396" coordsize="5844,44">
            <v:group style="position:absolute;left:4301;top:432;width:1184;height:2" coordorigin="4301,432" coordsize="1184,2">
              <v:shape style="position:absolute;left:4301;top:432;width:1184;height:2" coordorigin="4301,432" coordsize="1184,0" path="m4301,432l5484,432e" filled="false" stroked="true" strokeweight=".72pt" strokecolor="#000000">
                <v:path arrowok="t"/>
              </v:shape>
            </v:group>
            <v:group style="position:absolute;left:4301;top:403;width:1184;height:2" coordorigin="4301,403" coordsize="1184,2">
              <v:shape style="position:absolute;left:4301;top:403;width:1184;height:2" coordorigin="4301,403" coordsize="1184,0" path="m4301,403l5484,403e" filled="false" stroked="true" strokeweight=".72pt" strokecolor="#000000">
                <v:path arrowok="t"/>
              </v:shape>
            </v:group>
            <v:group style="position:absolute;left:5522;top:432;width:1793;height:2" coordorigin="5522,432" coordsize="1793,2">
              <v:shape style="position:absolute;left:5522;top:432;width:1793;height:2" coordorigin="5522,432" coordsize="1793,0" path="m5522,432l7315,432e" filled="false" stroked="true" strokeweight=".72pt" strokecolor="#000000">
                <v:path arrowok="t"/>
              </v:shape>
            </v:group>
            <v:group style="position:absolute;left:5522;top:403;width:1793;height:2" coordorigin="5522,403" coordsize="1793,2">
              <v:shape style="position:absolute;left:5522;top:403;width:1793;height:2" coordorigin="5522,403" coordsize="1793,0" path="m5522,403l7315,403e" filled="false" stroked="true" strokeweight=".72pt" strokecolor="#000000">
                <v:path arrowok="t"/>
              </v:shape>
            </v:group>
            <v:group style="position:absolute;left:7354;top:432;width:1080;height:2" coordorigin="7354,432" coordsize="1080,2">
              <v:shape style="position:absolute;left:7354;top:432;width:1080;height:2" coordorigin="7354,432" coordsize="1080,0" path="m7354,432l8434,432e" filled="false" stroked="true" strokeweight=".72pt" strokecolor="#000000">
                <v:path arrowok="t"/>
              </v:shape>
            </v:group>
            <v:group style="position:absolute;left:7354;top:403;width:1080;height:2" coordorigin="7354,403" coordsize="1080,2">
              <v:shape style="position:absolute;left:7354;top:403;width:1080;height:2" coordorigin="7354,403" coordsize="1080,0" path="m7354,403l8434,403e" filled="false" stroked="true" strokeweight=".72pt" strokecolor="#000000">
                <v:path arrowok="t"/>
              </v:shape>
            </v:group>
            <v:group style="position:absolute;left:8484;top:432;width:1647;height:2" coordorigin="8484,432" coordsize="1647,2">
              <v:shape style="position:absolute;left:8484;top:432;width:1647;height:2" coordorigin="8484,432" coordsize="1647,0" path="m8484,432l10130,432e" filled="false" stroked="true" strokeweight=".72pt" strokecolor="#000000">
                <v:path arrowok="t"/>
              </v:shape>
            </v:group>
            <v:group style="position:absolute;left:8484;top:403;width:1647;height:2" coordorigin="8484,403" coordsize="1647,2">
              <v:shape style="position:absolute;left:8484;top:403;width:1647;height:2" coordorigin="8484,403" coordsize="1647,0" path="m8484,403l10130,403e" filled="false" stroked="true" strokeweight=".72pt" strokecolor="#000000">
                <v:path arrowok="t"/>
              </v:shape>
            </v:group>
            <w10:wrap type="none"/>
          </v:group>
        </w:pict>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w w:val="95"/>
          <w:sz w:val="20"/>
          <w:szCs w:val="20"/>
        </w:rPr>
        <w:t>38,733,351.39</w:t>
        <w:tab/>
      </w:r>
      <w:r>
        <w:rPr>
          <w:rFonts w:ascii="Times New Roman" w:hAnsi="Times New Roman" w:cs="Times New Roman" w:eastAsia="Times New Roman" w:hint="default"/>
          <w:sz w:val="20"/>
          <w:szCs w:val="20"/>
        </w:rPr>
        <w:t>100.00</w:t>
      </w:r>
      <w:r>
        <w:rPr>
          <w:rFonts w:ascii="Times New Roman" w:hAnsi="Times New Roman" w:cs="Times New Roman" w:eastAsia="Times New Roman" w:hint="default"/>
          <w:spacing w:val="15"/>
          <w:sz w:val="20"/>
          <w:szCs w:val="20"/>
        </w:rPr>
        <w:t> </w:t>
      </w:r>
      <w:r>
        <w:rPr>
          <w:rFonts w:ascii="Times New Roman" w:hAnsi="Times New Roman" w:cs="Times New Roman" w:eastAsia="Times New Roman" w:hint="default"/>
          <w:sz w:val="20"/>
          <w:szCs w:val="20"/>
        </w:rPr>
        <w:t>8,478,200.00</w:t>
        <w:tab/>
        <w:t>100.00</w:t>
      </w:r>
    </w:p>
    <w:p>
      <w:pPr>
        <w:pStyle w:val="BodyText"/>
        <w:spacing w:line="240" w:lineRule="auto" w:before="869"/>
        <w:ind w:left="617" w:right="0"/>
        <w:jc w:val="left"/>
      </w:pPr>
      <w:r>
        <w:rPr/>
        <w:t>（</w:t>
      </w:r>
      <w:r>
        <w:rPr>
          <w:rFonts w:ascii="Times New Roman" w:hAnsi="Times New Roman" w:cs="Times New Roman" w:eastAsia="Times New Roman" w:hint="default"/>
        </w:rPr>
        <w:t>3</w:t>
      </w:r>
      <w:r>
        <w:rPr/>
        <w:t>）坏账准备的计提情况</w:t>
      </w:r>
    </w:p>
    <w:p>
      <w:pPr>
        <w:pStyle w:val="BodyText"/>
        <w:spacing w:line="240" w:lineRule="auto" w:before="231"/>
        <w:ind w:left="620" w:right="0"/>
        <w:jc w:val="left"/>
      </w:pPr>
      <w:r>
        <w:rPr/>
        <w:t>①单项金额重大并单项计提坏账准备的应收账款坏账准备计提情况</w:t>
      </w:r>
    </w:p>
    <w:p>
      <w:pPr>
        <w:spacing w:line="240" w:lineRule="auto" w:before="1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176"/>
        <w:gridCol w:w="1201"/>
        <w:gridCol w:w="1100"/>
        <w:gridCol w:w="878"/>
        <w:gridCol w:w="999"/>
      </w:tblGrid>
      <w:tr>
        <w:trPr>
          <w:trHeight w:val="291" w:hRule="exact"/>
        </w:trPr>
        <w:tc>
          <w:tcPr>
            <w:tcW w:w="4176" w:type="dxa"/>
            <w:tcBorders>
              <w:top w:val="nil" w:sz="6" w:space="0" w:color="auto"/>
              <w:left w:val="nil" w:sz="6" w:space="0" w:color="auto"/>
              <w:bottom w:val="single" w:sz="4" w:space="0" w:color="000000"/>
              <w:right w:val="nil" w:sz="6" w:space="0" w:color="auto"/>
            </w:tcBorders>
          </w:tcPr>
          <w:p>
            <w:pPr>
              <w:pStyle w:val="TableParagraph"/>
              <w:spacing w:line="211" w:lineRule="exact"/>
              <w:ind w:right="34"/>
              <w:jc w:val="center"/>
              <w:rPr>
                <w:rFonts w:ascii="宋体" w:hAnsi="宋体" w:cs="宋体" w:eastAsia="宋体" w:hint="default"/>
                <w:sz w:val="20"/>
                <w:szCs w:val="20"/>
              </w:rPr>
            </w:pPr>
            <w:r>
              <w:rPr>
                <w:rFonts w:ascii="宋体" w:hAnsi="宋体" w:cs="宋体" w:eastAsia="宋体" w:hint="default"/>
                <w:sz w:val="20"/>
                <w:szCs w:val="20"/>
              </w:rPr>
              <w:t>应收账款内容</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11" w:lineRule="exact"/>
              <w:ind w:left="189" w:right="0"/>
              <w:jc w:val="left"/>
              <w:rPr>
                <w:rFonts w:ascii="宋体" w:hAnsi="宋体" w:cs="宋体" w:eastAsia="宋体" w:hint="default"/>
                <w:sz w:val="20"/>
                <w:szCs w:val="20"/>
              </w:rPr>
            </w:pPr>
            <w:r>
              <w:rPr>
                <w:rFonts w:ascii="宋体" w:hAnsi="宋体" w:cs="宋体" w:eastAsia="宋体" w:hint="default"/>
                <w:sz w:val="20"/>
                <w:szCs w:val="20"/>
              </w:rPr>
              <w:t>账面金额</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11" w:lineRule="exact"/>
              <w:ind w:left="15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878"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计提比</w:t>
            </w:r>
          </w:p>
        </w:tc>
        <w:tc>
          <w:tcPr>
            <w:tcW w:w="999" w:type="dxa"/>
            <w:tcBorders>
              <w:top w:val="nil" w:sz="6" w:space="0" w:color="auto"/>
              <w:left w:val="nil" w:sz="6" w:space="0" w:color="auto"/>
              <w:bottom w:val="single" w:sz="4" w:space="0" w:color="000000"/>
              <w:right w:val="nil" w:sz="6" w:space="0" w:color="auto"/>
            </w:tcBorders>
          </w:tcPr>
          <w:p>
            <w:pPr>
              <w:pStyle w:val="TableParagraph"/>
              <w:spacing w:line="211" w:lineRule="exact"/>
              <w:ind w:right="11"/>
              <w:jc w:val="center"/>
              <w:rPr>
                <w:rFonts w:ascii="宋体" w:hAnsi="宋体" w:cs="宋体" w:eastAsia="宋体" w:hint="default"/>
                <w:sz w:val="20"/>
                <w:szCs w:val="20"/>
              </w:rPr>
            </w:pPr>
            <w:r>
              <w:rPr>
                <w:rFonts w:ascii="宋体" w:hAnsi="宋体" w:cs="宋体" w:eastAsia="宋体" w:hint="default"/>
                <w:sz w:val="20"/>
                <w:szCs w:val="20"/>
              </w:rPr>
              <w:t>理由</w:t>
            </w:r>
          </w:p>
        </w:tc>
      </w:tr>
      <w:tr>
        <w:trPr>
          <w:trHeight w:val="369" w:hRule="exact"/>
        </w:trPr>
        <w:tc>
          <w:tcPr>
            <w:tcW w:w="417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1" w:right="0"/>
              <w:jc w:val="left"/>
              <w:rPr>
                <w:rFonts w:ascii="宋体" w:hAnsi="宋体" w:cs="宋体" w:eastAsia="宋体" w:hint="default"/>
                <w:sz w:val="20"/>
                <w:szCs w:val="20"/>
              </w:rPr>
            </w:pPr>
            <w:r>
              <w:rPr>
                <w:rFonts w:ascii="宋体" w:hAnsi="宋体" w:cs="宋体" w:eastAsia="宋体" w:hint="default"/>
                <w:sz w:val="20"/>
                <w:szCs w:val="20"/>
              </w:rPr>
              <w:t>昌吉市城乡建设委员会</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32"/>
              <w:jc w:val="right"/>
              <w:rPr>
                <w:rFonts w:ascii="Times New Roman" w:hAnsi="Times New Roman" w:cs="Times New Roman" w:eastAsia="Times New Roman" w:hint="default"/>
                <w:sz w:val="20"/>
                <w:szCs w:val="20"/>
              </w:rPr>
            </w:pPr>
            <w:r>
              <w:rPr>
                <w:rFonts w:ascii="Times New Roman"/>
                <w:w w:val="95"/>
                <w:sz w:val="20"/>
              </w:rPr>
              <w:t>5,453,051.28</w:t>
            </w:r>
            <w:r>
              <w:rPr>
                <w:rFonts w:ascii="Times New Roman"/>
                <w:sz w:val="20"/>
              </w:rPr>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
              <w:jc w:val="right"/>
              <w:rPr>
                <w:rFonts w:ascii="Times New Roman" w:hAnsi="Times New Roman" w:cs="Times New Roman" w:eastAsia="Times New Roman" w:hint="default"/>
                <w:sz w:val="20"/>
                <w:szCs w:val="20"/>
              </w:rPr>
            </w:pPr>
            <w:r>
              <w:rPr>
                <w:rFonts w:ascii="Times New Roman"/>
                <w:w w:val="95"/>
                <w:sz w:val="20"/>
              </w:rPr>
              <w:t>272,652.56</w:t>
            </w:r>
            <w:r>
              <w:rPr>
                <w:rFonts w:ascii="Times New Roman"/>
                <w:sz w:val="20"/>
              </w:rPr>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 w:right="0"/>
              <w:jc w:val="left"/>
              <w:rPr>
                <w:rFonts w:ascii="宋体" w:hAnsi="宋体" w:cs="宋体" w:eastAsia="宋体" w:hint="default"/>
                <w:sz w:val="20"/>
                <w:szCs w:val="20"/>
              </w:rPr>
            </w:pPr>
            <w:r>
              <w:rPr>
                <w:rFonts w:ascii="宋体" w:hAnsi="宋体" w:cs="宋体" w:eastAsia="宋体" w:hint="default"/>
                <w:sz w:val="20"/>
                <w:szCs w:val="20"/>
              </w:rPr>
              <w:t>遵义市城市管理市综合执法局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2"/>
              <w:jc w:val="right"/>
              <w:rPr>
                <w:rFonts w:ascii="Times New Roman" w:hAnsi="Times New Roman" w:cs="Times New Roman" w:eastAsia="Times New Roman" w:hint="default"/>
                <w:sz w:val="20"/>
                <w:szCs w:val="20"/>
              </w:rPr>
            </w:pPr>
            <w:r>
              <w:rPr>
                <w:rFonts w:ascii="Times New Roman"/>
                <w:w w:val="95"/>
                <w:sz w:val="20"/>
              </w:rPr>
              <w:t>3,637,200.00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
              <w:jc w:val="right"/>
              <w:rPr>
                <w:rFonts w:ascii="Times New Roman" w:hAnsi="Times New Roman" w:cs="Times New Roman" w:eastAsia="Times New Roman" w:hint="default"/>
                <w:sz w:val="20"/>
                <w:szCs w:val="20"/>
              </w:rPr>
            </w:pPr>
            <w:r>
              <w:rPr>
                <w:rFonts w:ascii="Times New Roman"/>
                <w:w w:val="95"/>
                <w:sz w:val="20"/>
              </w:rPr>
              <w:t>181,860.00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准格尔旗信息化工作办公室</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3,355,730.77</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20"/>
                <w:szCs w:val="20"/>
              </w:rPr>
            </w:pPr>
            <w:r>
              <w:rPr>
                <w:rFonts w:ascii="Times New Roman"/>
                <w:w w:val="95"/>
                <w:sz w:val="20"/>
              </w:rPr>
              <w:t>167,786.54</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鄂尔多斯市东胜区信息化委员会</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6,295,404.83</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20"/>
                <w:szCs w:val="20"/>
              </w:rPr>
            </w:pPr>
            <w:r>
              <w:rPr>
                <w:rFonts w:ascii="Times New Roman"/>
                <w:w w:val="95"/>
                <w:sz w:val="20"/>
              </w:rPr>
              <w:t>314,770.24</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银川市城市管理局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3,063,247.86</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20"/>
                <w:szCs w:val="20"/>
              </w:rPr>
            </w:pPr>
            <w:r>
              <w:rPr>
                <w:rFonts w:ascii="Times New Roman"/>
                <w:w w:val="95"/>
                <w:sz w:val="20"/>
              </w:rPr>
              <w:t>153,162.39</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赤峰市城市管理监察支队</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2,205,982.91</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
              <w:jc w:val="right"/>
              <w:rPr>
                <w:rFonts w:ascii="Times New Roman" w:hAnsi="Times New Roman" w:cs="Times New Roman" w:eastAsia="Times New Roman" w:hint="default"/>
                <w:sz w:val="20"/>
                <w:szCs w:val="20"/>
              </w:rPr>
            </w:pPr>
            <w:r>
              <w:rPr>
                <w:rFonts w:ascii="Times New Roman"/>
                <w:w w:val="95"/>
                <w:sz w:val="20"/>
              </w:rPr>
              <w:t>110,299.15</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天津市城市管理综合执法局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1,524,000.00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83,475.00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中国移动通信集团公司河北有限公司沧州分公</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2"/>
              <w:jc w:val="right"/>
              <w:rPr>
                <w:rFonts w:ascii="Times New Roman" w:hAnsi="Times New Roman" w:cs="Times New Roman" w:eastAsia="Times New Roman" w:hint="default"/>
                <w:sz w:val="20"/>
                <w:szCs w:val="20"/>
              </w:rPr>
            </w:pPr>
            <w:r>
              <w:rPr>
                <w:rFonts w:ascii="Times New Roman"/>
                <w:w w:val="95"/>
                <w:sz w:val="20"/>
              </w:rPr>
              <w:t>1,309,500.00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
              <w:jc w:val="right"/>
              <w:rPr>
                <w:rFonts w:ascii="Times New Roman" w:hAnsi="Times New Roman" w:cs="Times New Roman" w:eastAsia="Times New Roman" w:hint="default"/>
                <w:sz w:val="20"/>
                <w:szCs w:val="20"/>
              </w:rPr>
            </w:pPr>
            <w:r>
              <w:rPr>
                <w:rFonts w:ascii="Times New Roman"/>
                <w:w w:val="95"/>
                <w:sz w:val="20"/>
              </w:rPr>
              <w:t>65,475.00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中国移动通信集团天津有限公司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1,051,282.05</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52,564.10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淅江融创信息产业有限公司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1,668,888.89</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83,444.45</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1"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 w:right="0"/>
              <w:jc w:val="left"/>
              <w:rPr>
                <w:rFonts w:ascii="宋体" w:hAnsi="宋体" w:cs="宋体" w:eastAsia="宋体" w:hint="default"/>
                <w:sz w:val="20"/>
                <w:szCs w:val="20"/>
              </w:rPr>
            </w:pPr>
            <w:r>
              <w:rPr>
                <w:rFonts w:ascii="宋体" w:hAnsi="宋体" w:cs="宋体" w:eastAsia="宋体" w:hint="default"/>
                <w:sz w:val="20"/>
                <w:szCs w:val="20"/>
              </w:rPr>
              <w:t>中国电信股份有限公司徐州分公司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2"/>
              <w:jc w:val="right"/>
              <w:rPr>
                <w:rFonts w:ascii="Times New Roman" w:hAnsi="Times New Roman" w:cs="Times New Roman" w:eastAsia="Times New Roman" w:hint="default"/>
                <w:sz w:val="20"/>
                <w:szCs w:val="20"/>
              </w:rPr>
            </w:pPr>
            <w:r>
              <w:rPr>
                <w:rFonts w:ascii="Times New Roman"/>
                <w:w w:val="95"/>
                <w:sz w:val="20"/>
              </w:rPr>
              <w:t>862,800.00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1"/>
              <w:jc w:val="right"/>
              <w:rPr>
                <w:rFonts w:ascii="Times New Roman" w:hAnsi="Times New Roman" w:cs="Times New Roman" w:eastAsia="Times New Roman" w:hint="default"/>
                <w:sz w:val="20"/>
                <w:szCs w:val="20"/>
              </w:rPr>
            </w:pPr>
            <w:r>
              <w:rPr>
                <w:rFonts w:ascii="Times New Roman"/>
                <w:w w:val="95"/>
                <w:sz w:val="20"/>
              </w:rPr>
              <w:t>64,040.00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20"/>
                <w:szCs w:val="20"/>
              </w:rPr>
            </w:pPr>
            <w:r>
              <w:rPr>
                <w:rFonts w:ascii="Times New Roman"/>
                <w:sz w:val="20"/>
              </w:rPr>
              <w:t>5%;10%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天津保税区投资有限公司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776,500.00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38,825.00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6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开封市城市管理局</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700,000.00</w:t>
            </w:r>
            <w:r>
              <w:rPr>
                <w:rFonts w:ascii="Times New Roman"/>
                <w:sz w:val="20"/>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35,000.00</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75"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石家庄市城市管理局</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20"/>
                <w:szCs w:val="20"/>
              </w:rPr>
            </w:pPr>
            <w:r>
              <w:rPr>
                <w:rFonts w:ascii="Times New Roman"/>
                <w:w w:val="95"/>
                <w:sz w:val="20"/>
              </w:rPr>
              <w:t>683,760.68</w:t>
            </w:r>
            <w:r>
              <w:rPr>
                <w:rFonts w:ascii="Times New Roman"/>
                <w:sz w:val="20"/>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20"/>
                <w:szCs w:val="20"/>
              </w:rPr>
            </w:pPr>
            <w:r>
              <w:rPr>
                <w:rFonts w:ascii="Times New Roman"/>
                <w:w w:val="95"/>
                <w:sz w:val="20"/>
              </w:rPr>
              <w:t>34,188.03</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center"/>
              <w:rPr>
                <w:rFonts w:ascii="Times New Roman" w:hAnsi="Times New Roman" w:cs="Times New Roman" w:eastAsia="Times New Roman" w:hint="default"/>
                <w:sz w:val="20"/>
                <w:szCs w:val="20"/>
              </w:rPr>
            </w:pPr>
            <w:r>
              <w:rPr>
                <w:rFonts w:ascii="Times New Roman"/>
                <w:sz w:val="20"/>
              </w:rPr>
              <w:t>5%</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center"/>
              <w:rPr>
                <w:rFonts w:ascii="宋体" w:hAnsi="宋体" w:cs="宋体" w:eastAsia="宋体" w:hint="default"/>
                <w:sz w:val="20"/>
                <w:szCs w:val="20"/>
              </w:rPr>
            </w:pPr>
            <w:r>
              <w:rPr>
                <w:rFonts w:ascii="宋体" w:hAnsi="宋体" w:cs="宋体" w:eastAsia="宋体" w:hint="default"/>
                <w:sz w:val="20"/>
                <w:szCs w:val="20"/>
              </w:rPr>
              <w:t>按账龄计</w:t>
            </w:r>
          </w:p>
        </w:tc>
      </w:tr>
      <w:tr>
        <w:trPr>
          <w:trHeight w:val="370"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center"/>
              <w:rPr>
                <w:rFonts w:ascii="宋体" w:hAnsi="宋体" w:cs="宋体" w:eastAsia="宋体" w:hint="default"/>
                <w:sz w:val="20"/>
                <w:szCs w:val="20"/>
              </w:rPr>
            </w:pPr>
            <w:r>
              <w:rPr>
                <w:rFonts w:ascii="宋体" w:hAnsi="宋体" w:cs="宋体" w:eastAsia="宋体" w:hint="default"/>
                <w:sz w:val="20"/>
                <w:szCs w:val="20"/>
              </w:rPr>
              <w:t>合计</w:t>
            </w:r>
          </w:p>
        </w:tc>
        <w:tc>
          <w:tcPr>
            <w:tcW w:w="12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34"/>
              <w:jc w:val="right"/>
              <w:rPr>
                <w:rFonts w:ascii="Times New Roman" w:hAnsi="Times New Roman" w:cs="Times New Roman" w:eastAsia="Times New Roman" w:hint="default"/>
                <w:sz w:val="20"/>
                <w:szCs w:val="20"/>
              </w:rPr>
            </w:pPr>
            <w:r>
              <w:rPr>
                <w:rFonts w:ascii="Times New Roman"/>
                <w:w w:val="95"/>
                <w:sz w:val="20"/>
              </w:rPr>
              <w:t>32,587,349.27</w:t>
            </w:r>
            <w:r>
              <w:rPr>
                <w:rFonts w:ascii="Times New Roman"/>
                <w:sz w:val="20"/>
              </w:rPr>
            </w:r>
          </w:p>
        </w:tc>
        <w:tc>
          <w:tcPr>
            <w:tcW w:w="110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0"/>
              <w:jc w:val="right"/>
              <w:rPr>
                <w:rFonts w:ascii="Times New Roman" w:hAnsi="Times New Roman" w:cs="Times New Roman" w:eastAsia="Times New Roman" w:hint="default"/>
                <w:sz w:val="20"/>
                <w:szCs w:val="20"/>
              </w:rPr>
            </w:pPr>
            <w:r>
              <w:rPr>
                <w:rFonts w:ascii="Times New Roman"/>
                <w:w w:val="95"/>
                <w:sz w:val="20"/>
              </w:rPr>
              <w:t>1,657,542.46</w:t>
            </w:r>
            <w:r>
              <w:rPr>
                <w:rFonts w:ascii="Times New Roman"/>
                <w:sz w:val="20"/>
              </w:rPr>
            </w:r>
          </w:p>
        </w:tc>
        <w:tc>
          <w:tcPr>
            <w:tcW w:w="878"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2"/>
          <w:szCs w:val="22"/>
        </w:rPr>
      </w:pPr>
    </w:p>
    <w:p>
      <w:pPr>
        <w:pStyle w:val="BodyText"/>
        <w:spacing w:line="560" w:lineRule="atLeast"/>
        <w:ind w:left="617" w:right="2909"/>
        <w:jc w:val="left"/>
      </w:pPr>
      <w:r>
        <w:rPr/>
        <w:t>②按组合计提坏账准备的应收账款 组合中，按账龄分析法计提坏账准备的应收账款</w:t>
      </w:r>
    </w:p>
    <w:p>
      <w:pPr>
        <w:tabs>
          <w:tab w:pos="6531" w:val="left" w:leader="none"/>
        </w:tabs>
        <w:spacing w:before="54"/>
        <w:ind w:left="3168" w:right="0"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position w:val="1"/>
          <w:sz w:val="20"/>
          <w:szCs w:val="20"/>
        </w:rPr>
        <w:t>期初数</w:t>
      </w:r>
      <w:r>
        <w:rPr>
          <w:rFonts w:ascii="宋体" w:hAnsi="宋体" w:cs="宋体" w:eastAsia="宋体" w:hint="default"/>
          <w:sz w:val="20"/>
          <w:szCs w:val="20"/>
        </w:rPr>
      </w:r>
    </w:p>
    <w:p>
      <w:pPr>
        <w:spacing w:line="240" w:lineRule="auto" w:before="0"/>
        <w:rPr>
          <w:rFonts w:ascii="宋体" w:hAnsi="宋体" w:cs="宋体" w:eastAsia="宋体" w:hint="default"/>
          <w:sz w:val="5"/>
          <w:szCs w:val="5"/>
        </w:rPr>
      </w:pPr>
    </w:p>
    <w:p>
      <w:pPr>
        <w:spacing w:line="20" w:lineRule="exact"/>
        <w:ind w:left="1815" w:right="0" w:firstLine="0"/>
        <w:rPr>
          <w:rFonts w:ascii="宋体" w:hAnsi="宋体" w:cs="宋体" w:eastAsia="宋体" w:hint="default"/>
          <w:sz w:val="2"/>
          <w:szCs w:val="2"/>
        </w:rPr>
      </w:pPr>
      <w:r>
        <w:rPr>
          <w:rFonts w:ascii="宋体" w:hAnsi="宋体" w:cs="宋体" w:eastAsia="宋体" w:hint="default"/>
          <w:sz w:val="2"/>
          <w:szCs w:val="2"/>
        </w:rPr>
        <w:pict>
          <v:group style="width:333.4pt;height:.5pt;mso-position-horizontal-relative:char;mso-position-vertical-relative:line" coordorigin="0,0" coordsize="6668,10">
            <v:group style="position:absolute;left:5;top:5;width:2172;height:2" coordorigin="5,5" coordsize="2172,2">
              <v:shape style="position:absolute;left:5;top:5;width:2172;height:2" coordorigin="5,5" coordsize="2172,0" path="m5,5l2177,5e" filled="false" stroked="true" strokeweight=".48pt" strokecolor="#000000">
                <v:path arrowok="t"/>
              </v:shape>
            </v:group>
            <v:group style="position:absolute;left:2177;top:5;width:10;height:2" coordorigin="2177,5" coordsize="10,2">
              <v:shape style="position:absolute;left:2177;top:5;width:10;height:2" coordorigin="2177,5" coordsize="10,0" path="m2177,5l2186,5e" filled="false" stroked="true" strokeweight=".48pt" strokecolor="#000000">
                <v:path arrowok="t"/>
              </v:shape>
            </v:group>
            <v:group style="position:absolute;left:2186;top:5;width:63;height:2" coordorigin="2186,5" coordsize="63,2">
              <v:shape style="position:absolute;left:2186;top:5;width:63;height:2" coordorigin="2186,5" coordsize="63,0" path="m2186,5l2249,5e" filled="false" stroked="true" strokeweight=".48pt" strokecolor="#000000">
                <v:path arrowok="t"/>
              </v:shape>
            </v:group>
            <v:group style="position:absolute;left:2249;top:5;width:10;height:2" coordorigin="2249,5" coordsize="10,2">
              <v:shape style="position:absolute;left:2249;top:5;width:10;height:2" coordorigin="2249,5" coordsize="10,0" path="m2249,5l2258,5e" filled="false" stroked="true" strokeweight=".48pt" strokecolor="#000000">
                <v:path arrowok="t"/>
              </v:shape>
            </v:group>
            <v:group style="position:absolute;left:2258;top:5;width:1044;height:2" coordorigin="2258,5" coordsize="1044,2">
              <v:shape style="position:absolute;left:2258;top:5;width:1044;height:2" coordorigin="2258,5" coordsize="1044,0" path="m2258,5l3302,5e" filled="false" stroked="true" strokeweight=".48pt" strokecolor="#000000">
                <v:path arrowok="t"/>
              </v:shape>
            </v:group>
            <v:group style="position:absolute;left:3374;top:5;width:2297;height:2" coordorigin="3374,5" coordsize="2297,2">
              <v:shape style="position:absolute;left:3374;top:5;width:2297;height:2" coordorigin="3374,5" coordsize="2297,0" path="m3374,5l5671,5e" filled="false" stroked="true" strokeweight=".48pt" strokecolor="#000000">
                <v:path arrowok="t"/>
              </v:shape>
            </v:group>
            <v:group style="position:absolute;left:5671;top:5;width:10;height:2" coordorigin="5671,5" coordsize="10,2">
              <v:shape style="position:absolute;left:5671;top:5;width:10;height:2" coordorigin="5671,5" coordsize="10,0" path="m5671,5l5681,5e" filled="false" stroked="true" strokeweight=".48pt" strokecolor="#000000">
                <v:path arrowok="t"/>
              </v:shape>
            </v:group>
            <v:group style="position:absolute;left:5681;top:5;width:65;height:2" coordorigin="5681,5" coordsize="65,2">
              <v:shape style="position:absolute;left:5681;top:5;width:65;height:2" coordorigin="5681,5" coordsize="65,0" path="m5681,5l5746,5e" filled="false" stroked="true" strokeweight=".48pt" strokecolor="#000000">
                <v:path arrowok="t"/>
              </v:shape>
            </v:group>
            <v:group style="position:absolute;left:5746;top:5;width:10;height:2" coordorigin="5746,5" coordsize="10,2">
              <v:shape style="position:absolute;left:5746;top:5;width:10;height:2" coordorigin="5746,5" coordsize="10,0" path="m5746,5l5755,5e" filled="false" stroked="true" strokeweight=".48pt" strokecolor="#000000">
                <v:path arrowok="t"/>
              </v:shape>
            </v:group>
            <v:group style="position:absolute;left:5755;top:5;width:908;height:2" coordorigin="5755,5" coordsize="908,2">
              <v:shape style="position:absolute;left:5755;top:5;width:908;height:2" coordorigin="5755,5" coordsize="908,0" path="m5755,5l6662,5e" filled="false" stroked="true" strokeweight=".48pt" strokecolor="#000000">
                <v:path arrowok="t"/>
              </v:shape>
            </v:group>
          </v:group>
        </w:pict>
      </w:r>
      <w:r>
        <w:rPr>
          <w:rFonts w:ascii="宋体" w:hAnsi="宋体" w:cs="宋体" w:eastAsia="宋体" w:hint="default"/>
          <w:sz w:val="2"/>
          <w:szCs w:val="2"/>
        </w:rPr>
      </w:r>
    </w:p>
    <w:p>
      <w:pPr>
        <w:tabs>
          <w:tab w:pos="2506" w:val="left" w:leader="none"/>
          <w:tab w:pos="5935" w:val="left" w:leader="none"/>
        </w:tabs>
        <w:spacing w:before="0"/>
        <w:ind w:left="725" w:right="0" w:firstLine="0"/>
        <w:jc w:val="left"/>
        <w:rPr>
          <w:rFonts w:ascii="宋体" w:hAnsi="宋体" w:cs="宋体" w:eastAsia="宋体" w:hint="default"/>
          <w:sz w:val="20"/>
          <w:szCs w:val="20"/>
        </w:rPr>
      </w:pPr>
      <w:r>
        <w:rPr/>
        <w:pict>
          <v:shape style="position:absolute;margin-left:88.440002pt;margin-top:11.993349pt;width:418.45pt;height:128.4500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2"/>
                    <w:gridCol w:w="1162"/>
                    <w:gridCol w:w="1090"/>
                    <w:gridCol w:w="1126"/>
                    <w:gridCol w:w="1334"/>
                    <w:gridCol w:w="1109"/>
                    <w:gridCol w:w="917"/>
                  </w:tblGrid>
                  <w:tr>
                    <w:trPr>
                      <w:trHeight w:val="457" w:hRule="exact"/>
                    </w:trPr>
                    <w:tc>
                      <w:tcPr>
                        <w:tcW w:w="1632" w:type="dxa"/>
                        <w:tcBorders>
                          <w:top w:val="nil" w:sz="6" w:space="0" w:color="auto"/>
                          <w:left w:val="nil" w:sz="6" w:space="0" w:color="auto"/>
                          <w:bottom w:val="single" w:sz="4" w:space="0" w:color="000000"/>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42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7"/>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199" w:lineRule="exact"/>
                          <w:ind w:left="196"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0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41"/>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200" w:lineRule="exact"/>
                          <w:ind w:right="2"/>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4"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4,582,102.12</w:t>
                        </w:r>
                        <w:r>
                          <w:rPr>
                            <w:rFonts w:ascii="Times New Roman"/>
                            <w:sz w:val="18"/>
                          </w:rPr>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z w:val="18"/>
                          </w:rPr>
                          <w:t>74.55</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z w:val="18"/>
                          </w:rPr>
                          <w:t>229,105.11</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
                          <w:jc w:val="right"/>
                          <w:rPr>
                            <w:rFonts w:ascii="Times New Roman" w:hAnsi="Times New Roman" w:cs="Times New Roman" w:eastAsia="Times New Roman" w:hint="default"/>
                            <w:sz w:val="18"/>
                            <w:szCs w:val="18"/>
                          </w:rPr>
                        </w:pPr>
                        <w:r>
                          <w:rPr>
                            <w:rFonts w:ascii="Times New Roman"/>
                            <w:spacing w:val="-1"/>
                            <w:sz w:val="18"/>
                          </w:rPr>
                          <w:t>2,429,005.00</w:t>
                        </w:r>
                        <w:r>
                          <w:rPr>
                            <w:rFonts w:ascii="Times New Roman"/>
                            <w:sz w:val="18"/>
                          </w:rPr>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96"/>
                          <w:jc w:val="right"/>
                          <w:rPr>
                            <w:rFonts w:ascii="Times New Roman" w:hAnsi="Times New Roman" w:cs="Times New Roman" w:eastAsia="Times New Roman" w:hint="default"/>
                            <w:sz w:val="18"/>
                            <w:szCs w:val="18"/>
                          </w:rPr>
                        </w:pPr>
                        <w:r>
                          <w:rPr>
                            <w:rFonts w:ascii="Times New Roman"/>
                            <w:sz w:val="18"/>
                          </w:rPr>
                          <w:t>62.43</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50" w:right="0"/>
                          <w:jc w:val="center"/>
                          <w:rPr>
                            <w:rFonts w:ascii="Times New Roman" w:hAnsi="Times New Roman" w:cs="Times New Roman" w:eastAsia="Times New Roman" w:hint="default"/>
                            <w:sz w:val="18"/>
                            <w:szCs w:val="18"/>
                          </w:rPr>
                        </w:pPr>
                        <w:r>
                          <w:rPr>
                            <w:rFonts w:ascii="Times New Roman"/>
                            <w:sz w:val="18"/>
                          </w:rPr>
                          <w:t>121,450.25</w:t>
                        </w:r>
                      </w:p>
                    </w:tc>
                  </w:tr>
                  <w:tr>
                    <w:trPr>
                      <w:trHeight w:val="346"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pacing w:val="-1"/>
                            <w:sz w:val="18"/>
                          </w:rPr>
                          <w:t>1,120,900.00</w:t>
                        </w:r>
                        <w:r>
                          <w:rPr>
                            <w:rFonts w:ascii="Times New Roman"/>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z w:val="18"/>
                          </w:rPr>
                          <w:t>18.24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112,090.00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pacing w:val="-1"/>
                            <w:sz w:val="18"/>
                          </w:rPr>
                          <w:t>1,397,000.00</w:t>
                        </w:r>
                        <w:r>
                          <w:rPr>
                            <w:rFonts w:ascii="Times New Roman"/>
                            <w:sz w:val="18"/>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z w:val="18"/>
                          </w:rPr>
                          <w:t>35.90</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0" w:right="0"/>
                          <w:jc w:val="center"/>
                          <w:rPr>
                            <w:rFonts w:ascii="Times New Roman" w:hAnsi="Times New Roman" w:cs="Times New Roman" w:eastAsia="Times New Roman" w:hint="default"/>
                            <w:sz w:val="18"/>
                            <w:szCs w:val="18"/>
                          </w:rPr>
                        </w:pPr>
                        <w:r>
                          <w:rPr>
                            <w:rFonts w:ascii="Times New Roman"/>
                            <w:sz w:val="18"/>
                          </w:rPr>
                          <w:t>139,700.00</w:t>
                        </w:r>
                      </w:p>
                    </w:tc>
                  </w:tr>
                  <w:tr>
                    <w:trPr>
                      <w:trHeight w:val="689"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p>
                        <w:pPr>
                          <w:pStyle w:val="TableParagraph"/>
                          <w:spacing w:line="240" w:lineRule="auto" w:before="66"/>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Times New Roman" w:hAnsi="Times New Roman" w:cs="Times New Roman" w:eastAsia="Times New Roman" w:hint="default"/>
                            <w:sz w:val="18"/>
                            <w:szCs w:val="18"/>
                          </w:rPr>
                        </w:pPr>
                        <w:r>
                          <w:rPr>
                            <w:rFonts w:ascii="Times New Roman"/>
                            <w:sz w:val="18"/>
                          </w:rPr>
                          <w:t>378,000.00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pacing w:val="-1"/>
                            <w:sz w:val="18"/>
                          </w:rPr>
                          <w:t>6.15</w:t>
                        </w:r>
                        <w:r>
                          <w:rPr>
                            <w:rFonts w:ascii="Times New Roman"/>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z w:val="18"/>
                          </w:rPr>
                          <w:t>113,400.00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65,000.00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w:t>
                        </w:r>
                        <w:r>
                          <w:rPr>
                            <w:rFonts w:ascii="Times New Roman"/>
                            <w:sz w:val="18"/>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32,500.00</w:t>
                        </w:r>
                      </w:p>
                    </w:tc>
                  </w:tr>
                  <w:tr>
                    <w:trPr>
                      <w:trHeight w:val="346"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
                          <w:jc w:val="right"/>
                          <w:rPr>
                            <w:rFonts w:ascii="Times New Roman" w:hAnsi="Times New Roman" w:cs="Times New Roman" w:eastAsia="Times New Roman" w:hint="default"/>
                            <w:sz w:val="18"/>
                            <w:szCs w:val="18"/>
                          </w:rPr>
                        </w:pPr>
                        <w:r>
                          <w:rPr>
                            <w:rFonts w:ascii="Times New Roman"/>
                            <w:spacing w:val="-1"/>
                            <w:sz w:val="18"/>
                          </w:rPr>
                          <w:t>65,000.00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52,000.00</w:t>
                        </w:r>
                      </w:p>
                    </w:tc>
                    <w:tc>
                      <w:tcPr>
                        <w:tcW w:w="1334"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7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162"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账龄</w:t>
        <w:tab/>
        <w:t>账面余额</w:t>
        <w:tab/>
      </w:r>
      <w:r>
        <w:rPr>
          <w:rFonts w:ascii="宋体" w:hAnsi="宋体" w:cs="宋体" w:eastAsia="宋体" w:hint="default"/>
          <w:sz w:val="20"/>
          <w:szCs w:val="20"/>
        </w:rPr>
        <w:t>账面余额</w:t>
      </w:r>
    </w:p>
    <w:p>
      <w:pPr>
        <w:spacing w:line="240" w:lineRule="auto" w:before="10"/>
        <w:rPr>
          <w:rFonts w:ascii="宋体" w:hAnsi="宋体" w:cs="宋体" w:eastAsia="宋体" w:hint="default"/>
          <w:sz w:val="5"/>
          <w:szCs w:val="5"/>
        </w:rPr>
      </w:pPr>
    </w:p>
    <w:p>
      <w:pPr>
        <w:tabs>
          <w:tab w:pos="5184" w:val="left" w:leader="none"/>
        </w:tabs>
        <w:spacing w:line="20" w:lineRule="exact"/>
        <w:ind w:left="1815" w:right="0" w:firstLine="0"/>
        <w:rPr>
          <w:rFonts w:ascii="宋体" w:hAnsi="宋体" w:cs="宋体" w:eastAsia="宋体" w:hint="default"/>
          <w:sz w:val="2"/>
          <w:szCs w:val="2"/>
        </w:rPr>
      </w:pPr>
      <w:r>
        <w:rPr>
          <w:rFonts w:ascii="宋体"/>
          <w:sz w:val="2"/>
        </w:rPr>
        <w:pict>
          <v:group style="width:109.1pt;height:.5pt;mso-position-horizontal-relative:char;mso-position-vertical-relative:line" coordorigin="0,0" coordsize="2182,10">
            <v:group style="position:absolute;left:5;top:5;width:1083;height:2" coordorigin="5,5" coordsize="1083,2">
              <v:shape style="position:absolute;left:5;top:5;width:1083;height:2" coordorigin="5,5" coordsize="1083,0" path="m5,5l1087,5e" filled="false" stroked="true" strokeweight=".48pt" strokecolor="#000000">
                <v:path arrowok="t"/>
              </v:shape>
            </v:group>
            <v:group style="position:absolute;left:1087;top:5;width:10;height:2" coordorigin="1087,5" coordsize="10,2">
              <v:shape style="position:absolute;left:1087;top:5;width:10;height:2" coordorigin="1087,5" coordsize="10,0" path="m1087,5l1097,5e" filled="false" stroked="true" strokeweight=".48pt" strokecolor="#000000">
                <v:path arrowok="t"/>
              </v:shape>
            </v:group>
            <v:group style="position:absolute;left:1097;top:5;width:70;height:2" coordorigin="1097,5" coordsize="70,2">
              <v:shape style="position:absolute;left:1097;top:5;width:70;height:2" coordorigin="1097,5" coordsize="70,0" path="m1097,5l1166,5e" filled="false" stroked="true" strokeweight=".48pt" strokecolor="#000000">
                <v:path arrowok="t"/>
              </v:shape>
            </v:group>
            <v:group style="position:absolute;left:1166;top:5;width:10;height:2" coordorigin="1166,5" coordsize="10,2">
              <v:shape style="position:absolute;left:1166;top:5;width:10;height:2" coordorigin="1166,5" coordsize="10,0" path="m1166,5l1176,5e" filled="false" stroked="true" strokeweight=".48pt" strokecolor="#000000">
                <v:path arrowok="t"/>
              </v:shape>
            </v:group>
            <v:group style="position:absolute;left:1176;top:5;width:1001;height:2" coordorigin="1176,5" coordsize="1001,2">
              <v:shape style="position:absolute;left:1176;top:5;width:1001;height:2" coordorigin="1176,5" coordsize="1001,0" path="m1176,5l2177,5e" filled="false" stroked="true" strokeweight=".48pt" strokecolor="#000000">
                <v:path arrowok="t"/>
              </v:shape>
            </v:group>
          </v:group>
        </w:pict>
      </w:r>
      <w:r>
        <w:rPr>
          <w:rFonts w:ascii="宋体"/>
          <w:sz w:val="2"/>
        </w:rPr>
      </w:r>
      <w:r>
        <w:rPr>
          <w:rFonts w:ascii="宋体"/>
          <w:sz w:val="2"/>
        </w:rPr>
        <w:tab/>
      </w:r>
      <w:r>
        <w:rPr>
          <w:rFonts w:ascii="宋体"/>
          <w:sz w:val="2"/>
        </w:rPr>
        <w:pict>
          <v:group style="width:115.35pt;height:.5pt;mso-position-horizontal-relative:char;mso-position-vertical-relative:line" coordorigin="0,0" coordsize="2307,10">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1267;top:5;width:10;height:2" coordorigin="1267,5" coordsize="10,2">
              <v:shape style="position:absolute;left:1267;top:5;width:10;height:2" coordorigin="1267,5" coordsize="10,0" path="m1267,5l1277,5e" filled="false" stroked="true" strokeweight=".48pt" strokecolor="#000000">
                <v:path arrowok="t"/>
              </v:shape>
            </v:group>
            <v:group style="position:absolute;left:1277;top:5;width:63;height:2" coordorigin="1277,5" coordsize="63,2">
              <v:shape style="position:absolute;left:1277;top:5;width:63;height:2" coordorigin="1277,5" coordsize="63,0" path="m1277,5l1339,5e" filled="false" stroked="true" strokeweight=".48pt" strokecolor="#000000">
                <v:path arrowok="t"/>
              </v:shape>
            </v:group>
            <v:group style="position:absolute;left:1339;top:5;width:10;height:2" coordorigin="1339,5" coordsize="10,2">
              <v:shape style="position:absolute;left:1339;top:5;width:10;height:2" coordorigin="1339,5" coordsize="10,0" path="m1339,5l1349,5e" filled="false" stroked="true" strokeweight=".48pt" strokecolor="#000000">
                <v:path arrowok="t"/>
              </v:shape>
            </v:group>
            <v:group style="position:absolute;left:1349;top:5;width:953;height:2" coordorigin="1349,5" coordsize="953,2">
              <v:shape style="position:absolute;left:1349;top:5;width:953;height:2" coordorigin="1349,5" coordsize="953,0" path="m1349,5l2302,5e" filled="false" stroked="true" strokeweight=".48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850" w:footer="979" w:top="1380" w:bottom="1160" w:left="1660" w:right="1660"/>
        </w:sectPr>
      </w:pPr>
    </w:p>
    <w:p>
      <w:pPr>
        <w:spacing w:line="240" w:lineRule="auto" w:before="0"/>
        <w:rPr>
          <w:rFonts w:ascii="宋体" w:hAnsi="宋体" w:cs="宋体" w:eastAsia="宋体" w:hint="default"/>
          <w:sz w:val="2"/>
          <w:szCs w:val="2"/>
        </w:rPr>
      </w:pPr>
    </w:p>
    <w:tbl>
      <w:tblPr>
        <w:tblW w:w="0" w:type="auto"/>
        <w:jc w:val="left"/>
        <w:tblInd w:w="475" w:type="dxa"/>
        <w:tblLayout w:type="fixed"/>
        <w:tblCellMar>
          <w:top w:w="0" w:type="dxa"/>
          <w:left w:w="0" w:type="dxa"/>
          <w:bottom w:w="0" w:type="dxa"/>
          <w:right w:w="0" w:type="dxa"/>
        </w:tblCellMar>
        <w:tblLook w:val="01E0"/>
      </w:tblPr>
      <w:tblGrid>
        <w:gridCol w:w="1330"/>
        <w:gridCol w:w="1367"/>
        <w:gridCol w:w="947"/>
        <w:gridCol w:w="1164"/>
        <w:gridCol w:w="1412"/>
        <w:gridCol w:w="853"/>
        <w:gridCol w:w="929"/>
      </w:tblGrid>
      <w:tr>
        <w:trPr>
          <w:trHeight w:val="408" w:hRule="exact"/>
        </w:trPr>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367"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6,146,002.12</w:t>
            </w:r>
          </w:p>
        </w:tc>
        <w:tc>
          <w:tcPr>
            <w:tcW w:w="947"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100.00</w:t>
            </w:r>
          </w:p>
        </w:tc>
        <w:tc>
          <w:tcPr>
            <w:tcW w:w="1164"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506,595.11</w:t>
            </w:r>
          </w:p>
        </w:tc>
        <w:tc>
          <w:tcPr>
            <w:tcW w:w="1412"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3,891,005.00</w:t>
            </w:r>
          </w:p>
        </w:tc>
        <w:tc>
          <w:tcPr>
            <w:tcW w:w="853"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269" w:right="0"/>
              <w:jc w:val="left"/>
              <w:rPr>
                <w:rFonts w:ascii="Times New Roman" w:hAnsi="Times New Roman" w:cs="Times New Roman" w:eastAsia="Times New Roman" w:hint="default"/>
                <w:sz w:val="18"/>
                <w:szCs w:val="18"/>
              </w:rPr>
            </w:pPr>
            <w:r>
              <w:rPr>
                <w:rFonts w:ascii="Times New Roman"/>
                <w:sz w:val="18"/>
              </w:rPr>
              <w:t>100.00</w:t>
            </w:r>
          </w:p>
        </w:tc>
        <w:tc>
          <w:tcPr>
            <w:tcW w:w="929"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293,650.25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26"/>
        <w:ind w:left="617" w:right="0"/>
        <w:jc w:val="left"/>
      </w:pPr>
      <w:r>
        <w:rPr/>
        <w:pict>
          <v:group style="position:absolute;margin-left:88.080002pt;margin-top:-50.564346pt;width:419.2pt;height:2.3pt;mso-position-horizontal-relative:page;mso-position-vertical-relative:paragraph;z-index:-603256" coordorigin="1762,-1011" coordsize="8384,46">
            <v:group style="position:absolute;left:1769;top:-1004;width:8369;height:2" coordorigin="1769,-1004" coordsize="8369,2">
              <v:shape style="position:absolute;left:1769;top:-1004;width:8369;height:2" coordorigin="1769,-1004" coordsize="8369,0" path="m1769,-1004l10138,-1004e" filled="false" stroked="true" strokeweight=".72pt" strokecolor="#000000">
                <v:path arrowok="t"/>
              </v:shape>
            </v:group>
            <v:group style="position:absolute;left:3480;top:-970;width:1083;height:2" coordorigin="3480,-970" coordsize="1083,2">
              <v:shape style="position:absolute;left:3480;top:-970;width:1083;height:2" coordorigin="3480,-970" coordsize="1083,0" path="m3480,-970l4562,-970e" filled="false" stroked="true" strokeweight=".48pt" strokecolor="#000000">
                <v:path arrowok="t"/>
              </v:shape>
            </v:group>
            <v:group style="position:absolute;left:4642;top:-970;width:1011;height:2" coordorigin="4642,-970" coordsize="1011,2">
              <v:shape style="position:absolute;left:4642;top:-970;width:1011;height:2" coordorigin="4642,-970" coordsize="1011,0" path="m4642,-970l5652,-970e" filled="false" stroked="true" strokeweight=".48pt" strokecolor="#000000">
                <v:path arrowok="t"/>
              </v:shape>
            </v:group>
            <v:group style="position:absolute;left:5724;top:-970;width:1054;height:2" coordorigin="5724,-970" coordsize="1054,2">
              <v:shape style="position:absolute;left:5724;top:-970;width:1054;height:2" coordorigin="5724,-970" coordsize="1054,0" path="m5724,-970l6778,-970e" filled="false" stroked="true" strokeweight=".48pt" strokecolor="#000000">
                <v:path arrowok="t"/>
              </v:shape>
            </v:group>
            <v:group style="position:absolute;left:6850;top:-970;width:1263;height:2" coordorigin="6850,-970" coordsize="1263,2">
              <v:shape style="position:absolute;left:6850;top:-970;width:1263;height:2" coordorigin="6850,-970" coordsize="1263,0" path="m6850,-970l8112,-970e" filled="false" stroked="true" strokeweight=".48pt" strokecolor="#000000">
                <v:path arrowok="t"/>
              </v:shape>
            </v:group>
            <v:group style="position:absolute;left:8184;top:-970;width:963;height:2" coordorigin="8184,-970" coordsize="963,2">
              <v:shape style="position:absolute;left:8184;top:-970;width:963;height:2" coordorigin="8184,-970" coordsize="963,0" path="m8184,-970l9146,-970e" filled="false" stroked="true" strokeweight=".48pt" strokecolor="#000000">
                <v:path arrowok="t"/>
              </v:shape>
            </v:group>
            <v:group style="position:absolute;left:9221;top:-970;width:917;height:2" coordorigin="9221,-970" coordsize="917,2">
              <v:shape style="position:absolute;left:9221;top:-970;width:917;height:2" coordorigin="9221,-970" coordsize="917,0" path="m9221,-970l10138,-970e" filled="false" stroked="true" strokeweight=".48pt" strokecolor="#000000">
                <v:path arrowok="t"/>
              </v:shape>
            </v:group>
            <w10:wrap type="none"/>
          </v:group>
        </w:pict>
      </w:r>
      <w:r>
        <w:rPr>
          <w:spacing w:val="-7"/>
        </w:rPr>
        <w:t>（</w:t>
      </w:r>
      <w:r>
        <w:rPr>
          <w:rFonts w:ascii="Times New Roman" w:hAnsi="Times New Roman" w:cs="Times New Roman" w:eastAsia="Times New Roman" w:hint="default"/>
          <w:spacing w:val="-7"/>
        </w:rPr>
        <w:t>4</w:t>
      </w:r>
      <w:r>
        <w:rPr>
          <w:spacing w:val="-7"/>
        </w:rPr>
        <w:t>）本期无应收持有公司</w:t>
      </w:r>
      <w:r>
        <w:rPr>
          <w:spacing w:val="-53"/>
        </w:rPr>
        <w:t> </w:t>
      </w:r>
      <w:r>
        <w:rPr>
          <w:rFonts w:ascii="Times New Roman" w:hAnsi="Times New Roman" w:cs="Times New Roman" w:eastAsia="Times New Roman" w:hint="default"/>
          <w:spacing w:val="-21"/>
        </w:rPr>
        <w:t>5%</w:t>
      </w:r>
      <w:r>
        <w:rPr>
          <w:spacing w:val="-21"/>
        </w:rPr>
        <w:t>（含</w:t>
      </w:r>
      <w:r>
        <w:rPr>
          <w:spacing w:val="-53"/>
        </w:rPr>
        <w:t> </w:t>
      </w:r>
      <w:r>
        <w:rPr>
          <w:rFonts w:ascii="Times New Roman" w:hAnsi="Times New Roman" w:cs="Times New Roman" w:eastAsia="Times New Roman" w:hint="default"/>
          <w:spacing w:val="-5"/>
        </w:rPr>
        <w:t>5%</w:t>
      </w:r>
      <w:r>
        <w:rPr>
          <w:spacing w:val="-5"/>
        </w:rPr>
        <w:t>）以上表决权股份的股东单位的款项。</w:t>
      </w:r>
    </w:p>
    <w:p>
      <w:pPr>
        <w:spacing w:line="240" w:lineRule="auto" w:before="9"/>
        <w:rPr>
          <w:rFonts w:ascii="宋体" w:hAnsi="宋体" w:cs="宋体" w:eastAsia="宋体" w:hint="default"/>
          <w:sz w:val="17"/>
          <w:szCs w:val="17"/>
        </w:rPr>
      </w:pPr>
    </w:p>
    <w:p>
      <w:pPr>
        <w:pStyle w:val="BodyText"/>
        <w:spacing w:line="240" w:lineRule="auto"/>
        <w:ind w:left="620" w:right="0"/>
        <w:jc w:val="left"/>
      </w:pPr>
      <w:r>
        <w:rPr/>
        <w:t>（</w:t>
      </w:r>
      <w:r>
        <w:rPr>
          <w:rFonts w:ascii="Times New Roman" w:hAnsi="Times New Roman" w:cs="Times New Roman" w:eastAsia="Times New Roman" w:hint="default"/>
        </w:rPr>
        <w:t>5</w:t>
      </w:r>
      <w:r>
        <w:rPr/>
        <w:t>）应收账款金额前五名单位情况</w:t>
      </w:r>
    </w:p>
    <w:p>
      <w:pPr>
        <w:spacing w:line="240" w:lineRule="auto" w:before="9"/>
        <w:rPr>
          <w:rFonts w:ascii="宋体" w:hAnsi="宋体" w:cs="宋体" w:eastAsia="宋体" w:hint="default"/>
          <w:sz w:val="7"/>
          <w:szCs w:val="7"/>
        </w:rPr>
      </w:pPr>
    </w:p>
    <w:tbl>
      <w:tblPr>
        <w:tblW w:w="0" w:type="auto"/>
        <w:jc w:val="left"/>
        <w:tblInd w:w="187" w:type="dxa"/>
        <w:tblLayout w:type="fixed"/>
        <w:tblCellMar>
          <w:top w:w="0" w:type="dxa"/>
          <w:left w:w="0" w:type="dxa"/>
          <w:bottom w:w="0" w:type="dxa"/>
          <w:right w:w="0" w:type="dxa"/>
        </w:tblCellMar>
        <w:tblLook w:val="01E0"/>
      </w:tblPr>
      <w:tblGrid>
        <w:gridCol w:w="3257"/>
        <w:gridCol w:w="1357"/>
        <w:gridCol w:w="1265"/>
        <w:gridCol w:w="895"/>
        <w:gridCol w:w="1391"/>
      </w:tblGrid>
      <w:tr>
        <w:trPr>
          <w:trHeight w:val="596" w:hRule="exact"/>
        </w:trPr>
        <w:tc>
          <w:tcPr>
            <w:tcW w:w="325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7" w:right="0"/>
              <w:jc w:val="center"/>
              <w:rPr>
                <w:rFonts w:ascii="宋体" w:hAnsi="宋体" w:cs="宋体" w:eastAsia="宋体" w:hint="default"/>
                <w:sz w:val="20"/>
                <w:szCs w:val="20"/>
              </w:rPr>
            </w:pPr>
            <w:r>
              <w:rPr>
                <w:rFonts w:ascii="宋体" w:hAnsi="宋体" w:cs="宋体" w:eastAsia="宋体" w:hint="default"/>
                <w:sz w:val="20"/>
                <w:szCs w:val="20"/>
              </w:rPr>
              <w:t>债务人名称</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28"/>
              <w:jc w:val="center"/>
              <w:rPr>
                <w:rFonts w:ascii="宋体" w:hAnsi="宋体" w:cs="宋体" w:eastAsia="宋体" w:hint="default"/>
                <w:sz w:val="20"/>
                <w:szCs w:val="20"/>
              </w:rPr>
            </w:pPr>
            <w:r>
              <w:rPr>
                <w:rFonts w:ascii="宋体" w:hAnsi="宋体" w:cs="宋体" w:eastAsia="宋体" w:hint="default"/>
                <w:sz w:val="20"/>
                <w:szCs w:val="20"/>
              </w:rPr>
              <w:t>与本公司关系</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6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79"/>
              <w:jc w:val="center"/>
              <w:rPr>
                <w:rFonts w:ascii="宋体" w:hAnsi="宋体" w:cs="宋体" w:eastAsia="宋体" w:hint="default"/>
                <w:sz w:val="20"/>
                <w:szCs w:val="20"/>
              </w:rPr>
            </w:pPr>
            <w:r>
              <w:rPr>
                <w:rFonts w:ascii="宋体" w:hAnsi="宋体" w:cs="宋体" w:eastAsia="宋体" w:hint="default"/>
                <w:sz w:val="20"/>
                <w:szCs w:val="20"/>
              </w:rPr>
              <w:t>年限</w:t>
            </w:r>
          </w:p>
        </w:tc>
        <w:tc>
          <w:tcPr>
            <w:tcW w:w="1391" w:type="dxa"/>
            <w:tcBorders>
              <w:top w:val="nil" w:sz="6" w:space="0" w:color="auto"/>
              <w:left w:val="nil" w:sz="6" w:space="0" w:color="auto"/>
              <w:bottom w:val="single" w:sz="4" w:space="0" w:color="000000"/>
              <w:right w:val="nil" w:sz="6" w:space="0" w:color="auto"/>
            </w:tcBorders>
          </w:tcPr>
          <w:p>
            <w:pPr>
              <w:pStyle w:val="TableParagraph"/>
              <w:spacing w:line="199" w:lineRule="exact"/>
              <w:ind w:right="30"/>
              <w:jc w:val="center"/>
              <w:rPr>
                <w:rFonts w:ascii="宋体" w:hAnsi="宋体" w:cs="宋体" w:eastAsia="宋体" w:hint="default"/>
                <w:sz w:val="20"/>
                <w:szCs w:val="20"/>
              </w:rPr>
            </w:pPr>
            <w:r>
              <w:rPr>
                <w:rFonts w:ascii="宋体" w:hAnsi="宋体" w:cs="宋体" w:eastAsia="宋体" w:hint="default"/>
                <w:sz w:val="20"/>
                <w:szCs w:val="20"/>
              </w:rPr>
              <w:t>占应收账款总</w:t>
            </w:r>
          </w:p>
          <w:p>
            <w:pPr>
              <w:pStyle w:val="TableParagraph"/>
              <w:spacing w:line="240" w:lineRule="auto" w:before="62"/>
              <w:ind w:right="30"/>
              <w:jc w:val="center"/>
              <w:rPr>
                <w:rFonts w:ascii="宋体" w:hAnsi="宋体" w:cs="宋体" w:eastAsia="宋体" w:hint="default"/>
                <w:sz w:val="20"/>
                <w:szCs w:val="20"/>
              </w:rPr>
            </w:pPr>
            <w:r>
              <w:rPr>
                <w:rFonts w:ascii="宋体" w:hAnsi="宋体" w:cs="宋体" w:eastAsia="宋体" w:hint="default"/>
                <w:sz w:val="20"/>
                <w:szCs w:val="20"/>
              </w:rPr>
              <w:t>额比例</w:t>
            </w:r>
          </w:p>
        </w:tc>
      </w:tr>
      <w:tr>
        <w:trPr>
          <w:trHeight w:val="368" w:hRule="exact"/>
        </w:trPr>
        <w:tc>
          <w:tcPr>
            <w:tcW w:w="325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20"/>
                <w:szCs w:val="20"/>
              </w:rPr>
            </w:pPr>
            <w:r>
              <w:rPr>
                <w:rFonts w:ascii="宋体" w:hAnsi="宋体" w:cs="宋体" w:eastAsia="宋体" w:hint="default"/>
                <w:sz w:val="20"/>
                <w:szCs w:val="20"/>
              </w:rPr>
              <w:t>鄂尔多斯市东胜区信息化委员会</w:t>
            </w: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31"/>
              <w:jc w:val="center"/>
              <w:rPr>
                <w:rFonts w:ascii="宋体" w:hAnsi="宋体" w:cs="宋体" w:eastAsia="宋体" w:hint="default"/>
                <w:sz w:val="20"/>
                <w:szCs w:val="20"/>
              </w:rPr>
            </w:pPr>
            <w:r>
              <w:rPr>
                <w:rFonts w:ascii="宋体" w:hAnsi="宋体" w:cs="宋体" w:eastAsia="宋体" w:hint="default"/>
                <w:sz w:val="20"/>
                <w:szCs w:val="20"/>
              </w:rPr>
              <w:t>客户</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64"/>
              <w:jc w:val="right"/>
              <w:rPr>
                <w:rFonts w:ascii="Times New Roman" w:hAnsi="Times New Roman" w:cs="Times New Roman" w:eastAsia="Times New Roman" w:hint="default"/>
                <w:sz w:val="20"/>
                <w:szCs w:val="20"/>
              </w:rPr>
            </w:pPr>
            <w:r>
              <w:rPr>
                <w:rFonts w:ascii="Times New Roman"/>
                <w:w w:val="95"/>
                <w:sz w:val="20"/>
              </w:rPr>
              <w:t>6,295,404.83</w:t>
            </w:r>
            <w:r>
              <w:rPr>
                <w:rFonts w:ascii="Times New Roman"/>
                <w:sz w:val="20"/>
              </w:rPr>
            </w:r>
          </w:p>
        </w:tc>
        <w:tc>
          <w:tcPr>
            <w:tcW w:w="895"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91"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5"/>
              <w:jc w:val="right"/>
              <w:rPr>
                <w:rFonts w:ascii="Times New Roman" w:hAnsi="Times New Roman" w:cs="Times New Roman" w:eastAsia="Times New Roman" w:hint="default"/>
                <w:sz w:val="20"/>
                <w:szCs w:val="20"/>
              </w:rPr>
            </w:pPr>
            <w:r>
              <w:rPr>
                <w:rFonts w:ascii="Times New Roman"/>
                <w:sz w:val="20"/>
              </w:rPr>
              <w:t>16.25%</w:t>
            </w:r>
          </w:p>
        </w:tc>
      </w:tr>
      <w:tr>
        <w:trPr>
          <w:trHeight w:val="354"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昌吉市城乡建设委员会</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center"/>
              <w:rPr>
                <w:rFonts w:ascii="宋体" w:hAnsi="宋体" w:cs="宋体" w:eastAsia="宋体" w:hint="default"/>
                <w:sz w:val="20"/>
                <w:szCs w:val="20"/>
              </w:rPr>
            </w:pPr>
            <w:r>
              <w:rPr>
                <w:rFonts w:ascii="宋体" w:hAnsi="宋体" w:cs="宋体" w:eastAsia="宋体" w:hint="default"/>
                <w:sz w:val="20"/>
                <w:szCs w:val="20"/>
              </w:rPr>
              <w:t>客户</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4"/>
              <w:jc w:val="right"/>
              <w:rPr>
                <w:rFonts w:ascii="Times New Roman" w:hAnsi="Times New Roman" w:cs="Times New Roman" w:eastAsia="Times New Roman" w:hint="default"/>
                <w:sz w:val="20"/>
                <w:szCs w:val="20"/>
              </w:rPr>
            </w:pPr>
            <w:r>
              <w:rPr>
                <w:rFonts w:ascii="Times New Roman"/>
                <w:w w:val="95"/>
                <w:sz w:val="20"/>
              </w:rPr>
              <w:t>5,453,051.28</w:t>
            </w:r>
            <w:r>
              <w:rPr>
                <w:rFonts w:ascii="Times New Roman"/>
                <w:sz w:val="20"/>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14.08%</w:t>
            </w:r>
          </w:p>
        </w:tc>
      </w:tr>
      <w:tr>
        <w:trPr>
          <w:trHeight w:val="354"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7" w:right="0"/>
              <w:jc w:val="left"/>
              <w:rPr>
                <w:rFonts w:ascii="宋体" w:hAnsi="宋体" w:cs="宋体" w:eastAsia="宋体" w:hint="default"/>
                <w:sz w:val="20"/>
                <w:szCs w:val="20"/>
              </w:rPr>
            </w:pPr>
            <w:r>
              <w:rPr>
                <w:rFonts w:ascii="宋体" w:hAnsi="宋体" w:cs="宋体" w:eastAsia="宋体" w:hint="default"/>
                <w:sz w:val="20"/>
                <w:szCs w:val="20"/>
              </w:rPr>
              <w:t>遵义市城市管理市综合执法局</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1"/>
              <w:jc w:val="center"/>
              <w:rPr>
                <w:rFonts w:ascii="宋体" w:hAnsi="宋体" w:cs="宋体" w:eastAsia="宋体" w:hint="default"/>
                <w:sz w:val="20"/>
                <w:szCs w:val="20"/>
              </w:rPr>
            </w:pPr>
            <w:r>
              <w:rPr>
                <w:rFonts w:ascii="宋体" w:hAnsi="宋体" w:cs="宋体" w:eastAsia="宋体" w:hint="default"/>
                <w:sz w:val="20"/>
                <w:szCs w:val="20"/>
              </w:rPr>
              <w:t>客户</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4"/>
              <w:jc w:val="right"/>
              <w:rPr>
                <w:rFonts w:ascii="Times New Roman" w:hAnsi="Times New Roman" w:cs="Times New Roman" w:eastAsia="Times New Roman" w:hint="default"/>
                <w:sz w:val="20"/>
                <w:szCs w:val="20"/>
              </w:rPr>
            </w:pPr>
            <w:r>
              <w:rPr>
                <w:rFonts w:ascii="Times New Roman"/>
                <w:w w:val="95"/>
                <w:sz w:val="20"/>
              </w:rPr>
              <w:t>3,637,200.00</w:t>
            </w:r>
            <w:r>
              <w:rPr>
                <w:rFonts w:ascii="Times New Roman"/>
                <w:sz w:val="20"/>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
              <w:jc w:val="right"/>
              <w:rPr>
                <w:rFonts w:ascii="Times New Roman" w:hAnsi="Times New Roman" w:cs="Times New Roman" w:eastAsia="Times New Roman" w:hint="default"/>
                <w:sz w:val="20"/>
                <w:szCs w:val="20"/>
              </w:rPr>
            </w:pPr>
            <w:r>
              <w:rPr>
                <w:rFonts w:ascii="Times New Roman"/>
                <w:sz w:val="20"/>
              </w:rPr>
              <w:t>9.39%</w:t>
            </w:r>
          </w:p>
        </w:tc>
      </w:tr>
      <w:tr>
        <w:trPr>
          <w:trHeight w:val="355"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准格尔旗信息化工作办公室</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1"/>
              <w:jc w:val="center"/>
              <w:rPr>
                <w:rFonts w:ascii="宋体" w:hAnsi="宋体" w:cs="宋体" w:eastAsia="宋体" w:hint="default"/>
                <w:sz w:val="20"/>
                <w:szCs w:val="20"/>
              </w:rPr>
            </w:pPr>
            <w:r>
              <w:rPr>
                <w:rFonts w:ascii="宋体" w:hAnsi="宋体" w:cs="宋体" w:eastAsia="宋体" w:hint="default"/>
                <w:sz w:val="20"/>
                <w:szCs w:val="20"/>
              </w:rPr>
              <w:t>客户</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4"/>
              <w:jc w:val="right"/>
              <w:rPr>
                <w:rFonts w:ascii="Times New Roman" w:hAnsi="Times New Roman" w:cs="Times New Roman" w:eastAsia="Times New Roman" w:hint="default"/>
                <w:sz w:val="20"/>
                <w:szCs w:val="20"/>
              </w:rPr>
            </w:pPr>
            <w:r>
              <w:rPr>
                <w:rFonts w:ascii="Times New Roman"/>
                <w:w w:val="95"/>
                <w:sz w:val="20"/>
              </w:rPr>
              <w:t>3,355,730.77</w:t>
            </w:r>
            <w:r>
              <w:rPr>
                <w:rFonts w:ascii="Times New Roman"/>
                <w:sz w:val="20"/>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8.66%</w:t>
            </w:r>
          </w:p>
        </w:tc>
      </w:tr>
      <w:tr>
        <w:trPr>
          <w:trHeight w:val="361"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 w:right="0"/>
              <w:jc w:val="left"/>
              <w:rPr>
                <w:rFonts w:ascii="宋体" w:hAnsi="宋体" w:cs="宋体" w:eastAsia="宋体" w:hint="default"/>
                <w:sz w:val="20"/>
                <w:szCs w:val="20"/>
              </w:rPr>
            </w:pPr>
            <w:r>
              <w:rPr>
                <w:rFonts w:ascii="宋体" w:hAnsi="宋体" w:cs="宋体" w:eastAsia="宋体" w:hint="default"/>
                <w:sz w:val="20"/>
                <w:szCs w:val="20"/>
              </w:rPr>
              <w:t>银川市城市管理局</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31"/>
              <w:jc w:val="center"/>
              <w:rPr>
                <w:rFonts w:ascii="宋体" w:hAnsi="宋体" w:cs="宋体" w:eastAsia="宋体" w:hint="default"/>
                <w:sz w:val="20"/>
                <w:szCs w:val="20"/>
              </w:rPr>
            </w:pPr>
            <w:r>
              <w:rPr>
                <w:rFonts w:ascii="宋体" w:hAnsi="宋体" w:cs="宋体" w:eastAsia="宋体" w:hint="default"/>
                <w:sz w:val="20"/>
                <w:szCs w:val="20"/>
              </w:rPr>
              <w:t>客户</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64"/>
              <w:jc w:val="right"/>
              <w:rPr>
                <w:rFonts w:ascii="Times New Roman" w:hAnsi="Times New Roman" w:cs="Times New Roman" w:eastAsia="Times New Roman" w:hint="default"/>
                <w:sz w:val="20"/>
                <w:szCs w:val="20"/>
              </w:rPr>
            </w:pPr>
            <w:r>
              <w:rPr>
                <w:rFonts w:ascii="Times New Roman"/>
                <w:w w:val="95"/>
                <w:sz w:val="20"/>
              </w:rPr>
              <w:t>3,063,247.86</w:t>
            </w:r>
            <w:r>
              <w:rPr>
                <w:rFonts w:ascii="Times New Roman"/>
                <w:sz w:val="20"/>
              </w:rPr>
            </w: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9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5"/>
              <w:jc w:val="right"/>
              <w:rPr>
                <w:rFonts w:ascii="Times New Roman" w:hAnsi="Times New Roman" w:cs="Times New Roman" w:eastAsia="Times New Roman" w:hint="default"/>
                <w:sz w:val="20"/>
                <w:szCs w:val="20"/>
              </w:rPr>
            </w:pPr>
            <w:r>
              <w:rPr>
                <w:rFonts w:ascii="Times New Roman"/>
                <w:sz w:val="20"/>
              </w:rPr>
              <w:t>7.91%</w:t>
            </w:r>
          </w:p>
        </w:tc>
      </w:tr>
      <w:tr>
        <w:trPr>
          <w:trHeight w:val="372" w:hRule="exact"/>
        </w:trPr>
        <w:tc>
          <w:tcPr>
            <w:tcW w:w="3257"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40" w:lineRule="auto" w:before="13"/>
              <w:ind w:left="11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57" w:type="dxa"/>
            <w:tcBorders>
              <w:top w:val="single" w:sz="4" w:space="0" w:color="000000"/>
              <w:left w:val="nil" w:sz="6" w:space="0" w:color="auto"/>
              <w:bottom w:val="single" w:sz="17" w:space="0" w:color="000000"/>
              <w:right w:val="nil" w:sz="6" w:space="0" w:color="auto"/>
            </w:tcBorders>
          </w:tcPr>
          <w:p>
            <w:pPr/>
          </w:p>
        </w:tc>
        <w:tc>
          <w:tcPr>
            <w:tcW w:w="1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21,804,634.74</w:t>
            </w:r>
            <w:r>
              <w:rPr>
                <w:rFonts w:ascii="Times New Roman"/>
                <w:sz w:val="20"/>
              </w:rPr>
            </w:r>
          </w:p>
        </w:tc>
        <w:tc>
          <w:tcPr>
            <w:tcW w:w="895" w:type="dxa"/>
            <w:tcBorders>
              <w:top w:val="single" w:sz="4" w:space="0" w:color="000000"/>
              <w:left w:val="nil" w:sz="6" w:space="0" w:color="auto"/>
              <w:bottom w:val="single" w:sz="17" w:space="0" w:color="000000"/>
              <w:right w:val="nil" w:sz="6" w:space="0" w:color="auto"/>
            </w:tcBorders>
          </w:tcPr>
          <w:p>
            <w:pPr/>
          </w:p>
        </w:tc>
        <w:tc>
          <w:tcPr>
            <w:tcW w:w="1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5"/>
              <w:jc w:val="right"/>
              <w:rPr>
                <w:rFonts w:ascii="Times New Roman" w:hAnsi="Times New Roman" w:cs="Times New Roman" w:eastAsia="Times New Roman" w:hint="default"/>
                <w:sz w:val="20"/>
                <w:szCs w:val="20"/>
              </w:rPr>
            </w:pPr>
            <w:r>
              <w:rPr>
                <w:rFonts w:ascii="Times New Roman"/>
                <w:sz w:val="20"/>
              </w:rPr>
              <w:t>56.29%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ind w:left="56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620" w:right="0"/>
        <w:jc w:val="left"/>
      </w:pPr>
      <w:r>
        <w:rPr/>
        <w:t>（</w:t>
      </w:r>
      <w:r>
        <w:rPr>
          <w:rFonts w:ascii="Times New Roman" w:hAnsi="Times New Roman" w:cs="Times New Roman" w:eastAsia="Times New Roman" w:hint="default"/>
        </w:rPr>
        <w:t>1</w:t>
      </w:r>
      <w:r>
        <w:rPr/>
        <w:t>）其他应收款按种类列示</w:t>
      </w:r>
    </w:p>
    <w:p>
      <w:pPr>
        <w:spacing w:line="240" w:lineRule="auto" w:before="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4260"/>
        <w:gridCol w:w="1138"/>
        <w:gridCol w:w="1086"/>
        <w:gridCol w:w="768"/>
        <w:gridCol w:w="1117"/>
      </w:tblGrid>
      <w:tr>
        <w:trPr>
          <w:trHeight w:val="258"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692"/>
              <w:jc w:val="right"/>
              <w:rPr>
                <w:rFonts w:ascii="宋体" w:hAnsi="宋体" w:cs="宋体" w:eastAsia="宋体" w:hint="default"/>
                <w:sz w:val="18"/>
                <w:szCs w:val="18"/>
              </w:rPr>
            </w:pPr>
            <w:r>
              <w:rPr>
                <w:rFonts w:ascii="宋体" w:hAnsi="宋体" w:cs="宋体" w:eastAsia="宋体" w:hint="default"/>
                <w:sz w:val="18"/>
                <w:szCs w:val="18"/>
              </w:rPr>
              <w:t>期 末</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7"/>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4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260" w:type="dxa"/>
            <w:tcBorders>
              <w:top w:val="nil" w:sz="6" w:space="0" w:color="auto"/>
              <w:left w:val="nil" w:sz="6" w:space="0" w:color="auto"/>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21"/>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c>
        <w:tc>
          <w:tcPr>
            <w:tcW w:w="76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2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0" w:hRule="exact"/>
        </w:trPr>
        <w:tc>
          <w:tcPr>
            <w:tcW w:w="426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center"/>
              <w:rPr>
                <w:rFonts w:ascii="Times New Roman" w:hAnsi="Times New Roman" w:cs="Times New Roman" w:eastAsia="Times New Roman" w:hint="default"/>
                <w:sz w:val="20"/>
                <w:szCs w:val="20"/>
              </w:rPr>
            </w:pPr>
            <w:r>
              <w:rPr>
                <w:rFonts w:ascii="Times New Roman"/>
                <w:sz w:val="20"/>
              </w:rPr>
              <w:t>2,711,000.00</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97" w:right="0"/>
              <w:jc w:val="center"/>
              <w:rPr>
                <w:rFonts w:ascii="Times New Roman" w:hAnsi="Times New Roman" w:cs="Times New Roman" w:eastAsia="Times New Roman" w:hint="default"/>
                <w:sz w:val="20"/>
                <w:szCs w:val="20"/>
              </w:rPr>
            </w:pPr>
            <w:r>
              <w:rPr>
                <w:rFonts w:ascii="Times New Roman"/>
                <w:sz w:val="20"/>
              </w:rPr>
              <w:t>41.43</w:t>
            </w:r>
          </w:p>
        </w:tc>
        <w:tc>
          <w:tcPr>
            <w:tcW w:w="768" w:type="dxa"/>
            <w:tcBorders>
              <w:top w:val="single" w:sz="4" w:space="0" w:color="000000"/>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
        </w:tc>
      </w:tr>
      <w:tr>
        <w:trPr>
          <w:trHeight w:val="38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138"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r>
      <w:tr>
        <w:trPr>
          <w:trHeight w:val="37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9"/>
              <w:jc w:val="center"/>
              <w:rPr>
                <w:rFonts w:ascii="Times New Roman" w:hAnsi="Times New Roman" w:cs="Times New Roman" w:eastAsia="Times New Roman" w:hint="default"/>
                <w:sz w:val="20"/>
                <w:szCs w:val="20"/>
              </w:rPr>
            </w:pPr>
            <w:r>
              <w:rPr>
                <w:rFonts w:ascii="Times New Roman"/>
                <w:sz w:val="20"/>
              </w:rPr>
              <w:t>3,833,160.93</w:t>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97" w:right="0"/>
              <w:jc w:val="center"/>
              <w:rPr>
                <w:rFonts w:ascii="Times New Roman" w:hAnsi="Times New Roman" w:cs="Times New Roman" w:eastAsia="Times New Roman" w:hint="default"/>
                <w:sz w:val="20"/>
                <w:szCs w:val="20"/>
              </w:rPr>
            </w:pPr>
            <w:r>
              <w:rPr>
                <w:rFonts w:ascii="Times New Roman"/>
                <w:sz w:val="20"/>
              </w:rPr>
              <w:t>58.57</w:t>
            </w:r>
          </w:p>
        </w:tc>
        <w:tc>
          <w:tcPr>
            <w:tcW w:w="768" w:type="dxa"/>
            <w:tcBorders>
              <w:top w:val="nil" w:sz="6" w:space="0" w:color="auto"/>
              <w:left w:val="nil" w:sz="6" w:space="0" w:color="auto"/>
              <w:bottom w:val="single" w:sz="4" w:space="0" w:color="000000"/>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9"/>
              <w:jc w:val="center"/>
              <w:rPr>
                <w:rFonts w:ascii="Times New Roman" w:hAnsi="Times New Roman" w:cs="Times New Roman" w:eastAsia="Times New Roman" w:hint="default"/>
                <w:sz w:val="20"/>
                <w:szCs w:val="20"/>
              </w:rPr>
            </w:pPr>
            <w:r>
              <w:rPr>
                <w:rFonts w:ascii="Times New Roman"/>
                <w:sz w:val="20"/>
              </w:rPr>
              <w:t>6,544,160.93</w:t>
            </w:r>
          </w:p>
        </w:tc>
        <w:tc>
          <w:tcPr>
            <w:tcW w:w="10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100.00</w:t>
            </w:r>
          </w:p>
        </w:tc>
        <w:tc>
          <w:tcPr>
            <w:tcW w:w="768" w:type="dxa"/>
            <w:tcBorders>
              <w:top w:val="single" w:sz="4" w:space="0" w:color="000000"/>
              <w:left w:val="nil" w:sz="6" w:space="0" w:color="auto"/>
              <w:bottom w:val="single" w:sz="17" w:space="0" w:color="000000"/>
              <w:right w:val="nil" w:sz="6" w:space="0" w:color="auto"/>
            </w:tcBorders>
          </w:tcPr>
          <w:p>
            <w:pPr/>
          </w:p>
        </w:tc>
        <w:tc>
          <w:tcPr>
            <w:tcW w:w="1117" w:type="dxa"/>
            <w:tcBorders>
              <w:top w:val="single" w:sz="4" w:space="0" w:color="000000"/>
              <w:left w:val="nil" w:sz="6" w:space="0" w:color="auto"/>
              <w:bottom w:val="single" w:sz="17" w:space="0" w:color="000000"/>
              <w:right w:val="nil" w:sz="6" w:space="0" w:color="auto"/>
            </w:tcBorders>
          </w:tcPr>
          <w:p>
            <w:pPr/>
          </w:p>
        </w:tc>
      </w:tr>
    </w:tbl>
    <w:p>
      <w:pPr>
        <w:spacing w:line="240" w:lineRule="auto" w:before="6"/>
        <w:rPr>
          <w:rFonts w:ascii="宋体" w:hAnsi="宋体" w:cs="宋体" w:eastAsia="宋体" w:hint="default"/>
          <w:sz w:val="13"/>
          <w:szCs w:val="13"/>
        </w:rPr>
      </w:pPr>
    </w:p>
    <w:p>
      <w:pPr>
        <w:pStyle w:val="BodyText"/>
        <w:spacing w:line="240" w:lineRule="auto" w:before="26"/>
        <w:ind w:right="0"/>
        <w:jc w:val="left"/>
      </w:pPr>
      <w:r>
        <w:rPr/>
        <w:t>（续）</w:t>
      </w:r>
    </w:p>
    <w:p>
      <w:pPr>
        <w:spacing w:line="240" w:lineRule="auto" w:before="7"/>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260"/>
        <w:gridCol w:w="1138"/>
        <w:gridCol w:w="1086"/>
        <w:gridCol w:w="768"/>
        <w:gridCol w:w="1117"/>
      </w:tblGrid>
      <w:tr>
        <w:trPr>
          <w:trHeight w:val="258" w:hRule="exact"/>
        </w:trPr>
        <w:tc>
          <w:tcPr>
            <w:tcW w:w="836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right="1692"/>
              <w:jc w:val="right"/>
              <w:rPr>
                <w:rFonts w:ascii="宋体" w:hAnsi="宋体" w:cs="宋体" w:eastAsia="宋体" w:hint="default"/>
                <w:sz w:val="18"/>
                <w:szCs w:val="18"/>
              </w:rPr>
            </w:pPr>
            <w:r>
              <w:rPr>
                <w:rFonts w:ascii="宋体" w:hAnsi="宋体" w:cs="宋体" w:eastAsia="宋体" w:hint="default"/>
                <w:sz w:val="18"/>
                <w:szCs w:val="18"/>
              </w:rPr>
              <w:t>期 初</w:t>
            </w:r>
            <w:r>
              <w:rPr>
                <w:rFonts w:ascii="宋体" w:hAnsi="宋体" w:cs="宋体" w:eastAsia="宋体" w:hint="default"/>
                <w:spacing w:val="2"/>
                <w:sz w:val="18"/>
                <w:szCs w:val="18"/>
              </w:rPr>
              <w:t> </w:t>
            </w:r>
            <w:r>
              <w:rPr>
                <w:rFonts w:ascii="宋体" w:hAnsi="宋体" w:cs="宋体" w:eastAsia="宋体" w:hint="default"/>
                <w:sz w:val="18"/>
                <w:szCs w:val="18"/>
              </w:rPr>
              <w:t>数</w:t>
            </w:r>
          </w:p>
        </w:tc>
      </w:tr>
      <w:tr>
        <w:trPr>
          <w:trHeight w:val="355"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7"/>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222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4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4260" w:type="dxa"/>
            <w:tcBorders>
              <w:top w:val="nil" w:sz="6" w:space="0" w:color="auto"/>
              <w:left w:val="nil" w:sz="6" w:space="0" w:color="auto"/>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21"/>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c>
        <w:tc>
          <w:tcPr>
            <w:tcW w:w="768"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7"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2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0" w:hRule="exact"/>
        </w:trPr>
        <w:tc>
          <w:tcPr>
            <w:tcW w:w="426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center"/>
              <w:rPr>
                <w:rFonts w:ascii="Times New Roman" w:hAnsi="Times New Roman" w:cs="Times New Roman" w:eastAsia="Times New Roman" w:hint="default"/>
                <w:sz w:val="20"/>
                <w:szCs w:val="20"/>
              </w:rPr>
            </w:pPr>
            <w:r>
              <w:rPr>
                <w:rFonts w:ascii="Times New Roman"/>
                <w:sz w:val="20"/>
              </w:rPr>
              <w:t>1,300,000.00</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97" w:right="0"/>
              <w:jc w:val="center"/>
              <w:rPr>
                <w:rFonts w:ascii="Times New Roman" w:hAnsi="Times New Roman" w:cs="Times New Roman" w:eastAsia="Times New Roman" w:hint="default"/>
                <w:sz w:val="20"/>
                <w:szCs w:val="20"/>
              </w:rPr>
            </w:pPr>
            <w:r>
              <w:rPr>
                <w:rFonts w:ascii="Times New Roman"/>
                <w:sz w:val="20"/>
              </w:rPr>
              <w:t>31.30</w:t>
            </w:r>
          </w:p>
        </w:tc>
        <w:tc>
          <w:tcPr>
            <w:tcW w:w="768" w:type="dxa"/>
            <w:tcBorders>
              <w:top w:val="single" w:sz="4" w:space="0" w:color="000000"/>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
        </w:tc>
      </w:tr>
      <w:tr>
        <w:trPr>
          <w:trHeight w:val="389"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138"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r>
      <w:tr>
        <w:trPr>
          <w:trHeight w:val="371"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9"/>
              <w:jc w:val="center"/>
              <w:rPr>
                <w:rFonts w:ascii="Times New Roman" w:hAnsi="Times New Roman" w:cs="Times New Roman" w:eastAsia="Times New Roman" w:hint="default"/>
                <w:sz w:val="20"/>
                <w:szCs w:val="20"/>
              </w:rPr>
            </w:pPr>
            <w:r>
              <w:rPr>
                <w:rFonts w:ascii="Times New Roman"/>
                <w:sz w:val="20"/>
              </w:rPr>
              <w:t>2,853,809.11</w:t>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97" w:right="0"/>
              <w:jc w:val="center"/>
              <w:rPr>
                <w:rFonts w:ascii="Times New Roman" w:hAnsi="Times New Roman" w:cs="Times New Roman" w:eastAsia="Times New Roman" w:hint="default"/>
                <w:sz w:val="20"/>
                <w:szCs w:val="20"/>
              </w:rPr>
            </w:pPr>
            <w:r>
              <w:rPr>
                <w:rFonts w:ascii="Times New Roman"/>
                <w:sz w:val="20"/>
              </w:rPr>
              <w:t>68.70</w:t>
            </w:r>
          </w:p>
        </w:tc>
        <w:tc>
          <w:tcPr>
            <w:tcW w:w="768" w:type="dxa"/>
            <w:tcBorders>
              <w:top w:val="nil" w:sz="6" w:space="0" w:color="auto"/>
              <w:left w:val="nil" w:sz="6" w:space="0" w:color="auto"/>
              <w:bottom w:val="single" w:sz="4" w:space="0" w:color="000000"/>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2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1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29"/>
              <w:jc w:val="center"/>
              <w:rPr>
                <w:rFonts w:ascii="Times New Roman" w:hAnsi="Times New Roman" w:cs="Times New Roman" w:eastAsia="Times New Roman" w:hint="default"/>
                <w:sz w:val="20"/>
                <w:szCs w:val="20"/>
              </w:rPr>
            </w:pPr>
            <w:r>
              <w:rPr>
                <w:rFonts w:ascii="Times New Roman"/>
                <w:sz w:val="20"/>
              </w:rPr>
              <w:t>4,153,809.11</w:t>
            </w:r>
          </w:p>
        </w:tc>
        <w:tc>
          <w:tcPr>
            <w:tcW w:w="10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100.00</w:t>
            </w:r>
          </w:p>
        </w:tc>
        <w:tc>
          <w:tcPr>
            <w:tcW w:w="768" w:type="dxa"/>
            <w:tcBorders>
              <w:top w:val="single" w:sz="4" w:space="0" w:color="000000"/>
              <w:left w:val="nil" w:sz="6" w:space="0" w:color="auto"/>
              <w:bottom w:val="single" w:sz="17" w:space="0" w:color="000000"/>
              <w:right w:val="nil" w:sz="6" w:space="0" w:color="auto"/>
            </w:tcBorders>
          </w:tcPr>
          <w:p>
            <w:pPr/>
          </w:p>
        </w:tc>
        <w:tc>
          <w:tcPr>
            <w:tcW w:w="1117" w:type="dxa"/>
            <w:tcBorders>
              <w:top w:val="single" w:sz="4" w:space="0" w:color="000000"/>
              <w:left w:val="nil" w:sz="6" w:space="0" w:color="auto"/>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562" w:right="0"/>
        <w:jc w:val="left"/>
      </w:pPr>
      <w:r>
        <w:rPr/>
        <w:pict>
          <v:group style="position:absolute;margin-left:88.559998pt;margin-top:36.195621pt;width:418.2pt;height:.5pt;mso-position-horizontal-relative:page;mso-position-vertical-relative:paragraph;z-index:-603232" coordorigin="1771,724" coordsize="8364,10">
            <v:group style="position:absolute;left:1776;top:729;width:2506;height:2" coordorigin="1776,729" coordsize="2506,2">
              <v:shape style="position:absolute;left:1776;top:729;width:2506;height:2" coordorigin="1776,729" coordsize="2506,0" path="m1776,729l4282,729e" filled="false" stroked="true" strokeweight=".48pt" strokecolor="#000000">
                <v:path arrowok="t"/>
              </v:shape>
            </v:group>
            <v:group style="position:absolute;left:4320;top:729;width:2960;height:2" coordorigin="4320,729" coordsize="2960,2">
              <v:shape style="position:absolute;left:4320;top:729;width:2960;height:2" coordorigin="4320,729" coordsize="2960,0" path="m4320,729l7279,729e" filled="false" stroked="true" strokeweight=".48pt" strokecolor="#000000">
                <v:path arrowok="t"/>
              </v:shape>
            </v:group>
            <v:group style="position:absolute;left:7318;top:729;width:2813;height:2" coordorigin="7318,729" coordsize="2813,2">
              <v:shape style="position:absolute;left:7318;top:729;width:2813;height:2" coordorigin="7318,729" coordsize="2813,0" path="m7318,729l10130,729e" filled="false" stroked="true" strokeweight=".48pt" strokecolor="#000000">
                <v:path arrowok="t"/>
              </v:shape>
            </v:group>
            <w10:wrap type="none"/>
          </v:group>
        </w:pict>
      </w:r>
      <w:r>
        <w:rPr/>
        <w:t>（</w:t>
      </w:r>
      <w:r>
        <w:rPr>
          <w:rFonts w:ascii="宋体" w:hAnsi="宋体" w:cs="宋体" w:eastAsia="宋体" w:hint="default"/>
        </w:rPr>
        <w:t>2</w:t>
      </w:r>
      <w:r>
        <w:rPr/>
        <w:t>）其他应收款按账龄列示</w:t>
      </w:r>
    </w:p>
    <w:p>
      <w:pPr>
        <w:spacing w:line="240" w:lineRule="auto" w:before="12"/>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734"/>
        <w:gridCol w:w="2894"/>
        <w:gridCol w:w="1959"/>
      </w:tblGrid>
      <w:tr>
        <w:trPr>
          <w:trHeight w:val="272"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894" w:type="dxa"/>
            <w:tcBorders>
              <w:top w:val="nil" w:sz="6" w:space="0" w:color="auto"/>
              <w:left w:val="nil" w:sz="6" w:space="0" w:color="auto"/>
              <w:bottom w:val="nil" w:sz="6" w:space="0" w:color="auto"/>
              <w:right w:val="nil" w:sz="6" w:space="0" w:color="auto"/>
            </w:tcBorders>
          </w:tcPr>
          <w:p>
            <w:pPr>
              <w:pStyle w:val="TableParagraph"/>
              <w:spacing w:line="199" w:lineRule="exact"/>
              <w:ind w:right="24"/>
              <w:jc w:val="center"/>
              <w:rPr>
                <w:rFonts w:ascii="宋体" w:hAnsi="宋体" w:cs="宋体" w:eastAsia="宋体" w:hint="default"/>
                <w:sz w:val="20"/>
                <w:szCs w:val="20"/>
              </w:rPr>
            </w:pPr>
            <w:r>
              <w:rPr>
                <w:rFonts w:ascii="宋体" w:hAnsi="宋体" w:cs="宋体" w:eastAsia="宋体" w:hint="default"/>
                <w:sz w:val="20"/>
                <w:szCs w:val="20"/>
              </w:rPr>
              <w:t>期末数</w:t>
            </w:r>
          </w:p>
        </w:tc>
        <w:tc>
          <w:tcPr>
            <w:tcW w:w="1959" w:type="dxa"/>
            <w:tcBorders>
              <w:top w:val="nil" w:sz="6" w:space="0" w:color="auto"/>
              <w:left w:val="nil" w:sz="6" w:space="0" w:color="auto"/>
              <w:bottom w:val="nil" w:sz="6" w:space="0" w:color="auto"/>
              <w:right w:val="nil" w:sz="6" w:space="0" w:color="auto"/>
            </w:tcBorders>
          </w:tcPr>
          <w:p>
            <w:pPr>
              <w:pStyle w:val="TableParagraph"/>
              <w:spacing w:line="199" w:lineRule="exact"/>
              <w:ind w:left="1161" w:right="0"/>
              <w:jc w:val="left"/>
              <w:rPr>
                <w:rFonts w:ascii="宋体" w:hAnsi="宋体" w:cs="宋体" w:eastAsia="宋体" w:hint="default"/>
                <w:sz w:val="20"/>
                <w:szCs w:val="20"/>
              </w:rPr>
            </w:pPr>
            <w:r>
              <w:rPr>
                <w:rFonts w:ascii="宋体" w:hAnsi="宋体" w:cs="宋体" w:eastAsia="宋体" w:hint="default"/>
                <w:sz w:val="20"/>
                <w:szCs w:val="20"/>
              </w:rPr>
              <w:t>期初数</w:t>
            </w:r>
          </w:p>
        </w:tc>
      </w:tr>
    </w:tbl>
    <w:p>
      <w:pPr>
        <w:spacing w:after="0" w:line="199" w:lineRule="exact"/>
        <w:jc w:val="left"/>
        <w:rPr>
          <w:rFonts w:ascii="宋体" w:hAnsi="宋体" w:cs="宋体" w:eastAsia="宋体" w:hint="default"/>
          <w:sz w:val="20"/>
          <w:szCs w:val="20"/>
        </w:rPr>
        <w:sectPr>
          <w:pgSz w:w="11910" w:h="16840"/>
          <w:pgMar w:header="850" w:footer="979" w:top="1380" w:bottom="1160" w:left="1660" w:right="1660"/>
        </w:sectPr>
      </w:pPr>
    </w:p>
    <w:tbl>
      <w:tblPr>
        <w:tblW w:w="0" w:type="auto"/>
        <w:jc w:val="left"/>
        <w:tblInd w:w="608" w:type="dxa"/>
        <w:tblLayout w:type="fixed"/>
        <w:tblCellMar>
          <w:top w:w="0" w:type="dxa"/>
          <w:left w:w="0" w:type="dxa"/>
          <w:bottom w:w="0" w:type="dxa"/>
          <w:right w:w="0" w:type="dxa"/>
        </w:tblCellMar>
        <w:tblLook w:val="01E0"/>
      </w:tblPr>
      <w:tblGrid>
        <w:gridCol w:w="2551"/>
        <w:gridCol w:w="1333"/>
        <w:gridCol w:w="1645"/>
        <w:gridCol w:w="1300"/>
        <w:gridCol w:w="1540"/>
      </w:tblGrid>
      <w:tr>
        <w:trPr>
          <w:trHeight w:val="365" w:hRule="exact"/>
        </w:trPr>
        <w:tc>
          <w:tcPr>
            <w:tcW w:w="2551" w:type="dxa"/>
            <w:tcBorders>
              <w:top w:val="single" w:sz="6" w:space="0" w:color="000000"/>
              <w:left w:val="nil" w:sz="6" w:space="0" w:color="auto"/>
              <w:bottom w:val="single" w:sz="4" w:space="0" w:color="000000"/>
              <w:right w:val="nil" w:sz="6" w:space="0" w:color="auto"/>
            </w:tcBorders>
          </w:tcPr>
          <w:p>
            <w:pPr/>
          </w:p>
        </w:tc>
        <w:tc>
          <w:tcPr>
            <w:tcW w:w="1333"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35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645"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23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00"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357"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40" w:type="dxa"/>
            <w:tcBorders>
              <w:top w:val="single" w:sz="6" w:space="0" w:color="000000"/>
              <w:left w:val="nil" w:sz="6" w:space="0" w:color="auto"/>
              <w:bottom w:val="single" w:sz="4" w:space="0" w:color="000000"/>
              <w:right w:val="nil" w:sz="6" w:space="0" w:color="auto"/>
            </w:tcBorders>
          </w:tcPr>
          <w:p>
            <w:pPr>
              <w:pStyle w:val="TableParagraph"/>
              <w:spacing w:line="240" w:lineRule="auto" w:before="25"/>
              <w:ind w:left="212"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9" w:hRule="exact"/>
        </w:trPr>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34"/>
              <w:jc w:val="right"/>
              <w:rPr>
                <w:rFonts w:ascii="Times New Roman" w:hAnsi="Times New Roman" w:cs="Times New Roman" w:eastAsia="Times New Roman" w:hint="default"/>
                <w:sz w:val="20"/>
                <w:szCs w:val="20"/>
              </w:rPr>
            </w:pPr>
            <w:r>
              <w:rPr>
                <w:rFonts w:ascii="Times New Roman"/>
                <w:w w:val="95"/>
                <w:sz w:val="20"/>
              </w:rPr>
              <w:t>5,646,688.60</w:t>
            </w:r>
            <w:r>
              <w:rPr>
                <w:rFonts w:ascii="Times New Roman"/>
                <w:sz w:val="20"/>
              </w:rPr>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Times New Roman" w:hAnsi="Times New Roman" w:cs="Times New Roman" w:eastAsia="Times New Roman" w:hint="default"/>
                <w:sz w:val="20"/>
                <w:szCs w:val="20"/>
              </w:rPr>
            </w:pPr>
            <w:r>
              <w:rPr>
                <w:rFonts w:ascii="Times New Roman"/>
                <w:sz w:val="20"/>
              </w:rPr>
              <w:t>86.29</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10"/>
              <w:jc w:val="right"/>
              <w:rPr>
                <w:rFonts w:ascii="Times New Roman" w:hAnsi="Times New Roman" w:cs="Times New Roman" w:eastAsia="Times New Roman" w:hint="default"/>
                <w:sz w:val="20"/>
                <w:szCs w:val="20"/>
              </w:rPr>
            </w:pPr>
            <w:r>
              <w:rPr>
                <w:rFonts w:ascii="Times New Roman"/>
                <w:w w:val="95"/>
                <w:sz w:val="20"/>
              </w:rPr>
              <w:t>2,914,153.59</w:t>
            </w:r>
            <w:r>
              <w:rPr>
                <w:rFonts w:ascii="Times New Roman"/>
                <w:sz w:val="20"/>
              </w:rPr>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20"/>
                <w:szCs w:val="20"/>
              </w:rPr>
            </w:pPr>
            <w:r>
              <w:rPr>
                <w:rFonts w:ascii="Times New Roman"/>
                <w:sz w:val="20"/>
              </w:rPr>
              <w:t>70.16</w:t>
            </w:r>
          </w:p>
        </w:tc>
      </w:tr>
      <w:tr>
        <w:trPr>
          <w:trHeight w:val="33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 </w:t>
            </w:r>
            <w:r>
              <w:rPr>
                <w:rFonts w:ascii="宋体" w:hAnsi="宋体" w:cs="宋体" w:eastAsia="宋体" w:hint="default"/>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4"/>
              <w:jc w:val="right"/>
              <w:rPr>
                <w:rFonts w:ascii="Times New Roman" w:hAnsi="Times New Roman" w:cs="Times New Roman" w:eastAsia="Times New Roman" w:hint="default"/>
                <w:sz w:val="20"/>
                <w:szCs w:val="20"/>
              </w:rPr>
            </w:pPr>
            <w:r>
              <w:rPr>
                <w:rFonts w:ascii="Times New Roman"/>
                <w:w w:val="95"/>
                <w:sz w:val="20"/>
              </w:rPr>
              <w:t>141,546.08</w:t>
            </w:r>
            <w:r>
              <w:rPr>
                <w:rFonts w:ascii="Times New Roman"/>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Times New Roman" w:hAnsi="Times New Roman" w:cs="Times New Roman" w:eastAsia="Times New Roman" w:hint="default"/>
                <w:sz w:val="20"/>
                <w:szCs w:val="20"/>
              </w:rPr>
            </w:pPr>
            <w:r>
              <w:rPr>
                <w:rFonts w:ascii="Times New Roman"/>
                <w:sz w:val="20"/>
              </w:rPr>
              <w:t>2.16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0"/>
              <w:jc w:val="right"/>
              <w:rPr>
                <w:rFonts w:ascii="Times New Roman" w:hAnsi="Times New Roman" w:cs="Times New Roman" w:eastAsia="Times New Roman" w:hint="default"/>
                <w:sz w:val="20"/>
                <w:szCs w:val="20"/>
              </w:rPr>
            </w:pPr>
            <w:r>
              <w:rPr>
                <w:rFonts w:ascii="Times New Roman"/>
                <w:w w:val="95"/>
                <w:sz w:val="20"/>
              </w:rPr>
              <w:t>554,922.50</w:t>
            </w:r>
            <w:r>
              <w:rPr>
                <w:rFonts w:ascii="Times New Roman"/>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z w:val="20"/>
              </w:rPr>
              <w:t>13.36</w:t>
            </w:r>
          </w:p>
        </w:tc>
      </w:tr>
      <w:tr>
        <w:trPr>
          <w:trHeight w:val="33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 </w:t>
            </w:r>
            <w:r>
              <w:rPr>
                <w:rFonts w:ascii="宋体" w:hAnsi="宋体" w:cs="宋体" w:eastAsia="宋体" w:hint="default"/>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4"/>
              <w:jc w:val="right"/>
              <w:rPr>
                <w:rFonts w:ascii="Times New Roman" w:hAnsi="Times New Roman" w:cs="Times New Roman" w:eastAsia="Times New Roman" w:hint="default"/>
                <w:sz w:val="20"/>
                <w:szCs w:val="20"/>
              </w:rPr>
            </w:pPr>
            <w:r>
              <w:rPr>
                <w:rFonts w:ascii="Times New Roman"/>
                <w:w w:val="95"/>
                <w:sz w:val="20"/>
              </w:rPr>
              <w:t>298,393.23</w:t>
            </w:r>
            <w:r>
              <w:rPr>
                <w:rFonts w:ascii="Times New Roman"/>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Times New Roman" w:hAnsi="Times New Roman" w:cs="Times New Roman" w:eastAsia="Times New Roman" w:hint="default"/>
                <w:sz w:val="20"/>
                <w:szCs w:val="20"/>
              </w:rPr>
            </w:pPr>
            <w:r>
              <w:rPr>
                <w:rFonts w:ascii="Times New Roman"/>
                <w:sz w:val="20"/>
              </w:rPr>
              <w:t>4.56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0"/>
              <w:jc w:val="right"/>
              <w:rPr>
                <w:rFonts w:ascii="Times New Roman" w:hAnsi="Times New Roman" w:cs="Times New Roman" w:eastAsia="Times New Roman" w:hint="default"/>
                <w:sz w:val="20"/>
                <w:szCs w:val="20"/>
              </w:rPr>
            </w:pPr>
            <w:r>
              <w:rPr>
                <w:rFonts w:ascii="Times New Roman"/>
                <w:w w:val="95"/>
                <w:sz w:val="20"/>
              </w:rPr>
              <w:t>486,954.00</w:t>
            </w:r>
            <w:r>
              <w:rPr>
                <w:rFonts w:ascii="Times New Roman"/>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z w:val="20"/>
              </w:rPr>
              <w:t>11.72</w:t>
            </w:r>
          </w:p>
        </w:tc>
      </w:tr>
      <w:tr>
        <w:trPr>
          <w:trHeight w:val="33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 </w:t>
            </w:r>
            <w:r>
              <w:rPr>
                <w:rFonts w:ascii="宋体" w:hAnsi="宋体" w:cs="宋体" w:eastAsia="宋体" w:hint="default"/>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4"/>
              <w:jc w:val="right"/>
              <w:rPr>
                <w:rFonts w:ascii="Times New Roman" w:hAnsi="Times New Roman" w:cs="Times New Roman" w:eastAsia="Times New Roman" w:hint="default"/>
                <w:sz w:val="20"/>
                <w:szCs w:val="20"/>
              </w:rPr>
            </w:pPr>
            <w:r>
              <w:rPr>
                <w:rFonts w:ascii="Times New Roman"/>
                <w:w w:val="95"/>
                <w:sz w:val="20"/>
              </w:rPr>
              <w:t>332,854.00</w:t>
            </w:r>
            <w:r>
              <w:rPr>
                <w:rFonts w:ascii="Times New Roman"/>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Times New Roman" w:hAnsi="Times New Roman" w:cs="Times New Roman" w:eastAsia="Times New Roman" w:hint="default"/>
                <w:sz w:val="20"/>
                <w:szCs w:val="20"/>
              </w:rPr>
            </w:pPr>
            <w:r>
              <w:rPr>
                <w:rFonts w:ascii="Times New Roman"/>
                <w:sz w:val="20"/>
              </w:rPr>
              <w:t>5.09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1"/>
              <w:jc w:val="right"/>
              <w:rPr>
                <w:rFonts w:ascii="Times New Roman" w:hAnsi="Times New Roman" w:cs="Times New Roman" w:eastAsia="Times New Roman" w:hint="default"/>
                <w:sz w:val="20"/>
                <w:szCs w:val="20"/>
              </w:rPr>
            </w:pPr>
            <w:r>
              <w:rPr>
                <w:rFonts w:ascii="Times New Roman"/>
                <w:w w:val="95"/>
                <w:sz w:val="20"/>
              </w:rPr>
              <w:t>44,913.82</w:t>
            </w:r>
            <w:r>
              <w:rPr>
                <w:rFonts w:ascii="Times New Roman"/>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z w:val="20"/>
              </w:rPr>
              <w:t>1.08</w:t>
            </w:r>
          </w:p>
        </w:tc>
      </w:tr>
      <w:tr>
        <w:trPr>
          <w:trHeight w:val="33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 </w:t>
            </w:r>
            <w:r>
              <w:rPr>
                <w:rFonts w:ascii="宋体" w:hAnsi="宋体" w:cs="宋体" w:eastAsia="宋体" w:hint="default"/>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5"/>
              <w:jc w:val="right"/>
              <w:rPr>
                <w:rFonts w:ascii="Times New Roman" w:hAnsi="Times New Roman" w:cs="Times New Roman" w:eastAsia="Times New Roman" w:hint="default"/>
                <w:sz w:val="20"/>
                <w:szCs w:val="20"/>
              </w:rPr>
            </w:pPr>
            <w:r>
              <w:rPr>
                <w:rFonts w:ascii="Times New Roman"/>
                <w:w w:val="95"/>
                <w:sz w:val="20"/>
              </w:rPr>
              <w:t>44,913.82</w:t>
            </w:r>
            <w:r>
              <w:rPr>
                <w:rFonts w:ascii="Times New Roman"/>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Times New Roman" w:hAnsi="Times New Roman" w:cs="Times New Roman" w:eastAsia="Times New Roman" w:hint="default"/>
                <w:sz w:val="20"/>
                <w:szCs w:val="20"/>
              </w:rPr>
            </w:pPr>
            <w:r>
              <w:rPr>
                <w:rFonts w:ascii="Times New Roman"/>
                <w:sz w:val="20"/>
              </w:rPr>
              <w:t>0.69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11"/>
              <w:jc w:val="right"/>
              <w:rPr>
                <w:rFonts w:ascii="Times New Roman" w:hAnsi="Times New Roman" w:cs="Times New Roman" w:eastAsia="Times New Roman" w:hint="default"/>
                <w:sz w:val="20"/>
                <w:szCs w:val="20"/>
              </w:rPr>
            </w:pPr>
            <w:r>
              <w:rPr>
                <w:rFonts w:ascii="Times New Roman"/>
                <w:w w:val="95"/>
                <w:sz w:val="20"/>
              </w:rPr>
              <w:t>900.00</w:t>
            </w:r>
            <w:r>
              <w:rPr>
                <w:rFonts w:ascii="Times New Roman"/>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z w:val="20"/>
              </w:rPr>
              <w:t>0.02</w:t>
            </w:r>
          </w:p>
        </w:tc>
      </w:tr>
      <w:tr>
        <w:trPr>
          <w:trHeight w:val="342"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35"/>
              <w:jc w:val="right"/>
              <w:rPr>
                <w:rFonts w:ascii="Times New Roman" w:hAnsi="Times New Roman" w:cs="Times New Roman" w:eastAsia="Times New Roman" w:hint="default"/>
                <w:sz w:val="20"/>
                <w:szCs w:val="20"/>
              </w:rPr>
            </w:pPr>
            <w:r>
              <w:rPr>
                <w:rFonts w:ascii="Times New Roman"/>
                <w:w w:val="95"/>
                <w:sz w:val="20"/>
              </w:rPr>
              <w:t>79,765.20</w:t>
            </w:r>
            <w:r>
              <w:rPr>
                <w:rFonts w:ascii="Times New Roman"/>
                <w:sz w:val="20"/>
              </w:rPr>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31"/>
              <w:jc w:val="right"/>
              <w:rPr>
                <w:rFonts w:ascii="Times New Roman" w:hAnsi="Times New Roman" w:cs="Times New Roman" w:eastAsia="Times New Roman" w:hint="default"/>
                <w:sz w:val="20"/>
                <w:szCs w:val="20"/>
              </w:rPr>
            </w:pPr>
            <w:r>
              <w:rPr>
                <w:rFonts w:ascii="Times New Roman"/>
                <w:sz w:val="20"/>
              </w:rPr>
              <w:t>1.21</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10"/>
              <w:jc w:val="right"/>
              <w:rPr>
                <w:rFonts w:ascii="Times New Roman" w:hAnsi="Times New Roman" w:cs="Times New Roman" w:eastAsia="Times New Roman" w:hint="default"/>
                <w:sz w:val="20"/>
                <w:szCs w:val="20"/>
              </w:rPr>
            </w:pPr>
            <w:r>
              <w:rPr>
                <w:rFonts w:ascii="Times New Roman"/>
                <w:w w:val="95"/>
                <w:sz w:val="20"/>
              </w:rPr>
              <w:t>151,965.20</w:t>
            </w:r>
            <w:r>
              <w:rPr>
                <w:rFonts w:ascii="Times New Roman"/>
                <w:sz w:val="20"/>
              </w:rPr>
            </w: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z w:val="20"/>
              </w:rPr>
              <w:t>3.66</w:t>
            </w:r>
          </w:p>
        </w:tc>
      </w:tr>
      <w:tr>
        <w:trPr>
          <w:trHeight w:val="35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3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34"/>
              <w:jc w:val="right"/>
              <w:rPr>
                <w:rFonts w:ascii="Times New Roman" w:hAnsi="Times New Roman" w:cs="Times New Roman" w:eastAsia="Times New Roman" w:hint="default"/>
                <w:sz w:val="20"/>
                <w:szCs w:val="20"/>
              </w:rPr>
            </w:pPr>
            <w:r>
              <w:rPr>
                <w:rFonts w:ascii="Times New Roman"/>
                <w:w w:val="95"/>
                <w:sz w:val="20"/>
              </w:rPr>
              <w:t>6,544,160.93</w:t>
            </w:r>
            <w:r>
              <w:rPr>
                <w:rFonts w:ascii="Times New Roman"/>
                <w:sz w:val="20"/>
              </w:rPr>
            </w:r>
          </w:p>
        </w:tc>
        <w:tc>
          <w:tcPr>
            <w:tcW w:w="1645"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00"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10"/>
              <w:jc w:val="right"/>
              <w:rPr>
                <w:rFonts w:ascii="Times New Roman" w:hAnsi="Times New Roman" w:cs="Times New Roman" w:eastAsia="Times New Roman" w:hint="default"/>
                <w:sz w:val="20"/>
                <w:szCs w:val="20"/>
              </w:rPr>
            </w:pPr>
            <w:r>
              <w:rPr>
                <w:rFonts w:ascii="Times New Roman"/>
                <w:w w:val="95"/>
                <w:sz w:val="20"/>
              </w:rPr>
              <w:t>4,153,809.11</w:t>
            </w:r>
            <w:r>
              <w:rPr>
                <w:rFonts w:ascii="Times New Roman"/>
                <w:sz w:val="20"/>
              </w:rPr>
            </w:r>
          </w:p>
        </w:tc>
        <w:tc>
          <w:tcPr>
            <w:tcW w:w="1540"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26"/>
        <w:ind w:left="1064" w:right="0"/>
        <w:jc w:val="left"/>
      </w:pPr>
      <w:r>
        <w:rPr/>
        <w:t>（</w:t>
      </w:r>
      <w:r>
        <w:rPr>
          <w:rFonts w:ascii="宋体" w:hAnsi="宋体" w:cs="宋体" w:eastAsia="宋体" w:hint="default"/>
        </w:rPr>
        <w:t>3</w:t>
      </w:r>
      <w:r>
        <w:rPr/>
        <w:t>）坏账准备的计提情况</w:t>
      </w:r>
    </w:p>
    <w:p>
      <w:pPr>
        <w:spacing w:line="240" w:lineRule="auto" w:before="12"/>
        <w:rPr>
          <w:rFonts w:ascii="宋体" w:hAnsi="宋体" w:cs="宋体" w:eastAsia="宋体" w:hint="default"/>
          <w:sz w:val="18"/>
          <w:szCs w:val="18"/>
        </w:rPr>
      </w:pPr>
    </w:p>
    <w:p>
      <w:pPr>
        <w:pStyle w:val="BodyText"/>
        <w:spacing w:line="307" w:lineRule="auto"/>
        <w:ind w:left="637" w:right="769" w:firstLine="480"/>
        <w:jc w:val="left"/>
      </w:pPr>
      <w:r>
        <w:rPr/>
        <w:t>单项金额重大并单项计提坏账准备的其他应收款及单项金额虽不重大但单 项计提坏账准备的其他应收款坏账准备计提情况</w:t>
      </w:r>
    </w:p>
    <w:p>
      <w:pPr>
        <w:spacing w:line="240" w:lineRule="auto" w:before="9"/>
        <w:rPr>
          <w:rFonts w:ascii="宋体" w:hAnsi="宋体" w:cs="宋体" w:eastAsia="宋体" w:hint="default"/>
          <w:sz w:val="4"/>
          <w:szCs w:val="4"/>
        </w:rPr>
      </w:pPr>
    </w:p>
    <w:tbl>
      <w:tblPr>
        <w:tblW w:w="0" w:type="auto"/>
        <w:jc w:val="left"/>
        <w:tblInd w:w="615" w:type="dxa"/>
        <w:tblLayout w:type="fixed"/>
        <w:tblCellMar>
          <w:top w:w="0" w:type="dxa"/>
          <w:left w:w="0" w:type="dxa"/>
          <w:bottom w:w="0" w:type="dxa"/>
          <w:right w:w="0" w:type="dxa"/>
        </w:tblCellMar>
        <w:tblLook w:val="01E0"/>
      </w:tblPr>
      <w:tblGrid>
        <w:gridCol w:w="2942"/>
        <w:gridCol w:w="1129"/>
        <w:gridCol w:w="865"/>
        <w:gridCol w:w="1414"/>
        <w:gridCol w:w="2004"/>
      </w:tblGrid>
      <w:tr>
        <w:trPr>
          <w:trHeight w:val="282" w:hRule="exact"/>
        </w:trPr>
        <w:tc>
          <w:tcPr>
            <w:tcW w:w="2942" w:type="dxa"/>
            <w:tcBorders>
              <w:top w:val="nil" w:sz="6" w:space="0" w:color="auto"/>
              <w:left w:val="nil" w:sz="6" w:space="0" w:color="auto"/>
              <w:bottom w:val="single" w:sz="4" w:space="0" w:color="000000"/>
              <w:right w:val="nil" w:sz="6" w:space="0" w:color="auto"/>
            </w:tcBorders>
          </w:tcPr>
          <w:p>
            <w:pPr>
              <w:pStyle w:val="TableParagraph"/>
              <w:spacing w:line="199" w:lineRule="exact"/>
              <w:ind w:left="753"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199" w:lineRule="exact"/>
              <w:ind w:right="29"/>
              <w:jc w:val="center"/>
              <w:rPr>
                <w:rFonts w:ascii="宋体" w:hAnsi="宋体" w:cs="宋体" w:eastAsia="宋体" w:hint="default"/>
                <w:sz w:val="20"/>
                <w:szCs w:val="20"/>
              </w:rPr>
            </w:pPr>
            <w:r>
              <w:rPr>
                <w:rFonts w:ascii="宋体" w:hAnsi="宋体" w:cs="宋体" w:eastAsia="宋体" w:hint="default"/>
                <w:sz w:val="20"/>
                <w:szCs w:val="20"/>
              </w:rPr>
              <w:t>账面金额</w:t>
            </w:r>
          </w:p>
        </w:tc>
        <w:tc>
          <w:tcPr>
            <w:tcW w:w="865" w:type="dxa"/>
            <w:tcBorders>
              <w:top w:val="nil" w:sz="6" w:space="0" w:color="auto"/>
              <w:left w:val="nil" w:sz="6" w:space="0" w:color="auto"/>
              <w:bottom w:val="single" w:sz="4" w:space="0" w:color="000000"/>
              <w:right w:val="nil" w:sz="6" w:space="0" w:color="auto"/>
            </w:tcBorders>
          </w:tcPr>
          <w:p>
            <w:pPr>
              <w:pStyle w:val="TableParagraph"/>
              <w:spacing w:line="199" w:lineRule="exact"/>
              <w:ind w:left="3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199" w:lineRule="exact"/>
              <w:ind w:left="62" w:right="0"/>
              <w:jc w:val="left"/>
              <w:rPr>
                <w:rFonts w:ascii="宋体" w:hAnsi="宋体" w:cs="宋体" w:eastAsia="宋体" w:hint="default"/>
                <w:sz w:val="20"/>
                <w:szCs w:val="20"/>
              </w:rPr>
            </w:pPr>
            <w:r>
              <w:rPr>
                <w:rFonts w:ascii="宋体" w:hAnsi="宋体" w:cs="宋体" w:eastAsia="宋体" w:hint="default"/>
                <w:sz w:val="20"/>
                <w:szCs w:val="20"/>
              </w:rPr>
              <w:t>计提比例</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199" w:lineRule="exact"/>
              <w:ind w:left="554" w:right="0"/>
              <w:jc w:val="left"/>
              <w:rPr>
                <w:rFonts w:ascii="宋体" w:hAnsi="宋体" w:cs="宋体" w:eastAsia="宋体" w:hint="default"/>
                <w:sz w:val="20"/>
                <w:szCs w:val="20"/>
              </w:rPr>
            </w:pPr>
            <w:r>
              <w:rPr>
                <w:rFonts w:ascii="宋体" w:hAnsi="宋体" w:cs="宋体" w:eastAsia="宋体" w:hint="default"/>
                <w:sz w:val="20"/>
                <w:szCs w:val="20"/>
              </w:rPr>
              <w:t>理由</w:t>
            </w:r>
          </w:p>
        </w:tc>
      </w:tr>
      <w:tr>
        <w:trPr>
          <w:trHeight w:val="374" w:hRule="exact"/>
        </w:trPr>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定期存款利息</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
              <w:jc w:val="center"/>
              <w:rPr>
                <w:rFonts w:ascii="Times New Roman" w:hAnsi="Times New Roman" w:cs="Times New Roman" w:eastAsia="Times New Roman" w:hint="default"/>
                <w:sz w:val="20"/>
                <w:szCs w:val="20"/>
              </w:rPr>
            </w:pPr>
            <w:r>
              <w:rPr>
                <w:rFonts w:ascii="Times New Roman"/>
                <w:sz w:val="20"/>
              </w:rPr>
              <w:t>2,036,000.00</w:t>
            </w:r>
          </w:p>
        </w:tc>
        <w:tc>
          <w:tcPr>
            <w:tcW w:w="865" w:type="dxa"/>
            <w:tcBorders>
              <w:top w:val="single" w:sz="4" w:space="0" w:color="000000"/>
              <w:left w:val="nil" w:sz="6" w:space="0" w:color="auto"/>
              <w:bottom w:val="nil" w:sz="6" w:space="0" w:color="auto"/>
              <w:right w:val="nil" w:sz="6" w:space="0" w:color="auto"/>
            </w:tcBorders>
          </w:tcPr>
          <w:p>
            <w:pPr/>
          </w:p>
        </w:tc>
        <w:tc>
          <w:tcPr>
            <w:tcW w:w="341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1"/>
              <w:ind w:left="1267" w:right="0"/>
              <w:jc w:val="left"/>
              <w:rPr>
                <w:rFonts w:ascii="宋体" w:hAnsi="宋体" w:cs="宋体" w:eastAsia="宋体" w:hint="default"/>
                <w:sz w:val="20"/>
                <w:szCs w:val="20"/>
              </w:rPr>
            </w:pPr>
            <w:r>
              <w:rPr>
                <w:rFonts w:ascii="宋体" w:hAnsi="宋体" w:cs="宋体" w:eastAsia="宋体" w:hint="default"/>
                <w:sz w:val="20"/>
                <w:szCs w:val="20"/>
              </w:rPr>
              <w:t>利息收入预计能收回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山西奥科新得科贸有限公司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675,000.00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68" w:right="0"/>
              <w:jc w:val="left"/>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南京莱斯信息技术股份有限公司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430,000.00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68" w:right="0"/>
              <w:jc w:val="left"/>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张家口市政府采购中心</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200,000.00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68" w:right="0"/>
              <w:jc w:val="left"/>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 w:right="0"/>
              <w:jc w:val="left"/>
              <w:rPr>
                <w:rFonts w:ascii="宋体" w:hAnsi="宋体" w:cs="宋体" w:eastAsia="宋体" w:hint="default"/>
                <w:sz w:val="20"/>
                <w:szCs w:val="20"/>
              </w:rPr>
            </w:pPr>
            <w:r>
              <w:rPr>
                <w:rFonts w:ascii="宋体" w:hAnsi="宋体" w:cs="宋体" w:eastAsia="宋体" w:hint="default"/>
                <w:sz w:val="20"/>
                <w:szCs w:val="20"/>
              </w:rPr>
              <w:t>杨军伟</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7" w:right="0"/>
              <w:jc w:val="center"/>
              <w:rPr>
                <w:rFonts w:ascii="Times New Roman" w:hAnsi="Times New Roman" w:cs="Times New Roman" w:eastAsia="Times New Roman" w:hint="default"/>
                <w:sz w:val="20"/>
                <w:szCs w:val="20"/>
              </w:rPr>
            </w:pPr>
            <w:r>
              <w:rPr>
                <w:rFonts w:ascii="Times New Roman"/>
                <w:sz w:val="20"/>
              </w:rPr>
              <w:t>179,216.00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967" w:right="0"/>
              <w:jc w:val="left"/>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岳威</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166,574.97</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967" w:right="0"/>
              <w:jc w:val="left"/>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董会研</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165,793.50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967" w:right="0"/>
              <w:jc w:val="left"/>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廊坊市财政集中支付中心</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150,000.00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68" w:right="0"/>
              <w:jc w:val="left"/>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2"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无锡国土资源局</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148,000.00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168" w:right="0"/>
              <w:jc w:val="left"/>
              <w:rPr>
                <w:rFonts w:ascii="宋体" w:hAnsi="宋体" w:cs="宋体" w:eastAsia="宋体" w:hint="default"/>
                <w:sz w:val="20"/>
                <w:szCs w:val="20"/>
              </w:rPr>
            </w:pPr>
            <w:r>
              <w:rPr>
                <w:rFonts w:ascii="宋体" w:hAnsi="宋体" w:cs="宋体" w:eastAsia="宋体" w:hint="default"/>
                <w:sz w:val="20"/>
                <w:szCs w:val="20"/>
              </w:rPr>
              <w:t>履约保证金预计能收回</w:t>
            </w:r>
          </w:p>
        </w:tc>
      </w:tr>
      <w:tr>
        <w:trPr>
          <w:trHeight w:val="36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熊雷</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center"/>
              <w:rPr>
                <w:rFonts w:ascii="Times New Roman" w:hAnsi="Times New Roman" w:cs="Times New Roman" w:eastAsia="Times New Roman" w:hint="default"/>
                <w:sz w:val="20"/>
                <w:szCs w:val="20"/>
              </w:rPr>
            </w:pPr>
            <w:r>
              <w:rPr>
                <w:rFonts w:ascii="Times New Roman"/>
                <w:sz w:val="20"/>
              </w:rPr>
              <w:t>146,254.90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967" w:right="0"/>
              <w:jc w:val="left"/>
              <w:rPr>
                <w:rFonts w:ascii="宋体" w:hAnsi="宋体" w:cs="宋体" w:eastAsia="宋体" w:hint="default"/>
                <w:sz w:val="20"/>
                <w:szCs w:val="20"/>
              </w:rPr>
            </w:pPr>
            <w:r>
              <w:rPr>
                <w:rFonts w:ascii="宋体" w:hAnsi="宋体" w:cs="宋体" w:eastAsia="宋体" w:hint="default"/>
                <w:sz w:val="20"/>
                <w:szCs w:val="20"/>
              </w:rPr>
              <w:t>员工备用金借款预计能收回</w:t>
            </w:r>
          </w:p>
        </w:tc>
      </w:tr>
      <w:tr>
        <w:trPr>
          <w:trHeight w:val="361"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 w:right="0"/>
              <w:jc w:val="left"/>
              <w:rPr>
                <w:rFonts w:ascii="宋体" w:hAnsi="宋体" w:cs="宋体" w:eastAsia="宋体" w:hint="default"/>
                <w:sz w:val="20"/>
                <w:szCs w:val="20"/>
              </w:rPr>
            </w:pPr>
            <w:r>
              <w:rPr>
                <w:rFonts w:ascii="宋体" w:hAnsi="宋体" w:cs="宋体" w:eastAsia="宋体" w:hint="default"/>
                <w:sz w:val="20"/>
                <w:szCs w:val="20"/>
              </w:rPr>
              <w:t>芜湖市政府第一招标采购代理处</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7" w:right="0"/>
              <w:jc w:val="center"/>
              <w:rPr>
                <w:rFonts w:ascii="Times New Roman" w:hAnsi="Times New Roman" w:cs="Times New Roman" w:eastAsia="Times New Roman" w:hint="default"/>
                <w:sz w:val="20"/>
                <w:szCs w:val="20"/>
              </w:rPr>
            </w:pPr>
            <w:r>
              <w:rPr>
                <w:rFonts w:ascii="Times New Roman"/>
                <w:sz w:val="20"/>
              </w:rPr>
              <w:t>145,000.00</w:t>
            </w:r>
          </w:p>
        </w:tc>
        <w:tc>
          <w:tcPr>
            <w:tcW w:w="865"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168" w:right="0"/>
              <w:jc w:val="left"/>
              <w:rPr>
                <w:rFonts w:ascii="宋体" w:hAnsi="宋体" w:cs="宋体" w:eastAsia="宋体" w:hint="default"/>
                <w:sz w:val="20"/>
                <w:szCs w:val="20"/>
              </w:rPr>
            </w:pPr>
            <w:r>
              <w:rPr>
                <w:rFonts w:ascii="宋体" w:hAnsi="宋体" w:cs="宋体" w:eastAsia="宋体" w:hint="default"/>
                <w:sz w:val="20"/>
                <w:szCs w:val="20"/>
              </w:rPr>
              <w:t>投标保证金预计能收回</w:t>
            </w:r>
          </w:p>
        </w:tc>
      </w:tr>
      <w:tr>
        <w:trPr>
          <w:trHeight w:val="370"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sz w:val="20"/>
              </w:rPr>
              <w:t>2,102,321.56</w:t>
            </w:r>
          </w:p>
        </w:tc>
        <w:tc>
          <w:tcPr>
            <w:tcW w:w="865" w:type="dxa"/>
            <w:tcBorders>
              <w:top w:val="nil" w:sz="6" w:space="0" w:color="auto"/>
              <w:left w:val="nil" w:sz="6" w:space="0" w:color="auto"/>
              <w:bottom w:val="single" w:sz="4" w:space="0" w:color="000000"/>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
        </w:tc>
      </w:tr>
      <w:tr>
        <w:trPr>
          <w:trHeight w:val="367"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center"/>
              <w:rPr>
                <w:rFonts w:ascii="宋体" w:hAnsi="宋体" w:cs="宋体" w:eastAsia="宋体" w:hint="default"/>
                <w:sz w:val="20"/>
                <w:szCs w:val="20"/>
              </w:rPr>
            </w:pPr>
            <w:r>
              <w:rPr>
                <w:rFonts w:ascii="宋体" w:hAnsi="宋体" w:cs="宋体" w:eastAsia="宋体" w:hint="default"/>
                <w:sz w:val="20"/>
                <w:szCs w:val="20"/>
              </w:rPr>
              <w:t>合计</w:t>
            </w:r>
          </w:p>
        </w:tc>
        <w:tc>
          <w:tcPr>
            <w:tcW w:w="1129"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6,544,160.93</w:t>
            </w:r>
          </w:p>
        </w:tc>
        <w:tc>
          <w:tcPr>
            <w:tcW w:w="865" w:type="dxa"/>
            <w:tcBorders>
              <w:top w:val="single" w:sz="4" w:space="0" w:color="000000"/>
              <w:left w:val="nil" w:sz="6" w:space="0" w:color="auto"/>
              <w:bottom w:val="single" w:sz="17" w:space="0" w:color="000000"/>
              <w:right w:val="nil" w:sz="6" w:space="0" w:color="auto"/>
            </w:tcBorders>
          </w:tcPr>
          <w:p>
            <w:pPr/>
          </w:p>
        </w:tc>
        <w:tc>
          <w:tcPr>
            <w:tcW w:w="3418" w:type="dxa"/>
            <w:gridSpan w:val="2"/>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left="1117" w:right="0"/>
        <w:jc w:val="left"/>
      </w:pPr>
      <w:r>
        <w:rPr/>
        <w:t>（</w:t>
      </w:r>
      <w:r>
        <w:rPr>
          <w:rFonts w:ascii="Times New Roman" w:hAnsi="Times New Roman" w:cs="Times New Roman" w:eastAsia="Times New Roman" w:hint="default"/>
        </w:rPr>
        <w:t>4</w:t>
      </w:r>
      <w:r>
        <w:rPr/>
        <w:t>）本期应收持有公司</w:t>
      </w:r>
      <w:r>
        <w:rPr>
          <w:spacing w:val="-60"/>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）以上表决权股份的股东单位情况</w:t>
      </w:r>
    </w:p>
    <w:p>
      <w:pPr>
        <w:tabs>
          <w:tab w:pos="7287" w:val="left" w:leader="none"/>
          <w:tab w:pos="7688" w:val="left" w:leader="none"/>
        </w:tabs>
        <w:spacing w:line="245" w:lineRule="exact" w:before="48"/>
        <w:ind w:left="3546" w:right="0" w:firstLine="0"/>
        <w:jc w:val="left"/>
        <w:rPr>
          <w:rFonts w:ascii="宋体" w:hAnsi="宋体" w:cs="宋体" w:eastAsia="宋体" w:hint="default"/>
          <w:sz w:val="20"/>
          <w:szCs w:val="20"/>
        </w:rPr>
      </w:pPr>
      <w:r>
        <w:rPr>
          <w:rFonts w:ascii="宋体" w:hAnsi="宋体" w:cs="宋体" w:eastAsia="宋体" w:hint="default"/>
          <w:sz w:val="20"/>
          <w:szCs w:val="20"/>
        </w:rPr>
        <w:t>期 末</w:t>
      </w:r>
      <w:r>
        <w:rPr>
          <w:rFonts w:ascii="宋体" w:hAnsi="宋体" w:cs="宋体" w:eastAsia="宋体" w:hint="default"/>
          <w:spacing w:val="-3"/>
          <w:sz w:val="20"/>
          <w:szCs w:val="20"/>
        </w:rPr>
        <w:t> </w:t>
      </w:r>
      <w:r>
        <w:rPr>
          <w:rFonts w:ascii="宋体" w:hAnsi="宋体" w:cs="宋体" w:eastAsia="宋体" w:hint="default"/>
          <w:sz w:val="20"/>
          <w:szCs w:val="20"/>
        </w:rPr>
        <w:t>数</w:t>
        <w:tab/>
      </w:r>
      <w:r>
        <w:rPr>
          <w:rFonts w:ascii="宋体" w:hAnsi="宋体" w:cs="宋体" w:eastAsia="宋体" w:hint="default"/>
          <w:w w:val="95"/>
          <w:sz w:val="20"/>
          <w:szCs w:val="20"/>
        </w:rPr>
        <w:t>期</w:t>
        <w:tab/>
      </w:r>
      <w:r>
        <w:rPr>
          <w:rFonts w:ascii="宋体" w:hAnsi="宋体" w:cs="宋体" w:eastAsia="宋体" w:hint="default"/>
          <w:sz w:val="20"/>
          <w:szCs w:val="20"/>
        </w:rPr>
        <w:t>初</w:t>
      </w:r>
      <w:r>
        <w:rPr>
          <w:rFonts w:ascii="宋体" w:hAnsi="宋体" w:cs="宋体" w:eastAsia="宋体" w:hint="default"/>
          <w:spacing w:val="-2"/>
          <w:sz w:val="20"/>
          <w:szCs w:val="20"/>
        </w:rPr>
        <w:t> </w:t>
      </w:r>
      <w:r>
        <w:rPr>
          <w:rFonts w:ascii="宋体" w:hAnsi="宋体" w:cs="宋体" w:eastAsia="宋体" w:hint="default"/>
          <w:sz w:val="20"/>
          <w:szCs w:val="20"/>
        </w:rPr>
        <w:t>数</w:t>
      </w:r>
    </w:p>
    <w:p>
      <w:pPr>
        <w:spacing w:after="0" w:line="245" w:lineRule="exact"/>
        <w:jc w:val="left"/>
        <w:rPr>
          <w:rFonts w:ascii="宋体" w:hAnsi="宋体" w:cs="宋体" w:eastAsia="宋体" w:hint="default"/>
          <w:sz w:val="20"/>
          <w:szCs w:val="20"/>
        </w:rPr>
        <w:sectPr>
          <w:pgSz w:w="11910" w:h="16840"/>
          <w:pgMar w:header="850" w:footer="979" w:top="1380" w:bottom="1160" w:left="1160" w:right="1160"/>
        </w:sectPr>
      </w:pPr>
    </w:p>
    <w:p>
      <w:pPr>
        <w:spacing w:line="199" w:lineRule="exact" w:before="0"/>
        <w:ind w:left="565" w:right="0" w:firstLine="0"/>
        <w:jc w:val="left"/>
        <w:rPr>
          <w:rFonts w:ascii="宋体" w:hAnsi="宋体" w:cs="宋体" w:eastAsia="宋体" w:hint="default"/>
          <w:sz w:val="20"/>
          <w:szCs w:val="20"/>
        </w:rPr>
      </w:pPr>
      <w:r>
        <w:rPr>
          <w:rFonts w:ascii="宋体" w:hAnsi="宋体" w:cs="宋体" w:eastAsia="宋体" w:hint="default"/>
          <w:w w:val="95"/>
          <w:sz w:val="20"/>
          <w:szCs w:val="20"/>
        </w:rPr>
        <w:t>单位名称</w:t>
      </w:r>
      <w:r>
        <w:rPr>
          <w:rFonts w:ascii="宋体" w:hAnsi="宋体" w:cs="宋体" w:eastAsia="宋体" w:hint="default"/>
          <w:sz w:val="20"/>
          <w:szCs w:val="20"/>
        </w:rPr>
      </w:r>
    </w:p>
    <w:p>
      <w:pPr>
        <w:spacing w:line="240" w:lineRule="auto" w:before="0"/>
        <w:rPr>
          <w:rFonts w:ascii="宋体" w:hAnsi="宋体" w:cs="宋体" w:eastAsia="宋体" w:hint="default"/>
          <w:sz w:val="7"/>
          <w:szCs w:val="7"/>
        </w:rPr>
      </w:pPr>
      <w:r>
        <w:rPr/>
        <w:br w:type="column"/>
      </w:r>
      <w:r>
        <w:rPr>
          <w:rFonts w:ascii="宋体"/>
          <w:sz w:val="7"/>
        </w:rPr>
      </w:r>
    </w:p>
    <w:p>
      <w:pPr>
        <w:spacing w:line="20" w:lineRule="exact"/>
        <w:ind w:left="18" w:right="0" w:firstLine="0"/>
        <w:rPr>
          <w:rFonts w:ascii="宋体" w:hAnsi="宋体" w:cs="宋体" w:eastAsia="宋体" w:hint="default"/>
          <w:sz w:val="2"/>
          <w:szCs w:val="2"/>
        </w:rPr>
      </w:pPr>
      <w:r>
        <w:rPr>
          <w:rFonts w:ascii="宋体" w:hAnsi="宋体" w:cs="宋体" w:eastAsia="宋体" w:hint="default"/>
          <w:sz w:val="2"/>
          <w:szCs w:val="2"/>
        </w:rPr>
        <w:pict>
          <v:group style="width:379.95pt;height:.5pt;mso-position-horizontal-relative:char;mso-position-vertical-relative:line" coordorigin="0,0" coordsize="7599,10">
            <v:group style="position:absolute;left:5;top:5;width:4133;height:2" coordorigin="5,5" coordsize="4133,2">
              <v:shape style="position:absolute;left:5;top:5;width:4133;height:2" coordorigin="5,5" coordsize="4133,0" path="m5,5l4138,5e" filled="false" stroked="true" strokeweight=".48pt" strokecolor="#000000">
                <v:path arrowok="t"/>
              </v:shape>
            </v:group>
            <v:group style="position:absolute;left:4138;top:5;width:3456;height:2" coordorigin="4138,5" coordsize="3456,2">
              <v:shape style="position:absolute;left:4138;top:5;width:3456;height:2" coordorigin="4138,5" coordsize="3456,0" path="m4138,5l7594,5e" filled="false" stroked="true" strokeweight=".48pt" strokecolor="#000000">
                <v:path arrowok="t"/>
              </v:shape>
            </v:group>
          </v:group>
        </w:pict>
      </w:r>
      <w:r>
        <w:rPr>
          <w:rFonts w:ascii="宋体" w:hAnsi="宋体" w:cs="宋体" w:eastAsia="宋体" w:hint="default"/>
          <w:sz w:val="2"/>
          <w:szCs w:val="2"/>
        </w:rPr>
      </w:r>
    </w:p>
    <w:p>
      <w:pPr>
        <w:tabs>
          <w:tab w:pos="2231" w:val="left" w:leader="none"/>
          <w:tab w:pos="4391" w:val="left" w:leader="none"/>
          <w:tab w:pos="5751" w:val="left" w:leader="none"/>
        </w:tabs>
        <w:spacing w:before="8"/>
        <w:ind w:left="565" w:right="0" w:firstLine="0"/>
        <w:jc w:val="left"/>
        <w:rPr>
          <w:rFonts w:ascii="宋体" w:hAnsi="宋体" w:cs="宋体" w:eastAsia="宋体" w:hint="default"/>
          <w:sz w:val="20"/>
          <w:szCs w:val="20"/>
        </w:rPr>
      </w:pPr>
      <w:r>
        <w:rPr>
          <w:rFonts w:ascii="宋体" w:hAnsi="宋体" w:cs="宋体" w:eastAsia="宋体" w:hint="default"/>
          <w:w w:val="95"/>
          <w:sz w:val="20"/>
          <w:szCs w:val="20"/>
        </w:rPr>
        <w:t>金额</w:t>
        <w:tab/>
        <w:t>计提坏账金额</w:t>
        <w:tab/>
        <w:t>金额</w:t>
        <w:tab/>
      </w:r>
      <w:r>
        <w:rPr>
          <w:rFonts w:ascii="宋体" w:hAnsi="宋体" w:cs="宋体" w:eastAsia="宋体" w:hint="default"/>
          <w:sz w:val="20"/>
          <w:szCs w:val="20"/>
        </w:rPr>
        <w:t>计提坏账金额</w:t>
      </w:r>
    </w:p>
    <w:p>
      <w:pPr>
        <w:spacing w:after="0"/>
        <w:jc w:val="left"/>
        <w:rPr>
          <w:rFonts w:ascii="宋体" w:hAnsi="宋体" w:cs="宋体" w:eastAsia="宋体" w:hint="default"/>
          <w:sz w:val="20"/>
          <w:szCs w:val="20"/>
        </w:rPr>
        <w:sectPr>
          <w:type w:val="continuous"/>
          <w:pgSz w:w="11910" w:h="16840"/>
          <w:pgMar w:top="1380" w:bottom="1380" w:left="1160" w:right="1160"/>
          <w:cols w:num="2" w:equalWidth="0">
            <w:col w:w="1363" w:space="495"/>
            <w:col w:w="7732"/>
          </w:cols>
        </w:sectPr>
      </w:pPr>
    </w:p>
    <w:p>
      <w:pPr>
        <w:spacing w:line="240" w:lineRule="auto" w:before="10"/>
        <w:rPr>
          <w:rFonts w:ascii="宋体" w:hAnsi="宋体" w:cs="宋体" w:eastAsia="宋体" w:hint="default"/>
          <w:sz w:val="5"/>
          <w:szCs w:val="5"/>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8.15pt;height:.5pt;mso-position-horizontal-relative:char;mso-position-vertical-relative:line" coordorigin="0,0" coordsize="9363,10">
            <v:group style="position:absolute;left:5;top:5;width:1697;height:2" coordorigin="5,5" coordsize="1697,2">
              <v:shape style="position:absolute;left:5;top:5;width:1697;height:2" coordorigin="5,5" coordsize="1697,0" path="m5,5l1702,5e" filled="false" stroked="true" strokeweight=".48pt" strokecolor="#000000">
                <v:path arrowok="t"/>
              </v:shape>
            </v:group>
            <v:group style="position:absolute;left:1769;top:5;width:1488;height:2" coordorigin="1769,5" coordsize="1488,2">
              <v:shape style="position:absolute;left:1769;top:5;width:1488;height:2" coordorigin="1769,5" coordsize="1488,0" path="m1769,5l3257,5e" filled="false" stroked="true" strokeweight=".48pt" strokecolor="#000000">
                <v:path arrowok="t"/>
              </v:shape>
            </v:group>
            <v:group style="position:absolute;left:3324;top:5;width:2511;height:2" coordorigin="3324,5" coordsize="2511,2">
              <v:shape style="position:absolute;left:3324;top:5;width:2511;height:2" coordorigin="3324,5" coordsize="2511,0" path="m3324,5l5834,5e" filled="false" stroked="true" strokeweight=".48pt" strokecolor="#000000">
                <v:path arrowok="t"/>
              </v:shape>
            </v:group>
            <v:group style="position:absolute;left:5902;top:5;width:874;height:2" coordorigin="5902,5" coordsize="874,2">
              <v:shape style="position:absolute;left:5902;top:5;width:874;height:2" coordorigin="5902,5" coordsize="874,0" path="m5902,5l6775,5e" filled="false" stroked="true" strokeweight=".48pt" strokecolor="#000000">
                <v:path arrowok="t"/>
              </v:shape>
            </v:group>
            <v:group style="position:absolute;left:6842;top:5;width:2516;height:2" coordorigin="6842,5" coordsize="2516,2">
              <v:shape style="position:absolute;left:6842;top:5;width:2516;height:2" coordorigin="6842,5" coordsize="2516,0" path="m6842,5l9358,5e" filled="false" stroked="true" strokeweight=".48pt" strokecolor="#000000">
                <v:path arrowok="t"/>
              </v:shape>
            </v:group>
          </v:group>
        </w:pict>
      </w:r>
      <w:r>
        <w:rPr>
          <w:rFonts w:ascii="宋体" w:hAnsi="宋体" w:cs="宋体" w:eastAsia="宋体" w:hint="default"/>
          <w:sz w:val="2"/>
          <w:szCs w:val="2"/>
        </w:rPr>
      </w:r>
    </w:p>
    <w:p>
      <w:pPr>
        <w:tabs>
          <w:tab w:pos="2651" w:val="left" w:leader="none"/>
        </w:tabs>
        <w:spacing w:before="8"/>
        <w:ind w:left="135"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许欣</w:t>
        <w:tab/>
      </w:r>
      <w:r>
        <w:rPr>
          <w:rFonts w:ascii="Times New Roman" w:hAnsi="Times New Roman" w:cs="Times New Roman" w:eastAsia="Times New Roman" w:hint="default"/>
          <w:sz w:val="20"/>
          <w:szCs w:val="20"/>
        </w:rPr>
        <w:t>6,593.97</w:t>
      </w:r>
    </w:p>
    <w:p>
      <w:pPr>
        <w:spacing w:line="240" w:lineRule="auto" w:before="1"/>
        <w:rPr>
          <w:rFonts w:ascii="Times New Roman" w:hAnsi="Times New Roman" w:cs="Times New Roman" w:eastAsia="Times New Roman" w:hint="default"/>
          <w:sz w:val="6"/>
          <w:szCs w:val="6"/>
        </w:rPr>
      </w:pPr>
    </w:p>
    <w:p>
      <w:pPr>
        <w:spacing w:line="20" w:lineRule="exact"/>
        <w:ind w:left="187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79.95pt;height:.5pt;mso-position-horizontal-relative:char;mso-position-vertical-relative:line" coordorigin="0,0" coordsize="7599,10">
            <v:group style="position:absolute;left:5;top:5;width:1488;height:2" coordorigin="5,5" coordsize="1488,2">
              <v:shape style="position:absolute;left:5;top:5;width:1488;height:2" coordorigin="5,5" coordsize="1488,0" path="m5,5l1493,5e" filled="false" stroked="true" strokeweight=".48pt" strokecolor="#000000">
                <v:path arrowok="t"/>
              </v:shape>
            </v:group>
            <v:group style="position:absolute;left:1560;top:5;width:2511;height:2" coordorigin="1560,5" coordsize="2511,2">
              <v:shape style="position:absolute;left:1560;top:5;width:2511;height:2" coordorigin="1560,5" coordsize="2511,0" path="m1560,5l4070,5e" filled="false" stroked="true" strokeweight=".48pt" strokecolor="#000000">
                <v:path arrowok="t"/>
              </v:shape>
            </v:group>
            <v:group style="position:absolute;left:4138;top:5;width:874;height:2" coordorigin="4138,5" coordsize="874,2">
              <v:shape style="position:absolute;left:4138;top:5;width:874;height:2" coordorigin="4138,5" coordsize="874,0" path="m4138,5l5011,5e" filled="false" stroked="true" strokeweight=".48pt" strokecolor="#000000">
                <v:path arrowok="t"/>
              </v:shape>
            </v:group>
            <v:group style="position:absolute;left:5078;top:5;width:2516;height:2" coordorigin="5078,5" coordsize="2516,2">
              <v:shape style="position:absolute;left:5078;top:5;width:2516;height:2" coordorigin="5078,5" coordsize="2516,0" path="m5078,5l7594,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651" w:val="left" w:leader="none"/>
        </w:tabs>
        <w:spacing w:before="0"/>
        <w:ind w:left="71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z w:val="20"/>
          <w:szCs w:val="20"/>
        </w:rPr>
        <w:t>6,593.97</w:t>
      </w:r>
    </w:p>
    <w:p>
      <w:pPr>
        <w:spacing w:line="240" w:lineRule="auto" w:before="0"/>
        <w:rPr>
          <w:rFonts w:ascii="Times New Roman" w:hAnsi="Times New Roman" w:cs="Times New Roman" w:eastAsia="Times New Roman" w:hint="default"/>
          <w:sz w:val="5"/>
          <w:szCs w:val="5"/>
        </w:rPr>
      </w:pPr>
    </w:p>
    <w:p>
      <w:pPr>
        <w:spacing w:line="43" w:lineRule="exact"/>
        <w:ind w:left="187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380.2pt;height:2.2pt;mso-position-horizontal-relative:char;mso-position-vertical-relative:line" coordorigin="0,0" coordsize="7604,44">
            <v:group style="position:absolute;left:7;top:36;width:1488;height:2" coordorigin="7,36" coordsize="1488,2">
              <v:shape style="position:absolute;left:7;top:36;width:1488;height:2" coordorigin="7,36" coordsize="1488,0" path="m7,36l1495,36e" filled="false" stroked="true" strokeweight=".72pt" strokecolor="#000000">
                <v:path arrowok="t"/>
              </v:shape>
            </v:group>
            <v:group style="position:absolute;left:7;top:7;width:1488;height:2" coordorigin="7,7" coordsize="1488,2">
              <v:shape style="position:absolute;left:7;top:7;width:1488;height:2" coordorigin="7,7" coordsize="1488,0" path="m7,7l1495,7e" filled="false" stroked="true" strokeweight=".72pt" strokecolor="#000000">
                <v:path arrowok="t"/>
              </v:shape>
            </v:group>
            <v:group style="position:absolute;left:1562;top:36;width:2511;height:2" coordorigin="1562,36" coordsize="2511,2">
              <v:shape style="position:absolute;left:1562;top:36;width:2511;height:2" coordorigin="1562,36" coordsize="2511,0" path="m1562,36l4073,36e" filled="false" stroked="true" strokeweight=".72pt" strokecolor="#000000">
                <v:path arrowok="t"/>
              </v:shape>
            </v:group>
            <v:group style="position:absolute;left:1562;top:7;width:2511;height:2" coordorigin="1562,7" coordsize="2511,2">
              <v:shape style="position:absolute;left:1562;top:7;width:2511;height:2" coordorigin="1562,7" coordsize="2511,0" path="m1562,7l4073,7e" filled="false" stroked="true" strokeweight=".72pt" strokecolor="#000000">
                <v:path arrowok="t"/>
              </v:shape>
            </v:group>
            <v:group style="position:absolute;left:4140;top:36;width:874;height:2" coordorigin="4140,36" coordsize="874,2">
              <v:shape style="position:absolute;left:4140;top:36;width:874;height:2" coordorigin="4140,36" coordsize="874,0" path="m4140,36l5014,36e" filled="false" stroked="true" strokeweight=".72pt" strokecolor="#000000">
                <v:path arrowok="t"/>
              </v:shape>
            </v:group>
            <v:group style="position:absolute;left:4140;top:7;width:874;height:2" coordorigin="4140,7" coordsize="874,2">
              <v:shape style="position:absolute;left:4140;top:7;width:874;height:2" coordorigin="4140,7" coordsize="874,0" path="m4140,7l5014,7e" filled="false" stroked="true" strokeweight=".72pt" strokecolor="#000000">
                <v:path arrowok="t"/>
              </v:shape>
            </v:group>
            <v:group style="position:absolute;left:5081;top:36;width:2516;height:2" coordorigin="5081,36" coordsize="2516,2">
              <v:shape style="position:absolute;left:5081;top:36;width:2516;height:2" coordorigin="5081,36" coordsize="2516,0" path="m5081,36l7596,36e" filled="false" stroked="true" strokeweight=".72pt" strokecolor="#000000">
                <v:path arrowok="t"/>
              </v:shape>
            </v:group>
            <v:group style="position:absolute;left:5081;top:7;width:2516;height:2" coordorigin="5081,7" coordsize="2516,2">
              <v:shape style="position:absolute;left:5081;top:7;width:2516;height:2" coordorigin="5081,7" coordsize="2516,0" path="m5081,7l7596,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pStyle w:val="BodyText"/>
        <w:spacing w:line="240" w:lineRule="auto" w:before="26"/>
        <w:ind w:left="1117" w:right="0"/>
        <w:jc w:val="left"/>
      </w:pPr>
      <w:r>
        <w:rPr/>
        <w:t>（</w:t>
      </w:r>
      <w:r>
        <w:rPr>
          <w:rFonts w:ascii="Times New Roman" w:hAnsi="Times New Roman" w:cs="Times New Roman" w:eastAsia="Times New Roman" w:hint="default"/>
        </w:rPr>
        <w:t>5</w:t>
      </w:r>
      <w:r>
        <w:rPr/>
        <w:t>）其他应收款金额前五名单位情况</w:t>
      </w:r>
    </w:p>
    <w:p>
      <w:pPr>
        <w:spacing w:after="0" w:line="240" w:lineRule="auto"/>
        <w:jc w:val="left"/>
        <w:sectPr>
          <w:type w:val="continuous"/>
          <w:pgSz w:w="11910" w:h="16840"/>
          <w:pgMar w:top="1380" w:bottom="1380" w:left="1160" w:right="1160"/>
        </w:sectPr>
      </w:pPr>
    </w:p>
    <w:tbl>
      <w:tblPr>
        <w:tblW w:w="0" w:type="auto"/>
        <w:jc w:val="left"/>
        <w:tblInd w:w="116" w:type="dxa"/>
        <w:tblLayout w:type="fixed"/>
        <w:tblCellMar>
          <w:top w:w="0" w:type="dxa"/>
          <w:left w:w="0" w:type="dxa"/>
          <w:bottom w:w="0" w:type="dxa"/>
          <w:right w:w="0" w:type="dxa"/>
        </w:tblCellMar>
        <w:tblLook w:val="01E0"/>
      </w:tblPr>
      <w:tblGrid>
        <w:gridCol w:w="2944"/>
        <w:gridCol w:w="1415"/>
        <w:gridCol w:w="1082"/>
        <w:gridCol w:w="103"/>
        <w:gridCol w:w="862"/>
        <w:gridCol w:w="2947"/>
      </w:tblGrid>
      <w:tr>
        <w:trPr>
          <w:trHeight w:val="554" w:hRule="exact"/>
        </w:trPr>
        <w:tc>
          <w:tcPr>
            <w:tcW w:w="2944" w:type="dxa"/>
            <w:tcBorders>
              <w:top w:val="single" w:sz="6" w:space="0" w:color="000000"/>
              <w:left w:val="nil" w:sz="6" w:space="0" w:color="auto"/>
              <w:bottom w:val="single" w:sz="4" w:space="0" w:color="000000"/>
              <w:right w:val="nil" w:sz="6" w:space="0" w:color="auto"/>
            </w:tcBorders>
          </w:tcPr>
          <w:p>
            <w:pPr>
              <w:pStyle w:val="TableParagraph"/>
              <w:spacing w:line="240" w:lineRule="auto" w:before="124"/>
              <w:ind w:left="42"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15" w:type="dxa"/>
            <w:tcBorders>
              <w:top w:val="single" w:sz="6" w:space="0" w:color="000000"/>
              <w:left w:val="nil" w:sz="6" w:space="0" w:color="auto"/>
              <w:bottom w:val="single" w:sz="4" w:space="0" w:color="000000"/>
              <w:right w:val="nil" w:sz="6" w:space="0" w:color="auto"/>
            </w:tcBorders>
          </w:tcPr>
          <w:p>
            <w:pPr>
              <w:pStyle w:val="TableParagraph"/>
              <w:spacing w:line="240" w:lineRule="auto" w:before="124"/>
              <w:ind w:left="34"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082" w:type="dxa"/>
            <w:tcBorders>
              <w:top w:val="single" w:sz="6" w:space="0" w:color="000000"/>
              <w:left w:val="nil" w:sz="6" w:space="0" w:color="auto"/>
              <w:bottom w:val="single" w:sz="4" w:space="0" w:color="000000"/>
              <w:right w:val="nil" w:sz="6" w:space="0" w:color="auto"/>
            </w:tcBorders>
          </w:tcPr>
          <w:p>
            <w:pPr>
              <w:pStyle w:val="TableParagraph"/>
              <w:spacing w:line="240" w:lineRule="auto" w:before="124"/>
              <w:ind w:left="39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3" w:type="dxa"/>
            <w:tcBorders>
              <w:top w:val="single" w:sz="6" w:space="0" w:color="000000"/>
              <w:left w:val="nil" w:sz="6" w:space="0" w:color="auto"/>
              <w:bottom w:val="nil" w:sz="6" w:space="0" w:color="auto"/>
              <w:right w:val="nil" w:sz="6" w:space="0" w:color="auto"/>
            </w:tcBorders>
          </w:tcPr>
          <w:p>
            <w:pPr/>
          </w:p>
        </w:tc>
        <w:tc>
          <w:tcPr>
            <w:tcW w:w="862" w:type="dxa"/>
            <w:tcBorders>
              <w:top w:val="single" w:sz="6" w:space="0" w:color="000000"/>
              <w:left w:val="nil" w:sz="6" w:space="0" w:color="auto"/>
              <w:bottom w:val="single" w:sz="4" w:space="0" w:color="000000"/>
              <w:right w:val="nil" w:sz="6" w:space="0" w:color="auto"/>
            </w:tcBorders>
          </w:tcPr>
          <w:p>
            <w:pPr>
              <w:pStyle w:val="TableParagraph"/>
              <w:spacing w:line="240" w:lineRule="auto" w:before="124"/>
              <w:ind w:left="55"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947" w:type="dxa"/>
            <w:tcBorders>
              <w:top w:val="single" w:sz="6" w:space="0" w:color="000000"/>
              <w:left w:val="nil" w:sz="6" w:space="0" w:color="auto"/>
              <w:bottom w:val="single" w:sz="4" w:space="0" w:color="000000"/>
              <w:right w:val="nil" w:sz="6" w:space="0" w:color="auto"/>
            </w:tcBorders>
          </w:tcPr>
          <w:p>
            <w:pPr>
              <w:pStyle w:val="TableParagraph"/>
              <w:spacing w:line="240" w:lineRule="auto" w:before="124"/>
              <w:ind w:left="86" w:right="0"/>
              <w:jc w:val="left"/>
              <w:rPr>
                <w:rFonts w:ascii="宋体" w:hAnsi="宋体" w:cs="宋体" w:eastAsia="宋体" w:hint="default"/>
                <w:sz w:val="20"/>
                <w:szCs w:val="20"/>
              </w:rPr>
            </w:pPr>
            <w:r>
              <w:rPr>
                <w:rFonts w:ascii="宋体" w:hAnsi="宋体" w:cs="宋体" w:eastAsia="宋体" w:hint="default"/>
                <w:sz w:val="20"/>
                <w:szCs w:val="20"/>
              </w:rPr>
              <w:t>占其他应收款总额的比例（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54" w:hRule="exact"/>
        </w:trPr>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9" w:right="0"/>
              <w:jc w:val="left"/>
              <w:rPr>
                <w:rFonts w:ascii="宋体" w:hAnsi="宋体" w:cs="宋体" w:eastAsia="宋体" w:hint="default"/>
                <w:sz w:val="20"/>
                <w:szCs w:val="20"/>
              </w:rPr>
            </w:pPr>
            <w:r>
              <w:rPr>
                <w:rFonts w:ascii="宋体" w:hAnsi="宋体" w:cs="宋体" w:eastAsia="宋体" w:hint="default"/>
                <w:sz w:val="20"/>
                <w:szCs w:val="20"/>
              </w:rPr>
              <w:t>定期存款利息收入</w:t>
            </w:r>
          </w:p>
        </w:tc>
        <w:tc>
          <w:tcPr>
            <w:tcW w:w="1415" w:type="dxa"/>
            <w:tcBorders>
              <w:top w:val="single" w:sz="4" w:space="0" w:color="000000"/>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2"/>
              <w:jc w:val="right"/>
              <w:rPr>
                <w:rFonts w:ascii="Times New Roman" w:hAnsi="Times New Roman" w:cs="Times New Roman" w:eastAsia="Times New Roman" w:hint="default"/>
                <w:sz w:val="20"/>
                <w:szCs w:val="20"/>
              </w:rPr>
            </w:pPr>
            <w:r>
              <w:rPr>
                <w:rFonts w:ascii="Times New Roman"/>
                <w:w w:val="95"/>
                <w:sz w:val="20"/>
              </w:rPr>
              <w:t>2,036,000.00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7"/>
              <w:jc w:val="right"/>
              <w:rPr>
                <w:rFonts w:ascii="Times New Roman" w:hAnsi="Times New Roman" w:cs="Times New Roman" w:eastAsia="Times New Roman" w:hint="default"/>
                <w:sz w:val="20"/>
                <w:szCs w:val="20"/>
              </w:rPr>
            </w:pPr>
            <w:r>
              <w:rPr>
                <w:rFonts w:ascii="Times New Roman"/>
                <w:sz w:val="20"/>
              </w:rPr>
              <w:t>31.11</w:t>
            </w:r>
          </w:p>
        </w:tc>
      </w:tr>
      <w:tr>
        <w:trPr>
          <w:trHeight w:val="34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山西奥科新得科贸有限公司</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675,000.00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10.31</w:t>
            </w:r>
          </w:p>
        </w:tc>
      </w:tr>
      <w:tr>
        <w:trPr>
          <w:trHeight w:val="340"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9" w:right="0"/>
              <w:jc w:val="left"/>
              <w:rPr>
                <w:rFonts w:ascii="宋体" w:hAnsi="宋体" w:cs="宋体" w:eastAsia="宋体" w:hint="default"/>
                <w:sz w:val="20"/>
                <w:szCs w:val="20"/>
              </w:rPr>
            </w:pPr>
            <w:r>
              <w:rPr>
                <w:rFonts w:ascii="宋体" w:hAnsi="宋体" w:cs="宋体" w:eastAsia="宋体" w:hint="default"/>
                <w:sz w:val="20"/>
                <w:szCs w:val="20"/>
              </w:rPr>
              <w:t>南京莱斯信息技术股份有限公司</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430,000.00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6.57</w:t>
            </w:r>
          </w:p>
        </w:tc>
      </w:tr>
      <w:tr>
        <w:trPr>
          <w:trHeight w:val="341"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张家口市政府采购中心</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3.06</w:t>
            </w:r>
          </w:p>
        </w:tc>
      </w:tr>
      <w:tr>
        <w:trPr>
          <w:trHeight w:val="345" w:hRule="exact"/>
        </w:trPr>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 w:right="0"/>
              <w:jc w:val="left"/>
              <w:rPr>
                <w:rFonts w:ascii="宋体" w:hAnsi="宋体" w:cs="宋体" w:eastAsia="宋体" w:hint="default"/>
                <w:sz w:val="20"/>
                <w:szCs w:val="20"/>
              </w:rPr>
            </w:pPr>
            <w:r>
              <w:rPr>
                <w:rFonts w:ascii="宋体" w:hAnsi="宋体" w:cs="宋体" w:eastAsia="宋体" w:hint="default"/>
                <w:sz w:val="20"/>
                <w:szCs w:val="20"/>
              </w:rPr>
              <w:t>杨军伟</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2" w:right="0"/>
              <w:jc w:val="center"/>
              <w:rPr>
                <w:rFonts w:ascii="宋体" w:hAnsi="宋体" w:cs="宋体" w:eastAsia="宋体" w:hint="default"/>
                <w:sz w:val="20"/>
                <w:szCs w:val="20"/>
              </w:rPr>
            </w:pPr>
            <w:r>
              <w:rPr>
                <w:rFonts w:ascii="宋体" w:hAnsi="宋体" w:cs="宋体" w:eastAsia="宋体" w:hint="default"/>
                <w:sz w:val="20"/>
                <w:szCs w:val="20"/>
              </w:rPr>
              <w:t>公司员工</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2"/>
              <w:jc w:val="right"/>
              <w:rPr>
                <w:rFonts w:ascii="Times New Roman" w:hAnsi="Times New Roman" w:cs="Times New Roman" w:eastAsia="Times New Roman" w:hint="default"/>
                <w:sz w:val="20"/>
                <w:szCs w:val="20"/>
              </w:rPr>
            </w:pPr>
            <w:r>
              <w:rPr>
                <w:rFonts w:ascii="Times New Roman"/>
                <w:w w:val="95"/>
                <w:sz w:val="20"/>
              </w:rPr>
              <w:t>179,216.00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9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
              <w:jc w:val="right"/>
              <w:rPr>
                <w:rFonts w:ascii="Times New Roman" w:hAnsi="Times New Roman" w:cs="Times New Roman" w:eastAsia="Times New Roman" w:hint="default"/>
                <w:sz w:val="20"/>
                <w:szCs w:val="20"/>
              </w:rPr>
            </w:pPr>
            <w:r>
              <w:rPr>
                <w:rFonts w:ascii="Times New Roman"/>
                <w:sz w:val="20"/>
              </w:rPr>
              <w:t>2.74</w:t>
            </w:r>
          </w:p>
        </w:tc>
      </w:tr>
      <w:tr>
        <w:trPr>
          <w:trHeight w:val="358" w:hRule="exact"/>
        </w:trPr>
        <w:tc>
          <w:tcPr>
            <w:tcW w:w="2944" w:type="dxa"/>
            <w:tcBorders>
              <w:top w:val="nil" w:sz="6" w:space="0" w:color="auto"/>
              <w:left w:val="nil" w:sz="6" w:space="0" w:color="auto"/>
              <w:bottom w:val="nil" w:sz="6" w:space="0" w:color="auto"/>
              <w:right w:val="nil" w:sz="6" w:space="0" w:color="auto"/>
            </w:tcBorders>
          </w:tcPr>
          <w:p>
            <w:pPr>
              <w:pStyle w:val="TableParagraph"/>
              <w:tabs>
                <w:tab w:pos="543" w:val="left" w:leader="none"/>
              </w:tabs>
              <w:spacing w:line="240" w:lineRule="auto" w:before="6"/>
              <w:ind w:left="14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15"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2"/>
              <w:jc w:val="right"/>
              <w:rPr>
                <w:rFonts w:ascii="Times New Roman" w:hAnsi="Times New Roman" w:cs="Times New Roman" w:eastAsia="Times New Roman" w:hint="default"/>
                <w:sz w:val="20"/>
                <w:szCs w:val="20"/>
              </w:rPr>
            </w:pPr>
            <w:r>
              <w:rPr>
                <w:rFonts w:ascii="Times New Roman"/>
                <w:w w:val="95"/>
                <w:sz w:val="20"/>
              </w:rPr>
              <w:t>3,520,216.00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94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53.79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26"/>
        <w:ind w:left="1117" w:right="0"/>
        <w:jc w:val="left"/>
      </w:pPr>
      <w:r>
        <w:rPr/>
        <w:t>（</w:t>
      </w:r>
      <w:r>
        <w:rPr>
          <w:rFonts w:ascii="Times New Roman" w:hAnsi="Times New Roman" w:cs="Times New Roman" w:eastAsia="Times New Roman" w:hint="default"/>
        </w:rPr>
        <w:t>6</w:t>
      </w:r>
      <w:r>
        <w:rPr/>
        <w:t>）应收关联方账款情况</w:t>
      </w:r>
    </w:p>
    <w:p>
      <w:pPr>
        <w:spacing w:line="240" w:lineRule="auto" w:before="9"/>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498"/>
        <w:gridCol w:w="259"/>
        <w:gridCol w:w="2078"/>
        <w:gridCol w:w="3360"/>
        <w:gridCol w:w="1932"/>
      </w:tblGrid>
      <w:tr>
        <w:trPr>
          <w:trHeight w:val="601" w:hRule="exact"/>
        </w:trPr>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left="350"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left="405"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3360"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55"/>
              <w:jc w:val="center"/>
              <w:rPr>
                <w:rFonts w:ascii="宋体" w:hAnsi="宋体" w:cs="宋体" w:eastAsia="宋体" w:hint="default"/>
                <w:sz w:val="20"/>
                <w:szCs w:val="20"/>
              </w:rPr>
            </w:pPr>
            <w:r>
              <w:rPr>
                <w:rFonts w:ascii="宋体" w:hAnsi="宋体" w:cs="宋体" w:eastAsia="宋体" w:hint="default"/>
                <w:sz w:val="20"/>
                <w:szCs w:val="20"/>
              </w:rPr>
              <w:t>金额</w:t>
            </w:r>
          </w:p>
        </w:tc>
        <w:tc>
          <w:tcPr>
            <w:tcW w:w="1932" w:type="dxa"/>
            <w:tcBorders>
              <w:top w:val="nil" w:sz="6" w:space="0" w:color="auto"/>
              <w:left w:val="nil" w:sz="6" w:space="0" w:color="auto"/>
              <w:bottom w:val="single" w:sz="8"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占其他应收款总额的</w:t>
            </w:r>
          </w:p>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60" w:hRule="exact"/>
        </w:trPr>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许欣</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single" w:sz="8" w:space="0" w:color="000000"/>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0"/>
                <w:szCs w:val="20"/>
              </w:rPr>
            </w:pPr>
            <w:r>
              <w:rPr>
                <w:rFonts w:ascii="宋体" w:hAnsi="宋体" w:cs="宋体" w:eastAsia="宋体" w:hint="default"/>
                <w:sz w:val="20"/>
                <w:szCs w:val="20"/>
              </w:rPr>
              <w:t>公司股东</w:t>
            </w:r>
          </w:p>
        </w:tc>
        <w:tc>
          <w:tcPr>
            <w:tcW w:w="3360" w:type="dxa"/>
            <w:tcBorders>
              <w:top w:val="single" w:sz="8" w:space="0" w:color="000000"/>
              <w:left w:val="nil" w:sz="6" w:space="0" w:color="auto"/>
              <w:bottom w:val="single" w:sz="4" w:space="0" w:color="000000"/>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sz w:val="20"/>
              </w:rPr>
              <w:t>6,593.97</w:t>
            </w:r>
          </w:p>
        </w:tc>
        <w:tc>
          <w:tcPr>
            <w:tcW w:w="1932" w:type="dxa"/>
            <w:tcBorders>
              <w:top w:val="single" w:sz="8" w:space="0" w:color="000000"/>
              <w:left w:val="nil" w:sz="6" w:space="0" w:color="auto"/>
              <w:bottom w:val="single" w:sz="4" w:space="0" w:color="000000"/>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sz w:val="20"/>
              </w:rPr>
              <w:t>0.10</w:t>
            </w:r>
          </w:p>
        </w:tc>
      </w:tr>
      <w:tr>
        <w:trPr>
          <w:trHeight w:val="353" w:hRule="exact"/>
        </w:trPr>
        <w:tc>
          <w:tcPr>
            <w:tcW w:w="1498"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6"/>
              <w:ind w:left="45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c>
          <w:tcPr>
            <w:tcW w:w="3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65"/>
              <w:jc w:val="right"/>
              <w:rPr>
                <w:rFonts w:ascii="Times New Roman" w:hAnsi="Times New Roman" w:cs="Times New Roman" w:eastAsia="Times New Roman" w:hint="default"/>
                <w:sz w:val="20"/>
                <w:szCs w:val="20"/>
              </w:rPr>
            </w:pPr>
            <w:r>
              <w:rPr>
                <w:rFonts w:ascii="Times New Roman"/>
                <w:sz w:val="20"/>
              </w:rPr>
              <w:t>6,593.97</w:t>
            </w: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sz w:val="20"/>
              </w:rPr>
              <w:t>0.10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ind w:left="1124"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1117" w:right="0"/>
        <w:jc w:val="left"/>
      </w:pPr>
      <w:r>
        <w:rPr/>
        <w:t>（</w:t>
      </w:r>
      <w:r>
        <w:rPr>
          <w:rFonts w:ascii="Times New Roman" w:hAnsi="Times New Roman" w:cs="Times New Roman" w:eastAsia="Times New Roman" w:hint="default"/>
        </w:rPr>
        <w:t>1</w:t>
      </w:r>
      <w:r>
        <w:rPr/>
        <w:t>）长期股权投资分类</w:t>
      </w:r>
    </w:p>
    <w:p>
      <w:pPr>
        <w:spacing w:line="240" w:lineRule="auto" w:before="9"/>
        <w:rPr>
          <w:rFonts w:ascii="宋体" w:hAnsi="宋体" w:cs="宋体" w:eastAsia="宋体" w:hint="default"/>
          <w:sz w:val="7"/>
          <w:szCs w:val="7"/>
        </w:rPr>
      </w:pPr>
    </w:p>
    <w:tbl>
      <w:tblPr>
        <w:tblW w:w="0" w:type="auto"/>
        <w:jc w:val="left"/>
        <w:tblInd w:w="615" w:type="dxa"/>
        <w:tblLayout w:type="fixed"/>
        <w:tblCellMar>
          <w:top w:w="0" w:type="dxa"/>
          <w:left w:w="0" w:type="dxa"/>
          <w:bottom w:w="0" w:type="dxa"/>
          <w:right w:w="0" w:type="dxa"/>
        </w:tblCellMar>
        <w:tblLook w:val="01E0"/>
      </w:tblPr>
      <w:tblGrid>
        <w:gridCol w:w="3226"/>
        <w:gridCol w:w="1496"/>
        <w:gridCol w:w="1063"/>
        <w:gridCol w:w="1286"/>
        <w:gridCol w:w="1283"/>
      </w:tblGrid>
      <w:tr>
        <w:trPr>
          <w:trHeight w:val="270" w:hRule="exact"/>
        </w:trPr>
        <w:tc>
          <w:tcPr>
            <w:tcW w:w="3226" w:type="dxa"/>
            <w:tcBorders>
              <w:top w:val="nil" w:sz="6" w:space="0" w:color="auto"/>
              <w:left w:val="nil" w:sz="6" w:space="0" w:color="auto"/>
              <w:bottom w:val="single" w:sz="4" w:space="0" w:color="000000"/>
              <w:right w:val="nil" w:sz="6" w:space="0" w:color="auto"/>
            </w:tcBorders>
          </w:tcPr>
          <w:p>
            <w:pPr>
              <w:pStyle w:val="TableParagraph"/>
              <w:tabs>
                <w:tab w:pos="703" w:val="left" w:leader="none"/>
              </w:tabs>
              <w:spacing w:line="199" w:lineRule="exact"/>
              <w:ind w:right="41"/>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199" w:lineRule="exact"/>
              <w:ind w:left="40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199" w:lineRule="exact"/>
              <w:ind w:left="99"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199" w:lineRule="exact"/>
              <w:ind w:left="166"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283" w:type="dxa"/>
            <w:tcBorders>
              <w:top w:val="nil" w:sz="6" w:space="0" w:color="auto"/>
              <w:left w:val="nil" w:sz="6" w:space="0" w:color="auto"/>
              <w:bottom w:val="single" w:sz="4" w:space="0" w:color="000000"/>
              <w:right w:val="nil" w:sz="6" w:space="0" w:color="auto"/>
            </w:tcBorders>
          </w:tcPr>
          <w:p>
            <w:pPr>
              <w:pStyle w:val="TableParagraph"/>
              <w:spacing w:line="199" w:lineRule="exact"/>
              <w:ind w:left="322"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49"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对子企业投资</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063" w:type="dxa"/>
            <w:tcBorders>
              <w:top w:val="single" w:sz="4" w:space="0" w:color="000000"/>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r>
      <w:tr>
        <w:trPr>
          <w:trHeight w:val="33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149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r>
      <w:tr>
        <w:trPr>
          <w:trHeight w:val="336"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149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r>
      <w:tr>
        <w:trPr>
          <w:trHeight w:val="336"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149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
        </w:tc>
      </w:tr>
      <w:tr>
        <w:trPr>
          <w:trHeight w:val="348"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1496"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
        </w:tc>
        <w:tc>
          <w:tcPr>
            <w:tcW w:w="1283" w:type="dxa"/>
            <w:tcBorders>
              <w:top w:val="nil" w:sz="6" w:space="0" w:color="auto"/>
              <w:left w:val="nil" w:sz="6" w:space="0" w:color="auto"/>
              <w:bottom w:val="single" w:sz="4" w:space="0" w:color="000000"/>
              <w:right w:val="nil" w:sz="6" w:space="0" w:color="auto"/>
            </w:tcBorders>
          </w:tcPr>
          <w:p>
            <w:pPr/>
          </w:p>
        </w:tc>
      </w:tr>
      <w:tr>
        <w:trPr>
          <w:trHeight w:val="353" w:hRule="exact"/>
        </w:trPr>
        <w:tc>
          <w:tcPr>
            <w:tcW w:w="3226"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6"/>
              <w:ind w:right="4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9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063" w:type="dxa"/>
            <w:tcBorders>
              <w:top w:val="single" w:sz="4" w:space="0" w:color="000000"/>
              <w:left w:val="nil" w:sz="6" w:space="0" w:color="auto"/>
              <w:bottom w:val="single" w:sz="17" w:space="0" w:color="000000"/>
              <w:right w:val="nil" w:sz="6" w:space="0" w:color="auto"/>
            </w:tcBorders>
          </w:tcPr>
          <w:p>
            <w:pPr/>
          </w:p>
        </w:tc>
        <w:tc>
          <w:tcPr>
            <w:tcW w:w="1286" w:type="dxa"/>
            <w:tcBorders>
              <w:top w:val="single" w:sz="4" w:space="0" w:color="000000"/>
              <w:left w:val="nil" w:sz="6" w:space="0" w:color="auto"/>
              <w:bottom w:val="single" w:sz="17" w:space="0" w:color="000000"/>
              <w:right w:val="nil" w:sz="6" w:space="0" w:color="auto"/>
            </w:tcBorders>
          </w:tcPr>
          <w:p>
            <w:pPr/>
          </w:p>
        </w:tc>
        <w:tc>
          <w:tcPr>
            <w:tcW w:w="1283"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left="1117" w:right="0"/>
        <w:jc w:val="left"/>
      </w:pPr>
      <w:r>
        <w:rPr/>
        <w:t>（</w:t>
      </w:r>
      <w:r>
        <w:rPr>
          <w:rFonts w:ascii="Times New Roman" w:hAnsi="Times New Roman" w:cs="Times New Roman" w:eastAsia="Times New Roman" w:hint="default"/>
        </w:rPr>
        <w:t>2</w:t>
      </w:r>
      <w:r>
        <w:rPr/>
        <w:t>）长期股权投资明细情况</w:t>
      </w:r>
    </w:p>
    <w:p>
      <w:pPr>
        <w:spacing w:line="240" w:lineRule="auto" w:before="6"/>
        <w:rPr>
          <w:rFonts w:ascii="宋体" w:hAnsi="宋体" w:cs="宋体" w:eastAsia="宋体" w:hint="default"/>
          <w:sz w:val="8"/>
          <w:szCs w:val="8"/>
        </w:rPr>
      </w:pPr>
    </w:p>
    <w:tbl>
      <w:tblPr>
        <w:tblW w:w="0" w:type="auto"/>
        <w:jc w:val="left"/>
        <w:tblInd w:w="615" w:type="dxa"/>
        <w:tblLayout w:type="fixed"/>
        <w:tblCellMar>
          <w:top w:w="0" w:type="dxa"/>
          <w:left w:w="0" w:type="dxa"/>
          <w:bottom w:w="0" w:type="dxa"/>
          <w:right w:w="0" w:type="dxa"/>
        </w:tblCellMar>
        <w:tblLook w:val="01E0"/>
      </w:tblPr>
      <w:tblGrid>
        <w:gridCol w:w="2320"/>
        <w:gridCol w:w="1042"/>
        <w:gridCol w:w="1535"/>
        <w:gridCol w:w="1248"/>
        <w:gridCol w:w="1094"/>
        <w:gridCol w:w="1116"/>
      </w:tblGrid>
      <w:tr>
        <w:trPr>
          <w:trHeight w:val="279" w:hRule="exact"/>
        </w:trPr>
        <w:tc>
          <w:tcPr>
            <w:tcW w:w="2320" w:type="dxa"/>
            <w:tcBorders>
              <w:top w:val="nil" w:sz="6" w:space="0" w:color="auto"/>
              <w:left w:val="nil" w:sz="6" w:space="0" w:color="auto"/>
              <w:bottom w:val="single" w:sz="4" w:space="0" w:color="000000"/>
              <w:right w:val="nil" w:sz="6" w:space="0" w:color="auto"/>
            </w:tcBorders>
          </w:tcPr>
          <w:p>
            <w:pPr>
              <w:pStyle w:val="TableParagraph"/>
              <w:spacing w:line="199" w:lineRule="exact"/>
              <w:ind w:right="42"/>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042" w:type="dxa"/>
            <w:tcBorders>
              <w:top w:val="nil" w:sz="6" w:space="0" w:color="auto"/>
              <w:left w:val="nil" w:sz="6" w:space="0" w:color="auto"/>
              <w:bottom w:val="single" w:sz="4" w:space="0" w:color="000000"/>
              <w:right w:val="nil" w:sz="6" w:space="0" w:color="auto"/>
            </w:tcBorders>
          </w:tcPr>
          <w:p>
            <w:pPr>
              <w:pStyle w:val="TableParagraph"/>
              <w:spacing w:line="199" w:lineRule="exact"/>
              <w:ind w:right="43"/>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199" w:lineRule="exact"/>
              <w:ind w:left="145" w:right="0"/>
              <w:jc w:val="left"/>
              <w:rPr>
                <w:rFonts w:ascii="宋体" w:hAnsi="宋体" w:cs="宋体" w:eastAsia="宋体" w:hint="default"/>
                <w:sz w:val="20"/>
                <w:szCs w:val="20"/>
              </w:rPr>
            </w:pPr>
            <w:r>
              <w:rPr>
                <w:rFonts w:ascii="宋体" w:hAnsi="宋体" w:cs="宋体" w:eastAsia="宋体" w:hint="default"/>
                <w:sz w:val="20"/>
                <w:szCs w:val="20"/>
              </w:rPr>
              <w:t>初始投资成本</w:t>
            </w:r>
          </w:p>
        </w:tc>
        <w:tc>
          <w:tcPr>
            <w:tcW w:w="1248" w:type="dxa"/>
            <w:tcBorders>
              <w:top w:val="nil" w:sz="6" w:space="0" w:color="auto"/>
              <w:left w:val="nil" w:sz="6" w:space="0" w:color="auto"/>
              <w:bottom w:val="single" w:sz="4" w:space="0" w:color="000000"/>
              <w:right w:val="nil" w:sz="6" w:space="0" w:color="auto"/>
            </w:tcBorders>
          </w:tcPr>
          <w:p>
            <w:pPr>
              <w:pStyle w:val="TableParagraph"/>
              <w:spacing w:line="199" w:lineRule="exact"/>
              <w:ind w:left="290"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094" w:type="dxa"/>
            <w:tcBorders>
              <w:top w:val="nil" w:sz="6" w:space="0" w:color="auto"/>
              <w:left w:val="nil" w:sz="6" w:space="0" w:color="auto"/>
              <w:bottom w:val="single" w:sz="4" w:space="0" w:color="000000"/>
              <w:right w:val="nil" w:sz="6" w:space="0" w:color="auto"/>
            </w:tcBorders>
          </w:tcPr>
          <w:p>
            <w:pPr>
              <w:pStyle w:val="TableParagraph"/>
              <w:spacing w:line="199" w:lineRule="exact"/>
              <w:ind w:left="79"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199" w:lineRule="exact"/>
              <w:ind w:left="21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679" w:hRule="exact"/>
        </w:trPr>
        <w:tc>
          <w:tcPr>
            <w:tcW w:w="2320" w:type="dxa"/>
            <w:tcBorders>
              <w:top w:val="single" w:sz="4" w:space="0" w:color="000000"/>
              <w:left w:val="nil" w:sz="6" w:space="0" w:color="auto"/>
              <w:bottom w:val="nil" w:sz="6" w:space="0" w:color="auto"/>
              <w:right w:val="nil" w:sz="6" w:space="0" w:color="auto"/>
            </w:tcBorders>
          </w:tcPr>
          <w:p>
            <w:pPr>
              <w:pStyle w:val="TableParagraph"/>
              <w:spacing w:line="300" w:lineRule="auto" w:before="9"/>
              <w:ind w:left="21" w:right="97"/>
              <w:jc w:val="left"/>
              <w:rPr>
                <w:rFonts w:ascii="宋体" w:hAnsi="宋体" w:cs="宋体" w:eastAsia="宋体" w:hint="default"/>
                <w:sz w:val="20"/>
                <w:szCs w:val="20"/>
              </w:rPr>
            </w:pPr>
            <w:r>
              <w:rPr>
                <w:rFonts w:ascii="宋体" w:hAnsi="宋体" w:cs="宋体" w:eastAsia="宋体" w:hint="default"/>
                <w:sz w:val="20"/>
                <w:szCs w:val="20"/>
              </w:rPr>
              <w:t>上海政通信息科技有限公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47"/>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2,000,000.00</w:t>
            </w:r>
          </w:p>
        </w:tc>
        <w:tc>
          <w:tcPr>
            <w:tcW w:w="124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094" w:type="dxa"/>
            <w:tcBorders>
              <w:top w:val="single" w:sz="4" w:space="0" w:color="000000"/>
              <w:left w:val="nil" w:sz="6" w:space="0" w:color="auto"/>
              <w:bottom w:val="single" w:sz="4" w:space="0" w:color="000000"/>
              <w:right w:val="nil" w:sz="6" w:space="0" w:color="auto"/>
            </w:tcBorders>
          </w:tcPr>
          <w:p>
            <w:pPr/>
          </w:p>
        </w:tc>
        <w:tc>
          <w:tcPr>
            <w:tcW w:w="111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2,000,000.00</w:t>
            </w:r>
          </w:p>
        </w:tc>
      </w:tr>
      <w:tr>
        <w:trPr>
          <w:trHeight w:val="353" w:hRule="exact"/>
        </w:trPr>
        <w:tc>
          <w:tcPr>
            <w:tcW w:w="2320"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6"/>
              <w:ind w:right="37"/>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42"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77"/>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094" w:type="dxa"/>
            <w:tcBorders>
              <w:top w:val="single" w:sz="4" w:space="0" w:color="000000"/>
              <w:left w:val="nil" w:sz="6" w:space="0" w:color="auto"/>
              <w:bottom w:val="single" w:sz="17" w:space="0" w:color="000000"/>
              <w:right w:val="nil" w:sz="6" w:space="0" w:color="auto"/>
            </w:tcBorders>
          </w:tcPr>
          <w:p>
            <w:pPr/>
          </w:p>
        </w:tc>
        <w:tc>
          <w:tcPr>
            <w:tcW w:w="111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48" w:right="0"/>
              <w:jc w:val="left"/>
              <w:rPr>
                <w:rFonts w:ascii="Times New Roman" w:hAnsi="Times New Roman" w:cs="Times New Roman" w:eastAsia="Times New Roman" w:hint="default"/>
                <w:sz w:val="18"/>
                <w:szCs w:val="18"/>
              </w:rPr>
            </w:pPr>
            <w:r>
              <w:rPr>
                <w:rFonts w:ascii="Times New Roman"/>
                <w:sz w:val="18"/>
              </w:rPr>
              <w:t>2,000,000.00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979" w:top="1380" w:bottom="1160" w:left="1160" w:right="1160"/>
        </w:sectPr>
      </w:pPr>
    </w:p>
    <w:tbl>
      <w:tblPr>
        <w:tblW w:w="0" w:type="auto"/>
        <w:jc w:val="left"/>
        <w:tblInd w:w="108" w:type="dxa"/>
        <w:tblLayout w:type="fixed"/>
        <w:tblCellMar>
          <w:top w:w="0" w:type="dxa"/>
          <w:left w:w="0" w:type="dxa"/>
          <w:bottom w:w="0" w:type="dxa"/>
          <w:right w:w="0" w:type="dxa"/>
        </w:tblCellMar>
        <w:tblLook w:val="01E0"/>
      </w:tblPr>
      <w:tblGrid>
        <w:gridCol w:w="2258"/>
        <w:gridCol w:w="946"/>
        <w:gridCol w:w="760"/>
        <w:gridCol w:w="1252"/>
        <w:gridCol w:w="695"/>
        <w:gridCol w:w="1411"/>
        <w:gridCol w:w="1048"/>
      </w:tblGrid>
      <w:tr>
        <w:trPr>
          <w:trHeight w:val="1675" w:hRule="exact"/>
        </w:trPr>
        <w:tc>
          <w:tcPr>
            <w:tcW w:w="225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4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37"/>
              <w:ind w:left="69" w:right="5" w:firstLine="45"/>
              <w:jc w:val="both"/>
              <w:rPr>
                <w:rFonts w:ascii="宋体" w:hAnsi="宋体" w:cs="宋体" w:eastAsia="宋体"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60" w:type="dxa"/>
            <w:tcBorders>
              <w:top w:val="single" w:sz="6" w:space="0" w:color="000000"/>
              <w:left w:val="nil" w:sz="6" w:space="0" w:color="auto"/>
              <w:bottom w:val="single" w:sz="4" w:space="0" w:color="000000"/>
              <w:right w:val="nil" w:sz="6" w:space="0" w:color="auto"/>
            </w:tcBorders>
          </w:tcPr>
          <w:p>
            <w:pPr>
              <w:pStyle w:val="TableParagraph"/>
              <w:spacing w:line="331" w:lineRule="auto" w:before="46"/>
              <w:ind w:left="7" w:right="61" w:firstLine="74"/>
              <w:jc w:val="both"/>
              <w:rPr>
                <w:rFonts w:ascii="宋体" w:hAnsi="宋体" w:cs="宋体" w:eastAsia="宋体" w:hint="default"/>
                <w:sz w:val="18"/>
                <w:szCs w:val="18"/>
              </w:rPr>
            </w:pPr>
            <w:r>
              <w:rPr>
                <w:rFonts w:ascii="宋体" w:hAnsi="宋体" w:cs="宋体" w:eastAsia="宋体" w:hint="default"/>
                <w:sz w:val="18"/>
                <w:szCs w:val="18"/>
              </w:rPr>
              <w:t>在被投 资单位 享有表 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tcBorders>
              <w:top w:val="single" w:sz="6"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33" w:lineRule="auto"/>
              <w:ind w:left="63" w:right="107"/>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69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33"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41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33" w:lineRule="auto"/>
              <w:ind w:left="617" w:right="71"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04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33" w:lineRule="auto"/>
              <w:ind w:left="433" w:right="72"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355" w:hRule="exact"/>
        </w:trPr>
        <w:tc>
          <w:tcPr>
            <w:tcW w:w="225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8"/>
              <w:jc w:val="center"/>
              <w:rPr>
                <w:rFonts w:ascii="宋体" w:hAnsi="宋体" w:cs="宋体" w:eastAsia="宋体" w:hint="default"/>
                <w:sz w:val="18"/>
                <w:szCs w:val="18"/>
              </w:rPr>
            </w:pPr>
            <w:r>
              <w:rPr>
                <w:rFonts w:ascii="宋体" w:hAnsi="宋体" w:cs="宋体" w:eastAsia="宋体" w:hint="default"/>
                <w:sz w:val="18"/>
                <w:szCs w:val="18"/>
              </w:rPr>
              <w:t>上海政通信息科技有限公司</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100.00</w:t>
            </w:r>
          </w:p>
        </w:tc>
        <w:tc>
          <w:tcPr>
            <w:tcW w:w="7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5" w:right="0"/>
              <w:jc w:val="left"/>
              <w:rPr>
                <w:rFonts w:ascii="Times New Roman" w:hAnsi="Times New Roman" w:cs="Times New Roman" w:eastAsia="Times New Roman" w:hint="default"/>
                <w:sz w:val="18"/>
                <w:szCs w:val="18"/>
              </w:rPr>
            </w:pPr>
            <w:r>
              <w:rPr>
                <w:rFonts w:ascii="Times New Roman"/>
                <w:sz w:val="18"/>
              </w:rPr>
              <w:t>100.00</w:t>
            </w:r>
          </w:p>
        </w:tc>
        <w:tc>
          <w:tcPr>
            <w:tcW w:w="1252" w:type="dxa"/>
            <w:tcBorders>
              <w:top w:val="single" w:sz="4" w:space="0" w:color="000000"/>
              <w:left w:val="nil" w:sz="6" w:space="0" w:color="auto"/>
              <w:bottom w:val="nil" w:sz="6" w:space="0" w:color="auto"/>
              <w:right w:val="nil" w:sz="6" w:space="0" w:color="auto"/>
            </w:tcBorders>
          </w:tcPr>
          <w:p>
            <w:pPr/>
          </w:p>
        </w:tc>
        <w:tc>
          <w:tcPr>
            <w:tcW w:w="695" w:type="dxa"/>
            <w:tcBorders>
              <w:top w:val="single" w:sz="4" w:space="0" w:color="000000"/>
              <w:left w:val="nil" w:sz="6" w:space="0" w:color="auto"/>
              <w:bottom w:val="single" w:sz="4" w:space="0" w:color="000000"/>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
        </w:tc>
        <w:tc>
          <w:tcPr>
            <w:tcW w:w="1048" w:type="dxa"/>
            <w:tcBorders>
              <w:top w:val="single" w:sz="4" w:space="0" w:color="000000"/>
              <w:left w:val="nil" w:sz="6" w:space="0" w:color="auto"/>
              <w:bottom w:val="single" w:sz="4" w:space="0" w:color="000000"/>
              <w:right w:val="nil" w:sz="6" w:space="0" w:color="auto"/>
            </w:tcBorders>
          </w:tcPr>
          <w:p>
            <w:pPr/>
          </w:p>
        </w:tc>
      </w:tr>
      <w:tr>
        <w:trPr>
          <w:trHeight w:val="343" w:hRule="exact"/>
        </w:trPr>
        <w:tc>
          <w:tcPr>
            <w:tcW w:w="2258" w:type="dxa"/>
            <w:tcBorders>
              <w:top w:val="nil" w:sz="6" w:space="0" w:color="auto"/>
              <w:left w:val="nil" w:sz="6" w:space="0" w:color="auto"/>
              <w:bottom w:val="nil" w:sz="6" w:space="0" w:color="auto"/>
              <w:right w:val="nil" w:sz="6" w:space="0" w:color="auto"/>
            </w:tcBorders>
          </w:tcPr>
          <w:p>
            <w:pPr>
              <w:pStyle w:val="TableParagraph"/>
              <w:tabs>
                <w:tab w:pos="485" w:val="left" w:leader="none"/>
              </w:tabs>
              <w:spacing w:line="240" w:lineRule="auto" w:before="20"/>
              <w:ind w:left="3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100.00</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left"/>
              <w:rPr>
                <w:rFonts w:ascii="Times New Roman" w:hAnsi="Times New Roman" w:cs="Times New Roman" w:eastAsia="Times New Roman" w:hint="default"/>
                <w:sz w:val="18"/>
                <w:szCs w:val="18"/>
              </w:rPr>
            </w:pPr>
            <w:r>
              <w:rPr>
                <w:rFonts w:ascii="Times New Roman"/>
                <w:sz w:val="18"/>
              </w:rPr>
              <w:t>100.00</w:t>
            </w:r>
          </w:p>
        </w:tc>
        <w:tc>
          <w:tcPr>
            <w:tcW w:w="1252" w:type="dxa"/>
            <w:tcBorders>
              <w:top w:val="nil" w:sz="6" w:space="0" w:color="auto"/>
              <w:left w:val="nil" w:sz="6" w:space="0" w:color="auto"/>
              <w:bottom w:val="nil" w:sz="6" w:space="0" w:color="auto"/>
              <w:right w:val="nil" w:sz="6" w:space="0" w:color="auto"/>
            </w:tcBorders>
          </w:tcPr>
          <w:p>
            <w:pPr/>
          </w:p>
        </w:tc>
        <w:tc>
          <w:tcPr>
            <w:tcW w:w="695" w:type="dxa"/>
            <w:tcBorders>
              <w:top w:val="single" w:sz="4" w:space="0" w:color="000000"/>
              <w:left w:val="nil" w:sz="6" w:space="0" w:color="auto"/>
              <w:bottom w:val="single" w:sz="12" w:space="0" w:color="000000"/>
              <w:right w:val="nil" w:sz="6" w:space="0" w:color="auto"/>
            </w:tcBorders>
          </w:tcPr>
          <w:p>
            <w:pPr/>
          </w:p>
        </w:tc>
        <w:tc>
          <w:tcPr>
            <w:tcW w:w="1411" w:type="dxa"/>
            <w:tcBorders>
              <w:top w:val="single" w:sz="4" w:space="0" w:color="000000"/>
              <w:left w:val="nil" w:sz="6" w:space="0" w:color="auto"/>
              <w:bottom w:val="single" w:sz="12" w:space="0" w:color="000000"/>
              <w:right w:val="nil" w:sz="6" w:space="0" w:color="auto"/>
            </w:tcBorders>
          </w:tcPr>
          <w:p>
            <w:pPr/>
          </w:p>
        </w:tc>
        <w:tc>
          <w:tcPr>
            <w:tcW w:w="1048" w:type="dxa"/>
            <w:tcBorders>
              <w:top w:val="single" w:sz="4"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、营业收入与营业成本</w:t>
      </w:r>
      <w:r>
        <w:rPr>
          <w:b w:val="0"/>
          <w:bCs w:val="0"/>
        </w:rPr>
      </w:r>
    </w:p>
    <w:p>
      <w:pPr>
        <w:spacing w:line="240" w:lineRule="auto" w:before="7"/>
        <w:rPr>
          <w:rFonts w:ascii="宋体" w:hAnsi="宋体" w:cs="宋体" w:eastAsia="宋体" w:hint="default"/>
          <w:b/>
          <w:bCs/>
          <w:sz w:val="17"/>
          <w:szCs w:val="17"/>
        </w:rPr>
      </w:pPr>
    </w:p>
    <w:p>
      <w:pPr>
        <w:pStyle w:val="BodyText"/>
        <w:spacing w:line="240" w:lineRule="auto"/>
        <w:ind w:left="617" w:right="0"/>
        <w:jc w:val="left"/>
      </w:pPr>
      <w:r>
        <w:rPr/>
        <w:t>（</w:t>
      </w:r>
      <w:r>
        <w:rPr>
          <w:rFonts w:ascii="Times New Roman" w:hAnsi="Times New Roman" w:cs="Times New Roman" w:eastAsia="Times New Roman" w:hint="default"/>
        </w:rPr>
        <w:t>1</w:t>
      </w:r>
      <w:r>
        <w:rPr/>
        <w:t>）营业收入及营业成本</w:t>
      </w:r>
    </w:p>
    <w:p>
      <w:pPr>
        <w:spacing w:line="240" w:lineRule="auto" w:before="9"/>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66"/>
        <w:gridCol w:w="197"/>
        <w:gridCol w:w="2448"/>
        <w:gridCol w:w="156"/>
        <w:gridCol w:w="2582"/>
      </w:tblGrid>
      <w:tr>
        <w:trPr>
          <w:trHeight w:val="279" w:hRule="exact"/>
        </w:trPr>
        <w:tc>
          <w:tcPr>
            <w:tcW w:w="2966" w:type="dxa"/>
            <w:tcBorders>
              <w:top w:val="nil" w:sz="6" w:space="0" w:color="auto"/>
              <w:left w:val="nil" w:sz="6" w:space="0" w:color="auto"/>
              <w:bottom w:val="single" w:sz="4" w:space="0" w:color="000000"/>
              <w:right w:val="nil" w:sz="6" w:space="0" w:color="auto"/>
            </w:tcBorders>
          </w:tcPr>
          <w:p>
            <w:pPr>
              <w:pStyle w:val="TableParagraph"/>
              <w:tabs>
                <w:tab w:pos="602" w:val="left" w:leader="none"/>
              </w:tabs>
              <w:spacing w:line="199" w:lineRule="exact"/>
              <w:ind w:right="17"/>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199" w:lineRule="exact"/>
              <w:ind w:left="717" w:right="0"/>
              <w:jc w:val="left"/>
              <w:rPr>
                <w:rFonts w:ascii="宋体" w:hAnsi="宋体" w:cs="宋体" w:eastAsia="宋体" w:hint="default"/>
                <w:sz w:val="20"/>
                <w:szCs w:val="20"/>
              </w:rPr>
            </w:pPr>
            <w:r>
              <w:rPr>
                <w:rFonts w:ascii="宋体" w:hAnsi="宋体" w:cs="宋体" w:eastAsia="宋体" w:hint="default"/>
                <w:sz w:val="20"/>
                <w:szCs w:val="20"/>
              </w:rPr>
              <w:t>本期发生额</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199" w:lineRule="exact"/>
              <w:ind w:left="786"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348" w:hRule="exact"/>
        </w:trPr>
        <w:tc>
          <w:tcPr>
            <w:tcW w:w="29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9"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pacing w:val="-1"/>
                <w:sz w:val="18"/>
              </w:rPr>
              <w:t>95,242,610.31</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pacing w:val="-1"/>
                <w:sz w:val="18"/>
              </w:rPr>
              <w:t>72,166,609.76</w:t>
            </w:r>
          </w:p>
        </w:tc>
      </w:tr>
      <w:tr>
        <w:trPr>
          <w:trHeight w:val="350"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z w:val="18"/>
              </w:rPr>
              <w:t>499,022.10</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14,630.00</w:t>
            </w:r>
          </w:p>
        </w:tc>
      </w:tr>
      <w:tr>
        <w:trPr>
          <w:trHeight w:val="37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93"/>
              <w:jc w:val="right"/>
              <w:rPr>
                <w:rFonts w:ascii="宋体" w:hAnsi="宋体" w:cs="宋体" w:eastAsia="宋体" w:hint="default"/>
                <w:sz w:val="20"/>
                <w:szCs w:val="20"/>
              </w:rPr>
            </w:pPr>
            <w:r>
              <w:rPr>
                <w:rFonts w:ascii="宋体" w:hAnsi="宋体" w:cs="宋体" w:eastAsia="宋体" w:hint="default"/>
                <w:w w:val="95"/>
                <w:sz w:val="20"/>
                <w:szCs w:val="20"/>
              </w:rPr>
              <w:t>营业收入合计</w:t>
            </w:r>
            <w:r>
              <w:rPr>
                <w:rFonts w:ascii="宋体" w:hAnsi="宋体" w:cs="宋体" w:eastAsia="宋体" w:hint="default"/>
                <w:sz w:val="20"/>
                <w:szCs w:val="20"/>
              </w:rPr>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95,741,632.41</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72,181,239.76</w:t>
            </w:r>
          </w:p>
        </w:tc>
      </w:tr>
      <w:tr>
        <w:trPr>
          <w:trHeight w:val="368"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28,722,546.85</w:t>
            </w:r>
          </w:p>
        </w:tc>
        <w:tc>
          <w:tcPr>
            <w:tcW w:w="156" w:type="dxa"/>
            <w:tcBorders>
              <w:top w:val="nil" w:sz="6" w:space="0" w:color="auto"/>
              <w:left w:val="nil" w:sz="6" w:space="0" w:color="auto"/>
              <w:bottom w:val="nil" w:sz="6" w:space="0" w:color="auto"/>
              <w:right w:val="nil" w:sz="6" w:space="0" w:color="auto"/>
            </w:tcBorders>
          </w:tcPr>
          <w:p>
            <w:pPr/>
          </w:p>
        </w:tc>
        <w:tc>
          <w:tcPr>
            <w:tcW w:w="2582"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5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2582"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3"/>
              <w:jc w:val="right"/>
              <w:rPr>
                <w:rFonts w:ascii="宋体" w:hAnsi="宋体" w:cs="宋体" w:eastAsia="宋体" w:hint="default"/>
                <w:sz w:val="20"/>
                <w:szCs w:val="20"/>
              </w:rPr>
            </w:pPr>
            <w:r>
              <w:rPr>
                <w:rFonts w:ascii="宋体" w:hAnsi="宋体" w:cs="宋体" w:eastAsia="宋体" w:hint="default"/>
                <w:w w:val="95"/>
                <w:sz w:val="20"/>
                <w:szCs w:val="20"/>
              </w:rPr>
              <w:t>营业成本合计</w:t>
            </w:r>
            <w:r>
              <w:rPr>
                <w:rFonts w:ascii="宋体" w:hAnsi="宋体" w:cs="宋体" w:eastAsia="宋体" w:hint="default"/>
                <w:sz w:val="20"/>
                <w:szCs w:val="20"/>
              </w:rPr>
            </w:r>
          </w:p>
        </w:tc>
        <w:tc>
          <w:tcPr>
            <w:tcW w:w="197" w:type="dxa"/>
            <w:tcBorders>
              <w:top w:val="nil" w:sz="6" w:space="0" w:color="auto"/>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pacing w:val="-1"/>
                <w:sz w:val="18"/>
              </w:rPr>
              <w:t>28,722,546.85</w:t>
            </w:r>
          </w:p>
        </w:tc>
        <w:tc>
          <w:tcPr>
            <w:tcW w:w="156" w:type="dxa"/>
            <w:tcBorders>
              <w:top w:val="single" w:sz="4" w:space="0" w:color="000000"/>
              <w:left w:val="nil" w:sz="6" w:space="0" w:color="auto"/>
              <w:bottom w:val="nil" w:sz="6" w:space="0" w:color="auto"/>
              <w:right w:val="nil" w:sz="6" w:space="0" w:color="auto"/>
            </w:tcBorders>
          </w:tcPr>
          <w:p>
            <w:pPr/>
          </w:p>
        </w:tc>
        <w:tc>
          <w:tcPr>
            <w:tcW w:w="2582"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pacing w:val="-1"/>
                <w:sz w:val="18"/>
              </w:rPr>
              <w:t>14,622,529.26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3"/>
          <w:pgSz w:w="11910" w:h="16840"/>
          <w:pgMar w:footer="979" w:header="850" w:top="1380" w:bottom="1160" w:left="1660" w:right="1660"/>
        </w:sectPr>
      </w:pPr>
    </w:p>
    <w:p>
      <w:pPr>
        <w:pStyle w:val="BodyText"/>
        <w:spacing w:line="240" w:lineRule="auto" w:before="26"/>
        <w:ind w:left="617" w:right="-20"/>
        <w:jc w:val="left"/>
      </w:pPr>
      <w:r>
        <w:rPr/>
        <w:t>（</w:t>
      </w:r>
      <w:r>
        <w:rPr>
          <w:rFonts w:ascii="Times New Roman" w:hAnsi="Times New Roman" w:cs="Times New Roman" w:eastAsia="Times New Roman" w:hint="default"/>
        </w:rPr>
        <w:t>2</w:t>
      </w:r>
      <w:r>
        <w:rPr/>
        <w:t>）主营业务（分行业）</w:t>
      </w:r>
    </w:p>
    <w:p>
      <w:pPr>
        <w:spacing w:line="240" w:lineRule="auto" w:before="8"/>
        <w:rPr>
          <w:rFonts w:ascii="宋体" w:hAnsi="宋体" w:cs="宋体" w:eastAsia="宋体" w:hint="default"/>
          <w:sz w:val="17"/>
          <w:szCs w:val="17"/>
        </w:rPr>
      </w:pPr>
    </w:p>
    <w:p>
      <w:pPr>
        <w:spacing w:before="0"/>
        <w:ind w:left="1117" w:right="1023" w:firstLine="0"/>
        <w:jc w:val="center"/>
        <w:rPr>
          <w:rFonts w:ascii="宋体" w:hAnsi="宋体" w:cs="宋体" w:eastAsia="宋体" w:hint="default"/>
          <w:sz w:val="20"/>
          <w:szCs w:val="20"/>
        </w:rPr>
      </w:pPr>
      <w:r>
        <w:rPr>
          <w:rFonts w:ascii="宋体" w:hAnsi="宋体" w:cs="宋体" w:eastAsia="宋体" w:hint="default"/>
          <w:sz w:val="20"/>
          <w:szCs w:val="20"/>
        </w:rPr>
        <w:t>行业名称</w:t>
      </w:r>
    </w:p>
    <w:p>
      <w:pPr>
        <w:spacing w:line="240" w:lineRule="auto" w:before="0"/>
        <w:rPr>
          <w:rFonts w:ascii="宋体" w:hAnsi="宋体" w:cs="宋体" w:eastAsia="宋体" w:hint="default"/>
          <w:sz w:val="20"/>
          <w:szCs w:val="20"/>
        </w:rPr>
      </w:pPr>
      <w:r>
        <w:rPr/>
        <w:br w:type="column"/>
      </w:r>
      <w:r>
        <w:rPr>
          <w:rFonts w:ascii="宋体"/>
          <w:sz w:val="20"/>
        </w:rPr>
      </w:r>
    </w:p>
    <w:p>
      <w:pPr>
        <w:tabs>
          <w:tab w:pos="1469" w:val="left" w:leader="none"/>
          <w:tab w:pos="2688" w:val="left" w:leader="none"/>
          <w:tab w:pos="3276" w:val="left" w:leader="none"/>
          <w:tab w:pos="4003" w:val="left" w:leader="none"/>
        </w:tabs>
        <w:spacing w:line="324" w:lineRule="auto" w:before="159"/>
        <w:ind w:left="226" w:right="366" w:firstLine="494"/>
        <w:jc w:val="left"/>
        <w:rPr>
          <w:rFonts w:ascii="宋体" w:hAnsi="宋体" w:cs="宋体" w:eastAsia="宋体" w:hint="default"/>
          <w:sz w:val="20"/>
          <w:szCs w:val="20"/>
        </w:rPr>
      </w:pPr>
      <w:r>
        <w:rPr/>
        <w:pict>
          <v:group style="position:absolute;margin-left:254.160004pt;margin-top:24.18969pt;width:253pt;height:.5pt;mso-position-horizontal-relative:page;mso-position-vertical-relative:paragraph;z-index:-602992" coordorigin="5083,484" coordsize="5060,10">
            <v:group style="position:absolute;left:5088;top:489;width:1234;height:2" coordorigin="5088,489" coordsize="1234,2">
              <v:shape style="position:absolute;left:5088;top:489;width:1234;height:2" coordorigin="5088,489" coordsize="1234,0" path="m5088,489l6322,489e" filled="false" stroked="true" strokeweight=".48pt" strokecolor="#000000">
                <v:path arrowok="t"/>
              </v:shape>
            </v:group>
            <v:group style="position:absolute;left:6322;top:489;width:10;height:2" coordorigin="6322,489" coordsize="10,2">
              <v:shape style="position:absolute;left:6322;top:489;width:10;height:2" coordorigin="6322,489" coordsize="10,0" path="m6322,489l6331,489e" filled="false" stroked="true" strokeweight=".48pt" strokecolor="#000000">
                <v:path arrowok="t"/>
              </v:shape>
            </v:group>
            <v:group style="position:absolute;left:6331;top:489;width:53;height:2" coordorigin="6331,489" coordsize="53,2">
              <v:shape style="position:absolute;left:6331;top:489;width:53;height:2" coordorigin="6331,489" coordsize="53,0" path="m6331,489l6384,489e" filled="false" stroked="true" strokeweight=".48pt" strokecolor="#000000">
                <v:path arrowok="t"/>
              </v:shape>
            </v:group>
            <v:group style="position:absolute;left:6384;top:489;width:10;height:2" coordorigin="6384,489" coordsize="10,2">
              <v:shape style="position:absolute;left:6384;top:489;width:10;height:2" coordorigin="6384,489" coordsize="10,0" path="m6384,489l6394,489e" filled="false" stroked="true" strokeweight=".48pt" strokecolor="#000000">
                <v:path arrowok="t"/>
              </v:shape>
            </v:group>
            <v:group style="position:absolute;left:6394;top:489;width:1121;height:2" coordorigin="6394,489" coordsize="1121,2">
              <v:shape style="position:absolute;left:6394;top:489;width:1121;height:2" coordorigin="6394,489" coordsize="1121,0" path="m6394,489l7514,489e" filled="false" stroked="true" strokeweight=".48pt" strokecolor="#000000">
                <v:path arrowok="t"/>
              </v:shape>
            </v:group>
            <v:group style="position:absolute;left:7577;top:489;width:1184;height:2" coordorigin="7577,489" coordsize="1184,2">
              <v:shape style="position:absolute;left:7577;top:489;width:1184;height:2" coordorigin="7577,489" coordsize="1184,0" path="m7577,489l8760,489e" filled="false" stroked="true" strokeweight=".48pt" strokecolor="#000000">
                <v:path arrowok="t"/>
              </v:shape>
            </v:group>
            <v:group style="position:absolute;left:8760;top:489;width:10;height:2" coordorigin="8760,489" coordsize="10,2">
              <v:shape style="position:absolute;left:8760;top:489;width:10;height:2" coordorigin="8760,489" coordsize="10,0" path="m8760,489l8770,489e" filled="false" stroked="true" strokeweight=".48pt" strokecolor="#000000">
                <v:path arrowok="t"/>
              </v:shape>
            </v:group>
            <v:group style="position:absolute;left:8770;top:489;width:53;height:2" coordorigin="8770,489" coordsize="53,2">
              <v:shape style="position:absolute;left:8770;top:489;width:53;height:2" coordorigin="8770,489" coordsize="53,0" path="m8770,489l8822,489e" filled="false" stroked="true" strokeweight=".48pt" strokecolor="#000000">
                <v:path arrowok="t"/>
              </v:shape>
            </v:group>
            <v:group style="position:absolute;left:8822;top:489;width:10;height:2" coordorigin="8822,489" coordsize="10,2">
              <v:shape style="position:absolute;left:8822;top:489;width:10;height:2" coordorigin="8822,489" coordsize="10,0" path="m8822,489l8832,489e" filled="false" stroked="true" strokeweight=".48pt" strokecolor="#000000">
                <v:path arrowok="t"/>
              </v:shape>
            </v:group>
            <v:group style="position:absolute;left:8832;top:489;width:1306;height:2" coordorigin="8832,489" coordsize="1306,2">
              <v:shape style="position:absolute;left:8832;top:489;width:1306;height:2" coordorigin="8832,489" coordsize="1306,0" path="m8832,489l10138,489e" filled="false" stroked="true" strokeweight=".48pt" strokecolor="#000000">
                <v:path arrowok="t"/>
              </v:shape>
            </v:group>
            <w10:wrap type="none"/>
          </v:group>
        </w:pict>
      </w:r>
      <w:r>
        <w:rPr>
          <w:rFonts w:ascii="宋体" w:hAnsi="宋体" w:cs="宋体" w:eastAsia="宋体" w:hint="default"/>
          <w:w w:val="95"/>
          <w:sz w:val="20"/>
          <w:szCs w:val="20"/>
        </w:rPr>
        <w:t>本期发生额</w:t>
        <w:tab/>
        <w:tab/>
      </w:r>
      <w:r>
        <w:rPr>
          <w:rFonts w:ascii="宋体" w:hAnsi="宋体" w:cs="宋体" w:eastAsia="宋体" w:hint="default"/>
          <w:sz w:val="20"/>
          <w:szCs w:val="20"/>
        </w:rPr>
        <w:t>上期发生额</w:t>
      </w:r>
      <w:r>
        <w:rPr>
          <w:rFonts w:ascii="宋体" w:hAnsi="宋体" w:cs="宋体" w:eastAsia="宋体" w:hint="default"/>
          <w:w w:val="99"/>
          <w:sz w:val="20"/>
          <w:szCs w:val="20"/>
        </w:rPr>
        <w:t> </w:t>
      </w: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after="0" w:line="324" w:lineRule="auto"/>
        <w:jc w:val="left"/>
        <w:rPr>
          <w:rFonts w:ascii="宋体" w:hAnsi="宋体" w:cs="宋体" w:eastAsia="宋体" w:hint="default"/>
          <w:sz w:val="20"/>
          <w:szCs w:val="20"/>
        </w:rPr>
        <w:sectPr>
          <w:type w:val="continuous"/>
          <w:pgSz w:w="11910" w:h="16840"/>
          <w:pgMar w:top="1380" w:bottom="1380" w:left="1660" w:right="1660"/>
          <w:cols w:num="2" w:equalWidth="0">
            <w:col w:w="3378" w:space="40"/>
            <w:col w:w="5172"/>
          </w:cols>
        </w:sect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5pt;mso-position-horizontal-relative:char;mso-position-vertical-relative:line" coordorigin="0,0" coordsize="8379,10">
            <v:group style="position:absolute;left:5;top:5;width:3257;height:2" coordorigin="5,5" coordsize="3257,2">
              <v:shape style="position:absolute;left:5;top:5;width:3257;height:2" coordorigin="5,5" coordsize="3257,0" path="m5,5l3262,5e" filled="false" stroked="true" strokeweight=".48pt" strokecolor="#000000">
                <v:path arrowok="t"/>
              </v:shape>
            </v:group>
            <v:group style="position:absolute;left:3324;top:5;width:1234;height:2" coordorigin="3324,5" coordsize="1234,2">
              <v:shape style="position:absolute;left:3324;top:5;width:1234;height:2" coordorigin="3324,5" coordsize="1234,0" path="m3324,5l4558,5e" filled="false" stroked="true" strokeweight=".48pt" strokecolor="#000000">
                <v:path arrowok="t"/>
              </v:shape>
            </v:group>
            <v:group style="position:absolute;left:4620;top:5;width:1131;height:2" coordorigin="4620,5" coordsize="1131,2">
              <v:shape style="position:absolute;left:4620;top:5;width:1131;height:2" coordorigin="4620,5" coordsize="1131,0" path="m4620,5l5750,5e" filled="false" stroked="true" strokeweight=".48pt" strokecolor="#000000">
                <v:path arrowok="t"/>
              </v:shape>
            </v:group>
            <v:group style="position:absolute;left:5813;top:5;width:1184;height:2" coordorigin="5813,5" coordsize="1184,2">
              <v:shape style="position:absolute;left:5813;top:5;width:1184;height:2" coordorigin="5813,5" coordsize="1184,0" path="m5813,5l6996,5e" filled="false" stroked="true" strokeweight=".48pt" strokecolor="#000000">
                <v:path arrowok="t"/>
              </v:shape>
            </v:group>
            <v:group style="position:absolute;left:7058;top:5;width:1316;height:2" coordorigin="7058,5" coordsize="1316,2">
              <v:shape style="position:absolute;left:7058;top:5;width:1316;height:2" coordorigin="7058,5" coordsize="1316,0" path="m7058,5l8374,5e" filled="false" stroked="true" strokeweight=".48pt" strokecolor="#000000">
                <v:path arrowok="t"/>
              </v:shape>
            </v:group>
          </v:group>
        </w:pict>
      </w:r>
      <w:r>
        <w:rPr>
          <w:rFonts w:ascii="宋体" w:hAnsi="宋体" w:cs="宋体" w:eastAsia="宋体" w:hint="default"/>
          <w:sz w:val="2"/>
          <w:szCs w:val="2"/>
        </w:rPr>
      </w:r>
    </w:p>
    <w:p>
      <w:pPr>
        <w:tabs>
          <w:tab w:pos="3598" w:val="left" w:leader="none"/>
          <w:tab w:pos="6036" w:val="left" w:leader="none"/>
          <w:tab w:pos="7416" w:val="left" w:leader="none"/>
        </w:tabs>
        <w:spacing w:before="18"/>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软件开发</w:t>
        <w:tab/>
      </w:r>
      <w:r>
        <w:rPr>
          <w:rFonts w:ascii="Times New Roman" w:hAnsi="Times New Roman" w:cs="Times New Roman" w:eastAsia="Times New Roman" w:hint="default"/>
          <w:spacing w:val="-1"/>
          <w:position w:val="1"/>
          <w:sz w:val="18"/>
          <w:szCs w:val="18"/>
        </w:rPr>
        <w:t>77,601,734.01</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14,455,248.37</w:t>
        <w:tab/>
        <w:t>67,013,126.84</w:t>
        <w:tab/>
        <w:t>11,082,607.14</w:t>
      </w:r>
      <w:r>
        <w:rPr>
          <w:rFonts w:ascii="Times New Roman" w:hAnsi="Times New Roman" w:cs="Times New Roman" w:eastAsia="Times New Roman" w:hint="default"/>
          <w:spacing w:val="-1"/>
          <w:sz w:val="18"/>
          <w:szCs w:val="18"/>
        </w:rPr>
      </w:r>
    </w:p>
    <w:p>
      <w:pPr>
        <w:tabs>
          <w:tab w:pos="3687" w:val="left" w:leader="none"/>
          <w:tab w:pos="4877" w:val="left" w:leader="none"/>
          <w:tab w:pos="6036" w:val="left" w:leader="none"/>
          <w:tab w:pos="7505" w:val="left" w:leader="none"/>
        </w:tabs>
        <w:spacing w:before="97"/>
        <w:ind w:left="5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其中：规划和国土资源管理领域</w:t>
        <w:tab/>
      </w:r>
      <w:r>
        <w:rPr>
          <w:rFonts w:ascii="Times New Roman" w:hAnsi="Times New Roman" w:cs="Times New Roman" w:eastAsia="Times New Roman" w:hint="default"/>
          <w:spacing w:val="-1"/>
          <w:position w:val="1"/>
          <w:sz w:val="18"/>
          <w:szCs w:val="18"/>
        </w:rPr>
        <w:t>8,959,396.39</w:t>
        <w:tab/>
        <w:t>3,287,353.20</w:t>
        <w:tab/>
        <w:t>11,181,452.00</w:t>
        <w:tab/>
        <w:t>2,745,632.31</w:t>
      </w:r>
      <w:r>
        <w:rPr>
          <w:rFonts w:ascii="Times New Roman" w:hAnsi="Times New Roman" w:cs="Times New Roman" w:eastAsia="Times New Roman" w:hint="default"/>
          <w:sz w:val="18"/>
          <w:szCs w:val="18"/>
        </w:rPr>
      </w:r>
    </w:p>
    <w:p>
      <w:pPr>
        <w:tabs>
          <w:tab w:pos="3598" w:val="left" w:leader="none"/>
          <w:tab w:pos="6036" w:val="left" w:leader="none"/>
          <w:tab w:pos="7505" w:val="left" w:leader="none"/>
        </w:tabs>
        <w:spacing w:before="97"/>
        <w:ind w:left="11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数字化城市管理领域</w:t>
        <w:tab/>
      </w:r>
      <w:r>
        <w:rPr>
          <w:rFonts w:ascii="Times New Roman" w:hAnsi="Times New Roman" w:cs="Times New Roman" w:eastAsia="Times New Roman" w:hint="default"/>
          <w:spacing w:val="-1"/>
          <w:position w:val="1"/>
          <w:sz w:val="18"/>
          <w:szCs w:val="18"/>
        </w:rPr>
        <w:t>68,642,337.62</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11,159,029.17</w:t>
        <w:tab/>
        <w:t>55,831,673.85</w:t>
        <w:tab/>
        <w:t>8,336,974.83</w:t>
      </w:r>
      <w:r>
        <w:rPr>
          <w:rFonts w:ascii="Times New Roman" w:hAnsi="Times New Roman" w:cs="Times New Roman" w:eastAsia="Times New Roman" w:hint="default"/>
          <w:sz w:val="18"/>
          <w:szCs w:val="18"/>
        </w:rPr>
      </w:r>
    </w:p>
    <w:p>
      <w:pPr>
        <w:tabs>
          <w:tab w:pos="3598" w:val="left" w:leader="none"/>
          <w:tab w:pos="6125" w:val="left" w:leader="none"/>
          <w:tab w:pos="7505" w:val="left" w:leader="none"/>
        </w:tabs>
        <w:spacing w:before="97"/>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软硬件代购</w:t>
        <w:tab/>
      </w:r>
      <w:r>
        <w:rPr>
          <w:rFonts w:ascii="Times New Roman" w:hAnsi="Times New Roman" w:cs="Times New Roman" w:eastAsia="Times New Roman" w:hint="default"/>
          <w:spacing w:val="-1"/>
          <w:position w:val="1"/>
          <w:sz w:val="18"/>
          <w:szCs w:val="18"/>
        </w:rPr>
        <w:t>13,089,552.30</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11,882,472.11</w:t>
        <w:tab/>
        <w:t>3,120,119.66</w:t>
        <w:tab/>
        <w:t>2,982,950.45</w:t>
      </w:r>
      <w:r>
        <w:rPr>
          <w:rFonts w:ascii="Times New Roman" w:hAnsi="Times New Roman" w:cs="Times New Roman" w:eastAsia="Times New Roman" w:hint="default"/>
          <w:sz w:val="18"/>
          <w:szCs w:val="18"/>
        </w:rPr>
      </w:r>
    </w:p>
    <w:p>
      <w:pPr>
        <w:tabs>
          <w:tab w:pos="3821" w:val="left" w:leader="none"/>
          <w:tab w:pos="5103" w:val="left" w:leader="none"/>
        </w:tabs>
        <w:spacing w:before="97"/>
        <w:ind w:left="5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其中：规划和国土资源管理领域</w:t>
        <w:tab/>
      </w:r>
      <w:r>
        <w:rPr>
          <w:rFonts w:ascii="Times New Roman" w:hAnsi="Times New Roman" w:cs="Times New Roman" w:eastAsia="Times New Roman" w:hint="default"/>
          <w:spacing w:val="-1"/>
          <w:position w:val="1"/>
          <w:sz w:val="18"/>
          <w:szCs w:val="18"/>
        </w:rPr>
        <w:t>539,671.97</w:t>
        <w:tab/>
        <w:t>28,933.34</w:t>
      </w:r>
      <w:r>
        <w:rPr>
          <w:rFonts w:ascii="Times New Roman" w:hAnsi="Times New Roman" w:cs="Times New Roman" w:eastAsia="Times New Roman" w:hint="default"/>
          <w:spacing w:val="-1"/>
          <w:sz w:val="18"/>
          <w:szCs w:val="18"/>
        </w:rPr>
      </w:r>
    </w:p>
    <w:p>
      <w:pPr>
        <w:tabs>
          <w:tab w:pos="3598" w:val="left" w:leader="none"/>
          <w:tab w:pos="6125" w:val="left" w:leader="none"/>
          <w:tab w:pos="7505" w:val="left" w:leader="none"/>
        </w:tabs>
        <w:spacing w:before="97"/>
        <w:ind w:left="11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数字化城市管理领域</w:t>
        <w:tab/>
      </w:r>
      <w:r>
        <w:rPr>
          <w:rFonts w:ascii="Times New Roman" w:hAnsi="Times New Roman" w:cs="Times New Roman" w:eastAsia="Times New Roman" w:hint="default"/>
          <w:spacing w:val="-1"/>
          <w:position w:val="1"/>
          <w:sz w:val="18"/>
          <w:szCs w:val="18"/>
        </w:rPr>
        <w:t>12,549,880.33</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11,853,538.77</w:t>
        <w:tab/>
        <w:t>3,120,119.66</w:t>
        <w:tab/>
        <w:t>2,982,950.45</w:t>
      </w:r>
      <w:r>
        <w:rPr>
          <w:rFonts w:ascii="Times New Roman" w:hAnsi="Times New Roman" w:cs="Times New Roman" w:eastAsia="Times New Roman" w:hint="default"/>
          <w:sz w:val="18"/>
          <w:szCs w:val="18"/>
        </w:rPr>
      </w:r>
    </w:p>
    <w:p>
      <w:pPr>
        <w:tabs>
          <w:tab w:pos="3687" w:val="left" w:leader="none"/>
          <w:tab w:pos="4877" w:val="left" w:leader="none"/>
          <w:tab w:pos="6125" w:val="left" w:leader="none"/>
          <w:tab w:pos="7639" w:val="left" w:leader="none"/>
        </w:tabs>
        <w:spacing w:before="97"/>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技术服务</w:t>
        <w:tab/>
      </w:r>
      <w:r>
        <w:rPr>
          <w:rFonts w:ascii="Times New Roman" w:hAnsi="Times New Roman" w:cs="Times New Roman" w:eastAsia="Times New Roman" w:hint="default"/>
          <w:spacing w:val="-1"/>
          <w:position w:val="1"/>
          <w:sz w:val="18"/>
          <w:szCs w:val="18"/>
        </w:rPr>
        <w:t>4,551,324.00</w:t>
        <w:tab/>
        <w:t>2,384,826.37</w:t>
        <w:tab/>
        <w:t>2,033,363.26</w:t>
        <w:tab/>
      </w:r>
      <w:r>
        <w:rPr>
          <w:rFonts w:ascii="Times New Roman" w:hAnsi="Times New Roman" w:cs="Times New Roman" w:eastAsia="Times New Roman" w:hint="default"/>
          <w:position w:val="1"/>
          <w:sz w:val="18"/>
          <w:szCs w:val="18"/>
        </w:rPr>
        <w:t>556,971.67</w:t>
      </w:r>
      <w:r>
        <w:rPr>
          <w:rFonts w:ascii="Times New Roman" w:hAnsi="Times New Roman" w:cs="Times New Roman" w:eastAsia="Times New Roman" w:hint="default"/>
          <w:sz w:val="18"/>
          <w:szCs w:val="18"/>
        </w:rPr>
      </w:r>
    </w:p>
    <w:p>
      <w:pPr>
        <w:tabs>
          <w:tab w:pos="3821" w:val="left" w:leader="none"/>
          <w:tab w:pos="5011" w:val="left" w:leader="none"/>
          <w:tab w:pos="6259" w:val="left" w:leader="none"/>
          <w:tab w:pos="7639" w:val="left" w:leader="none"/>
        </w:tabs>
        <w:spacing w:before="97"/>
        <w:ind w:left="5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其中：规划和国土资源管理领域</w:t>
        <w:tab/>
      </w:r>
      <w:r>
        <w:rPr>
          <w:rFonts w:ascii="Times New Roman" w:hAnsi="Times New Roman" w:cs="Times New Roman" w:eastAsia="Times New Roman" w:hint="default"/>
          <w:spacing w:val="-1"/>
          <w:position w:val="1"/>
          <w:sz w:val="18"/>
          <w:szCs w:val="18"/>
        </w:rPr>
        <w:t>480,000.00</w:t>
        <w:tab/>
        <w:t>133,140.53</w:t>
        <w:tab/>
        <w:t>843,247.87</w:t>
        <w:tab/>
      </w:r>
      <w:r>
        <w:rPr>
          <w:rFonts w:ascii="Times New Roman" w:hAnsi="Times New Roman" w:cs="Times New Roman" w:eastAsia="Times New Roman" w:hint="default"/>
          <w:position w:val="1"/>
          <w:sz w:val="18"/>
          <w:szCs w:val="18"/>
        </w:rPr>
        <w:t>408,238.06</w:t>
      </w:r>
      <w:r>
        <w:rPr>
          <w:rFonts w:ascii="Times New Roman" w:hAnsi="Times New Roman" w:cs="Times New Roman" w:eastAsia="Times New Roman" w:hint="default"/>
          <w:sz w:val="18"/>
          <w:szCs w:val="18"/>
        </w:rPr>
      </w:r>
    </w:p>
    <w:p>
      <w:pPr>
        <w:tabs>
          <w:tab w:pos="3687" w:val="left" w:leader="none"/>
          <w:tab w:pos="4877" w:val="left" w:leader="none"/>
          <w:tab w:pos="6125" w:val="left" w:leader="none"/>
          <w:tab w:pos="7639" w:val="left" w:leader="none"/>
        </w:tabs>
        <w:spacing w:before="97"/>
        <w:ind w:left="114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数字化城市管理领域</w:t>
        <w:tab/>
      </w:r>
      <w:r>
        <w:rPr>
          <w:rFonts w:ascii="Times New Roman" w:hAnsi="Times New Roman" w:cs="Times New Roman" w:eastAsia="Times New Roman" w:hint="default"/>
          <w:spacing w:val="-1"/>
          <w:position w:val="1"/>
          <w:sz w:val="18"/>
          <w:szCs w:val="18"/>
        </w:rPr>
        <w:t>4,071,324.00</w:t>
        <w:tab/>
        <w:t>2,260,551.84</w:t>
        <w:tab/>
        <w:t>1,190,115.39</w:t>
        <w:tab/>
      </w:r>
      <w:r>
        <w:rPr>
          <w:rFonts w:ascii="Times New Roman" w:hAnsi="Times New Roman" w:cs="Times New Roman" w:eastAsia="Times New Roman" w:hint="default"/>
          <w:position w:val="1"/>
          <w:sz w:val="18"/>
          <w:szCs w:val="18"/>
        </w:rPr>
        <w:t>148,733.61</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7"/>
          <w:szCs w:val="7"/>
        </w:rPr>
      </w:pPr>
    </w:p>
    <w:p>
      <w:pPr>
        <w:spacing w:line="20" w:lineRule="exact"/>
        <w:ind w:left="342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53pt;height:.5pt;mso-position-horizontal-relative:char;mso-position-vertical-relative:line" coordorigin="0,0" coordsize="5060,10">
            <v:group style="position:absolute;left:5;top:5;width:1234;height:2" coordorigin="5,5" coordsize="1234,2">
              <v:shape style="position:absolute;left:5;top:5;width:1234;height:2" coordorigin="5,5" coordsize="1234,0" path="m5,5l1238,5e" filled="false" stroked="true" strokeweight=".48pt" strokecolor="#000000">
                <v:path arrowok="t"/>
              </v:shape>
            </v:group>
            <v:group style="position:absolute;left:1301;top:5;width:1131;height:2" coordorigin="1301,5" coordsize="1131,2">
              <v:shape style="position:absolute;left:1301;top:5;width:1131;height:2" coordorigin="1301,5" coordsize="1131,0" path="m1301,5l2431,5e" filled="false" stroked="true" strokeweight=".48pt" strokecolor="#000000">
                <v:path arrowok="t"/>
              </v:shape>
            </v:group>
            <v:group style="position:absolute;left:2494;top:5;width:1184;height:2" coordorigin="2494,5" coordsize="1184,2">
              <v:shape style="position:absolute;left:2494;top:5;width:1184;height:2" coordorigin="2494,5" coordsize="1184,0" path="m2494,5l3677,5e" filled="false" stroked="true" strokeweight=".48pt" strokecolor="#000000">
                <v:path arrowok="t"/>
              </v:shape>
            </v:group>
            <v:group style="position:absolute;left:3739;top:5;width:1316;height:2" coordorigin="3739,5" coordsize="1316,2">
              <v:shape style="position:absolute;left:3739;top:5;width:1316;height:2" coordorigin="3739,5" coordsize="1316,0" path="m3739,5l5054,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639" w:val="left" w:leader="none"/>
          <w:tab w:pos="3598" w:val="left" w:leader="none"/>
          <w:tab w:pos="6036" w:val="left" w:leader="none"/>
          <w:tab w:pos="7416" w:val="left" w:leader="none"/>
        </w:tabs>
        <w:spacing w:before="5"/>
        <w:ind w:left="1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20"/>
          <w:szCs w:val="20"/>
        </w:rPr>
        <w:t>小</w:t>
        <w:tab/>
        <w:t>计</w:t>
        <w:tab/>
      </w:r>
      <w:r>
        <w:rPr>
          <w:rFonts w:ascii="Times New Roman" w:hAnsi="Times New Roman" w:cs="Times New Roman" w:eastAsia="Times New Roman" w:hint="default"/>
          <w:spacing w:val="-1"/>
          <w:position w:val="1"/>
          <w:sz w:val="18"/>
          <w:szCs w:val="18"/>
        </w:rPr>
        <w:t>95,242,610.31</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28,722,546.85</w:t>
        <w:tab/>
        <w:t>72,166,609.76</w:t>
        <w:tab/>
        <w:t>14,622,529.26</w:t>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sz w:val="7"/>
          <w:szCs w:val="7"/>
        </w:rPr>
      </w:pPr>
    </w:p>
    <w:p>
      <w:pPr>
        <w:spacing w:line="43" w:lineRule="exact"/>
        <w:ind w:left="3420"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53.2pt;height:2.2pt;mso-position-horizontal-relative:char;mso-position-vertical-relative:line" coordorigin="0,0" coordsize="5064,44">
            <v:group style="position:absolute;left:7;top:7;width:1234;height:2" coordorigin="7,7" coordsize="1234,2">
              <v:shape style="position:absolute;left:7;top:7;width:1234;height:2" coordorigin="7,7" coordsize="1234,0" path="m7,7l1241,7e" filled="false" stroked="true" strokeweight=".72pt" strokecolor="#000000">
                <v:path arrowok="t"/>
              </v:shape>
            </v:group>
            <v:group style="position:absolute;left:7;top:36;width:1234;height:2" coordorigin="7,36" coordsize="1234,2">
              <v:shape style="position:absolute;left:7;top:36;width:1234;height:2" coordorigin="7,36" coordsize="1234,0" path="m7,36l1241,36e" filled="false" stroked="true" strokeweight=".72pt" strokecolor="#000000">
                <v:path arrowok="t"/>
              </v:shape>
            </v:group>
            <v:group style="position:absolute;left:1303;top:7;width:1131;height:2" coordorigin="1303,7" coordsize="1131,2">
              <v:shape style="position:absolute;left:1303;top:7;width:1131;height:2" coordorigin="1303,7" coordsize="1131,0" path="m1303,7l2434,7e" filled="false" stroked="true" strokeweight=".72pt" strokecolor="#000000">
                <v:path arrowok="t"/>
              </v:shape>
            </v:group>
            <v:group style="position:absolute;left:1303;top:36;width:1131;height:2" coordorigin="1303,36" coordsize="1131,2">
              <v:shape style="position:absolute;left:1303;top:36;width:1131;height:2" coordorigin="1303,36" coordsize="1131,0" path="m1303,36l2434,36e" filled="false" stroked="true" strokeweight=".72pt" strokecolor="#000000">
                <v:path arrowok="t"/>
              </v:shape>
            </v:group>
            <v:group style="position:absolute;left:2496;top:7;width:1184;height:2" coordorigin="2496,7" coordsize="1184,2">
              <v:shape style="position:absolute;left:2496;top:7;width:1184;height:2" coordorigin="2496,7" coordsize="1184,0" path="m2496,7l3679,7e" filled="false" stroked="true" strokeweight=".72pt" strokecolor="#000000">
                <v:path arrowok="t"/>
              </v:shape>
            </v:group>
            <v:group style="position:absolute;left:2496;top:36;width:1184;height:2" coordorigin="2496,36" coordsize="1184,2">
              <v:shape style="position:absolute;left:2496;top:36;width:1184;height:2" coordorigin="2496,36" coordsize="1184,0" path="m2496,36l3679,36e" filled="false" stroked="true" strokeweight=".72pt" strokecolor="#000000">
                <v:path arrowok="t"/>
              </v:shape>
            </v:group>
            <v:group style="position:absolute;left:3742;top:7;width:1316;height:2" coordorigin="3742,7" coordsize="1316,2">
              <v:shape style="position:absolute;left:3742;top:7;width:1316;height:2" coordorigin="3742,7" coordsize="1316,0" path="m3742,7l5057,7e" filled="false" stroked="true" strokeweight=".72pt" strokecolor="#000000">
                <v:path arrowok="t"/>
              </v:shape>
            </v:group>
            <v:group style="position:absolute;left:3742;top:36;width:1316;height:2" coordorigin="3742,36" coordsize="1316,2">
              <v:shape style="position:absolute;left:3742;top:36;width:1316;height:2" coordorigin="3742,36" coordsize="1316,0" path="m3742,36l5057,36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before="18"/>
        <w:ind w:left="137" w:right="0" w:firstLine="0"/>
        <w:jc w:val="left"/>
        <w:rPr>
          <w:rFonts w:ascii="宋体" w:hAnsi="宋体" w:cs="宋体" w:eastAsia="宋体" w:hint="default"/>
          <w:sz w:val="20"/>
          <w:szCs w:val="20"/>
        </w:rPr>
      </w:pPr>
      <w:r>
        <w:rPr>
          <w:rFonts w:ascii="宋体" w:hAnsi="宋体" w:cs="宋体" w:eastAsia="宋体" w:hint="default"/>
          <w:sz w:val="20"/>
          <w:szCs w:val="20"/>
        </w:rPr>
        <w:t>减：内部抵销数</w:t>
      </w:r>
    </w:p>
    <w:p>
      <w:pPr>
        <w:spacing w:line="240" w:lineRule="auto" w:before="4"/>
        <w:rPr>
          <w:rFonts w:ascii="宋体" w:hAnsi="宋体" w:cs="宋体" w:eastAsia="宋体" w:hint="default"/>
          <w:sz w:val="6"/>
          <w:szCs w:val="6"/>
        </w:rPr>
      </w:pPr>
    </w:p>
    <w:p>
      <w:pPr>
        <w:spacing w:line="20" w:lineRule="exact"/>
        <w:ind w:left="3423" w:right="0" w:firstLine="0"/>
        <w:rPr>
          <w:rFonts w:ascii="宋体" w:hAnsi="宋体" w:cs="宋体" w:eastAsia="宋体" w:hint="default"/>
          <w:sz w:val="2"/>
          <w:szCs w:val="2"/>
        </w:rPr>
      </w:pPr>
      <w:r>
        <w:rPr>
          <w:rFonts w:ascii="宋体" w:hAnsi="宋体" w:cs="宋体" w:eastAsia="宋体" w:hint="default"/>
          <w:sz w:val="2"/>
          <w:szCs w:val="2"/>
        </w:rPr>
        <w:pict>
          <v:group style="width:253pt;height:.5pt;mso-position-horizontal-relative:char;mso-position-vertical-relative:line" coordorigin="0,0" coordsize="5060,10">
            <v:group style="position:absolute;left:5;top:5;width:1234;height:2" coordorigin="5,5" coordsize="1234,2">
              <v:shape style="position:absolute;left:5;top:5;width:1234;height:2" coordorigin="5,5" coordsize="1234,0" path="m5,5l1238,5e" filled="false" stroked="true" strokeweight=".48pt" strokecolor="#000000">
                <v:path arrowok="t"/>
              </v:shape>
            </v:group>
            <v:group style="position:absolute;left:1301;top:5;width:1131;height:2" coordorigin="1301,5" coordsize="1131,2">
              <v:shape style="position:absolute;left:1301;top:5;width:1131;height:2" coordorigin="1301,5" coordsize="1131,0" path="m1301,5l2431,5e" filled="false" stroked="true" strokeweight=".48pt" strokecolor="#000000">
                <v:path arrowok="t"/>
              </v:shape>
            </v:group>
            <v:group style="position:absolute;left:2494;top:5;width:1184;height:2" coordorigin="2494,5" coordsize="1184,2">
              <v:shape style="position:absolute;left:2494;top:5;width:1184;height:2" coordorigin="2494,5" coordsize="1184,0" path="m2494,5l3677,5e" filled="false" stroked="true" strokeweight=".48pt" strokecolor="#000000">
                <v:path arrowok="t"/>
              </v:shape>
            </v:group>
            <v:group style="position:absolute;left:3739;top:5;width:1316;height:2" coordorigin="3739,5" coordsize="1316,2">
              <v:shape style="position:absolute;left:3739;top:5;width:1316;height:2" coordorigin="3739,5" coordsize="1316,0" path="m3739,5l5054,5e" filled="false" stroked="true" strokeweight=".48pt" strokecolor="#000000">
                <v:path arrowok="t"/>
              </v:shape>
            </v:group>
          </v:group>
        </w:pict>
      </w:r>
      <w:r>
        <w:rPr>
          <w:rFonts w:ascii="宋体" w:hAnsi="宋体" w:cs="宋体" w:eastAsia="宋体" w:hint="default"/>
          <w:sz w:val="2"/>
          <w:szCs w:val="2"/>
        </w:rPr>
      </w:r>
    </w:p>
    <w:p>
      <w:pPr>
        <w:tabs>
          <w:tab w:pos="3598" w:val="left" w:leader="none"/>
          <w:tab w:pos="6036" w:val="left" w:leader="none"/>
          <w:tab w:pos="7416" w:val="left" w:leader="none"/>
        </w:tabs>
        <w:spacing w:before="5"/>
        <w:ind w:left="1486" w:right="0"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position w:val="1"/>
          <w:sz w:val="18"/>
          <w:szCs w:val="18"/>
        </w:rPr>
        <w:t>95,242,610.31</w:t>
      </w:r>
      <w:r>
        <w:rPr>
          <w:rFonts w:ascii="Times New Roman" w:hAnsi="Times New Roman" w:cs="Times New Roman" w:eastAsia="Times New Roman" w:hint="default"/>
          <w:position w:val="1"/>
          <w:sz w:val="18"/>
          <w:szCs w:val="18"/>
        </w:rPr>
        <w:t>  </w:t>
      </w:r>
      <w:r>
        <w:rPr>
          <w:rFonts w:ascii="Times New Roman" w:hAnsi="Times New Roman" w:cs="Times New Roman" w:eastAsia="Times New Roman" w:hint="default"/>
          <w:spacing w:val="35"/>
          <w:position w:val="1"/>
          <w:sz w:val="18"/>
          <w:szCs w:val="18"/>
        </w:rPr>
        <w:t> </w:t>
      </w:r>
      <w:r>
        <w:rPr>
          <w:rFonts w:ascii="Times New Roman" w:hAnsi="Times New Roman" w:cs="Times New Roman" w:eastAsia="Times New Roman" w:hint="default"/>
          <w:spacing w:val="-1"/>
          <w:position w:val="1"/>
          <w:sz w:val="18"/>
          <w:szCs w:val="18"/>
        </w:rPr>
        <w:t>28,722,546.85</w:t>
        <w:tab/>
        <w:t>72,166,609.76</w:t>
        <w:tab/>
        <w:t>14,622,529.26</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sz w:val="7"/>
          <w:szCs w:val="7"/>
        </w:rPr>
      </w:pPr>
    </w:p>
    <w:p>
      <w:pPr>
        <w:spacing w:line="43" w:lineRule="exact"/>
        <w:ind w:left="3406"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253.95pt;height:2.2pt;mso-position-horizontal-relative:char;mso-position-vertical-relative:line" coordorigin="0,0" coordsize="5079,44">
            <v:group style="position:absolute;left:7;top:36;width:1248;height:2" coordorigin="7,36" coordsize="1248,2">
              <v:shape style="position:absolute;left:7;top:36;width:1248;height:2" coordorigin="7,36" coordsize="1248,0" path="m7,36l1255,36e" filled="false" stroked="true" strokeweight=".72pt" strokecolor="#000000">
                <v:path arrowok="t"/>
              </v:shape>
            </v:group>
            <v:group style="position:absolute;left:7;top:7;width:1248;height:2" coordorigin="7,7" coordsize="1248,2">
              <v:shape style="position:absolute;left:7;top:7;width:1248;height:2" coordorigin="7,7" coordsize="1248,0" path="m7,7l1255,7e" filled="false" stroked="true" strokeweight=".72pt" strokecolor="#000000">
                <v:path arrowok="t"/>
              </v:shape>
            </v:group>
            <v:group style="position:absolute;left:1303;top:36;width:1145;height:2" coordorigin="1303,36" coordsize="1145,2">
              <v:shape style="position:absolute;left:1303;top:36;width:1145;height:2" coordorigin="1303,36" coordsize="1145,0" path="m1303,36l2448,36e" filled="false" stroked="true" strokeweight=".72pt" strokecolor="#000000">
                <v:path arrowok="t"/>
              </v:shape>
            </v:group>
            <v:group style="position:absolute;left:1303;top:7;width:1145;height:2" coordorigin="1303,7" coordsize="1145,2">
              <v:shape style="position:absolute;left:1303;top:7;width:1145;height:2" coordorigin="1303,7" coordsize="1145,0" path="m1303,7l2448,7e" filled="false" stroked="true" strokeweight=".72pt" strokecolor="#000000">
                <v:path arrowok="t"/>
              </v:shape>
            </v:group>
            <v:group style="position:absolute;left:2496;top:36;width:1198;height:2" coordorigin="2496,36" coordsize="1198,2">
              <v:shape style="position:absolute;left:2496;top:36;width:1198;height:2" coordorigin="2496,36" coordsize="1198,0" path="m2496,36l3694,36e" filled="false" stroked="true" strokeweight=".72pt" strokecolor="#000000">
                <v:path arrowok="t"/>
              </v:shape>
            </v:group>
            <v:group style="position:absolute;left:2496;top:7;width:1198;height:2" coordorigin="2496,7" coordsize="1198,2">
              <v:shape style="position:absolute;left:2496;top:7;width:1198;height:2" coordorigin="2496,7" coordsize="1198,0" path="m2496,7l3694,7e" filled="false" stroked="true" strokeweight=".72pt" strokecolor="#000000">
                <v:path arrowok="t"/>
              </v:shape>
            </v:group>
            <v:group style="position:absolute;left:3742;top:36;width:1330;height:2" coordorigin="3742,36" coordsize="1330,2">
              <v:shape style="position:absolute;left:3742;top:36;width:1330;height:2" coordorigin="3742,36" coordsize="1330,0" path="m3742,36l5071,36e" filled="false" stroked="true" strokeweight=".72pt" strokecolor="#000000">
                <v:path arrowok="t"/>
              </v:shape>
            </v:group>
            <v:group style="position:absolute;left:3742;top:7;width:1330;height:2" coordorigin="3742,7" coordsize="1330,2">
              <v:shape style="position:absolute;left:3742;top:7;width:1330;height:2" coordorigin="3742,7" coordsize="1330,0" path="m3742,7l5071,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after="0" w:line="43" w:lineRule="exact"/>
        <w:rPr>
          <w:rFonts w:ascii="Times New Roman" w:hAnsi="Times New Roman" w:cs="Times New Roman" w:eastAsia="Times New Roman" w:hint="default"/>
          <w:sz w:val="4"/>
          <w:szCs w:val="4"/>
        </w:rPr>
        <w:sectPr>
          <w:type w:val="continuous"/>
          <w:pgSz w:w="11910" w:h="16840"/>
          <w:pgMar w:top="1380" w:bottom="1380" w:left="1660" w:right="1660"/>
        </w:sectPr>
      </w:pPr>
    </w:p>
    <w:p>
      <w:pPr>
        <w:spacing w:line="20" w:lineRule="exact"/>
        <w:ind w:left="116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73"/>
        <w:ind w:left="1677" w:right="0"/>
        <w:jc w:val="left"/>
      </w:pPr>
      <w:r>
        <w:rPr/>
        <w:t>（</w:t>
      </w:r>
      <w:r>
        <w:rPr>
          <w:rFonts w:ascii="Times New Roman" w:hAnsi="Times New Roman" w:cs="Times New Roman" w:eastAsia="Times New Roman" w:hint="default"/>
        </w:rPr>
        <w:t>3</w:t>
      </w:r>
      <w:r>
        <w:rPr/>
        <w:t>）主营业务（分地区）</w:t>
      </w:r>
    </w:p>
    <w:p>
      <w:pPr>
        <w:spacing w:line="240" w:lineRule="auto" w:before="6"/>
        <w:rPr>
          <w:rFonts w:ascii="宋体" w:hAnsi="宋体" w:cs="宋体" w:eastAsia="宋体" w:hint="default"/>
          <w:sz w:val="8"/>
          <w:szCs w:val="8"/>
        </w:rPr>
      </w:pPr>
    </w:p>
    <w:tbl>
      <w:tblPr>
        <w:tblW w:w="0" w:type="auto"/>
        <w:jc w:val="left"/>
        <w:tblInd w:w="1175" w:type="dxa"/>
        <w:tblLayout w:type="fixed"/>
        <w:tblCellMar>
          <w:top w:w="0" w:type="dxa"/>
          <w:left w:w="0" w:type="dxa"/>
          <w:bottom w:w="0" w:type="dxa"/>
          <w:right w:w="0" w:type="dxa"/>
        </w:tblCellMar>
        <w:tblLook w:val="01E0"/>
      </w:tblPr>
      <w:tblGrid>
        <w:gridCol w:w="2712"/>
        <w:gridCol w:w="2215"/>
        <w:gridCol w:w="1164"/>
        <w:gridCol w:w="1140"/>
        <w:gridCol w:w="1123"/>
      </w:tblGrid>
      <w:tr>
        <w:trPr>
          <w:trHeight w:val="260" w:hRule="exact"/>
        </w:trPr>
        <w:tc>
          <w:tcPr>
            <w:tcW w:w="2712"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4" w:space="0" w:color="000000"/>
              <w:right w:val="nil" w:sz="6" w:space="0" w:color="auto"/>
            </w:tcBorders>
          </w:tcPr>
          <w:p>
            <w:pPr>
              <w:pStyle w:val="TableParagraph"/>
              <w:spacing w:line="180" w:lineRule="exact"/>
              <w:ind w:right="86"/>
              <w:jc w:val="right"/>
              <w:rPr>
                <w:rFonts w:ascii="宋体" w:hAnsi="宋体" w:cs="宋体" w:eastAsia="宋体" w:hint="default"/>
                <w:sz w:val="18"/>
                <w:szCs w:val="18"/>
              </w:rPr>
            </w:pPr>
            <w:r>
              <w:rPr>
                <w:rFonts w:ascii="宋体" w:hAnsi="宋体" w:cs="宋体" w:eastAsia="宋体" w:hint="default"/>
                <w:sz w:val="18"/>
                <w:szCs w:val="18"/>
              </w:rPr>
              <w:t>本期发生额</w:t>
            </w:r>
          </w:p>
        </w:tc>
        <w:tc>
          <w:tcPr>
            <w:tcW w:w="1164" w:type="dxa"/>
            <w:tcBorders>
              <w:top w:val="nil" w:sz="6" w:space="0" w:color="auto"/>
              <w:left w:val="nil" w:sz="6" w:space="0" w:color="auto"/>
              <w:bottom w:val="single" w:sz="4" w:space="0" w:color="000000"/>
              <w:right w:val="nil" w:sz="6" w:space="0" w:color="auto"/>
            </w:tcBorders>
          </w:tcPr>
          <w:p>
            <w:pPr/>
          </w:p>
        </w:tc>
        <w:tc>
          <w:tcPr>
            <w:tcW w:w="2263"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6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4" w:hRule="exact"/>
        </w:trPr>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67" w:right="0"/>
              <w:jc w:val="center"/>
              <w:rPr>
                <w:rFonts w:ascii="宋体" w:hAnsi="宋体" w:cs="宋体" w:eastAsia="宋体" w:hint="default"/>
                <w:sz w:val="20"/>
                <w:szCs w:val="20"/>
              </w:rPr>
            </w:pPr>
            <w:r>
              <w:rPr>
                <w:rFonts w:ascii="宋体" w:hAnsi="宋体" w:cs="宋体" w:eastAsia="宋体" w:hint="default"/>
                <w:sz w:val="20"/>
                <w:szCs w:val="20"/>
              </w:rPr>
              <w:t>地区名称</w:t>
            </w:r>
          </w:p>
        </w:tc>
        <w:tc>
          <w:tcPr>
            <w:tcW w:w="2215"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686"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64"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170"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59"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123"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203" w:right="0"/>
              <w:jc w:val="left"/>
              <w:rPr>
                <w:rFonts w:ascii="宋体" w:hAnsi="宋体" w:cs="宋体" w:eastAsia="宋体" w:hint="default"/>
                <w:sz w:val="20"/>
                <w:szCs w:val="20"/>
              </w:rPr>
            </w:pPr>
            <w:r>
              <w:rPr>
                <w:rFonts w:ascii="宋体" w:hAnsi="宋体" w:cs="宋体" w:eastAsia="宋体" w:hint="default"/>
                <w:sz w:val="20"/>
                <w:szCs w:val="20"/>
              </w:rPr>
              <w:t>营业成本</w:t>
            </w:r>
          </w:p>
        </w:tc>
      </w:tr>
      <w:tr>
        <w:trPr>
          <w:trHeight w:val="344" w:hRule="exact"/>
        </w:trPr>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 w:right="0"/>
              <w:jc w:val="left"/>
              <w:rPr>
                <w:rFonts w:ascii="宋体" w:hAnsi="宋体" w:cs="宋体" w:eastAsia="宋体" w:hint="default"/>
                <w:sz w:val="20"/>
                <w:szCs w:val="20"/>
              </w:rPr>
            </w:pPr>
            <w:r>
              <w:rPr>
                <w:rFonts w:ascii="宋体" w:hAnsi="宋体" w:cs="宋体" w:eastAsia="宋体" w:hint="default"/>
                <w:sz w:val="20"/>
                <w:szCs w:val="20"/>
              </w:rPr>
              <w:t>北方</w:t>
            </w: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5"/>
              <w:jc w:val="right"/>
              <w:rPr>
                <w:rFonts w:ascii="Times New Roman" w:hAnsi="Times New Roman" w:cs="Times New Roman" w:eastAsia="Times New Roman" w:hint="default"/>
                <w:sz w:val="18"/>
                <w:szCs w:val="18"/>
              </w:rPr>
            </w:pPr>
            <w:r>
              <w:rPr>
                <w:rFonts w:ascii="Times New Roman"/>
                <w:spacing w:val="-1"/>
                <w:sz w:val="18"/>
              </w:rPr>
              <w:t>75,443,819.99</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7"/>
              <w:jc w:val="right"/>
              <w:rPr>
                <w:rFonts w:ascii="Times New Roman" w:hAnsi="Times New Roman" w:cs="Times New Roman" w:eastAsia="Times New Roman" w:hint="default"/>
                <w:sz w:val="18"/>
                <w:szCs w:val="18"/>
              </w:rPr>
            </w:pPr>
            <w:r>
              <w:rPr>
                <w:rFonts w:ascii="Times New Roman"/>
                <w:spacing w:val="-1"/>
                <w:sz w:val="18"/>
              </w:rPr>
              <w:t>20,912,219.82</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6"/>
              <w:jc w:val="center"/>
              <w:rPr>
                <w:rFonts w:ascii="Times New Roman" w:hAnsi="Times New Roman" w:cs="Times New Roman" w:eastAsia="Times New Roman" w:hint="default"/>
                <w:sz w:val="18"/>
                <w:szCs w:val="18"/>
              </w:rPr>
            </w:pPr>
            <w:r>
              <w:rPr>
                <w:rFonts w:ascii="Times New Roman"/>
                <w:sz w:val="18"/>
              </w:rPr>
              <w:t>45,843,371.81</w:t>
            </w: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6"/>
              <w:jc w:val="right"/>
              <w:rPr>
                <w:rFonts w:ascii="Times New Roman" w:hAnsi="Times New Roman" w:cs="Times New Roman" w:eastAsia="Times New Roman" w:hint="default"/>
                <w:sz w:val="18"/>
                <w:szCs w:val="18"/>
              </w:rPr>
            </w:pPr>
            <w:r>
              <w:rPr>
                <w:rFonts w:ascii="Times New Roman"/>
                <w:spacing w:val="-1"/>
                <w:sz w:val="18"/>
              </w:rPr>
              <w:t>8,249,127.63</w:t>
            </w:r>
            <w:r>
              <w:rPr>
                <w:rFonts w:ascii="Times New Roman"/>
                <w:sz w:val="18"/>
              </w:rPr>
            </w:r>
          </w:p>
        </w:tc>
      </w:tr>
      <w:tr>
        <w:trPr>
          <w:trHeight w:val="348"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南方</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56"/>
              <w:jc w:val="right"/>
              <w:rPr>
                <w:rFonts w:ascii="Times New Roman" w:hAnsi="Times New Roman" w:cs="Times New Roman" w:eastAsia="Times New Roman" w:hint="default"/>
                <w:sz w:val="18"/>
                <w:szCs w:val="18"/>
              </w:rPr>
            </w:pPr>
            <w:r>
              <w:rPr>
                <w:rFonts w:ascii="Times New Roman"/>
                <w:spacing w:val="-1"/>
                <w:sz w:val="18"/>
              </w:rPr>
              <w:t>19,798,790.32</w:t>
            </w:r>
            <w:r>
              <w:rPr>
                <w:rFonts w:ascii="Times New Roman"/>
                <w:sz w:val="18"/>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6"/>
              <w:jc w:val="right"/>
              <w:rPr>
                <w:rFonts w:ascii="Times New Roman" w:hAnsi="Times New Roman" w:cs="Times New Roman" w:eastAsia="Times New Roman" w:hint="default"/>
                <w:sz w:val="18"/>
                <w:szCs w:val="18"/>
              </w:rPr>
            </w:pPr>
            <w:r>
              <w:rPr>
                <w:rFonts w:ascii="Times New Roman"/>
                <w:spacing w:val="-1"/>
                <w:sz w:val="18"/>
              </w:rPr>
              <w:t>7,810,327.03</w:t>
            </w:r>
            <w:r>
              <w:rPr>
                <w:rFonts w:ascii="Times New Roman"/>
                <w:sz w:val="18"/>
              </w:rPr>
            </w: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center"/>
              <w:rPr>
                <w:rFonts w:ascii="Times New Roman" w:hAnsi="Times New Roman" w:cs="Times New Roman" w:eastAsia="Times New Roman" w:hint="default"/>
                <w:sz w:val="18"/>
                <w:szCs w:val="18"/>
              </w:rPr>
            </w:pPr>
            <w:r>
              <w:rPr>
                <w:rFonts w:ascii="Times New Roman"/>
                <w:sz w:val="18"/>
              </w:rPr>
              <w:t>26,323,237.95</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
              <w:jc w:val="right"/>
              <w:rPr>
                <w:rFonts w:ascii="Times New Roman" w:hAnsi="Times New Roman" w:cs="Times New Roman" w:eastAsia="Times New Roman" w:hint="default"/>
                <w:sz w:val="18"/>
                <w:szCs w:val="18"/>
              </w:rPr>
            </w:pPr>
            <w:r>
              <w:rPr>
                <w:rFonts w:ascii="Times New Roman"/>
                <w:spacing w:val="-1"/>
                <w:sz w:val="18"/>
              </w:rPr>
              <w:t>6,373,401.63</w:t>
            </w:r>
            <w:r>
              <w:rPr>
                <w:rFonts w:ascii="Times New Roman"/>
                <w:sz w:val="18"/>
              </w:rPr>
            </w:r>
          </w:p>
        </w:tc>
      </w:tr>
      <w:tr>
        <w:trPr>
          <w:trHeight w:val="353"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center"/>
              <w:rPr>
                <w:rFonts w:ascii="宋体" w:hAnsi="宋体" w:cs="宋体" w:eastAsia="宋体" w:hint="default"/>
                <w:sz w:val="20"/>
                <w:szCs w:val="20"/>
              </w:rPr>
            </w:pPr>
            <w:r>
              <w:rPr>
                <w:rFonts w:ascii="宋体" w:hAnsi="宋体" w:cs="宋体" w:eastAsia="宋体" w:hint="default"/>
                <w:sz w:val="20"/>
                <w:szCs w:val="20"/>
              </w:rPr>
              <w:t>境内小计</w:t>
            </w:r>
          </w:p>
        </w:tc>
        <w:tc>
          <w:tcPr>
            <w:tcW w:w="22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95,242,610.31</w:t>
            </w:r>
          </w:p>
        </w:tc>
        <w:tc>
          <w:tcPr>
            <w:tcW w:w="1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63" w:hRule="exact"/>
        </w:trPr>
        <w:tc>
          <w:tcPr>
            <w:tcW w:w="271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3"/>
              <w:ind w:right="3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15"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155"/>
              <w:jc w:val="right"/>
              <w:rPr>
                <w:rFonts w:ascii="Times New Roman" w:hAnsi="Times New Roman" w:cs="Times New Roman" w:eastAsia="Times New Roman" w:hint="default"/>
                <w:sz w:val="18"/>
                <w:szCs w:val="18"/>
              </w:rPr>
            </w:pPr>
            <w:r>
              <w:rPr>
                <w:rFonts w:ascii="Times New Roman"/>
                <w:spacing w:val="-1"/>
                <w:sz w:val="18"/>
              </w:rPr>
              <w:t>95,242,610.31</w:t>
            </w:r>
          </w:p>
        </w:tc>
        <w:tc>
          <w:tcPr>
            <w:tcW w:w="1164"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17" w:space="0" w:color="000000"/>
              <w:left w:val="nil" w:sz="6" w:space="0" w:color="auto"/>
              <w:bottom w:val="nil" w:sz="6" w:space="0" w:color="auto"/>
              <w:right w:val="nil" w:sz="6" w:space="0" w:color="auto"/>
            </w:tcBorders>
          </w:tcPr>
          <w:p>
            <w:pPr>
              <w:pStyle w:val="TableParagraph"/>
              <w:spacing w:line="240" w:lineRule="auto" w:before="69"/>
              <w:ind w:right="18"/>
              <w:jc w:val="right"/>
              <w:rPr>
                <w:rFonts w:ascii="Times New Roman" w:hAnsi="Times New Roman" w:cs="Times New Roman" w:eastAsia="Times New Roman" w:hint="default"/>
                <w:sz w:val="18"/>
                <w:szCs w:val="18"/>
              </w:rPr>
            </w:pPr>
            <w:r>
              <w:rPr>
                <w:rFonts w:ascii="Times New Roman"/>
                <w:spacing w:val="-1"/>
                <w:sz w:val="18"/>
              </w:rPr>
              <w:t>14,622,529.26</w:t>
            </w:r>
          </w:p>
        </w:tc>
      </w:tr>
      <w:tr>
        <w:trPr>
          <w:trHeight w:val="348"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0"/>
                <w:szCs w:val="20"/>
              </w:rPr>
            </w:pPr>
            <w:r>
              <w:rPr>
                <w:rFonts w:ascii="宋体" w:hAnsi="宋体" w:cs="宋体" w:eastAsia="宋体" w:hint="default"/>
                <w:sz w:val="20"/>
                <w:szCs w:val="20"/>
              </w:rPr>
              <w:t>减：公司内各地区抵销数</w:t>
            </w:r>
          </w:p>
        </w:tc>
        <w:tc>
          <w:tcPr>
            <w:tcW w:w="2215" w:type="dxa"/>
            <w:tcBorders>
              <w:top w:val="nil" w:sz="6" w:space="0" w:color="auto"/>
              <w:left w:val="nil" w:sz="6" w:space="0" w:color="auto"/>
              <w:bottom w:val="single" w:sz="4" w:space="0" w:color="000000"/>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
        </w:tc>
      </w:tr>
      <w:tr>
        <w:trPr>
          <w:trHeight w:val="353" w:hRule="exact"/>
        </w:trPr>
        <w:tc>
          <w:tcPr>
            <w:tcW w:w="271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31"/>
              <w:jc w:val="center"/>
              <w:rPr>
                <w:rFonts w:ascii="宋体" w:hAnsi="宋体" w:cs="宋体" w:eastAsia="宋体" w:hint="default"/>
                <w:sz w:val="20"/>
                <w:szCs w:val="20"/>
              </w:rPr>
            </w:pPr>
            <w:r>
              <w:rPr>
                <w:rFonts w:ascii="宋体" w:hAnsi="宋体" w:cs="宋体" w:eastAsia="宋体" w:hint="default"/>
                <w:w w:val="95"/>
                <w:sz w:val="20"/>
                <w:szCs w:val="20"/>
              </w:rPr>
              <w:t>总</w:t>
              <w:tab/>
            </w:r>
            <w:r>
              <w:rPr>
                <w:rFonts w:ascii="宋体" w:hAnsi="宋体" w:cs="宋体" w:eastAsia="宋体" w:hint="default"/>
                <w:sz w:val="20"/>
                <w:szCs w:val="20"/>
              </w:rPr>
              <w:t>计</w:t>
            </w:r>
          </w:p>
        </w:tc>
        <w:tc>
          <w:tcPr>
            <w:tcW w:w="22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55"/>
              <w:jc w:val="right"/>
              <w:rPr>
                <w:rFonts w:ascii="Times New Roman" w:hAnsi="Times New Roman" w:cs="Times New Roman" w:eastAsia="Times New Roman" w:hint="default"/>
                <w:sz w:val="18"/>
                <w:szCs w:val="18"/>
              </w:rPr>
            </w:pPr>
            <w:r>
              <w:rPr>
                <w:rFonts w:ascii="Times New Roman"/>
                <w:spacing w:val="-1"/>
                <w:sz w:val="18"/>
              </w:rPr>
              <w:t>95,242,610.31</w:t>
            </w:r>
          </w:p>
        </w:tc>
        <w:tc>
          <w:tcPr>
            <w:tcW w:w="1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37"/>
              <w:jc w:val="right"/>
              <w:rPr>
                <w:rFonts w:ascii="Times New Roman" w:hAnsi="Times New Roman" w:cs="Times New Roman" w:eastAsia="Times New Roman" w:hint="default"/>
                <w:sz w:val="18"/>
                <w:szCs w:val="18"/>
              </w:rPr>
            </w:pPr>
            <w:r>
              <w:rPr>
                <w:rFonts w:ascii="Times New Roman"/>
                <w:spacing w:val="-1"/>
                <w:sz w:val="18"/>
              </w:rPr>
              <w:t>28,722,546.85</w:t>
            </w:r>
          </w:p>
        </w:tc>
        <w:tc>
          <w:tcPr>
            <w:tcW w:w="11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6"/>
              <w:jc w:val="center"/>
              <w:rPr>
                <w:rFonts w:ascii="Times New Roman" w:hAnsi="Times New Roman" w:cs="Times New Roman" w:eastAsia="Times New Roman" w:hint="default"/>
                <w:sz w:val="18"/>
                <w:szCs w:val="18"/>
              </w:rPr>
            </w:pPr>
            <w:r>
              <w:rPr>
                <w:rFonts w:ascii="Times New Roman"/>
                <w:sz w:val="18"/>
              </w:rPr>
              <w:t>72,166,609.76</w:t>
            </w:r>
          </w:p>
        </w:tc>
        <w:tc>
          <w:tcPr>
            <w:tcW w:w="112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9"/>
              <w:jc w:val="right"/>
              <w:rPr>
                <w:rFonts w:ascii="Times New Roman" w:hAnsi="Times New Roman" w:cs="Times New Roman" w:eastAsia="Times New Roman" w:hint="default"/>
                <w:sz w:val="18"/>
                <w:szCs w:val="18"/>
              </w:rPr>
            </w:pPr>
            <w:r>
              <w:rPr>
                <w:rFonts w:ascii="Times New Roman"/>
                <w:spacing w:val="-1"/>
                <w:sz w:val="18"/>
              </w:rPr>
              <w:t>14,622,529.26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26"/>
        <w:ind w:left="1797" w:right="0"/>
        <w:jc w:val="left"/>
      </w:pPr>
      <w:r>
        <w:rPr/>
        <w:t>（</w:t>
      </w:r>
      <w:r>
        <w:rPr>
          <w:rFonts w:ascii="Times New Roman" w:hAnsi="Times New Roman" w:cs="Times New Roman" w:eastAsia="Times New Roman" w:hint="default"/>
        </w:rPr>
        <w:t>4</w:t>
      </w:r>
      <w:r>
        <w:rPr/>
        <w:t>）报告期内各年度前五名客户的营业收入情况</w:t>
      </w:r>
    </w:p>
    <w:p>
      <w:pPr>
        <w:spacing w:line="240" w:lineRule="auto" w:before="7"/>
        <w:rPr>
          <w:rFonts w:ascii="宋体" w:hAnsi="宋体" w:cs="宋体" w:eastAsia="宋体" w:hint="default"/>
          <w:sz w:val="7"/>
          <w:szCs w:val="7"/>
        </w:rPr>
      </w:pPr>
    </w:p>
    <w:tbl>
      <w:tblPr>
        <w:tblW w:w="0" w:type="auto"/>
        <w:jc w:val="left"/>
        <w:tblInd w:w="1175" w:type="dxa"/>
        <w:tblLayout w:type="fixed"/>
        <w:tblCellMar>
          <w:top w:w="0" w:type="dxa"/>
          <w:left w:w="0" w:type="dxa"/>
          <w:bottom w:w="0" w:type="dxa"/>
          <w:right w:w="0" w:type="dxa"/>
        </w:tblCellMar>
        <w:tblLook w:val="01E0"/>
      </w:tblPr>
      <w:tblGrid>
        <w:gridCol w:w="1458"/>
        <w:gridCol w:w="3377"/>
        <w:gridCol w:w="3530"/>
      </w:tblGrid>
      <w:tr>
        <w:trPr>
          <w:trHeight w:val="279" w:hRule="exact"/>
        </w:trPr>
        <w:tc>
          <w:tcPr>
            <w:tcW w:w="1458" w:type="dxa"/>
            <w:tcBorders>
              <w:top w:val="nil" w:sz="6" w:space="0" w:color="auto"/>
              <w:left w:val="nil" w:sz="6" w:space="0" w:color="auto"/>
              <w:bottom w:val="single" w:sz="4" w:space="0" w:color="000000"/>
              <w:right w:val="nil" w:sz="6" w:space="0" w:color="auto"/>
            </w:tcBorders>
          </w:tcPr>
          <w:p>
            <w:pPr>
              <w:pStyle w:val="TableParagraph"/>
              <w:spacing w:line="214" w:lineRule="exact"/>
              <w:ind w:left="215" w:right="0"/>
              <w:jc w:val="left"/>
              <w:rPr>
                <w:rFonts w:ascii="宋体" w:hAnsi="宋体" w:cs="宋体" w:eastAsia="宋体" w:hint="default"/>
                <w:sz w:val="20"/>
                <w:szCs w:val="20"/>
              </w:rPr>
            </w:pPr>
            <w:r>
              <w:rPr>
                <w:rFonts w:ascii="宋体" w:hAnsi="宋体" w:cs="宋体" w:eastAsia="宋体" w:hint="default"/>
                <w:sz w:val="20"/>
                <w:szCs w:val="20"/>
              </w:rPr>
              <w:t>年度</w:t>
            </w:r>
            <w:r>
              <w:rPr>
                <w:rFonts w:ascii="Times New Roman" w:hAnsi="Times New Roman" w:cs="Times New Roman" w:eastAsia="Times New Roman" w:hint="default"/>
                <w:sz w:val="20"/>
                <w:szCs w:val="20"/>
              </w:rPr>
              <w:t>/</w:t>
            </w:r>
            <w:r>
              <w:rPr>
                <w:rFonts w:ascii="宋体" w:hAnsi="宋体" w:cs="宋体" w:eastAsia="宋体" w:hint="default"/>
                <w:sz w:val="20"/>
                <w:szCs w:val="20"/>
              </w:rPr>
              <w:t>期间</w:t>
            </w:r>
          </w:p>
        </w:tc>
        <w:tc>
          <w:tcPr>
            <w:tcW w:w="3377" w:type="dxa"/>
            <w:tcBorders>
              <w:top w:val="nil" w:sz="6" w:space="0" w:color="auto"/>
              <w:left w:val="nil" w:sz="6" w:space="0" w:color="auto"/>
              <w:bottom w:val="single" w:sz="4" w:space="0" w:color="000000"/>
              <w:right w:val="nil" w:sz="6" w:space="0" w:color="auto"/>
            </w:tcBorders>
          </w:tcPr>
          <w:p>
            <w:pPr>
              <w:pStyle w:val="TableParagraph"/>
              <w:spacing w:line="199" w:lineRule="exact"/>
              <w:ind w:left="385" w:right="0"/>
              <w:jc w:val="left"/>
              <w:rPr>
                <w:rFonts w:ascii="宋体" w:hAnsi="宋体" w:cs="宋体" w:eastAsia="宋体" w:hint="default"/>
                <w:sz w:val="20"/>
                <w:szCs w:val="20"/>
              </w:rPr>
            </w:pPr>
            <w:r>
              <w:rPr>
                <w:rFonts w:ascii="宋体" w:hAnsi="宋体" w:cs="宋体" w:eastAsia="宋体" w:hint="default"/>
                <w:sz w:val="20"/>
                <w:szCs w:val="20"/>
              </w:rPr>
              <w:t>前五名客户营业收入合计</w:t>
            </w:r>
          </w:p>
        </w:tc>
        <w:tc>
          <w:tcPr>
            <w:tcW w:w="3530" w:type="dxa"/>
            <w:tcBorders>
              <w:top w:val="nil" w:sz="6" w:space="0" w:color="auto"/>
              <w:left w:val="nil" w:sz="6" w:space="0" w:color="auto"/>
              <w:bottom w:val="single" w:sz="4" w:space="0" w:color="000000"/>
              <w:right w:val="nil" w:sz="6" w:space="0" w:color="auto"/>
            </w:tcBorders>
          </w:tcPr>
          <w:p>
            <w:pPr>
              <w:pStyle w:val="TableParagraph"/>
              <w:spacing w:line="214" w:lineRule="exact"/>
              <w:ind w:left="358" w:right="0"/>
              <w:jc w:val="left"/>
              <w:rPr>
                <w:rFonts w:ascii="宋体" w:hAnsi="宋体" w:cs="宋体" w:eastAsia="宋体" w:hint="default"/>
                <w:sz w:val="20"/>
                <w:szCs w:val="20"/>
              </w:rPr>
            </w:pPr>
            <w:r>
              <w:rPr>
                <w:rFonts w:ascii="宋体" w:hAnsi="宋体" w:cs="宋体" w:eastAsia="宋体" w:hint="default"/>
                <w:sz w:val="20"/>
                <w:szCs w:val="20"/>
              </w:rPr>
              <w:t>占同期营业收入的比例（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00" w:hRule="exact"/>
        </w:trPr>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377"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356"/>
              <w:jc w:val="right"/>
              <w:rPr>
                <w:rFonts w:ascii="Times New Roman" w:hAnsi="Times New Roman" w:cs="Times New Roman" w:eastAsia="Times New Roman" w:hint="default"/>
                <w:sz w:val="18"/>
                <w:szCs w:val="18"/>
              </w:rPr>
            </w:pPr>
            <w:r>
              <w:rPr>
                <w:rFonts w:ascii="Times New Roman"/>
                <w:spacing w:val="-1"/>
                <w:sz w:val="18"/>
              </w:rPr>
              <w:t>35,317,595.32</w:t>
            </w:r>
          </w:p>
        </w:tc>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36.89</w:t>
            </w:r>
          </w:p>
        </w:tc>
      </w:tr>
      <w:tr>
        <w:trPr>
          <w:trHeight w:val="304" w:hRule="exact"/>
        </w:trPr>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37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6"/>
              <w:jc w:val="right"/>
              <w:rPr>
                <w:rFonts w:ascii="Times New Roman" w:hAnsi="Times New Roman" w:cs="Times New Roman" w:eastAsia="Times New Roman" w:hint="default"/>
                <w:sz w:val="18"/>
                <w:szCs w:val="18"/>
              </w:rPr>
            </w:pPr>
            <w:r>
              <w:rPr>
                <w:rFonts w:ascii="Times New Roman"/>
                <w:spacing w:val="-1"/>
                <w:sz w:val="18"/>
              </w:rPr>
              <w:t>38,921,711.27</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z w:val="18"/>
              </w:rPr>
              <w:t>53.92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ind w:left="1680"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9"/>
        <w:rPr>
          <w:rFonts w:ascii="宋体" w:hAnsi="宋体" w:cs="宋体" w:eastAsia="宋体" w:hint="default"/>
          <w:b/>
          <w:bCs/>
          <w:sz w:val="17"/>
          <w:szCs w:val="17"/>
        </w:rPr>
      </w:pPr>
    </w:p>
    <w:p>
      <w:pPr>
        <w:pStyle w:val="BodyText"/>
        <w:spacing w:line="240" w:lineRule="auto"/>
        <w:ind w:left="1677" w:right="0"/>
        <w:jc w:val="left"/>
      </w:pPr>
      <w:r>
        <w:rPr/>
        <w:t>（</w:t>
      </w:r>
      <w:r>
        <w:rPr>
          <w:rFonts w:ascii="Times New Roman" w:hAnsi="Times New Roman" w:cs="Times New Roman" w:eastAsia="Times New Roman" w:hint="default"/>
        </w:rPr>
        <w:t>1</w:t>
      </w:r>
      <w:r>
        <w:rPr/>
        <w:t>）将净利润调节为经营活动现金流量的信息</w:t>
      </w:r>
    </w:p>
    <w:p>
      <w:pPr>
        <w:spacing w:line="240" w:lineRule="auto" w:before="7"/>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7606"/>
        <w:gridCol w:w="1597"/>
        <w:gridCol w:w="1302"/>
      </w:tblGrid>
      <w:tr>
        <w:trPr>
          <w:trHeight w:val="270" w:hRule="exact"/>
        </w:trPr>
        <w:tc>
          <w:tcPr>
            <w:tcW w:w="7606" w:type="dxa"/>
            <w:tcBorders>
              <w:top w:val="nil" w:sz="6" w:space="0" w:color="auto"/>
              <w:left w:val="nil" w:sz="6" w:space="0" w:color="auto"/>
              <w:bottom w:val="single" w:sz="4" w:space="0" w:color="000000"/>
              <w:right w:val="nil" w:sz="6" w:space="0" w:color="auto"/>
            </w:tcBorders>
          </w:tcPr>
          <w:p>
            <w:pPr>
              <w:pStyle w:val="TableParagraph"/>
              <w:spacing w:line="189" w:lineRule="exact"/>
              <w:ind w:left="-1" w:right="3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199" w:lineRule="exact"/>
              <w:ind w:left="314"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302" w:type="dxa"/>
            <w:tcBorders>
              <w:top w:val="nil" w:sz="6" w:space="0" w:color="auto"/>
              <w:left w:val="nil" w:sz="6" w:space="0" w:color="auto"/>
              <w:bottom w:val="single" w:sz="4" w:space="0" w:color="000000"/>
              <w:right w:val="nil" w:sz="6" w:space="0" w:color="auto"/>
            </w:tcBorders>
          </w:tcPr>
          <w:p>
            <w:pPr>
              <w:pStyle w:val="TableParagraph"/>
              <w:spacing w:line="199" w:lineRule="exact"/>
              <w:ind w:left="181"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760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597" w:type="dxa"/>
            <w:tcBorders>
              <w:top w:val="single" w:sz="4" w:space="0" w:color="000000"/>
              <w:left w:val="nil" w:sz="6" w:space="0" w:color="auto"/>
              <w:bottom w:val="nil" w:sz="6" w:space="0" w:color="auto"/>
              <w:right w:val="nil" w:sz="6" w:space="0" w:color="auto"/>
            </w:tcBorders>
          </w:tcPr>
          <w:p>
            <w:pPr/>
          </w:p>
        </w:tc>
        <w:tc>
          <w:tcPr>
            <w:tcW w:w="1302" w:type="dxa"/>
            <w:tcBorders>
              <w:top w:val="single" w:sz="4" w:space="0" w:color="000000"/>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18"/>
                <w:szCs w:val="18"/>
              </w:rPr>
            </w:pPr>
            <w:r>
              <w:rPr>
                <w:rFonts w:ascii="Times New Roman"/>
                <w:spacing w:val="-1"/>
                <w:sz w:val="18"/>
              </w:rPr>
              <w:t>51,443,250.38</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
              <w:jc w:val="right"/>
              <w:rPr>
                <w:rFonts w:ascii="Times New Roman" w:hAnsi="Times New Roman" w:cs="Times New Roman" w:eastAsia="Times New Roman" w:hint="default"/>
                <w:sz w:val="18"/>
                <w:szCs w:val="18"/>
              </w:rPr>
            </w:pPr>
            <w:r>
              <w:rPr>
                <w:rFonts w:ascii="Times New Roman"/>
                <w:spacing w:val="-1"/>
                <w:sz w:val="18"/>
              </w:rPr>
              <w:t>41,247,489.85</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18"/>
                <w:szCs w:val="18"/>
              </w:rPr>
            </w:pPr>
            <w:r>
              <w:rPr>
                <w:rFonts w:ascii="Times New Roman"/>
                <w:spacing w:val="-1"/>
                <w:sz w:val="18"/>
              </w:rPr>
              <w:t>1,641,127.57</w:t>
            </w:r>
            <w:r>
              <w:rPr>
                <w:rFonts w:ascii="Times New Roman"/>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Times New Roman"/>
                <w:sz w:val="18"/>
              </w:rPr>
              <w:t>212,821.99</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18"/>
                <w:szCs w:val="18"/>
              </w:rPr>
            </w:pPr>
            <w:r>
              <w:rPr>
                <w:rFonts w:ascii="Times New Roman"/>
                <w:spacing w:val="-1"/>
                <w:sz w:val="18"/>
              </w:rPr>
              <w:t>1,411,596.35</w:t>
            </w:r>
            <w:r>
              <w:rPr>
                <w:rFonts w:ascii="Times New Roman"/>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Times New Roman"/>
                <w:sz w:val="18"/>
              </w:rPr>
              <w:t>427,476.04</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18"/>
                <w:szCs w:val="18"/>
              </w:rPr>
            </w:pPr>
            <w:r>
              <w:rPr>
                <w:rFonts w:ascii="Times New Roman"/>
                <w:sz w:val="18"/>
              </w:rPr>
              <w:t>282,000.00</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
              <w:jc w:val="right"/>
              <w:rPr>
                <w:rFonts w:ascii="Times New Roman" w:hAnsi="Times New Roman" w:cs="Times New Roman" w:eastAsia="Times New Roman" w:hint="default"/>
                <w:sz w:val="18"/>
                <w:szCs w:val="18"/>
              </w:rPr>
            </w:pPr>
            <w:r>
              <w:rPr>
                <w:rFonts w:ascii="Times New Roman"/>
                <w:spacing w:val="-1"/>
                <w:sz w:val="18"/>
              </w:rPr>
              <w:t>70,500.00</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18"/>
                <w:szCs w:val="18"/>
              </w:rPr>
            </w:pPr>
            <w:r>
              <w:rPr>
                <w:rFonts w:ascii="Times New Roman"/>
                <w:spacing w:val="-1"/>
                <w:sz w:val="18"/>
              </w:rPr>
              <w:t>63,287.04</w:t>
            </w: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18"/>
                <w:szCs w:val="18"/>
              </w:rPr>
            </w:pPr>
            <w:r>
              <w:rPr>
                <w:rFonts w:ascii="Times New Roman"/>
                <w:spacing w:val="-1"/>
                <w:sz w:val="18"/>
              </w:rPr>
              <w:t>13,606.98</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Times New Roman"/>
                <w:sz w:val="18"/>
              </w:rPr>
              <w:t>5,361.21</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18"/>
                <w:szCs w:val="18"/>
              </w:rPr>
            </w:pPr>
            <w:r>
              <w:rPr>
                <w:rFonts w:ascii="Times New Roman"/>
                <w:spacing w:val="-1"/>
                <w:sz w:val="18"/>
              </w:rPr>
              <w:t>-292,196.45</w:t>
            </w:r>
            <w:r>
              <w:rPr>
                <w:rFonts w:ascii="Times New Roman"/>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w w:val="95"/>
                <w:sz w:val="18"/>
              </w:rPr>
              <w:t>-37,210.79</w:t>
            </w:r>
            <w:r>
              <w:rPr>
                <w:rFonts w:ascii="Times New Roman"/>
                <w:sz w:val="18"/>
              </w:rPr>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9"/>
              <w:jc w:val="right"/>
              <w:rPr>
                <w:rFonts w:ascii="Times New Roman" w:hAnsi="Times New Roman" w:cs="Times New Roman" w:eastAsia="Times New Roman" w:hint="default"/>
                <w:sz w:val="18"/>
                <w:szCs w:val="18"/>
              </w:rPr>
            </w:pPr>
            <w:r>
              <w:rPr>
                <w:rFonts w:ascii="Times New Roman"/>
                <w:spacing w:val="-1"/>
                <w:sz w:val="18"/>
              </w:rPr>
              <w:t>-1,119,759.96</w:t>
            </w:r>
            <w:r>
              <w:rPr>
                <w:rFonts w:ascii="Times New Roman"/>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Times New Roman"/>
                <w:sz w:val="18"/>
              </w:rPr>
              <w:t>935,712.97</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18"/>
                <w:szCs w:val="18"/>
              </w:rPr>
            </w:pPr>
            <w:r>
              <w:rPr>
                <w:rFonts w:ascii="Times New Roman"/>
                <w:spacing w:val="-1"/>
                <w:sz w:val="18"/>
              </w:rPr>
              <w:t>-19,105,621.09</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8"/>
                <w:szCs w:val="18"/>
              </w:rPr>
            </w:pPr>
            <w:r>
              <w:rPr>
                <w:rFonts w:ascii="Times New Roman"/>
                <w:spacing w:val="-1"/>
                <w:sz w:val="18"/>
              </w:rPr>
              <w:t>-245,295.23</w:t>
            </w:r>
            <w:r>
              <w:rPr>
                <w:rFonts w:ascii="Times New Roman"/>
                <w:sz w:val="18"/>
              </w:rPr>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0"/>
              <w:jc w:val="right"/>
              <w:rPr>
                <w:rFonts w:ascii="Times New Roman" w:hAnsi="Times New Roman" w:cs="Times New Roman" w:eastAsia="Times New Roman" w:hint="default"/>
                <w:sz w:val="18"/>
                <w:szCs w:val="18"/>
              </w:rPr>
            </w:pPr>
            <w:r>
              <w:rPr>
                <w:rFonts w:ascii="Times New Roman"/>
                <w:spacing w:val="-1"/>
                <w:sz w:val="18"/>
              </w:rPr>
              <w:t>-19,580,429.45</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
              <w:jc w:val="right"/>
              <w:rPr>
                <w:rFonts w:ascii="Times New Roman" w:hAnsi="Times New Roman" w:cs="Times New Roman" w:eastAsia="Times New Roman" w:hint="default"/>
                <w:sz w:val="18"/>
                <w:szCs w:val="18"/>
              </w:rPr>
            </w:pPr>
            <w:r>
              <w:rPr>
                <w:rFonts w:ascii="Times New Roman"/>
                <w:spacing w:val="-1"/>
                <w:sz w:val="18"/>
              </w:rPr>
              <w:t>2,594,508.32</w:t>
            </w:r>
            <w:r>
              <w:rPr>
                <w:rFonts w:ascii="Times New Roman"/>
                <w:sz w:val="18"/>
              </w:rPr>
            </w:r>
          </w:p>
        </w:tc>
      </w:tr>
      <w:tr>
        <w:trPr>
          <w:trHeight w:val="343"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nil" w:sz="6" w:space="0" w:color="auto"/>
              <w:left w:val="nil" w:sz="6" w:space="0" w:color="auto"/>
              <w:bottom w:val="single" w:sz="4" w:space="0" w:color="000000"/>
              <w:right w:val="nil" w:sz="6" w:space="0" w:color="auto"/>
            </w:tcBorders>
          </w:tcPr>
          <w:p>
            <w:pPr/>
          </w:p>
        </w:tc>
        <w:tc>
          <w:tcPr>
            <w:tcW w:w="1302" w:type="dxa"/>
            <w:tcBorders>
              <w:top w:val="nil" w:sz="6" w:space="0" w:color="auto"/>
              <w:left w:val="nil" w:sz="6" w:space="0" w:color="auto"/>
              <w:bottom w:val="single" w:sz="4" w:space="0" w:color="000000"/>
              <w:right w:val="nil" w:sz="6" w:space="0" w:color="auto"/>
            </w:tcBorders>
          </w:tcPr>
          <w:p>
            <w:pPr/>
          </w:p>
        </w:tc>
      </w:tr>
      <w:tr>
        <w:trPr>
          <w:trHeight w:val="353"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597"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80"/>
              <w:jc w:val="right"/>
              <w:rPr>
                <w:rFonts w:ascii="Times New Roman" w:hAnsi="Times New Roman" w:cs="Times New Roman" w:eastAsia="Times New Roman" w:hint="default"/>
                <w:sz w:val="18"/>
                <w:szCs w:val="18"/>
              </w:rPr>
            </w:pPr>
            <w:r>
              <w:rPr>
                <w:rFonts w:ascii="Times New Roman"/>
                <w:spacing w:val="-1"/>
                <w:sz w:val="18"/>
              </w:rPr>
              <w:t>14,756,861.37</w:t>
            </w:r>
          </w:p>
        </w:tc>
        <w:tc>
          <w:tcPr>
            <w:tcW w:w="1302"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45,211,364.36</w:t>
            </w:r>
          </w:p>
        </w:tc>
      </w:tr>
    </w:tbl>
    <w:p>
      <w:pPr>
        <w:spacing w:after="0" w:line="240" w:lineRule="auto"/>
        <w:jc w:val="right"/>
        <w:rPr>
          <w:rFonts w:ascii="Times New Roman" w:hAnsi="Times New Roman" w:cs="Times New Roman" w:eastAsia="Times New Roman" w:hint="default"/>
          <w:sz w:val="18"/>
          <w:szCs w:val="18"/>
        </w:rPr>
        <w:sectPr>
          <w:footerReference w:type="default" r:id="rId44"/>
          <w:pgSz w:w="11910" w:h="16840"/>
          <w:pgMar w:footer="979" w:header="850" w:top="1380" w:bottom="1160" w:left="600" w:right="600"/>
          <w:pgNumType w:start="131"/>
        </w:sectPr>
      </w:pPr>
    </w:p>
    <w:tbl>
      <w:tblPr>
        <w:tblW w:w="0" w:type="auto"/>
        <w:jc w:val="left"/>
        <w:tblInd w:w="100" w:type="dxa"/>
        <w:tblLayout w:type="fixed"/>
        <w:tblCellMar>
          <w:top w:w="0" w:type="dxa"/>
          <w:left w:w="0" w:type="dxa"/>
          <w:bottom w:w="0" w:type="dxa"/>
          <w:right w:w="0" w:type="dxa"/>
        </w:tblCellMar>
        <w:tblLook w:val="01E0"/>
      </w:tblPr>
      <w:tblGrid>
        <w:gridCol w:w="7606"/>
        <w:gridCol w:w="1778"/>
        <w:gridCol w:w="1121"/>
      </w:tblGrid>
      <w:tr>
        <w:trPr>
          <w:trHeight w:val="370" w:hRule="exact"/>
        </w:trPr>
        <w:tc>
          <w:tcPr>
            <w:tcW w:w="7606" w:type="dxa"/>
            <w:tcBorders>
              <w:top w:val="single" w:sz="6" w:space="0" w:color="000000"/>
              <w:left w:val="nil" w:sz="6" w:space="0" w:color="auto"/>
              <w:bottom w:val="single" w:sz="4" w:space="0" w:color="000000"/>
              <w:right w:val="nil" w:sz="6" w:space="0" w:color="auto"/>
            </w:tcBorders>
          </w:tcPr>
          <w:p>
            <w:pPr>
              <w:pStyle w:val="TableParagraph"/>
              <w:spacing w:line="240" w:lineRule="auto" w:before="46"/>
              <w:ind w:left="-1" w:right="3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78"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left="314"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121" w:type="dxa"/>
            <w:tcBorders>
              <w:top w:val="single" w:sz="6" w:space="0" w:color="000000"/>
              <w:left w:val="nil" w:sz="6" w:space="0" w:color="auto"/>
              <w:bottom w:val="single" w:sz="4" w:space="0" w:color="000000"/>
              <w:right w:val="nil" w:sz="6" w:space="0" w:color="auto"/>
            </w:tcBorders>
          </w:tcPr>
          <w:p>
            <w:pPr>
              <w:pStyle w:val="TableParagraph"/>
              <w:spacing w:line="240" w:lineRule="auto" w:before="30"/>
              <w:ind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760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78" w:type="dxa"/>
            <w:tcBorders>
              <w:top w:val="single" w:sz="4" w:space="0" w:color="000000"/>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
        </w:tc>
      </w:tr>
      <w:tr>
        <w:trPr>
          <w:trHeight w:val="331"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7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7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7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41"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7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88" w:right="0"/>
              <w:jc w:val="left"/>
              <w:rPr>
                <w:rFonts w:ascii="Times New Roman" w:hAnsi="Times New Roman" w:cs="Times New Roman" w:eastAsia="Times New Roman" w:hint="default"/>
                <w:sz w:val="18"/>
                <w:szCs w:val="18"/>
              </w:rPr>
            </w:pPr>
            <w:r>
              <w:rPr>
                <w:rFonts w:ascii="Times New Roman"/>
                <w:sz w:val="18"/>
              </w:rPr>
              <w:t>772,358,395.19</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Times New Roman" w:hAnsi="Times New Roman" w:cs="Times New Roman" w:eastAsia="Times New Roman" w:hint="default"/>
                <w:sz w:val="18"/>
                <w:szCs w:val="18"/>
              </w:rPr>
            </w:pPr>
            <w:r>
              <w:rPr>
                <w:rFonts w:ascii="Times New Roman"/>
                <w:sz w:val="18"/>
              </w:rPr>
              <w:t>93,867,177.11</w:t>
            </w:r>
          </w:p>
        </w:tc>
      </w:tr>
      <w:tr>
        <w:trPr>
          <w:trHeight w:val="336"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9" w:right="0"/>
              <w:jc w:val="left"/>
              <w:rPr>
                <w:rFonts w:ascii="Times New Roman" w:hAnsi="Times New Roman" w:cs="Times New Roman" w:eastAsia="Times New Roman" w:hint="default"/>
                <w:sz w:val="18"/>
                <w:szCs w:val="18"/>
              </w:rPr>
            </w:pPr>
            <w:r>
              <w:rPr>
                <w:rFonts w:ascii="Times New Roman"/>
                <w:sz w:val="18"/>
              </w:rPr>
              <w:t>93,867,177.11</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4" w:right="0"/>
              <w:jc w:val="left"/>
              <w:rPr>
                <w:rFonts w:ascii="Times New Roman" w:hAnsi="Times New Roman" w:cs="Times New Roman" w:eastAsia="Times New Roman" w:hint="default"/>
                <w:sz w:val="18"/>
                <w:szCs w:val="18"/>
              </w:rPr>
            </w:pPr>
            <w:r>
              <w:rPr>
                <w:rFonts w:ascii="Times New Roman"/>
                <w:sz w:val="18"/>
              </w:rPr>
              <w:t>75,721,199.65</w:t>
            </w:r>
          </w:p>
        </w:tc>
      </w:tr>
      <w:tr>
        <w:trPr>
          <w:trHeight w:val="331"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7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r>
      <w:tr>
        <w:trPr>
          <w:trHeight w:val="348"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78"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r>
      <w:tr>
        <w:trPr>
          <w:trHeight w:val="353" w:hRule="exact"/>
        </w:trPr>
        <w:tc>
          <w:tcPr>
            <w:tcW w:w="76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78"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288" w:right="0"/>
              <w:jc w:val="left"/>
              <w:rPr>
                <w:rFonts w:ascii="Times New Roman" w:hAnsi="Times New Roman" w:cs="Times New Roman" w:eastAsia="Times New Roman" w:hint="default"/>
                <w:sz w:val="18"/>
                <w:szCs w:val="18"/>
              </w:rPr>
            </w:pPr>
            <w:r>
              <w:rPr>
                <w:rFonts w:ascii="Times New Roman"/>
                <w:sz w:val="18"/>
              </w:rPr>
              <w:t>678,491,218.08</w:t>
            </w:r>
          </w:p>
        </w:tc>
        <w:tc>
          <w:tcPr>
            <w:tcW w:w="112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64" w:right="0"/>
              <w:jc w:val="left"/>
              <w:rPr>
                <w:rFonts w:ascii="Times New Roman" w:hAnsi="Times New Roman" w:cs="Times New Roman" w:eastAsia="Times New Roman" w:hint="default"/>
                <w:sz w:val="18"/>
                <w:szCs w:val="18"/>
              </w:rPr>
            </w:pPr>
            <w:r>
              <w:rPr>
                <w:rFonts w:ascii="Times New Roman"/>
                <w:sz w:val="18"/>
              </w:rPr>
              <w:t>18,145,977.46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26"/>
        <w:ind w:left="1677" w:right="0"/>
        <w:jc w:val="left"/>
      </w:pPr>
      <w:r>
        <w:rPr/>
        <w:t>（</w:t>
      </w:r>
      <w:r>
        <w:rPr>
          <w:rFonts w:ascii="Times New Roman" w:hAnsi="Times New Roman" w:cs="Times New Roman" w:eastAsia="Times New Roman" w:hint="default"/>
        </w:rPr>
        <w:t>2</w:t>
      </w:r>
      <w:r>
        <w:rPr/>
        <w:t>）现金及现金等价物的构成</w:t>
      </w:r>
    </w:p>
    <w:p>
      <w:pPr>
        <w:spacing w:line="240" w:lineRule="auto" w:before="9"/>
        <w:rPr>
          <w:rFonts w:ascii="宋体" w:hAnsi="宋体" w:cs="宋体" w:eastAsia="宋体" w:hint="default"/>
          <w:sz w:val="7"/>
          <w:szCs w:val="7"/>
        </w:rPr>
      </w:pPr>
    </w:p>
    <w:tbl>
      <w:tblPr>
        <w:tblW w:w="0" w:type="auto"/>
        <w:jc w:val="left"/>
        <w:tblInd w:w="573" w:type="dxa"/>
        <w:tblLayout w:type="fixed"/>
        <w:tblCellMar>
          <w:top w:w="0" w:type="dxa"/>
          <w:left w:w="0" w:type="dxa"/>
          <w:bottom w:w="0" w:type="dxa"/>
          <w:right w:w="0" w:type="dxa"/>
        </w:tblCellMar>
        <w:tblLook w:val="01E0"/>
      </w:tblPr>
      <w:tblGrid>
        <w:gridCol w:w="5514"/>
        <w:gridCol w:w="2764"/>
        <w:gridCol w:w="218"/>
        <w:gridCol w:w="1063"/>
      </w:tblGrid>
      <w:tr>
        <w:trPr>
          <w:trHeight w:val="270" w:hRule="exact"/>
        </w:trPr>
        <w:tc>
          <w:tcPr>
            <w:tcW w:w="5514" w:type="dxa"/>
            <w:tcBorders>
              <w:top w:val="nil" w:sz="6" w:space="0" w:color="auto"/>
              <w:left w:val="nil" w:sz="6" w:space="0" w:color="auto"/>
              <w:bottom w:val="single" w:sz="4" w:space="0" w:color="000000"/>
              <w:right w:val="nil" w:sz="6" w:space="0" w:color="auto"/>
            </w:tcBorders>
          </w:tcPr>
          <w:p>
            <w:pPr>
              <w:pStyle w:val="TableParagraph"/>
              <w:tabs>
                <w:tab w:pos="3688" w:val="left" w:leader="none"/>
              </w:tabs>
              <w:spacing w:line="199" w:lineRule="exact"/>
              <w:ind w:left="318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764" w:type="dxa"/>
            <w:tcBorders>
              <w:top w:val="nil" w:sz="6" w:space="0" w:color="auto"/>
              <w:left w:val="nil" w:sz="6" w:space="0" w:color="auto"/>
              <w:bottom w:val="single" w:sz="4" w:space="0" w:color="000000"/>
              <w:right w:val="nil" w:sz="6" w:space="0" w:color="auto"/>
            </w:tcBorders>
          </w:tcPr>
          <w:p>
            <w:pPr>
              <w:pStyle w:val="TableParagraph"/>
              <w:spacing w:line="199" w:lineRule="exact"/>
              <w:ind w:left="1779"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99" w:lineRule="exact"/>
              <w:ind w:left="129"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8" w:hRule="exact"/>
        </w:trPr>
        <w:tc>
          <w:tcPr>
            <w:tcW w:w="551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6"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276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7"/>
              <w:jc w:val="right"/>
              <w:rPr>
                <w:rFonts w:ascii="Times New Roman" w:hAnsi="Times New Roman" w:cs="Times New Roman" w:eastAsia="Times New Roman" w:hint="default"/>
                <w:sz w:val="18"/>
                <w:szCs w:val="18"/>
              </w:rPr>
            </w:pPr>
            <w:r>
              <w:rPr>
                <w:rFonts w:ascii="Times New Roman"/>
                <w:spacing w:val="-1"/>
                <w:sz w:val="18"/>
              </w:rPr>
              <w:t>772,358,395.19</w:t>
            </w:r>
            <w:r>
              <w:rPr>
                <w:rFonts w:ascii="Times New Roman"/>
                <w:sz w:val="18"/>
              </w:rPr>
            </w: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3"/>
              <w:jc w:val="right"/>
              <w:rPr>
                <w:rFonts w:ascii="Times New Roman" w:hAnsi="Times New Roman" w:cs="Times New Roman" w:eastAsia="Times New Roman" w:hint="default"/>
                <w:sz w:val="18"/>
                <w:szCs w:val="18"/>
              </w:rPr>
            </w:pPr>
            <w:r>
              <w:rPr>
                <w:rFonts w:ascii="Times New Roman"/>
                <w:spacing w:val="-1"/>
                <w:sz w:val="18"/>
              </w:rPr>
              <w:t>93,867,177.11</w:t>
            </w: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
              <w:jc w:val="right"/>
              <w:rPr>
                <w:rFonts w:ascii="Times New Roman" w:hAnsi="Times New Roman" w:cs="Times New Roman" w:eastAsia="Times New Roman" w:hint="default"/>
                <w:sz w:val="18"/>
                <w:szCs w:val="18"/>
              </w:rPr>
            </w:pPr>
            <w:r>
              <w:rPr>
                <w:rFonts w:ascii="Times New Roman"/>
                <w:spacing w:val="-1"/>
                <w:sz w:val="18"/>
              </w:rPr>
              <w:t>463.63</w:t>
            </w:r>
            <w:r>
              <w:rPr>
                <w:rFonts w:ascii="Times New Roman"/>
                <w:sz w:val="18"/>
              </w:rPr>
            </w: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8"/>
                <w:szCs w:val="18"/>
              </w:rPr>
            </w:pPr>
            <w:r>
              <w:rPr>
                <w:rFonts w:ascii="Times New Roman"/>
                <w:spacing w:val="-1"/>
                <w:sz w:val="18"/>
              </w:rPr>
              <w:t>649.98</w:t>
            </w:r>
            <w:r>
              <w:rPr>
                <w:rFonts w:ascii="Times New Roman"/>
                <w:sz w:val="18"/>
              </w:rPr>
            </w: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
              <w:jc w:val="right"/>
              <w:rPr>
                <w:rFonts w:ascii="Times New Roman" w:hAnsi="Times New Roman" w:cs="Times New Roman" w:eastAsia="Times New Roman" w:hint="default"/>
                <w:sz w:val="18"/>
                <w:szCs w:val="18"/>
              </w:rPr>
            </w:pPr>
            <w:r>
              <w:rPr>
                <w:rFonts w:ascii="Times New Roman"/>
                <w:spacing w:val="-1"/>
                <w:sz w:val="18"/>
              </w:rPr>
              <w:t>772,357,931.56</w:t>
            </w:r>
            <w:r>
              <w:rPr>
                <w:rFonts w:ascii="Times New Roman"/>
                <w:sz w:val="18"/>
              </w:rPr>
            </w: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right"/>
              <w:rPr>
                <w:rFonts w:ascii="Times New Roman" w:hAnsi="Times New Roman" w:cs="Times New Roman" w:eastAsia="Times New Roman" w:hint="default"/>
                <w:sz w:val="18"/>
                <w:szCs w:val="18"/>
              </w:rPr>
            </w:pPr>
            <w:r>
              <w:rPr>
                <w:rFonts w:ascii="Times New Roman"/>
                <w:spacing w:val="-1"/>
                <w:sz w:val="18"/>
              </w:rPr>
              <w:t>93,866,527.13</w:t>
            </w:r>
          </w:p>
        </w:tc>
      </w:tr>
      <w:tr>
        <w:trPr>
          <w:trHeight w:val="331"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 w:right="0"/>
              <w:jc w:val="left"/>
              <w:rPr>
                <w:rFonts w:ascii="宋体" w:hAnsi="宋体" w:cs="宋体" w:eastAsia="宋体" w:hint="default"/>
                <w:sz w:val="18"/>
                <w:szCs w:val="18"/>
              </w:rPr>
            </w:pPr>
            <w:r>
              <w:rPr>
                <w:rFonts w:ascii="宋体" w:hAnsi="宋体" w:cs="宋体" w:eastAsia="宋体" w:hint="default"/>
                <w:b/>
                <w:bCs/>
                <w:sz w:val="18"/>
                <w:szCs w:val="18"/>
              </w:rPr>
              <w:t>二、现金等价物</w:t>
            </w:r>
            <w:r>
              <w:rPr>
                <w:rFonts w:ascii="宋体" w:hAnsi="宋体" w:cs="宋体" w:eastAsia="宋体" w:hint="default"/>
                <w:sz w:val="18"/>
                <w:szCs w:val="18"/>
              </w:rPr>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36"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764"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268" w:hRule="exact"/>
        </w:trPr>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6"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772,358,395.19</w:t>
            </w:r>
            <w:r>
              <w:rPr>
                <w:rFonts w:ascii="Times New Roman"/>
                <w:sz w:val="18"/>
              </w:rPr>
            </w:r>
          </w:p>
        </w:tc>
        <w:tc>
          <w:tcPr>
            <w:tcW w:w="21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
              <w:jc w:val="right"/>
              <w:rPr>
                <w:rFonts w:ascii="Times New Roman" w:hAnsi="Times New Roman" w:cs="Times New Roman" w:eastAsia="Times New Roman" w:hint="default"/>
                <w:sz w:val="18"/>
                <w:szCs w:val="18"/>
              </w:rPr>
            </w:pPr>
            <w:r>
              <w:rPr>
                <w:rFonts w:ascii="Times New Roman"/>
                <w:spacing w:val="-1"/>
                <w:sz w:val="18"/>
              </w:rPr>
              <w:t>93,867,177.11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ind w:left="1680" w:right="0"/>
        <w:jc w:val="left"/>
        <w:rPr>
          <w:b w:val="0"/>
          <w:bCs w:val="0"/>
        </w:rPr>
      </w:pPr>
      <w:r>
        <w:rPr/>
        <w:t>十六、补充资料</w:t>
      </w:r>
      <w:r>
        <w:rPr>
          <w:b w:val="0"/>
          <w:bCs w:val="0"/>
        </w:rPr>
      </w:r>
    </w:p>
    <w:p>
      <w:pPr>
        <w:spacing w:line="240" w:lineRule="auto" w:before="1"/>
        <w:rPr>
          <w:rFonts w:ascii="宋体" w:hAnsi="宋体" w:cs="宋体" w:eastAsia="宋体" w:hint="default"/>
          <w:b/>
          <w:bCs/>
          <w:sz w:val="19"/>
          <w:szCs w:val="19"/>
        </w:rPr>
      </w:pPr>
    </w:p>
    <w:p>
      <w:pPr>
        <w:spacing w:before="0"/>
        <w:ind w:left="168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、非经常性损益明细表</w:t>
      </w:r>
      <w:r>
        <w:rPr>
          <w:rFonts w:ascii="宋体" w:hAnsi="宋体" w:cs="宋体" w:eastAsia="宋体" w:hint="default"/>
          <w:sz w:val="24"/>
          <w:szCs w:val="24"/>
        </w:rPr>
      </w:r>
    </w:p>
    <w:p>
      <w:pPr>
        <w:spacing w:line="240" w:lineRule="auto" w:before="12"/>
        <w:rPr>
          <w:rFonts w:ascii="宋体" w:hAnsi="宋体" w:cs="宋体" w:eastAsia="宋体" w:hint="default"/>
          <w:b/>
          <w:bCs/>
          <w:sz w:val="13"/>
          <w:szCs w:val="13"/>
        </w:rPr>
      </w:pPr>
    </w:p>
    <w:tbl>
      <w:tblPr>
        <w:tblW w:w="0" w:type="auto"/>
        <w:jc w:val="left"/>
        <w:tblInd w:w="1168" w:type="dxa"/>
        <w:tblLayout w:type="fixed"/>
        <w:tblCellMar>
          <w:top w:w="0" w:type="dxa"/>
          <w:left w:w="0" w:type="dxa"/>
          <w:bottom w:w="0" w:type="dxa"/>
          <w:right w:w="0" w:type="dxa"/>
        </w:tblCellMar>
        <w:tblLook w:val="01E0"/>
      </w:tblPr>
      <w:tblGrid>
        <w:gridCol w:w="5731"/>
        <w:gridCol w:w="1277"/>
        <w:gridCol w:w="1361"/>
      </w:tblGrid>
      <w:tr>
        <w:trPr>
          <w:trHeight w:val="361" w:hRule="exact"/>
        </w:trPr>
        <w:tc>
          <w:tcPr>
            <w:tcW w:w="5731" w:type="dxa"/>
            <w:tcBorders>
              <w:top w:val="nil" w:sz="6" w:space="0" w:color="auto"/>
              <w:left w:val="nil" w:sz="6" w:space="0" w:color="auto"/>
              <w:bottom w:val="single" w:sz="4" w:space="0" w:color="000000"/>
              <w:right w:val="nil" w:sz="6" w:space="0" w:color="auto"/>
            </w:tcBorders>
          </w:tcPr>
          <w:p>
            <w:pPr>
              <w:pStyle w:val="TableParagraph"/>
              <w:tabs>
                <w:tab w:pos="542" w:val="left" w:leader="none"/>
              </w:tabs>
              <w:spacing w:line="189"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199" w:lineRule="exact"/>
              <w:ind w:left="283"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199" w:lineRule="exact"/>
              <w:ind w:left="326"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34" w:hRule="exact"/>
        </w:trPr>
        <w:tc>
          <w:tcPr>
            <w:tcW w:w="573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Times New Roman" w:hAnsi="Times New Roman" w:cs="Times New Roman" w:eastAsia="Times New Roman" w:hint="default"/>
                <w:sz w:val="18"/>
                <w:szCs w:val="18"/>
              </w:rPr>
            </w:pPr>
            <w:r>
              <w:rPr>
                <w:rFonts w:ascii="Times New Roman"/>
                <w:w w:val="95"/>
                <w:sz w:val="18"/>
              </w:rPr>
              <w:t>-13,606.98</w:t>
            </w:r>
            <w:r>
              <w:rPr>
                <w:rFonts w:ascii="Times New Roman"/>
                <w:sz w:val="18"/>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Times New Roman" w:hAnsi="Times New Roman" w:cs="Times New Roman" w:eastAsia="Times New Roman" w:hint="default"/>
                <w:sz w:val="18"/>
                <w:szCs w:val="18"/>
              </w:rPr>
            </w:pPr>
            <w:r>
              <w:rPr>
                <w:rFonts w:ascii="Times New Roman"/>
                <w:spacing w:val="-1"/>
                <w:sz w:val="18"/>
              </w:rPr>
              <w:t>-5,361.21</w:t>
            </w:r>
            <w:r>
              <w:rPr>
                <w:rFonts w:ascii="Times New Roman"/>
                <w:sz w:val="18"/>
              </w:rPr>
            </w:r>
          </w:p>
        </w:tc>
      </w:tr>
      <w:tr>
        <w:trPr>
          <w:trHeight w:val="403" w:hRule="exact"/>
        </w:trPr>
        <w:tc>
          <w:tcPr>
            <w:tcW w:w="57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7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815" w:hRule="exact"/>
        </w:trPr>
        <w:tc>
          <w:tcPr>
            <w:tcW w:w="5731" w:type="dxa"/>
            <w:tcBorders>
              <w:top w:val="nil" w:sz="6" w:space="0" w:color="auto"/>
              <w:left w:val="nil" w:sz="6" w:space="0" w:color="auto"/>
              <w:bottom w:val="nil" w:sz="6" w:space="0" w:color="auto"/>
              <w:right w:val="nil" w:sz="6" w:space="0" w:color="auto"/>
            </w:tcBorders>
          </w:tcPr>
          <w:p>
            <w:pPr>
              <w:pStyle w:val="TableParagraph"/>
              <w:spacing w:line="333" w:lineRule="auto" w:before="99"/>
              <w:ind w:left="28" w:right="26"/>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额或定量享受的政府补助除外）</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7,330,884.64</w:t>
            </w:r>
            <w:r>
              <w:rPr>
                <w:rFonts w:ascii="Times New Roman"/>
                <w:sz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250,000.00</w:t>
            </w:r>
          </w:p>
        </w:tc>
      </w:tr>
      <w:tr>
        <w:trPr>
          <w:trHeight w:val="407" w:hRule="exact"/>
        </w:trPr>
        <w:tc>
          <w:tcPr>
            <w:tcW w:w="573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653" w:hRule="exact"/>
        </w:trPr>
        <w:tc>
          <w:tcPr>
            <w:tcW w:w="5731" w:type="dxa"/>
            <w:tcBorders>
              <w:top w:val="nil" w:sz="6" w:space="0" w:color="auto"/>
              <w:left w:val="nil" w:sz="6" w:space="0" w:color="auto"/>
              <w:bottom w:val="nil" w:sz="6" w:space="0" w:color="auto"/>
              <w:right w:val="nil" w:sz="6" w:space="0" w:color="auto"/>
            </w:tcBorders>
          </w:tcPr>
          <w:p>
            <w:pPr>
              <w:pStyle w:val="TableParagraph"/>
              <w:spacing w:line="333" w:lineRule="auto" w:before="17"/>
              <w:ind w:left="28" w:right="26"/>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被投资单位可辨认净资产公允价值产生的收益</w:t>
            </w:r>
          </w:p>
        </w:tc>
        <w:tc>
          <w:tcPr>
            <w:tcW w:w="127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253" w:hRule="exact"/>
        </w:trPr>
        <w:tc>
          <w:tcPr>
            <w:tcW w:w="57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77"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0" w:footer="979" w:top="1380" w:bottom="1160" w:left="600" w:right="600"/>
        </w:sectPr>
      </w:pPr>
    </w:p>
    <w:tbl>
      <w:tblPr>
        <w:tblW w:w="0" w:type="auto"/>
        <w:jc w:val="left"/>
        <w:tblInd w:w="408" w:type="dxa"/>
        <w:tblLayout w:type="fixed"/>
        <w:tblCellMar>
          <w:top w:w="0" w:type="dxa"/>
          <w:left w:w="0" w:type="dxa"/>
          <w:bottom w:w="0" w:type="dxa"/>
          <w:right w:w="0" w:type="dxa"/>
        </w:tblCellMar>
        <w:tblLook w:val="01E0"/>
      </w:tblPr>
      <w:tblGrid>
        <w:gridCol w:w="5825"/>
        <w:gridCol w:w="1183"/>
        <w:gridCol w:w="1361"/>
      </w:tblGrid>
      <w:tr>
        <w:trPr>
          <w:trHeight w:val="353" w:hRule="exact"/>
        </w:trPr>
        <w:tc>
          <w:tcPr>
            <w:tcW w:w="5825" w:type="dxa"/>
            <w:tcBorders>
              <w:top w:val="single" w:sz="6"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83" w:type="dxa"/>
            <w:tcBorders>
              <w:top w:val="single" w:sz="6" w:space="0" w:color="000000"/>
              <w:left w:val="nil" w:sz="6" w:space="0" w:color="auto"/>
              <w:bottom w:val="nil" w:sz="6" w:space="0" w:color="auto"/>
              <w:right w:val="nil" w:sz="6" w:space="0" w:color="auto"/>
            </w:tcBorders>
          </w:tcPr>
          <w:p>
            <w:pPr/>
          </w:p>
        </w:tc>
        <w:tc>
          <w:tcPr>
            <w:tcW w:w="1361" w:type="dxa"/>
            <w:tcBorders>
              <w:top w:val="single" w:sz="6" w:space="0" w:color="000000"/>
              <w:left w:val="nil" w:sz="6" w:space="0" w:color="auto"/>
              <w:bottom w:val="nil" w:sz="6" w:space="0" w:color="auto"/>
              <w:right w:val="nil" w:sz="6" w:space="0" w:color="auto"/>
            </w:tcBorders>
          </w:tcPr>
          <w:p>
            <w:pPr/>
          </w:p>
        </w:tc>
      </w:tr>
      <w:tr>
        <w:trPr>
          <w:trHeight w:val="326" w:hRule="exact"/>
        </w:trPr>
        <w:tc>
          <w:tcPr>
            <w:tcW w:w="83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r>
      <w:tr>
        <w:trPr>
          <w:trHeight w:val="325"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25"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26"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26" w:hRule="exact"/>
        </w:trPr>
        <w:tc>
          <w:tcPr>
            <w:tcW w:w="83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r>
      <w:tr>
        <w:trPr>
          <w:trHeight w:val="326"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977" w:hRule="exact"/>
        </w:trPr>
        <w:tc>
          <w:tcPr>
            <w:tcW w:w="8369" w:type="dxa"/>
            <w:gridSpan w:val="3"/>
            <w:tcBorders>
              <w:top w:val="nil" w:sz="6" w:space="0" w:color="auto"/>
              <w:left w:val="nil" w:sz="6" w:space="0" w:color="auto"/>
              <w:bottom w:val="nil" w:sz="6" w:space="0" w:color="auto"/>
              <w:right w:val="nil" w:sz="6" w:space="0" w:color="auto"/>
            </w:tcBorders>
          </w:tcPr>
          <w:p>
            <w:pPr>
              <w:pStyle w:val="TableParagraph"/>
              <w:spacing w:line="331" w:lineRule="auto" w:before="17"/>
              <w:ind w:left="28" w:right="2575"/>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 </w:t>
            </w:r>
            <w:r>
              <w:rPr>
                <w:rFonts w:ascii="宋体" w:hAnsi="宋体" w:cs="宋体" w:eastAsia="宋体" w:hint="default"/>
                <w:spacing w:val="-6"/>
                <w:sz w:val="18"/>
                <w:szCs w:val="18"/>
              </w:rPr>
              <w:t>产、交易性金融负债产生的公允价值变动损益，以及处置交易性金融资产、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交易性金融负债和可供出售金融资产取得的投资收益</w:t>
            </w:r>
          </w:p>
        </w:tc>
      </w:tr>
      <w:tr>
        <w:trPr>
          <w:trHeight w:val="326"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26"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653" w:hRule="exact"/>
        </w:trPr>
        <w:tc>
          <w:tcPr>
            <w:tcW w:w="8369" w:type="dxa"/>
            <w:gridSpan w:val="3"/>
            <w:tcBorders>
              <w:top w:val="nil" w:sz="6" w:space="0" w:color="auto"/>
              <w:left w:val="nil" w:sz="6" w:space="0" w:color="auto"/>
              <w:bottom w:val="nil" w:sz="6" w:space="0" w:color="auto"/>
              <w:right w:val="nil" w:sz="6" w:space="0" w:color="auto"/>
            </w:tcBorders>
          </w:tcPr>
          <w:p>
            <w:pPr>
              <w:pStyle w:val="TableParagraph"/>
              <w:spacing w:line="333" w:lineRule="auto" w:before="17"/>
              <w:ind w:left="28" w:right="275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 益</w:t>
            </w:r>
          </w:p>
        </w:tc>
      </w:tr>
      <w:tr>
        <w:trPr>
          <w:trHeight w:val="650" w:hRule="exact"/>
        </w:trPr>
        <w:tc>
          <w:tcPr>
            <w:tcW w:w="8369" w:type="dxa"/>
            <w:gridSpan w:val="3"/>
            <w:tcBorders>
              <w:top w:val="nil" w:sz="6" w:space="0" w:color="auto"/>
              <w:left w:val="nil" w:sz="6" w:space="0" w:color="auto"/>
              <w:bottom w:val="nil" w:sz="6" w:space="0" w:color="auto"/>
              <w:right w:val="nil" w:sz="6" w:space="0" w:color="auto"/>
            </w:tcBorders>
          </w:tcPr>
          <w:p>
            <w:pPr>
              <w:pStyle w:val="TableParagraph"/>
              <w:spacing w:line="331" w:lineRule="auto" w:before="17"/>
              <w:ind w:left="28" w:right="2664"/>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根据税收、会计等法律、法规的要求对当期损益进行一次性调整对当期损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益的影响</w:t>
            </w:r>
          </w:p>
        </w:tc>
      </w:tr>
      <w:tr>
        <w:trPr>
          <w:trHeight w:val="326"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18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31"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spacing w:val="-1"/>
                <w:sz w:val="18"/>
              </w:rPr>
              <w:t>-4,420,000.00</w:t>
            </w:r>
            <w:r>
              <w:rPr>
                <w:rFonts w:ascii="Times New Roman"/>
                <w:sz w:val="18"/>
              </w:rPr>
            </w:r>
          </w:p>
        </w:tc>
        <w:tc>
          <w:tcPr>
            <w:tcW w:w="1361" w:type="dxa"/>
            <w:tcBorders>
              <w:top w:val="nil" w:sz="6" w:space="0" w:color="auto"/>
              <w:left w:val="nil" w:sz="6" w:space="0" w:color="auto"/>
              <w:bottom w:val="nil" w:sz="6" w:space="0" w:color="auto"/>
              <w:right w:val="nil" w:sz="6" w:space="0" w:color="auto"/>
            </w:tcBorders>
          </w:tcPr>
          <w:p>
            <w:pPr/>
          </w:p>
        </w:tc>
      </w:tr>
      <w:tr>
        <w:trPr>
          <w:trHeight w:val="329"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83" w:type="dxa"/>
            <w:tcBorders>
              <w:top w:val="nil" w:sz="6" w:space="0" w:color="auto"/>
              <w:left w:val="nil" w:sz="6" w:space="0" w:color="auto"/>
              <w:bottom w:val="single" w:sz="4" w:space="0" w:color="000000"/>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353" w:hRule="exact"/>
        </w:trPr>
        <w:tc>
          <w:tcPr>
            <w:tcW w:w="5825" w:type="dxa"/>
            <w:tcBorders>
              <w:top w:val="nil" w:sz="6" w:space="0" w:color="auto"/>
              <w:left w:val="nil" w:sz="6" w:space="0" w:color="auto"/>
              <w:bottom w:val="nil" w:sz="6" w:space="0" w:color="auto"/>
              <w:right w:val="nil" w:sz="6" w:space="0" w:color="auto"/>
            </w:tcBorders>
          </w:tcPr>
          <w:p>
            <w:pPr>
              <w:pStyle w:val="TableParagraph"/>
              <w:tabs>
                <w:tab w:pos="453" w:val="left" w:leader="none"/>
              </w:tabs>
              <w:spacing w:line="240" w:lineRule="auto" w:before="20"/>
              <w:ind w:right="91"/>
              <w:jc w:val="center"/>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11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Times New Roman" w:hAnsi="Times New Roman" w:cs="Times New Roman" w:eastAsia="Times New Roman" w:hint="default"/>
                <w:sz w:val="18"/>
                <w:szCs w:val="18"/>
              </w:rPr>
            </w:pPr>
            <w:r>
              <w:rPr>
                <w:rFonts w:ascii="Times New Roman"/>
                <w:spacing w:val="-1"/>
                <w:sz w:val="18"/>
              </w:rPr>
              <w:t>2,897,277.66</w:t>
            </w:r>
            <w:r>
              <w:rPr>
                <w:rFonts w:ascii="Times New Roman"/>
                <w:sz w:val="18"/>
              </w:rPr>
            </w: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0"/>
                <w:szCs w:val="20"/>
              </w:rPr>
            </w:pPr>
            <w:r>
              <w:rPr>
                <w:rFonts w:ascii="Times New Roman"/>
                <w:w w:val="95"/>
                <w:sz w:val="20"/>
              </w:rPr>
              <w:t>244,638.79</w:t>
            </w:r>
            <w:r>
              <w:rPr>
                <w:rFonts w:ascii="Times New Roman"/>
                <w:sz w:val="20"/>
              </w:rPr>
            </w:r>
          </w:p>
        </w:tc>
      </w:tr>
      <w:tr>
        <w:trPr>
          <w:trHeight w:val="357"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183" w:type="dxa"/>
            <w:tcBorders>
              <w:top w:val="single" w:sz="17" w:space="0" w:color="000000"/>
              <w:left w:val="nil" w:sz="6" w:space="0" w:color="auto"/>
              <w:bottom w:val="nil" w:sz="6" w:space="0" w:color="auto"/>
              <w:right w:val="nil" w:sz="6" w:space="0" w:color="auto"/>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sz w:val="18"/>
              </w:rPr>
              <w:t>434,591.65</w:t>
            </w:r>
          </w:p>
        </w:tc>
        <w:tc>
          <w:tcPr>
            <w:tcW w:w="1361" w:type="dxa"/>
            <w:tcBorders>
              <w:top w:val="single" w:sz="17"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36,695.82</w:t>
            </w:r>
            <w:r>
              <w:rPr>
                <w:rFonts w:ascii="Times New Roman"/>
                <w:sz w:val="20"/>
              </w:rPr>
            </w:r>
          </w:p>
        </w:tc>
      </w:tr>
      <w:tr>
        <w:trPr>
          <w:trHeight w:val="322"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83" w:type="dxa"/>
            <w:tcBorders>
              <w:top w:val="nil" w:sz="6" w:space="0" w:color="auto"/>
              <w:left w:val="nil" w:sz="6" w:space="0" w:color="auto"/>
              <w:bottom w:val="single" w:sz="4" w:space="0" w:color="000000"/>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
        </w:tc>
      </w:tr>
      <w:tr>
        <w:trPr>
          <w:trHeight w:val="355" w:hRule="exact"/>
        </w:trPr>
        <w:tc>
          <w:tcPr>
            <w:tcW w:w="5825" w:type="dxa"/>
            <w:tcBorders>
              <w:top w:val="nil" w:sz="6" w:space="0" w:color="auto"/>
              <w:left w:val="nil" w:sz="6" w:space="0" w:color="auto"/>
              <w:bottom w:val="nil" w:sz="6" w:space="0" w:color="auto"/>
              <w:right w:val="nil" w:sz="6" w:space="0" w:color="auto"/>
            </w:tcBorders>
          </w:tcPr>
          <w:p>
            <w:pPr>
              <w:pStyle w:val="TableParagraph"/>
              <w:tabs>
                <w:tab w:pos="453" w:val="left" w:leader="none"/>
              </w:tabs>
              <w:spacing w:line="240" w:lineRule="auto" w:before="20"/>
              <w:ind w:right="9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1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5"/>
              <w:jc w:val="right"/>
              <w:rPr>
                <w:rFonts w:ascii="Times New Roman" w:hAnsi="Times New Roman" w:cs="Times New Roman" w:eastAsia="Times New Roman" w:hint="default"/>
                <w:sz w:val="18"/>
                <w:szCs w:val="18"/>
              </w:rPr>
            </w:pPr>
            <w:r>
              <w:rPr>
                <w:rFonts w:ascii="Times New Roman"/>
                <w:spacing w:val="-1"/>
                <w:sz w:val="18"/>
              </w:rPr>
              <w:t>2,462,686.01</w:t>
            </w:r>
          </w:p>
        </w:tc>
        <w:tc>
          <w:tcPr>
            <w:tcW w:w="1361" w:type="dxa"/>
            <w:tcBorders>
              <w:top w:val="single" w:sz="4" w:space="0" w:color="000000"/>
              <w:left w:val="nil" w:sz="6" w:space="0" w:color="auto"/>
              <w:bottom w:val="single" w:sz="17" w:space="0" w:color="000000"/>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20"/>
                <w:szCs w:val="20"/>
              </w:rPr>
            </w:pPr>
            <w:r>
              <w:rPr>
                <w:rFonts w:ascii="Times New Roman"/>
                <w:w w:val="95"/>
                <w:sz w:val="20"/>
              </w:rPr>
              <w:t>207,942.97</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line="405" w:lineRule="auto" w:before="26"/>
        <w:ind w:left="917" w:right="451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、境内外会计准则下会计数据差异</w:t>
      </w:r>
      <w:r>
        <w:rPr>
          <w:rFonts w:ascii="宋体" w:hAnsi="宋体" w:cs="宋体" w:eastAsia="宋体" w:hint="default"/>
          <w:b/>
          <w:bCs/>
          <w:w w:val="99"/>
          <w:sz w:val="24"/>
          <w:szCs w:val="24"/>
        </w:rPr>
        <w:t> </w:t>
      </w:r>
      <w:r>
        <w:rPr>
          <w:rFonts w:ascii="宋体" w:hAnsi="宋体" w:cs="宋体" w:eastAsia="宋体" w:hint="default"/>
          <w:sz w:val="24"/>
          <w:szCs w:val="24"/>
        </w:rPr>
        <w:t>无。</w:t>
      </w:r>
    </w:p>
    <w:p>
      <w:pPr>
        <w:spacing w:line="287" w:lineRule="exact" w:before="0"/>
        <w:ind w:left="920" w:right="449" w:firstLine="0"/>
        <w:jc w:val="left"/>
        <w:rPr>
          <w:rFonts w:ascii="宋体" w:hAnsi="宋体" w:cs="宋体" w:eastAsia="宋体" w:hint="default"/>
          <w:sz w:val="24"/>
          <w:szCs w:val="24"/>
        </w:rPr>
      </w:pPr>
      <w:r>
        <w:rPr/>
        <w:pict>
          <v:group style="position:absolute;margin-left:324pt;margin-top:33.952496pt;width:198pt;height:.5pt;mso-position-horizontal-relative:page;mso-position-vertical-relative:paragraph;z-index:-602920" coordorigin="6480,679" coordsize="3960,10">
            <v:group style="position:absolute;left:6485;top:684;width:1858;height:2" coordorigin="6485,684" coordsize="1858,2">
              <v:shape style="position:absolute;left:6485;top:684;width:1858;height:2" coordorigin="6485,684" coordsize="1858,0" path="m6485,684l8342,684e" filled="false" stroked="true" strokeweight=".48pt" strokecolor="#000000">
                <v:path arrowok="t"/>
              </v:shape>
            </v:group>
            <v:group style="position:absolute;left:8342;top:684;width:10;height:2" coordorigin="8342,684" coordsize="10,2">
              <v:shape style="position:absolute;left:8342;top:684;width:10;height:2" coordorigin="8342,684" coordsize="10,0" path="m8342,684l8352,684e" filled="false" stroked="true" strokeweight=".48pt" strokecolor="#000000">
                <v:path arrowok="t"/>
              </v:shape>
            </v:group>
            <v:group style="position:absolute;left:8352;top:684;width:87;height:2" coordorigin="8352,684" coordsize="87,2">
              <v:shape style="position:absolute;left:8352;top:684;width:87;height:2" coordorigin="8352,684" coordsize="87,0" path="m8352,684l8438,684e" filled="false" stroked="true" strokeweight=".48pt" strokecolor="#000000">
                <v:path arrowok="t"/>
              </v:shape>
            </v:group>
            <v:group style="position:absolute;left:8438;top:684;width:10;height:2" coordorigin="8438,684" coordsize="10,2">
              <v:shape style="position:absolute;left:8438;top:684;width:10;height:2" coordorigin="8438,684" coordsize="10,0" path="m8438,684l8448,684e" filled="false" stroked="true" strokeweight=".48pt" strokecolor="#000000">
                <v:path arrowok="t"/>
              </v:shape>
            </v:group>
            <v:group style="position:absolute;left:8448;top:684;width:1988;height:2" coordorigin="8448,684" coordsize="1988,2">
              <v:shape style="position:absolute;left:8448;top:684;width:1988;height:2" coordorigin="8448,684" coordsize="1988,0" path="m8448,684l10435,684e" filled="false" stroked="true" strokeweight=".48pt" strokecolor="#000000">
                <v:path arrowok="t"/>
              </v:shape>
            </v:group>
            <w10:wrap type="none"/>
          </v:group>
        </w:pic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、净资产收益率及每股收益</w:t>
      </w:r>
      <w:r>
        <w:rPr>
          <w:rFonts w:ascii="宋体" w:hAnsi="宋体" w:cs="宋体" w:eastAsia="宋体" w:hint="default"/>
          <w:sz w:val="24"/>
          <w:szCs w:val="24"/>
        </w:rPr>
      </w:r>
    </w:p>
    <w:p>
      <w:pPr>
        <w:spacing w:line="240" w:lineRule="auto" w:before="8"/>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2258"/>
        <w:gridCol w:w="4256"/>
        <w:gridCol w:w="356"/>
        <w:gridCol w:w="2093"/>
      </w:tblGrid>
      <w:tr>
        <w:trPr>
          <w:trHeight w:val="220" w:hRule="exact"/>
        </w:trPr>
        <w:tc>
          <w:tcPr>
            <w:tcW w:w="2258" w:type="dxa"/>
            <w:tcBorders>
              <w:top w:val="nil" w:sz="6" w:space="0" w:color="auto"/>
              <w:left w:val="nil" w:sz="6" w:space="0" w:color="auto"/>
              <w:bottom w:val="nil" w:sz="6" w:space="0" w:color="auto"/>
              <w:right w:val="nil" w:sz="6" w:space="0" w:color="auto"/>
            </w:tcBorders>
          </w:tcPr>
          <w:p>
            <w:pPr/>
          </w:p>
        </w:tc>
        <w:tc>
          <w:tcPr>
            <w:tcW w:w="6706"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3900" w:right="0"/>
              <w:jc w:val="left"/>
              <w:rPr>
                <w:rFonts w:ascii="宋体" w:hAnsi="宋体" w:cs="宋体" w:eastAsia="宋体" w:hint="default"/>
                <w:sz w:val="20"/>
                <w:szCs w:val="20"/>
              </w:rPr>
            </w:pPr>
            <w:r>
              <w:rPr>
                <w:rFonts w:ascii="宋体" w:hAnsi="宋体" w:cs="宋体" w:eastAsia="宋体" w:hint="default"/>
                <w:sz w:val="20"/>
                <w:szCs w:val="20"/>
              </w:rPr>
              <w:t>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r>
      <w:tr>
        <w:trPr>
          <w:trHeight w:val="201"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0" w:lineRule="exact"/>
              <w:ind w:left="628"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6706"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371"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r>
      <w:tr>
        <w:trPr>
          <w:trHeight w:val="324" w:hRule="exact"/>
        </w:trPr>
        <w:tc>
          <w:tcPr>
            <w:tcW w:w="2258" w:type="dxa"/>
            <w:tcBorders>
              <w:top w:val="nil" w:sz="6" w:space="0" w:color="auto"/>
              <w:left w:val="nil" w:sz="6" w:space="0" w:color="auto"/>
              <w:bottom w:val="single" w:sz="4" w:space="0" w:color="000000"/>
              <w:right w:val="nil" w:sz="6" w:space="0" w:color="auto"/>
            </w:tcBorders>
          </w:tcPr>
          <w:p>
            <w:pPr/>
          </w:p>
        </w:tc>
        <w:tc>
          <w:tcPr>
            <w:tcW w:w="4256" w:type="dxa"/>
            <w:tcBorders>
              <w:top w:val="nil" w:sz="6" w:space="0" w:color="auto"/>
              <w:left w:val="nil" w:sz="6" w:space="0" w:color="auto"/>
              <w:bottom w:val="single" w:sz="4" w:space="0" w:color="000000"/>
              <w:right w:val="nil" w:sz="6" w:space="0" w:color="auto"/>
            </w:tcBorders>
          </w:tcPr>
          <w:p>
            <w:pPr>
              <w:pStyle w:val="TableParagraph"/>
              <w:spacing w:line="191" w:lineRule="exact"/>
              <w:ind w:right="-23"/>
              <w:jc w:val="right"/>
              <w:rPr>
                <w:rFonts w:ascii="宋体" w:hAnsi="宋体" w:cs="宋体" w:eastAsia="宋体" w:hint="default"/>
                <w:sz w:val="20"/>
                <w:szCs w:val="20"/>
              </w:rPr>
            </w:pPr>
            <w:r>
              <w:rPr>
                <w:rFonts w:ascii="宋体" w:hAnsi="宋体" w:cs="宋体" w:eastAsia="宋体" w:hint="default"/>
                <w:w w:val="95"/>
                <w:sz w:val="20"/>
                <w:szCs w:val="20"/>
              </w:rPr>
              <w:t>基本每股收益</w:t>
            </w:r>
            <w:r>
              <w:rPr>
                <w:rFonts w:ascii="宋体" w:hAnsi="宋体" w:cs="宋体" w:eastAsia="宋体" w:hint="default"/>
                <w:sz w:val="20"/>
                <w:szCs w:val="20"/>
              </w:rPr>
            </w:r>
          </w:p>
        </w:tc>
        <w:tc>
          <w:tcPr>
            <w:tcW w:w="2449"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850"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656" w:hRule="exact"/>
        </w:trPr>
        <w:tc>
          <w:tcPr>
            <w:tcW w:w="2258" w:type="dxa"/>
            <w:tcBorders>
              <w:top w:val="single" w:sz="4" w:space="0" w:color="000000"/>
              <w:left w:val="nil" w:sz="6" w:space="0" w:color="auto"/>
              <w:bottom w:val="nil" w:sz="6" w:space="0" w:color="auto"/>
              <w:right w:val="nil" w:sz="6" w:space="0" w:color="auto"/>
            </w:tcBorders>
          </w:tcPr>
          <w:p>
            <w:pPr>
              <w:pStyle w:val="TableParagraph"/>
              <w:spacing w:line="300" w:lineRule="auto"/>
              <w:ind w:left="28" w:right="29"/>
              <w:jc w:val="left"/>
              <w:rPr>
                <w:rFonts w:ascii="宋体" w:hAnsi="宋体" w:cs="宋体" w:eastAsia="宋体" w:hint="default"/>
                <w:sz w:val="20"/>
                <w:szCs w:val="20"/>
              </w:rPr>
            </w:pPr>
            <w:r>
              <w:rPr>
                <w:rFonts w:ascii="宋体" w:hAnsi="宋体" w:cs="宋体" w:eastAsia="宋体" w:hint="default"/>
                <w:w w:val="95"/>
                <w:sz w:val="20"/>
                <w:szCs w:val="20"/>
              </w:rPr>
              <w:t>归属于公司普通股股东的</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净利润</w:t>
            </w:r>
          </w:p>
        </w:tc>
        <w:tc>
          <w:tcPr>
            <w:tcW w:w="4256" w:type="dxa"/>
            <w:tcBorders>
              <w:top w:val="single" w:sz="4" w:space="0" w:color="000000"/>
              <w:left w:val="nil" w:sz="6" w:space="0" w:color="auto"/>
              <w:bottom w:val="nil" w:sz="6" w:space="0" w:color="auto"/>
              <w:right w:val="nil" w:sz="6" w:space="0" w:color="auto"/>
            </w:tcBorders>
          </w:tcPr>
          <w:p>
            <w:pPr>
              <w:pStyle w:val="TableParagraph"/>
              <w:spacing w:line="20" w:lineRule="exact"/>
              <w:ind w:left="93" w:right="0"/>
              <w:jc w:val="left"/>
              <w:rPr>
                <w:rFonts w:ascii="宋体" w:hAnsi="宋体" w:cs="宋体" w:eastAsia="宋体" w:hint="default"/>
                <w:sz w:val="2"/>
                <w:szCs w:val="2"/>
              </w:rPr>
            </w:pPr>
            <w:r>
              <w:rPr>
                <w:rFonts w:ascii="宋体" w:hAnsi="宋体" w:cs="宋体" w:eastAsia="宋体" w:hint="default"/>
                <w:sz w:val="2"/>
                <w:szCs w:val="2"/>
              </w:rPr>
              <w:pict>
                <v:group style="width:127.95pt;height:.5pt;mso-position-horizontal-relative:char;mso-position-vertical-relative:line" coordorigin="0,0" coordsize="2559,10">
                  <v:group style="position:absolute;left:5;top:5;width:2549;height:2" coordorigin="5,5" coordsize="2549,2">
                    <v:shape style="position:absolute;left:5;top:5;width:2549;height:2" coordorigin="5,5" coordsize="2549,0" path="m5,5l2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113" w:right="0"/>
              <w:jc w:val="left"/>
              <w:rPr>
                <w:rFonts w:ascii="Times New Roman" w:hAnsi="Times New Roman" w:cs="Times New Roman" w:eastAsia="Times New Roman" w:hint="default"/>
                <w:sz w:val="20"/>
                <w:szCs w:val="20"/>
              </w:rPr>
            </w:pPr>
            <w:r>
              <w:rPr>
                <w:rFonts w:ascii="Times New Roman"/>
                <w:sz w:val="20"/>
              </w:rPr>
              <w:t>8.59%</w:t>
            </w:r>
          </w:p>
        </w:tc>
        <w:tc>
          <w:tcPr>
            <w:tcW w:w="35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24"/>
              <w:jc w:val="center"/>
              <w:rPr>
                <w:rFonts w:ascii="Times New Roman" w:hAnsi="Times New Roman" w:cs="Times New Roman" w:eastAsia="Times New Roman" w:hint="default"/>
                <w:sz w:val="20"/>
                <w:szCs w:val="20"/>
              </w:rPr>
            </w:pPr>
            <w:r>
              <w:rPr>
                <w:rFonts w:ascii="Times New Roman"/>
                <w:sz w:val="20"/>
              </w:rPr>
              <w:t>1.00</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z w:val="20"/>
              </w:rPr>
              <w:t>1.00</w:t>
            </w:r>
          </w:p>
        </w:tc>
      </w:tr>
      <w:tr>
        <w:trPr>
          <w:trHeight w:val="589"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300" w:lineRule="auto" w:before="1"/>
              <w:ind w:left="28" w:right="29"/>
              <w:jc w:val="left"/>
              <w:rPr>
                <w:rFonts w:ascii="宋体" w:hAnsi="宋体" w:cs="宋体" w:eastAsia="宋体" w:hint="default"/>
                <w:sz w:val="20"/>
                <w:szCs w:val="20"/>
              </w:rPr>
            </w:pPr>
            <w:r>
              <w:rPr>
                <w:rFonts w:ascii="宋体" w:hAnsi="宋体" w:cs="宋体" w:eastAsia="宋体" w:hint="default"/>
                <w:w w:val="95"/>
                <w:sz w:val="20"/>
                <w:szCs w:val="20"/>
              </w:rPr>
              <w:t>扣除非经常损益后归属于</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普通股股东的净利润</w:t>
            </w:r>
          </w:p>
        </w:tc>
        <w:tc>
          <w:tcPr>
            <w:tcW w:w="42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113" w:right="0"/>
              <w:jc w:val="left"/>
              <w:rPr>
                <w:rFonts w:ascii="Times New Roman" w:hAnsi="Times New Roman" w:cs="Times New Roman" w:eastAsia="Times New Roman" w:hint="default"/>
                <w:sz w:val="20"/>
                <w:szCs w:val="20"/>
              </w:rPr>
            </w:pPr>
            <w:r>
              <w:rPr>
                <w:rFonts w:ascii="Times New Roman"/>
                <w:sz w:val="20"/>
              </w:rPr>
              <w:t>8.18%</w:t>
            </w:r>
          </w:p>
        </w:tc>
        <w:tc>
          <w:tcPr>
            <w:tcW w:w="3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3" w:right="24"/>
              <w:jc w:val="center"/>
              <w:rPr>
                <w:rFonts w:ascii="Times New Roman" w:hAnsi="Times New Roman" w:cs="Times New Roman" w:eastAsia="Times New Roman" w:hint="default"/>
                <w:sz w:val="20"/>
                <w:szCs w:val="20"/>
              </w:rPr>
            </w:pPr>
            <w:r>
              <w:rPr>
                <w:rFonts w:ascii="Times New Roman"/>
                <w:sz w:val="20"/>
              </w:rPr>
              <w:t>0.95</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z w:val="20"/>
              </w:rPr>
              <w:t>0.95</w:t>
            </w:r>
          </w:p>
        </w:tc>
      </w:tr>
    </w:tbl>
    <w:p>
      <w:pPr>
        <w:spacing w:line="240" w:lineRule="auto" w:before="4"/>
        <w:rPr>
          <w:rFonts w:ascii="宋体" w:hAnsi="宋体" w:cs="宋体" w:eastAsia="宋体" w:hint="default"/>
          <w:b/>
          <w:bCs/>
          <w:sz w:val="18"/>
          <w:szCs w:val="18"/>
        </w:rPr>
      </w:pPr>
    </w:p>
    <w:p>
      <w:pPr>
        <w:pStyle w:val="BodyText"/>
        <w:spacing w:line="240" w:lineRule="auto" w:before="26"/>
        <w:ind w:left="917" w:right="449"/>
        <w:jc w:val="left"/>
      </w:pPr>
      <w:r>
        <w:rPr/>
        <w:t>注：（</w:t>
      </w:r>
      <w:r>
        <w:rPr>
          <w:rFonts w:ascii="Times New Roman" w:hAnsi="Times New Roman" w:cs="Times New Roman" w:eastAsia="Times New Roman" w:hint="default"/>
        </w:rPr>
        <w:t>1</w:t>
      </w:r>
      <w:r>
        <w:rPr/>
        <w:t>）净资产收益率</w:t>
      </w:r>
    </w:p>
    <w:p>
      <w:pPr>
        <w:spacing w:line="240" w:lineRule="auto" w:before="9"/>
        <w:rPr>
          <w:rFonts w:ascii="宋体" w:hAnsi="宋体" w:cs="宋体" w:eastAsia="宋体" w:hint="default"/>
          <w:sz w:val="17"/>
          <w:szCs w:val="17"/>
        </w:rPr>
      </w:pPr>
    </w:p>
    <w:p>
      <w:pPr>
        <w:pStyle w:val="BodyText"/>
        <w:spacing w:line="240" w:lineRule="auto"/>
        <w:ind w:left="917" w:right="449"/>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年度归属于公司普通股股东的净利润计算的加权平均净资产收益率</w:t>
      </w:r>
      <w:r>
        <w:rPr>
          <w:rFonts w:ascii="Times New Roman" w:hAnsi="Times New Roman" w:cs="Times New Roman" w:eastAsia="Times New Roman" w:hint="default"/>
        </w:rPr>
        <w:t>=</w:t>
      </w:r>
    </w:p>
    <w:p>
      <w:pPr>
        <w:pStyle w:val="BodyText"/>
        <w:spacing w:line="240" w:lineRule="auto" w:before="125"/>
        <w:ind w:left="437" w:right="449"/>
        <w:jc w:val="left"/>
        <w:rPr>
          <w:rFonts w:ascii="Times New Roman" w:hAnsi="Times New Roman" w:cs="Times New Roman" w:eastAsia="Times New Roman" w:hint="default"/>
        </w:rPr>
      </w:pPr>
      <w:r>
        <w:rPr>
          <w:rFonts w:ascii="Times New Roman"/>
        </w:rPr>
        <w:t>51,449,622.88/(113,711,704.77+ 51,449,622.88/2+</w:t>
      </w:r>
      <w:r>
        <w:rPr>
          <w:rFonts w:ascii="Times New Roman"/>
          <w:spacing w:val="-3"/>
        </w:rPr>
        <w:t> </w:t>
      </w:r>
      <w:r>
        <w:rPr>
          <w:rFonts w:ascii="Times New Roman"/>
        </w:rPr>
        <w:t>14,000,000.00*8/12+</w:t>
      </w:r>
    </w:p>
    <w:p>
      <w:pPr>
        <w:pStyle w:val="BodyText"/>
        <w:spacing w:line="240" w:lineRule="auto" w:before="122"/>
        <w:ind w:left="437" w:right="449"/>
        <w:jc w:val="left"/>
        <w:rPr>
          <w:rFonts w:ascii="Times New Roman" w:hAnsi="Times New Roman" w:cs="Times New Roman" w:eastAsia="Times New Roman" w:hint="default"/>
        </w:rPr>
      </w:pPr>
      <w:r>
        <w:rPr>
          <w:rFonts w:ascii="Times New Roman"/>
        </w:rPr>
        <w:t>692,973,000.00*8/12-</w:t>
      </w:r>
      <w:r>
        <w:rPr>
          <w:rFonts w:ascii="Times New Roman"/>
          <w:spacing w:val="-1"/>
        </w:rPr>
        <w:t> </w:t>
      </w:r>
      <w:r>
        <w:rPr>
          <w:rFonts w:ascii="Times New Roman"/>
        </w:rPr>
        <w:t>13,020,000.00*11/12)=8.59%</w:t>
      </w:r>
    </w:p>
    <w:p>
      <w:pPr>
        <w:spacing w:after="0" w:line="240" w:lineRule="auto"/>
        <w:jc w:val="left"/>
        <w:rPr>
          <w:rFonts w:ascii="Times New Roman" w:hAnsi="Times New Roman" w:cs="Times New Roman" w:eastAsia="Times New Roman" w:hint="default"/>
        </w:rPr>
        <w:sectPr>
          <w:pgSz w:w="11910" w:h="16840"/>
          <w:pgMar w:header="850" w:footer="979" w:top="1380" w:bottom="1160" w:left="1360" w:right="1360"/>
        </w:sect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pt;height:.75pt;mso-position-horizontal-relative:char;mso-position-vertical-relative:line" coordorigin="0,0" coordsize="8384,15">
            <v:group style="position:absolute;left:7;top:7;width:8369;height:2" coordorigin="7,7" coordsize="8369,2">
              <v:shape style="position:absolute;left:7;top:7;width:8369;height:2" coordorigin="7,7" coordsize="8369,0" path="m7,7l8376,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309" w:lineRule="auto" w:before="73"/>
        <w:ind w:right="209" w:firstLine="480"/>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年度扣除非经常性损益后归属于公司普通股股东的净利润计算的加权 平均净资产收益率</w:t>
      </w:r>
      <w:r>
        <w:rPr>
          <w:rFonts w:ascii="Times New Roman" w:hAnsi="Times New Roman" w:cs="Times New Roman" w:eastAsia="Times New Roman" w:hint="default"/>
        </w:rPr>
        <w:t>=</w:t>
      </w:r>
      <w:r>
        <w:rPr/>
        <w:t>（</w:t>
      </w:r>
      <w:r>
        <w:rPr>
          <w:rFonts w:ascii="Times New Roman" w:hAnsi="Times New Roman" w:cs="Times New Roman" w:eastAsia="Times New Roman" w:hint="default"/>
        </w:rPr>
        <w:t>51,449,622.88-</w:t>
      </w:r>
      <w:r>
        <w:rPr>
          <w:rFonts w:ascii="Times New Roman" w:hAnsi="Times New Roman" w:cs="Times New Roman" w:eastAsia="Times New Roman" w:hint="default"/>
          <w:spacing w:val="-2"/>
        </w:rPr>
        <w:t> </w:t>
      </w:r>
      <w:r>
        <w:rPr>
          <w:rFonts w:ascii="Times New Roman" w:hAnsi="Times New Roman" w:cs="Times New Roman" w:eastAsia="Times New Roman" w:hint="default"/>
        </w:rPr>
        <w:t>2,462,686.01</w:t>
      </w:r>
      <w:r>
        <w:rPr/>
        <w:t>）</w:t>
      </w:r>
      <w:r>
        <w:rPr>
          <w:rFonts w:ascii="Times New Roman" w:hAnsi="Times New Roman" w:cs="Times New Roman" w:eastAsia="Times New Roman" w:hint="default"/>
        </w:rPr>
        <w:t>/(113,711,704.77+ 51,449,622.88/2+ 14,000,000.00*8/12+</w:t>
      </w:r>
      <w:r>
        <w:rPr>
          <w:rFonts w:ascii="Times New Roman" w:hAnsi="Times New Roman" w:cs="Times New Roman" w:eastAsia="Times New Roman" w:hint="default"/>
          <w:spacing w:val="-2"/>
        </w:rPr>
        <w:t> </w:t>
      </w:r>
      <w:r>
        <w:rPr>
          <w:rFonts w:ascii="Times New Roman" w:hAnsi="Times New Roman" w:cs="Times New Roman" w:eastAsia="Times New Roman" w:hint="default"/>
        </w:rPr>
        <w:t>692,973,000.00*8/12-</w:t>
      </w:r>
    </w:p>
    <w:p>
      <w:pPr>
        <w:pStyle w:val="BodyText"/>
        <w:spacing w:line="240" w:lineRule="auto" w:before="47"/>
        <w:ind w:right="0"/>
        <w:jc w:val="left"/>
        <w:rPr>
          <w:rFonts w:ascii="Times New Roman" w:hAnsi="Times New Roman" w:cs="Times New Roman" w:eastAsia="Times New Roman" w:hint="default"/>
        </w:rPr>
      </w:pPr>
      <w:r>
        <w:rPr>
          <w:rFonts w:ascii="Times New Roman"/>
        </w:rPr>
        <w:t>13,020,000.00*11/12)=8.18%</w:t>
      </w:r>
    </w:p>
    <w:p>
      <w:pPr>
        <w:spacing w:line="240" w:lineRule="auto" w:before="2"/>
        <w:rPr>
          <w:rFonts w:ascii="Times New Roman" w:hAnsi="Times New Roman" w:cs="Times New Roman" w:eastAsia="Times New Roman" w:hint="default"/>
          <w:sz w:val="20"/>
          <w:szCs w:val="20"/>
        </w:rPr>
      </w:pPr>
    </w:p>
    <w:p>
      <w:pPr>
        <w:spacing w:line="405" w:lineRule="auto" w:before="0"/>
        <w:ind w:left="617" w:right="1820" w:firstLine="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）基本每股收益和稀释每股收益的计算见附注七、</w:t>
      </w:r>
      <w:r>
        <w:rPr>
          <w:rFonts w:ascii="Times New Roman" w:hAnsi="Times New Roman" w:cs="Times New Roman" w:eastAsia="Times New Roman" w:hint="default"/>
          <w:sz w:val="24"/>
          <w:szCs w:val="24"/>
        </w:rPr>
        <w:t>33</w:t>
      </w:r>
      <w:r>
        <w:rPr>
          <w:rFonts w:ascii="宋体" w:hAnsi="宋体" w:cs="宋体" w:eastAsia="宋体" w:hint="default"/>
          <w:sz w:val="24"/>
          <w:szCs w:val="24"/>
        </w:rPr>
        <w:t>。 </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、本公司合并财务报表主要项目的异常情况及原因的说明</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货币资金</w:t>
      </w:r>
    </w:p>
    <w:p>
      <w:pPr>
        <w:pStyle w:val="BodyText"/>
        <w:spacing w:line="290" w:lineRule="auto" w:before="46"/>
        <w:ind w:right="119" w:firstLine="480"/>
        <w:jc w:val="left"/>
      </w:pPr>
      <w:r>
        <w:rPr/>
        <w:t>货币资金</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774,570,706.59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96,073,116.01</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706.23%</w:t>
      </w:r>
      <w:r>
        <w:rPr/>
        <w:t>，主要原因为本期收到募集资金。</w:t>
      </w:r>
    </w:p>
    <w:p>
      <w:pPr>
        <w:pStyle w:val="BodyText"/>
        <w:spacing w:line="240" w:lineRule="auto" w:before="176"/>
        <w:ind w:left="617" w:right="0"/>
        <w:jc w:val="left"/>
      </w:pPr>
      <w:r>
        <w:rPr>
          <w:rFonts w:ascii="Times New Roman" w:hAnsi="Times New Roman" w:cs="Times New Roman" w:eastAsia="Times New Roman" w:hint="default"/>
        </w:rPr>
        <w:t>(2)</w:t>
      </w:r>
      <w:r>
        <w:rPr/>
        <w:t>应收票据</w:t>
      </w:r>
    </w:p>
    <w:p>
      <w:pPr>
        <w:spacing w:line="240" w:lineRule="auto" w:before="7"/>
        <w:rPr>
          <w:rFonts w:ascii="宋体" w:hAnsi="宋体" w:cs="宋体" w:eastAsia="宋体" w:hint="default"/>
          <w:sz w:val="17"/>
          <w:szCs w:val="17"/>
        </w:rPr>
      </w:pPr>
    </w:p>
    <w:p>
      <w:pPr>
        <w:pStyle w:val="BodyText"/>
        <w:spacing w:line="240" w:lineRule="auto"/>
        <w:ind w:left="617" w:right="0"/>
        <w:jc w:val="left"/>
      </w:pPr>
      <w:r>
        <w:rPr/>
        <w:t>应收票据</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600,000.00 </w:t>
      </w:r>
      <w:r>
        <w:rPr>
          <w:spacing w:val="-3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p>
    <w:p>
      <w:pPr>
        <w:pStyle w:val="BodyText"/>
        <w:spacing w:line="288" w:lineRule="auto" w:before="68"/>
        <w:ind w:right="116"/>
        <w:jc w:val="left"/>
      </w:pPr>
      <w:r>
        <w:rPr>
          <w:rFonts w:ascii="Times New Roman" w:hAnsi="Times New Roman" w:cs="Times New Roman" w:eastAsia="Times New Roman" w:hint="default"/>
        </w:rPr>
        <w:t>0.00 </w:t>
      </w:r>
      <w:r>
        <w:rPr/>
        <w:t>元增加</w:t>
      </w:r>
      <w:r>
        <w:rPr>
          <w:spacing w:val="-107"/>
        </w:rPr>
        <w:t> </w:t>
      </w:r>
      <w:r>
        <w:rPr>
          <w:rFonts w:ascii="Times New Roman" w:hAnsi="Times New Roman" w:cs="Times New Roman" w:eastAsia="Times New Roman" w:hint="default"/>
        </w:rPr>
        <w:t>100.00%</w:t>
      </w:r>
      <w:r>
        <w:rPr/>
        <w:t>，主要原因为本期收到四川汇源吉迅数码科技有限公司的银 行承兑汇票尚未到期所致。</w:t>
      </w:r>
    </w:p>
    <w:p>
      <w:pPr>
        <w:pStyle w:val="BodyText"/>
        <w:spacing w:line="288" w:lineRule="auto" w:before="202"/>
        <w:ind w:right="133" w:firstLine="480"/>
        <w:jc w:val="both"/>
      </w:pPr>
      <w:r>
        <w:rPr>
          <w:rFonts w:ascii="Times New Roman" w:hAnsi="Times New Roman" w:cs="Times New Roman" w:eastAsia="Times New Roman" w:hint="default"/>
        </w:rPr>
        <w:t>(3) </w:t>
      </w:r>
      <w:r>
        <w:rPr/>
        <w:t>应收账款</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36,569,213.82 </w:t>
      </w:r>
      <w:r>
        <w:rPr>
          <w:spacing w:val="-3"/>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w w:val="99"/>
        </w:rPr>
        <w:t> </w:t>
      </w:r>
      <w:r>
        <w:rPr/>
        <w:t>日余额</w:t>
      </w:r>
      <w:r>
        <w:rPr>
          <w:spacing w:val="-61"/>
        </w:rPr>
        <w:t> </w:t>
      </w:r>
      <w:r>
        <w:rPr>
          <w:rFonts w:ascii="Times New Roman" w:hAnsi="Times New Roman" w:cs="Times New Roman" w:eastAsia="Times New Roman" w:hint="default"/>
        </w:rPr>
        <w:t>7,955,190.00</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359.69%</w:t>
      </w:r>
      <w:r>
        <w:rPr/>
        <w:t>，主要原因是本年增加较多新客户，新增项</w:t>
      </w:r>
      <w:r>
        <w:rPr>
          <w:w w:val="99"/>
        </w:rPr>
        <w:t> </w:t>
      </w:r>
      <w:r>
        <w:rPr/>
        <w:t>目大部分于下半年开发，且按进度确认部分收入且年末尚未回款导致。</w:t>
      </w:r>
    </w:p>
    <w:p>
      <w:pPr>
        <w:pStyle w:val="BodyText"/>
        <w:spacing w:line="240" w:lineRule="auto" w:before="202"/>
        <w:ind w:left="617" w:right="0"/>
        <w:jc w:val="left"/>
      </w:pPr>
      <w:r>
        <w:rPr>
          <w:rFonts w:ascii="Times New Roman" w:hAnsi="Times New Roman" w:cs="Times New Roman" w:eastAsia="Times New Roman" w:hint="default"/>
        </w:rPr>
        <w:t>(4)</w:t>
      </w:r>
      <w:r>
        <w:rPr/>
        <w:t>预付账款</w:t>
      </w:r>
    </w:p>
    <w:p>
      <w:pPr>
        <w:spacing w:line="240" w:lineRule="auto" w:before="9"/>
        <w:rPr>
          <w:rFonts w:ascii="宋体" w:hAnsi="宋体" w:cs="宋体" w:eastAsia="宋体" w:hint="default"/>
          <w:sz w:val="17"/>
          <w:szCs w:val="17"/>
        </w:rPr>
      </w:pPr>
    </w:p>
    <w:p>
      <w:pPr>
        <w:pStyle w:val="BodyText"/>
        <w:spacing w:line="288" w:lineRule="auto"/>
        <w:ind w:right="0" w:firstLine="480"/>
        <w:jc w:val="left"/>
      </w:pPr>
      <w:r>
        <w:rPr/>
        <w:t>预付账款</w:t>
      </w:r>
      <w:r>
        <w:rPr>
          <w:spacing w:val="-8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w:t>
      </w:r>
      <w:r>
        <w:rPr>
          <w:spacing w:val="-89"/>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9"/>
        </w:rPr>
        <w:t> </w:t>
      </w:r>
      <w:r>
        <w:rPr/>
        <w:t>月</w:t>
      </w:r>
      <w:r>
        <w:rPr>
          <w:spacing w:val="-89"/>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9"/>
        </w:rPr>
        <w:t> </w:t>
      </w:r>
      <w:r>
        <w:rPr/>
        <w:t>日余额</w:t>
      </w:r>
      <w:r>
        <w:rPr>
          <w:spacing w:val="-89"/>
        </w:rPr>
        <w:t> </w:t>
      </w:r>
      <w:r>
        <w:rPr>
          <w:rFonts w:ascii="Times New Roman" w:hAnsi="Times New Roman" w:cs="Times New Roman" w:eastAsia="Times New Roman" w:hint="default"/>
        </w:rPr>
        <w:t>0</w:t>
      </w:r>
      <w:r>
        <w:rPr>
          <w:rFonts w:ascii="Times New Roman" w:hAnsi="Times New Roman" w:cs="Times New Roman" w:eastAsia="Times New Roman" w:hint="default"/>
          <w:spacing w:val="-29"/>
        </w:rPr>
        <w:t> </w:t>
      </w:r>
      <w:r>
        <w:rPr>
          <w:spacing w:val="-41"/>
        </w:rPr>
        <w:t>元，比</w:t>
      </w:r>
      <w:r>
        <w:rPr>
          <w:spacing w:val="-8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2"/>
        </w:rPr>
        <w:t> </w:t>
      </w:r>
      <w:r>
        <w:rPr/>
        <w:t>年</w:t>
      </w:r>
      <w:r>
        <w:rPr>
          <w:spacing w:val="-89"/>
        </w:rPr>
        <w:t>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月</w:t>
      </w:r>
      <w:r>
        <w:rPr>
          <w:spacing w:val="-89"/>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9"/>
        </w:rPr>
        <w:t> </w:t>
      </w:r>
      <w:r>
        <w:rPr/>
        <w:t>日余额</w:t>
      </w:r>
      <w:r>
        <w:rPr>
          <w:spacing w:val="-89"/>
        </w:rPr>
        <w:t> </w:t>
      </w:r>
      <w:r>
        <w:rPr>
          <w:rFonts w:ascii="Times New Roman" w:hAnsi="Times New Roman" w:cs="Times New Roman" w:eastAsia="Times New Roman" w:hint="default"/>
          <w:spacing w:val="-1"/>
        </w:rPr>
        <w:t>14,139,882.12</w:t>
      </w:r>
      <w:r>
        <w:rPr>
          <w:rFonts w:ascii="Times New Roman" w:hAnsi="Times New Roman" w:cs="Times New Roman" w:eastAsia="Times New Roman" w:hint="default"/>
        </w:rPr>
        <w:t> </w:t>
      </w:r>
      <w:r>
        <w:rPr/>
        <w:t>元减少</w:t>
      </w:r>
      <w:r>
        <w:rPr>
          <w:spacing w:val="-61"/>
        </w:rPr>
        <w:t> </w:t>
      </w:r>
      <w:r>
        <w:rPr>
          <w:rFonts w:ascii="Times New Roman" w:hAnsi="Times New Roman" w:cs="Times New Roman" w:eastAsia="Times New Roman" w:hint="default"/>
        </w:rPr>
        <w:t>100.00%</w:t>
      </w:r>
      <w:r>
        <w:rPr/>
        <w:t>，主要原因为本期公司取得去年预付房款房产的所有权且已转 固。</w:t>
      </w:r>
    </w:p>
    <w:p>
      <w:pPr>
        <w:pStyle w:val="BodyText"/>
        <w:spacing w:line="240" w:lineRule="auto" w:before="202"/>
        <w:ind w:left="617" w:right="0"/>
        <w:jc w:val="left"/>
      </w:pPr>
      <w:r>
        <w:rPr>
          <w:rFonts w:ascii="Times New Roman" w:hAnsi="Times New Roman" w:cs="Times New Roman" w:eastAsia="Times New Roman" w:hint="default"/>
        </w:rPr>
        <w:t>(5)</w:t>
      </w:r>
      <w:r>
        <w:rPr/>
        <w:t>其他应收款</w:t>
      </w:r>
    </w:p>
    <w:p>
      <w:pPr>
        <w:spacing w:line="240" w:lineRule="auto" w:before="7"/>
        <w:rPr>
          <w:rFonts w:ascii="宋体" w:hAnsi="宋体" w:cs="宋体" w:eastAsia="宋体" w:hint="default"/>
          <w:sz w:val="17"/>
          <w:szCs w:val="17"/>
        </w:rPr>
      </w:pPr>
    </w:p>
    <w:p>
      <w:pPr>
        <w:pStyle w:val="BodyText"/>
        <w:spacing w:line="288" w:lineRule="auto"/>
        <w:ind w:right="135" w:firstLine="480"/>
        <w:jc w:val="both"/>
      </w:pPr>
      <w:r>
        <w:rPr/>
        <w:t>其他应收款</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6,544,160.93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 </w:t>
      </w:r>
      <w:r>
        <w:rPr>
          <w:rFonts w:ascii="Times New Roman" w:hAnsi="Times New Roman" w:cs="Times New Roman" w:eastAsia="Times New Roman" w:hint="default"/>
        </w:rPr>
        <w:t>4,153,809.11 </w:t>
      </w:r>
      <w:r>
        <w:rPr/>
        <w:t>元增加</w:t>
      </w:r>
      <w:r>
        <w:rPr>
          <w:spacing w:val="-95"/>
        </w:rPr>
        <w:t> </w:t>
      </w:r>
      <w:r>
        <w:rPr>
          <w:rFonts w:ascii="Times New Roman" w:hAnsi="Times New Roman" w:cs="Times New Roman" w:eastAsia="Times New Roman" w:hint="default"/>
          <w:spacing w:val="-5"/>
        </w:rPr>
        <w:t>57.55%</w:t>
      </w:r>
      <w:r>
        <w:rPr>
          <w:spacing w:val="-5"/>
        </w:rPr>
        <w:t>，主要原因为本期公司计提尚未到期的定期存单</w:t>
      </w:r>
      <w:r>
        <w:rPr/>
        <w:t> </w:t>
      </w:r>
      <w:r>
        <w:rPr>
          <w:rFonts w:ascii="Times New Roman" w:hAnsi="Times New Roman" w:cs="Times New Roman" w:eastAsia="Times New Roman" w:hint="default"/>
        </w:rPr>
        <w:t>2010 </w:t>
      </w:r>
      <w:r>
        <w:rPr/>
        <w:t>年度利息收入所致。</w:t>
      </w:r>
    </w:p>
    <w:p>
      <w:pPr>
        <w:pStyle w:val="BodyText"/>
        <w:spacing w:line="240" w:lineRule="auto" w:before="178"/>
        <w:ind w:left="617" w:right="0"/>
        <w:jc w:val="left"/>
      </w:pPr>
      <w:r>
        <w:rPr>
          <w:rFonts w:ascii="Times New Roman" w:hAnsi="Times New Roman" w:cs="Times New Roman" w:eastAsia="Times New Roman" w:hint="default"/>
        </w:rPr>
        <w:t>(6)</w:t>
      </w:r>
      <w:r>
        <w:rPr/>
        <w:t>存货</w:t>
      </w:r>
    </w:p>
    <w:p>
      <w:pPr>
        <w:spacing w:line="240" w:lineRule="auto" w:before="9"/>
        <w:rPr>
          <w:rFonts w:ascii="宋体" w:hAnsi="宋体" w:cs="宋体" w:eastAsia="宋体" w:hint="default"/>
          <w:sz w:val="17"/>
          <w:szCs w:val="17"/>
        </w:rPr>
      </w:pPr>
    </w:p>
    <w:p>
      <w:pPr>
        <w:pStyle w:val="BodyText"/>
        <w:spacing w:line="240" w:lineRule="auto"/>
        <w:ind w:left="617" w:right="0"/>
        <w:jc w:val="left"/>
      </w:pPr>
      <w:r>
        <w:rPr/>
        <w:t>存货</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2,586,252.43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p>
    <w:p>
      <w:pPr>
        <w:pStyle w:val="BodyText"/>
        <w:spacing w:line="290" w:lineRule="auto" w:before="66"/>
        <w:ind w:right="116"/>
        <w:jc w:val="left"/>
      </w:pPr>
      <w:r>
        <w:rPr>
          <w:rFonts w:ascii="Times New Roman" w:hAnsi="Times New Roman" w:cs="Times New Roman" w:eastAsia="Times New Roman" w:hint="default"/>
        </w:rPr>
        <w:t>1,466,492.47 </w:t>
      </w:r>
      <w:r>
        <w:rPr/>
        <w:t>元增加</w:t>
      </w:r>
      <w:r>
        <w:rPr>
          <w:spacing w:val="-107"/>
        </w:rPr>
        <w:t> </w:t>
      </w:r>
      <w:r>
        <w:rPr>
          <w:rFonts w:ascii="Times New Roman" w:hAnsi="Times New Roman" w:cs="Times New Roman" w:eastAsia="Times New Roman" w:hint="default"/>
        </w:rPr>
        <w:t>76.36%</w:t>
      </w:r>
      <w:r>
        <w:rPr/>
        <w:t>，主要原因为公司报告期内投入人员工时较多，但客 户未确认收入，存货未结转为相关成本。</w:t>
      </w:r>
    </w:p>
    <w:p>
      <w:pPr>
        <w:pStyle w:val="BodyText"/>
        <w:spacing w:line="240" w:lineRule="auto" w:before="199"/>
        <w:ind w:left="560" w:right="6430"/>
        <w:jc w:val="center"/>
      </w:pPr>
      <w:r>
        <w:rPr>
          <w:rFonts w:ascii="Times New Roman" w:hAnsi="Times New Roman" w:cs="Times New Roman" w:eastAsia="Times New Roman" w:hint="default"/>
        </w:rPr>
        <w:t>(7)</w:t>
      </w:r>
      <w:r>
        <w:rPr/>
        <w:t>固定资产</w:t>
      </w:r>
    </w:p>
    <w:p>
      <w:pPr>
        <w:spacing w:after="0" w:line="240" w:lineRule="auto"/>
        <w:jc w:val="center"/>
        <w:sectPr>
          <w:pgSz w:w="11910" w:h="16840"/>
          <w:pgMar w:header="850" w:footer="979" w:top="1380" w:bottom="1160" w:left="1660" w:right="1660"/>
        </w:sectPr>
      </w:pPr>
    </w:p>
    <w:p>
      <w:pPr>
        <w:pStyle w:val="BodyText"/>
        <w:spacing w:line="290" w:lineRule="auto" w:before="93"/>
        <w:ind w:right="100" w:firstLine="480"/>
        <w:jc w:val="left"/>
      </w:pPr>
      <w:r>
        <w:rPr/>
        <w:t>固定资产</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35,823,875.29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77"/>
        </w:rPr>
        <w:t> </w:t>
      </w:r>
      <w:r>
        <w:rPr>
          <w:rFonts w:ascii="Times New Roman" w:hAnsi="Times New Roman" w:cs="Times New Roman" w:eastAsia="Times New Roman" w:hint="default"/>
        </w:rPr>
        <w:t>1,932,544.89</w:t>
      </w:r>
      <w:r>
        <w:rPr>
          <w:rFonts w:ascii="Times New Roman" w:hAnsi="Times New Roman" w:cs="Times New Roman" w:eastAsia="Times New Roman" w:hint="default"/>
          <w:spacing w:val="-17"/>
        </w:rPr>
        <w:t> </w:t>
      </w:r>
      <w:r>
        <w:rPr/>
        <w:t>元增加</w:t>
      </w:r>
      <w:r>
        <w:rPr>
          <w:spacing w:val="-77"/>
        </w:rPr>
        <w:t> </w:t>
      </w:r>
      <w:r>
        <w:rPr>
          <w:rFonts w:ascii="Times New Roman" w:hAnsi="Times New Roman" w:cs="Times New Roman" w:eastAsia="Times New Roman" w:hint="default"/>
        </w:rPr>
        <w:t>1,753.72%</w:t>
      </w:r>
      <w:r>
        <w:rPr/>
        <w:t>，主要原因为本期本公司购买办公楼层所致。</w:t>
      </w:r>
    </w:p>
    <w:p>
      <w:pPr>
        <w:pStyle w:val="BodyText"/>
        <w:spacing w:line="240" w:lineRule="auto" w:before="173"/>
        <w:ind w:left="617" w:right="111"/>
        <w:jc w:val="left"/>
      </w:pPr>
      <w:r>
        <w:rPr>
          <w:rFonts w:ascii="Times New Roman" w:hAnsi="Times New Roman" w:cs="Times New Roman" w:eastAsia="Times New Roman" w:hint="default"/>
        </w:rPr>
        <w:t>(8)</w:t>
      </w:r>
      <w:r>
        <w:rPr/>
        <w:t>开发支出</w:t>
      </w:r>
    </w:p>
    <w:p>
      <w:pPr>
        <w:spacing w:line="240" w:lineRule="auto" w:before="9"/>
        <w:rPr>
          <w:rFonts w:ascii="宋体" w:hAnsi="宋体" w:cs="宋体" w:eastAsia="宋体" w:hint="default"/>
          <w:sz w:val="17"/>
          <w:szCs w:val="17"/>
        </w:rPr>
      </w:pPr>
    </w:p>
    <w:p>
      <w:pPr>
        <w:pStyle w:val="BodyText"/>
        <w:spacing w:line="288" w:lineRule="auto"/>
        <w:ind w:right="247" w:firstLine="480"/>
        <w:jc w:val="both"/>
      </w:pPr>
      <w:r>
        <w:rPr/>
        <w:t>开发支出</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14,153,714.74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4,258,786.61</w:t>
      </w:r>
      <w:r>
        <w:rPr>
          <w:rFonts w:ascii="Times New Roman" w:hAnsi="Times New Roman" w:cs="Times New Roman" w:eastAsia="Times New Roman" w:hint="default"/>
          <w:spacing w:val="-1"/>
        </w:rPr>
        <w:t> </w:t>
      </w:r>
      <w:r>
        <w:rPr/>
        <w:t>增加</w:t>
      </w:r>
      <w:r>
        <w:rPr>
          <w:spacing w:val="-61"/>
        </w:rPr>
        <w:t> </w:t>
      </w:r>
      <w:r>
        <w:rPr>
          <w:rFonts w:ascii="Times New Roman" w:hAnsi="Times New Roman" w:cs="Times New Roman" w:eastAsia="Times New Roman" w:hint="default"/>
        </w:rPr>
        <w:t>232.34%</w:t>
      </w:r>
      <w:r>
        <w:rPr/>
        <w:t>，主要原因是本年部分开发项目的支出进入资本 化阶段。</w:t>
      </w:r>
    </w:p>
    <w:p>
      <w:pPr>
        <w:pStyle w:val="BodyText"/>
        <w:spacing w:line="240" w:lineRule="auto" w:before="202"/>
        <w:ind w:left="617" w:right="111"/>
        <w:jc w:val="left"/>
      </w:pPr>
      <w:r>
        <w:rPr>
          <w:rFonts w:ascii="Times New Roman" w:hAnsi="Times New Roman" w:cs="Times New Roman" w:eastAsia="Times New Roman" w:hint="default"/>
        </w:rPr>
        <w:t>(9)</w:t>
      </w:r>
      <w:r>
        <w:rPr/>
        <w:t>长期待摊费用</w:t>
      </w:r>
    </w:p>
    <w:p>
      <w:pPr>
        <w:spacing w:line="240" w:lineRule="auto" w:before="7"/>
        <w:rPr>
          <w:rFonts w:ascii="宋体" w:hAnsi="宋体" w:cs="宋体" w:eastAsia="宋体" w:hint="default"/>
          <w:sz w:val="17"/>
          <w:szCs w:val="17"/>
        </w:rPr>
      </w:pPr>
    </w:p>
    <w:p>
      <w:pPr>
        <w:pStyle w:val="BodyText"/>
        <w:spacing w:line="240" w:lineRule="auto"/>
        <w:ind w:left="617" w:right="111"/>
        <w:jc w:val="left"/>
        <w:rPr>
          <w:rFonts w:ascii="Times New Roman" w:hAnsi="Times New Roman" w:cs="Times New Roman" w:eastAsia="Times New Roman" w:hint="default"/>
        </w:rPr>
      </w:pPr>
      <w:r>
        <w:rPr/>
        <w:t>长期待摊费用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2,985,277.06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w:t>
      </w:r>
    </w:p>
    <w:p>
      <w:pPr>
        <w:pStyle w:val="BodyText"/>
        <w:spacing w:line="408" w:lineRule="auto" w:before="68"/>
        <w:ind w:left="617" w:right="652" w:hanging="480"/>
        <w:jc w:val="left"/>
      </w:pPr>
      <w:r>
        <w:rPr/>
        <w:t>日余额</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100.00%</w:t>
      </w:r>
      <w:r>
        <w:rPr/>
        <w:t>，主要原因为本期本公司对新购房产的装修所致。 </w:t>
      </w:r>
      <w:r>
        <w:rPr>
          <w:rFonts w:ascii="Times New Roman" w:hAnsi="Times New Roman" w:cs="Times New Roman" w:eastAsia="Times New Roman" w:hint="default"/>
        </w:rPr>
        <w:t>(10)</w:t>
      </w:r>
      <w:r>
        <w:rPr/>
        <w:t>递延所得税资产</w:t>
      </w:r>
    </w:p>
    <w:p>
      <w:pPr>
        <w:pStyle w:val="BodyText"/>
        <w:spacing w:line="288" w:lineRule="auto" w:before="43"/>
        <w:ind w:right="235" w:firstLine="480"/>
        <w:jc w:val="both"/>
      </w:pPr>
      <w:r>
        <w:rPr/>
        <w:t>递延所得税资产</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375,935.45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1"/>
        </w:rPr>
        <w:t> </w:t>
      </w:r>
      <w:r>
        <w:rPr>
          <w:rFonts w:ascii="Times New Roman" w:hAnsi="Times New Roman" w:cs="Times New Roman" w:eastAsia="Times New Roman" w:hint="default"/>
        </w:rPr>
        <w:t>83,739.00</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348.94%</w:t>
      </w:r>
      <w:r>
        <w:rPr/>
        <w:t>，主要原因是应收账款余额增加，坏账准备增 加导致应收账款坏账准备与计税基础之间差异增大。</w:t>
      </w:r>
    </w:p>
    <w:p>
      <w:pPr>
        <w:pStyle w:val="BodyText"/>
        <w:spacing w:line="240" w:lineRule="auto" w:before="202"/>
        <w:ind w:left="617" w:right="111"/>
        <w:jc w:val="left"/>
      </w:pPr>
      <w:r>
        <w:rPr>
          <w:rFonts w:ascii="Times New Roman" w:hAnsi="Times New Roman" w:cs="Times New Roman" w:eastAsia="Times New Roman" w:hint="default"/>
        </w:rPr>
        <w:t>(11)</w:t>
      </w:r>
      <w:r>
        <w:rPr/>
        <w:t>应付账款</w:t>
      </w:r>
    </w:p>
    <w:p>
      <w:pPr>
        <w:spacing w:line="240" w:lineRule="auto" w:before="9"/>
        <w:rPr>
          <w:rFonts w:ascii="宋体" w:hAnsi="宋体" w:cs="宋体" w:eastAsia="宋体" w:hint="default"/>
          <w:sz w:val="17"/>
          <w:szCs w:val="17"/>
        </w:rPr>
      </w:pPr>
    </w:p>
    <w:p>
      <w:pPr>
        <w:pStyle w:val="BodyText"/>
        <w:spacing w:line="240" w:lineRule="auto"/>
        <w:ind w:left="617" w:right="111"/>
        <w:jc w:val="left"/>
      </w:pPr>
      <w:r>
        <w:rPr/>
        <w:t>应付账款</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825,069.85 </w:t>
      </w:r>
      <w:r>
        <w:rPr>
          <w:spacing w:val="-3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p>
    <w:p>
      <w:pPr>
        <w:pStyle w:val="BodyText"/>
        <w:spacing w:line="408" w:lineRule="auto" w:before="66"/>
        <w:ind w:left="617" w:right="1370" w:hanging="480"/>
        <w:jc w:val="left"/>
      </w:pPr>
      <w:r>
        <w:rPr>
          <w:rFonts w:ascii="Times New Roman" w:hAnsi="Times New Roman" w:cs="Times New Roman" w:eastAsia="Times New Roman" w:hint="default"/>
        </w:rPr>
        <w:t>2,181,564.80 </w:t>
      </w:r>
      <w:r>
        <w:rPr/>
        <w:t>元减少</w:t>
      </w:r>
      <w:r>
        <w:rPr>
          <w:spacing w:val="-61"/>
        </w:rPr>
        <w:t> </w:t>
      </w:r>
      <w:r>
        <w:rPr>
          <w:rFonts w:ascii="Times New Roman" w:hAnsi="Times New Roman" w:cs="Times New Roman" w:eastAsia="Times New Roman" w:hint="default"/>
        </w:rPr>
        <w:t>62.18%</w:t>
      </w:r>
      <w:r>
        <w:rPr/>
        <w:t>，主要原因为正常商业信用产生的结果。 </w:t>
      </w:r>
      <w:r>
        <w:rPr>
          <w:rFonts w:ascii="Times New Roman" w:hAnsi="Times New Roman" w:cs="Times New Roman" w:eastAsia="Times New Roman" w:hint="default"/>
        </w:rPr>
        <w:t>(12)</w:t>
      </w:r>
      <w:r>
        <w:rPr/>
        <w:t>专项应付款</w:t>
      </w:r>
    </w:p>
    <w:p>
      <w:pPr>
        <w:pStyle w:val="BodyText"/>
        <w:spacing w:line="288" w:lineRule="auto" w:before="45"/>
        <w:ind w:right="219" w:firstLine="480"/>
        <w:jc w:val="left"/>
      </w:pPr>
      <w:r>
        <w:rPr/>
        <w:t>专项应付款</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4,273,727.36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3,197,612.00</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33.65%</w:t>
      </w:r>
      <w:r>
        <w:rPr/>
        <w:t>，主要原因是本年新增两个项目拨入款项合计 </w:t>
      </w:r>
      <w:r>
        <w:rPr>
          <w:rFonts w:ascii="Times New Roman" w:hAnsi="Times New Roman" w:cs="Times New Roman" w:eastAsia="Times New Roman" w:hint="default"/>
        </w:rPr>
        <w:t>5,535,000.00 </w:t>
      </w:r>
      <w:r>
        <w:rPr/>
        <w:t>元。</w:t>
      </w:r>
    </w:p>
    <w:p>
      <w:pPr>
        <w:pStyle w:val="BodyText"/>
        <w:spacing w:line="240" w:lineRule="auto" w:before="176"/>
        <w:ind w:left="617" w:right="111"/>
        <w:jc w:val="left"/>
      </w:pPr>
      <w:r>
        <w:rPr>
          <w:rFonts w:ascii="Times New Roman" w:hAnsi="Times New Roman" w:cs="Times New Roman" w:eastAsia="Times New Roman" w:hint="default"/>
        </w:rPr>
        <w:t>(13)</w:t>
      </w:r>
      <w:r>
        <w:rPr/>
        <w:t>资本公积</w:t>
      </w:r>
    </w:p>
    <w:p>
      <w:pPr>
        <w:spacing w:line="240" w:lineRule="auto" w:before="9"/>
        <w:rPr>
          <w:rFonts w:ascii="宋体" w:hAnsi="宋体" w:cs="宋体" w:eastAsia="宋体" w:hint="default"/>
          <w:sz w:val="17"/>
          <w:szCs w:val="17"/>
        </w:rPr>
      </w:pPr>
    </w:p>
    <w:p>
      <w:pPr>
        <w:pStyle w:val="BodyText"/>
        <w:spacing w:line="288" w:lineRule="auto"/>
        <w:ind w:right="235" w:firstLine="480"/>
        <w:jc w:val="both"/>
      </w:pPr>
      <w:r>
        <w:rPr/>
        <w:t>资本公积</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722,083,309.68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29,110,309.68</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2380.51%</w:t>
      </w:r>
      <w:r>
        <w:rPr/>
        <w:t>，主要原因为本期本公司募集到的资金净额 超过了新增实收资本，股本溢价增加了资本公积。</w:t>
      </w:r>
    </w:p>
    <w:p>
      <w:pPr>
        <w:pStyle w:val="BodyText"/>
        <w:spacing w:line="240" w:lineRule="auto" w:before="202"/>
        <w:ind w:left="617" w:right="111"/>
        <w:jc w:val="left"/>
      </w:pPr>
      <w:r>
        <w:rPr>
          <w:rFonts w:ascii="Times New Roman" w:hAnsi="Times New Roman" w:cs="Times New Roman" w:eastAsia="Times New Roman" w:hint="default"/>
        </w:rPr>
        <w:t>(14)</w:t>
      </w:r>
      <w:r>
        <w:rPr/>
        <w:t>盈余公积</w:t>
      </w:r>
    </w:p>
    <w:p>
      <w:pPr>
        <w:spacing w:line="240" w:lineRule="auto" w:before="9"/>
        <w:rPr>
          <w:rFonts w:ascii="宋体" w:hAnsi="宋体" w:cs="宋体" w:eastAsia="宋体" w:hint="default"/>
          <w:sz w:val="17"/>
          <w:szCs w:val="17"/>
        </w:rPr>
      </w:pPr>
    </w:p>
    <w:p>
      <w:pPr>
        <w:pStyle w:val="BodyText"/>
        <w:spacing w:line="288" w:lineRule="auto"/>
        <w:ind w:right="235" w:firstLine="480"/>
        <w:jc w:val="both"/>
      </w:pPr>
      <w:r>
        <w:rPr/>
        <w:t>盈余公积</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9,403,668.48 </w:t>
      </w:r>
      <w:r>
        <w:rPr>
          <w:spacing w:val="-10"/>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 额</w:t>
      </w:r>
      <w:r>
        <w:rPr>
          <w:spacing w:val="-61"/>
        </w:rPr>
        <w:t> </w:t>
      </w:r>
      <w:r>
        <w:rPr>
          <w:rFonts w:ascii="Times New Roman" w:hAnsi="Times New Roman" w:cs="Times New Roman" w:eastAsia="Times New Roman" w:hint="default"/>
        </w:rPr>
        <w:t>4,259,343.44</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120.78%</w:t>
      </w:r>
      <w:r>
        <w:rPr/>
        <w:t>，主要原因为本期母公司根据公司章程提取了法 定盈余公积。</w:t>
      </w:r>
    </w:p>
    <w:p>
      <w:pPr>
        <w:spacing w:after="0" w:line="288" w:lineRule="auto"/>
        <w:jc w:val="both"/>
        <w:sectPr>
          <w:pgSz w:w="11910" w:h="16840"/>
          <w:pgMar w:header="850" w:footer="979" w:top="1380" w:bottom="1160" w:left="1660" w:right="1560"/>
        </w:sectPr>
      </w:pPr>
    </w:p>
    <w:p>
      <w:pPr>
        <w:pStyle w:val="BodyText"/>
        <w:spacing w:line="240" w:lineRule="auto" w:before="93"/>
        <w:ind w:left="617" w:right="0"/>
        <w:jc w:val="left"/>
      </w:pPr>
      <w:r>
        <w:rPr>
          <w:rFonts w:ascii="Times New Roman" w:hAnsi="Times New Roman" w:cs="Times New Roman" w:eastAsia="Times New Roman" w:hint="default"/>
        </w:rPr>
        <w:t>(15)</w:t>
      </w:r>
      <w:r>
        <w:rPr/>
        <w:t>营业收入</w:t>
      </w:r>
    </w:p>
    <w:p>
      <w:pPr>
        <w:spacing w:line="240" w:lineRule="auto" w:before="9"/>
        <w:rPr>
          <w:rFonts w:ascii="宋体" w:hAnsi="宋体" w:cs="宋体" w:eastAsia="宋体" w:hint="default"/>
          <w:sz w:val="17"/>
          <w:szCs w:val="17"/>
        </w:rPr>
      </w:pPr>
    </w:p>
    <w:p>
      <w:pPr>
        <w:pStyle w:val="BodyText"/>
        <w:spacing w:line="295" w:lineRule="auto"/>
        <w:ind w:right="133" w:firstLine="480"/>
        <w:jc w:val="both"/>
      </w:pPr>
      <w:r>
        <w:rPr/>
        <w:t>营业收入</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95,741,632.41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72,181,239.76</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32.64%</w:t>
      </w:r>
      <w:r>
        <w:rPr/>
        <w:t>，主要原因为除了原有的数字化城市管理领域 </w:t>
      </w:r>
      <w:r>
        <w:rPr>
          <w:spacing w:val="-3"/>
        </w:rPr>
        <w:t>和国土资源管理领域以外，公司还开拓了信息采集业务和数据普查业务，以及本</w:t>
      </w:r>
      <w:r>
        <w:rPr>
          <w:spacing w:val="-103"/>
        </w:rPr>
        <w:t> </w:t>
      </w:r>
      <w:r>
        <w:rPr>
          <w:spacing w:val="-103"/>
        </w:rPr>
      </w:r>
      <w:r>
        <w:rPr/>
        <w:t>年代购软件和硬件业务量增加所致。</w:t>
      </w:r>
    </w:p>
    <w:p>
      <w:pPr>
        <w:pStyle w:val="BodyText"/>
        <w:spacing w:line="240" w:lineRule="auto" w:before="192"/>
        <w:ind w:left="617" w:right="0"/>
        <w:jc w:val="left"/>
      </w:pPr>
      <w:r>
        <w:rPr>
          <w:rFonts w:ascii="Times New Roman" w:hAnsi="Times New Roman" w:cs="Times New Roman" w:eastAsia="Times New Roman" w:hint="default"/>
        </w:rPr>
        <w:t>(16)</w:t>
      </w:r>
      <w:r>
        <w:rPr/>
        <w:t>营业成本</w:t>
      </w:r>
    </w:p>
    <w:p>
      <w:pPr>
        <w:spacing w:line="240" w:lineRule="auto" w:before="9"/>
        <w:rPr>
          <w:rFonts w:ascii="宋体" w:hAnsi="宋体" w:cs="宋体" w:eastAsia="宋体" w:hint="default"/>
          <w:sz w:val="17"/>
          <w:szCs w:val="17"/>
        </w:rPr>
      </w:pPr>
    </w:p>
    <w:p>
      <w:pPr>
        <w:pStyle w:val="BodyText"/>
        <w:spacing w:line="288" w:lineRule="auto"/>
        <w:ind w:right="147" w:firstLine="480"/>
        <w:jc w:val="both"/>
      </w:pPr>
      <w:r>
        <w:rPr/>
        <w:t>营业成本</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w:t>
      </w:r>
      <w:r>
        <w:rPr>
          <w:spacing w:val="-60"/>
        </w:rPr>
        <w:t> </w:t>
      </w:r>
      <w:r>
        <w:rPr>
          <w:rFonts w:ascii="Times New Roman" w:hAnsi="Times New Roman" w:cs="Times New Roman" w:eastAsia="Times New Roman" w:hint="default"/>
        </w:rPr>
        <w:t>28,722,546.85 </w:t>
      </w:r>
      <w:r>
        <w:rPr/>
        <w:t>元，比</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 余额</w:t>
      </w:r>
      <w:r>
        <w:rPr>
          <w:spacing w:val="-61"/>
        </w:rPr>
        <w:t> </w:t>
      </w:r>
      <w:r>
        <w:rPr>
          <w:rFonts w:ascii="Times New Roman" w:hAnsi="Times New Roman" w:cs="Times New Roman" w:eastAsia="Times New Roman" w:hint="default"/>
        </w:rPr>
        <w:t>14,622,529.26</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96.43%</w:t>
      </w:r>
      <w:r>
        <w:rPr/>
        <w:t>，主要原因为本年新增信息采集业务和数据普 查业务，使得人工成本增加以及代购软件和硬件业务量增加所致。</w:t>
      </w:r>
    </w:p>
    <w:p>
      <w:pPr>
        <w:pStyle w:val="BodyText"/>
        <w:spacing w:line="240" w:lineRule="auto" w:before="202"/>
        <w:ind w:left="617" w:right="0"/>
        <w:jc w:val="left"/>
      </w:pPr>
      <w:r>
        <w:rPr>
          <w:rFonts w:ascii="Times New Roman" w:hAnsi="Times New Roman" w:cs="Times New Roman" w:eastAsia="Times New Roman" w:hint="default"/>
        </w:rPr>
        <w:t>(17)</w:t>
      </w:r>
      <w:r>
        <w:rPr/>
        <w:t>销售费用</w:t>
      </w:r>
    </w:p>
    <w:p>
      <w:pPr>
        <w:spacing w:line="240" w:lineRule="auto" w:before="7"/>
        <w:rPr>
          <w:rFonts w:ascii="宋体" w:hAnsi="宋体" w:cs="宋体" w:eastAsia="宋体" w:hint="default"/>
          <w:sz w:val="17"/>
          <w:szCs w:val="17"/>
        </w:rPr>
      </w:pPr>
    </w:p>
    <w:p>
      <w:pPr>
        <w:pStyle w:val="BodyText"/>
        <w:spacing w:line="240" w:lineRule="auto"/>
        <w:ind w:left="617" w:right="0"/>
        <w:jc w:val="left"/>
      </w:pPr>
      <w:r>
        <w:rPr/>
        <w:t>销售费用</w:t>
      </w:r>
      <w:r>
        <w:rPr>
          <w:spacing w:val="-60"/>
        </w:rPr>
        <w:t> </w:t>
      </w:r>
      <w:r>
        <w:rPr>
          <w:rFonts w:ascii="Times New Roman" w:hAnsi="Times New Roman" w:cs="Times New Roman" w:eastAsia="Times New Roman" w:hint="default"/>
        </w:rPr>
        <w:t>2010 </w:t>
      </w:r>
      <w:r>
        <w:rPr/>
        <w:t>年度发生额为</w:t>
      </w:r>
      <w:r>
        <w:rPr>
          <w:spacing w:val="-60"/>
        </w:rPr>
        <w:t> </w:t>
      </w:r>
      <w:r>
        <w:rPr>
          <w:rFonts w:ascii="Times New Roman" w:hAnsi="Times New Roman" w:cs="Times New Roman" w:eastAsia="Times New Roman" w:hint="default"/>
        </w:rPr>
        <w:t>12,458,997.88 </w:t>
      </w:r>
      <w:r>
        <w:rPr/>
        <w:t>元，比</w:t>
      </w:r>
      <w:r>
        <w:rPr>
          <w:spacing w:val="-60"/>
        </w:rPr>
        <w:t> </w:t>
      </w:r>
      <w:r>
        <w:rPr>
          <w:rFonts w:ascii="Times New Roman" w:hAnsi="Times New Roman" w:cs="Times New Roman" w:eastAsia="Times New Roman" w:hint="default"/>
        </w:rPr>
        <w:t>2009 </w:t>
      </w:r>
      <w:r>
        <w:rPr/>
        <w:t>年度发生额</w:t>
      </w:r>
    </w:p>
    <w:p>
      <w:pPr>
        <w:pStyle w:val="BodyText"/>
        <w:spacing w:line="290" w:lineRule="auto" w:before="68"/>
        <w:ind w:right="116"/>
        <w:jc w:val="left"/>
      </w:pPr>
      <w:r>
        <w:rPr>
          <w:rFonts w:ascii="Times New Roman" w:hAnsi="Times New Roman" w:cs="Times New Roman" w:eastAsia="Times New Roman" w:hint="default"/>
        </w:rPr>
        <w:t>7,693,559.13 </w:t>
      </w:r>
      <w:r>
        <w:rPr/>
        <w:t>元增加</w:t>
      </w:r>
      <w:r>
        <w:rPr>
          <w:spacing w:val="-107"/>
        </w:rPr>
        <w:t> </w:t>
      </w:r>
      <w:r>
        <w:rPr>
          <w:rFonts w:ascii="Times New Roman" w:hAnsi="Times New Roman" w:cs="Times New Roman" w:eastAsia="Times New Roman" w:hint="default"/>
        </w:rPr>
        <w:t>61.94%</w:t>
      </w:r>
      <w:r>
        <w:rPr/>
        <w:t>，主要原因为公司销售人员增加、公司业务范围以及 业务种类进一步扩大所致。</w:t>
      </w:r>
    </w:p>
    <w:p>
      <w:pPr>
        <w:pStyle w:val="BodyText"/>
        <w:spacing w:line="240" w:lineRule="auto" w:before="197"/>
        <w:ind w:left="617" w:right="0"/>
        <w:jc w:val="left"/>
      </w:pPr>
      <w:r>
        <w:rPr>
          <w:rFonts w:ascii="Times New Roman" w:hAnsi="Times New Roman" w:cs="Times New Roman" w:eastAsia="Times New Roman" w:hint="default"/>
        </w:rPr>
        <w:t>(18)</w:t>
      </w:r>
      <w:r>
        <w:rPr/>
        <w:t>管理费用</w:t>
      </w:r>
    </w:p>
    <w:p>
      <w:pPr>
        <w:spacing w:line="240" w:lineRule="auto" w:before="9"/>
        <w:rPr>
          <w:rFonts w:ascii="宋体" w:hAnsi="宋体" w:cs="宋体" w:eastAsia="宋体" w:hint="default"/>
          <w:sz w:val="17"/>
          <w:szCs w:val="17"/>
        </w:rPr>
      </w:pPr>
    </w:p>
    <w:p>
      <w:pPr>
        <w:pStyle w:val="BodyText"/>
        <w:spacing w:line="240" w:lineRule="auto"/>
        <w:ind w:left="617" w:right="0"/>
        <w:jc w:val="left"/>
      </w:pPr>
      <w:r>
        <w:rPr/>
        <w:t>管理费用费用</w:t>
      </w:r>
      <w:r>
        <w:rPr>
          <w:spacing w:val="-60"/>
        </w:rPr>
        <w:t> </w:t>
      </w:r>
      <w:r>
        <w:rPr>
          <w:rFonts w:ascii="Times New Roman" w:hAnsi="Times New Roman" w:cs="Times New Roman" w:eastAsia="Times New Roman" w:hint="default"/>
        </w:rPr>
        <w:t>2010 </w:t>
      </w:r>
      <w:r>
        <w:rPr/>
        <w:t>年度发生额为</w:t>
      </w:r>
      <w:r>
        <w:rPr>
          <w:spacing w:val="-60"/>
        </w:rPr>
        <w:t> </w:t>
      </w:r>
      <w:r>
        <w:rPr>
          <w:rFonts w:ascii="Times New Roman" w:hAnsi="Times New Roman" w:cs="Times New Roman" w:eastAsia="Times New Roman" w:hint="default"/>
        </w:rPr>
        <w:t>15,514,154.64 </w:t>
      </w:r>
      <w:r>
        <w:rPr/>
        <w:t>元，比</w:t>
      </w:r>
      <w:r>
        <w:rPr>
          <w:spacing w:val="-60"/>
        </w:rPr>
        <w:t> </w:t>
      </w:r>
      <w:r>
        <w:rPr>
          <w:rFonts w:ascii="Times New Roman" w:hAnsi="Times New Roman" w:cs="Times New Roman" w:eastAsia="Times New Roman" w:hint="default"/>
        </w:rPr>
        <w:t>2009 </w:t>
      </w:r>
      <w:r>
        <w:rPr/>
        <w:t>年度发生额</w:t>
      </w:r>
    </w:p>
    <w:p>
      <w:pPr>
        <w:pStyle w:val="BodyText"/>
        <w:spacing w:line="290" w:lineRule="auto" w:before="66"/>
        <w:ind w:right="193"/>
        <w:jc w:val="left"/>
      </w:pPr>
      <w:r>
        <w:rPr>
          <w:rFonts w:ascii="Times New Roman" w:hAnsi="Times New Roman" w:cs="Times New Roman" w:eastAsia="Times New Roman" w:hint="default"/>
        </w:rPr>
        <w:t>12,768,514.01</w:t>
      </w:r>
      <w:r>
        <w:rPr>
          <w:rFonts w:ascii="Times New Roman" w:hAnsi="Times New Roman" w:cs="Times New Roman" w:eastAsia="Times New Roman" w:hint="default"/>
          <w:spacing w:val="-1"/>
        </w:rPr>
        <w:t> </w:t>
      </w:r>
      <w:r>
        <w:rPr/>
        <w:t>元增加</w:t>
      </w:r>
      <w:r>
        <w:rPr>
          <w:spacing w:val="-61"/>
        </w:rPr>
        <w:t> </w:t>
      </w:r>
      <w:r>
        <w:rPr>
          <w:rFonts w:ascii="Times New Roman" w:hAnsi="Times New Roman" w:cs="Times New Roman" w:eastAsia="Times New Roman" w:hint="default"/>
        </w:rPr>
        <w:t>21.50%</w:t>
      </w:r>
      <w:r>
        <w:rPr/>
        <w:t>，主要原因为公司新增了</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个研究开发项目导致技 术开发费用增加以及管理人员薪酬提高，导致公司管理费用大幅度增加。</w:t>
      </w:r>
    </w:p>
    <w:p>
      <w:pPr>
        <w:pStyle w:val="BodyText"/>
        <w:spacing w:line="240" w:lineRule="auto" w:before="199"/>
        <w:ind w:left="617" w:right="0"/>
        <w:jc w:val="left"/>
      </w:pPr>
      <w:r>
        <w:rPr>
          <w:rFonts w:ascii="Times New Roman" w:hAnsi="Times New Roman" w:cs="Times New Roman" w:eastAsia="Times New Roman" w:hint="default"/>
        </w:rPr>
        <w:t>(19)</w:t>
      </w:r>
      <w:r>
        <w:rPr/>
        <w:t>财务费用</w:t>
      </w:r>
    </w:p>
    <w:p>
      <w:pPr>
        <w:spacing w:line="240" w:lineRule="auto" w:before="7"/>
        <w:rPr>
          <w:rFonts w:ascii="宋体" w:hAnsi="宋体" w:cs="宋体" w:eastAsia="宋体" w:hint="default"/>
          <w:sz w:val="17"/>
          <w:szCs w:val="17"/>
        </w:rPr>
      </w:pPr>
    </w:p>
    <w:p>
      <w:pPr>
        <w:pStyle w:val="BodyText"/>
        <w:spacing w:line="290" w:lineRule="auto"/>
        <w:ind w:right="124" w:firstLine="480"/>
        <w:jc w:val="left"/>
      </w:pPr>
      <w:r>
        <w:rPr/>
        <w:t>财务费用</w:t>
      </w:r>
      <w:r>
        <w:rPr>
          <w:spacing w:val="-8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年度发生额为</w:t>
      </w:r>
      <w:r>
        <w:rPr>
          <w:rFonts w:ascii="Times New Roman" w:hAnsi="Times New Roman" w:cs="Times New Roman" w:eastAsia="Times New Roman" w:hint="default"/>
        </w:rPr>
        <w:t>-9,618,268.03</w:t>
      </w:r>
      <w:r>
        <w:rPr>
          <w:rFonts w:ascii="Times New Roman" w:hAnsi="Times New Roman" w:cs="Times New Roman" w:eastAsia="Times New Roman" w:hint="default"/>
          <w:spacing w:val="-27"/>
        </w:rPr>
        <w:t> </w:t>
      </w:r>
      <w:r>
        <w:rPr>
          <w:spacing w:val="-40"/>
        </w:rPr>
        <w:t>元，比</w:t>
      </w:r>
      <w:r>
        <w:rPr>
          <w:spacing w:val="-8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年度发生额</w:t>
      </w:r>
      <w:r>
        <w:rPr>
          <w:rFonts w:ascii="Times New Roman" w:hAnsi="Times New Roman" w:cs="Times New Roman" w:eastAsia="Times New Roman" w:hint="default"/>
        </w:rPr>
        <w:t>-792,092.77 </w:t>
      </w:r>
      <w:r>
        <w:rPr/>
        <w:t>元增加</w:t>
      </w:r>
      <w:r>
        <w:rPr>
          <w:spacing w:val="-61"/>
        </w:rPr>
        <w:t> </w:t>
      </w:r>
      <w:r>
        <w:rPr>
          <w:rFonts w:ascii="Times New Roman" w:hAnsi="Times New Roman" w:cs="Times New Roman" w:eastAsia="Times New Roman" w:hint="default"/>
        </w:rPr>
        <w:t>1114.29%</w:t>
      </w:r>
      <w:r>
        <w:rPr/>
        <w:t>，主要原因为收到募集资金从而导致利息收入的增加。</w:t>
      </w:r>
    </w:p>
    <w:p>
      <w:pPr>
        <w:pStyle w:val="BodyText"/>
        <w:spacing w:line="240" w:lineRule="auto" w:before="176"/>
        <w:ind w:left="617" w:right="0"/>
        <w:jc w:val="left"/>
      </w:pPr>
      <w:r>
        <w:rPr>
          <w:rFonts w:ascii="Times New Roman" w:hAnsi="Times New Roman" w:cs="Times New Roman" w:eastAsia="Times New Roman" w:hint="default"/>
        </w:rPr>
        <w:t>(20)</w:t>
      </w:r>
      <w:r>
        <w:rPr/>
        <w:t>资产减值损失</w:t>
      </w:r>
    </w:p>
    <w:p>
      <w:pPr>
        <w:spacing w:line="240" w:lineRule="auto" w:before="7"/>
        <w:rPr>
          <w:rFonts w:ascii="宋体" w:hAnsi="宋体" w:cs="宋体" w:eastAsia="宋体" w:hint="default"/>
          <w:sz w:val="17"/>
          <w:szCs w:val="17"/>
        </w:rPr>
      </w:pPr>
    </w:p>
    <w:p>
      <w:pPr>
        <w:pStyle w:val="BodyText"/>
        <w:spacing w:line="240" w:lineRule="auto"/>
        <w:ind w:left="617" w:right="0"/>
        <w:jc w:val="left"/>
      </w:pPr>
      <w:r>
        <w:rPr/>
        <w:t>资产减值损失</w:t>
      </w:r>
      <w:r>
        <w:rPr>
          <w:spacing w:val="-60"/>
        </w:rPr>
        <w:t> </w:t>
      </w:r>
      <w:r>
        <w:rPr>
          <w:rFonts w:ascii="Times New Roman" w:hAnsi="Times New Roman" w:cs="Times New Roman" w:eastAsia="Times New Roman" w:hint="default"/>
        </w:rPr>
        <w:t>2010 </w:t>
      </w:r>
      <w:r>
        <w:rPr/>
        <w:t>年度发生额为</w:t>
      </w:r>
      <w:r>
        <w:rPr>
          <w:spacing w:val="-60"/>
        </w:rPr>
        <w:t> </w:t>
      </w:r>
      <w:r>
        <w:rPr>
          <w:rFonts w:ascii="Times New Roman" w:hAnsi="Times New Roman" w:cs="Times New Roman" w:eastAsia="Times New Roman" w:hint="default"/>
        </w:rPr>
        <w:t>1,641,127.57 </w:t>
      </w:r>
      <w:r>
        <w:rPr/>
        <w:t>元，比</w:t>
      </w:r>
      <w:r>
        <w:rPr>
          <w:spacing w:val="-60"/>
        </w:rPr>
        <w:t> </w:t>
      </w:r>
      <w:r>
        <w:rPr>
          <w:rFonts w:ascii="Times New Roman" w:hAnsi="Times New Roman" w:cs="Times New Roman" w:eastAsia="Times New Roman" w:hint="default"/>
        </w:rPr>
        <w:t>2009 </w:t>
      </w:r>
      <w:r>
        <w:rPr/>
        <w:t>年度发生额</w:t>
      </w:r>
    </w:p>
    <w:p>
      <w:pPr>
        <w:pStyle w:val="BodyText"/>
        <w:spacing w:line="288" w:lineRule="auto" w:before="68"/>
        <w:ind w:right="130"/>
        <w:jc w:val="left"/>
      </w:pPr>
      <w:r>
        <w:rPr>
          <w:rFonts w:ascii="Times New Roman" w:hAnsi="Times New Roman" w:cs="Times New Roman" w:eastAsia="Times New Roman" w:hint="default"/>
        </w:rPr>
        <w:t>212,821.99 </w:t>
      </w:r>
      <w:r>
        <w:rPr/>
        <w:t>元增加</w:t>
      </w:r>
      <w:r>
        <w:rPr>
          <w:spacing w:val="-61"/>
        </w:rPr>
        <w:t> </w:t>
      </w:r>
      <w:r>
        <w:rPr>
          <w:rFonts w:ascii="Times New Roman" w:hAnsi="Times New Roman" w:cs="Times New Roman" w:eastAsia="Times New Roman" w:hint="default"/>
        </w:rPr>
        <w:t>671.13%</w:t>
      </w:r>
      <w:r>
        <w:rPr/>
        <w:t>，主要原因是应收款余额增加导致计提的坏账准备金 额增加。</w:t>
      </w:r>
    </w:p>
    <w:p>
      <w:pPr>
        <w:pStyle w:val="BodyText"/>
        <w:spacing w:line="240" w:lineRule="auto" w:before="202"/>
        <w:ind w:left="617" w:right="0"/>
        <w:jc w:val="left"/>
      </w:pPr>
      <w:r>
        <w:rPr>
          <w:rFonts w:ascii="Times New Roman" w:hAnsi="Times New Roman" w:cs="Times New Roman" w:eastAsia="Times New Roman" w:hint="default"/>
        </w:rPr>
        <w:t>(21)</w:t>
      </w:r>
      <w:r>
        <w:rPr/>
        <w:t>营业外收入</w:t>
      </w:r>
    </w:p>
    <w:p>
      <w:pPr>
        <w:spacing w:line="240" w:lineRule="auto" w:before="9"/>
        <w:rPr>
          <w:rFonts w:ascii="宋体" w:hAnsi="宋体" w:cs="宋体" w:eastAsia="宋体" w:hint="default"/>
          <w:sz w:val="17"/>
          <w:szCs w:val="17"/>
        </w:rPr>
      </w:pPr>
    </w:p>
    <w:p>
      <w:pPr>
        <w:pStyle w:val="BodyText"/>
        <w:spacing w:line="240" w:lineRule="auto"/>
        <w:ind w:left="617" w:right="0"/>
        <w:jc w:val="left"/>
      </w:pPr>
      <w:r>
        <w:rPr/>
        <w:t>营业外收入</w:t>
      </w:r>
      <w:r>
        <w:rPr>
          <w:spacing w:val="-60"/>
        </w:rPr>
        <w:t> </w:t>
      </w:r>
      <w:r>
        <w:rPr>
          <w:rFonts w:ascii="Times New Roman" w:hAnsi="Times New Roman" w:cs="Times New Roman" w:eastAsia="Times New Roman" w:hint="default"/>
        </w:rPr>
        <w:t>2010 </w:t>
      </w:r>
      <w:r>
        <w:rPr/>
        <w:t>年度发生额为</w:t>
      </w:r>
      <w:r>
        <w:rPr>
          <w:spacing w:val="-60"/>
        </w:rPr>
        <w:t> </w:t>
      </w:r>
      <w:r>
        <w:rPr>
          <w:rFonts w:ascii="Times New Roman" w:hAnsi="Times New Roman" w:cs="Times New Roman" w:eastAsia="Times New Roman" w:hint="default"/>
        </w:rPr>
        <w:t>17,457,096.78 </w:t>
      </w:r>
      <w:r>
        <w:rPr/>
        <w:t>元，比</w:t>
      </w:r>
      <w:r>
        <w:rPr>
          <w:spacing w:val="-60"/>
        </w:rPr>
        <w:t> </w:t>
      </w:r>
      <w:r>
        <w:rPr>
          <w:rFonts w:ascii="Times New Roman" w:hAnsi="Times New Roman" w:cs="Times New Roman" w:eastAsia="Times New Roman" w:hint="default"/>
        </w:rPr>
        <w:t>2009 </w:t>
      </w:r>
      <w:r>
        <w:rPr/>
        <w:t>年度发生额</w:t>
      </w:r>
    </w:p>
    <w:p>
      <w:pPr>
        <w:pStyle w:val="BodyText"/>
        <w:spacing w:line="408" w:lineRule="auto" w:before="66"/>
        <w:ind w:left="617" w:right="1510" w:hanging="480"/>
        <w:jc w:val="left"/>
      </w:pPr>
      <w:r>
        <w:rPr>
          <w:rFonts w:ascii="Times New Roman" w:hAnsi="Times New Roman" w:cs="Times New Roman" w:eastAsia="Times New Roman" w:hint="default"/>
        </w:rPr>
        <w:t>9,854,191.22 </w:t>
      </w:r>
      <w:r>
        <w:rPr/>
        <w:t>元增加</w:t>
      </w:r>
      <w:r>
        <w:rPr>
          <w:spacing w:val="-61"/>
        </w:rPr>
        <w:t> </w:t>
      </w:r>
      <w:r>
        <w:rPr>
          <w:rFonts w:ascii="Times New Roman" w:hAnsi="Times New Roman" w:cs="Times New Roman" w:eastAsia="Times New Roman" w:hint="default"/>
        </w:rPr>
        <w:t>77.15%</w:t>
      </w:r>
      <w:r>
        <w:rPr/>
        <w:t>，主要由于本期收到的政府补助增加。 </w:t>
      </w:r>
      <w:r>
        <w:rPr>
          <w:rFonts w:ascii="Times New Roman" w:hAnsi="Times New Roman" w:cs="Times New Roman" w:eastAsia="Times New Roman" w:hint="default"/>
        </w:rPr>
        <w:t>(22)</w:t>
      </w:r>
      <w:r>
        <w:rPr/>
        <w:t>营业外支出</w:t>
      </w:r>
    </w:p>
    <w:p>
      <w:pPr>
        <w:spacing w:after="0" w:line="408" w:lineRule="auto"/>
        <w:jc w:val="left"/>
        <w:sectPr>
          <w:pgSz w:w="11910" w:h="16840"/>
          <w:pgMar w:header="850" w:footer="979" w:top="1380" w:bottom="1160" w:left="1660" w:right="1660"/>
        </w:sectPr>
      </w:pPr>
    </w:p>
    <w:p>
      <w:pPr>
        <w:pStyle w:val="BodyText"/>
        <w:spacing w:line="288" w:lineRule="auto" w:before="93"/>
        <w:ind w:right="133" w:firstLine="480"/>
        <w:jc w:val="both"/>
      </w:pPr>
      <w:r>
        <w:rPr/>
        <w:t>营业外支出</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年度发生额为</w:t>
      </w:r>
      <w:r>
        <w:rPr>
          <w:spacing w:val="-72"/>
        </w:rPr>
        <w:t> </w:t>
      </w:r>
      <w:r>
        <w:rPr>
          <w:rFonts w:ascii="Times New Roman" w:hAnsi="Times New Roman" w:cs="Times New Roman" w:eastAsia="Times New Roman" w:hint="default"/>
        </w:rPr>
        <w:t>4,433,606.98</w:t>
      </w:r>
      <w:r>
        <w:rPr>
          <w:rFonts w:ascii="Times New Roman" w:hAnsi="Times New Roman" w:cs="Times New Roman" w:eastAsia="Times New Roman" w:hint="default"/>
          <w:spacing w:val="-12"/>
        </w:rPr>
        <w:t> </w:t>
      </w:r>
      <w:r>
        <w:rPr>
          <w:spacing w:val="-40"/>
        </w:rPr>
        <w:t>元，比</w:t>
      </w:r>
      <w:r>
        <w:rPr>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年度发生额</w:t>
      </w:r>
      <w:r>
        <w:rPr>
          <w:spacing w:val="-75"/>
        </w:rPr>
        <w:t> </w:t>
      </w:r>
      <w:r>
        <w:rPr>
          <w:rFonts w:ascii="Times New Roman" w:hAnsi="Times New Roman" w:cs="Times New Roman" w:eastAsia="Times New Roman" w:hint="default"/>
        </w:rPr>
        <w:t>5,361.21 </w:t>
      </w:r>
      <w:r>
        <w:rPr/>
        <w:t>元增加</w:t>
      </w:r>
      <w:r>
        <w:rPr>
          <w:spacing w:val="-40"/>
        </w:rPr>
        <w:t> </w:t>
      </w:r>
      <w:r>
        <w:rPr>
          <w:rFonts w:ascii="Times New Roman" w:hAnsi="Times New Roman" w:cs="Times New Roman" w:eastAsia="Times New Roman" w:hint="default"/>
          <w:spacing w:val="-2"/>
        </w:rPr>
        <w:t>82597.88%</w:t>
      </w:r>
      <w:r>
        <w:rPr>
          <w:spacing w:val="-2"/>
        </w:rPr>
        <w:t>，主要由于本期将上市发行的酒会以及路演的部分支出转入所</w:t>
      </w:r>
      <w:r>
        <w:rPr>
          <w:spacing w:val="-117"/>
        </w:rPr>
        <w:t> </w:t>
      </w:r>
      <w:r>
        <w:rPr>
          <w:spacing w:val="-117"/>
        </w:rPr>
      </w:r>
      <w:r>
        <w:rPr/>
        <w:t>致。</w:t>
      </w:r>
    </w:p>
    <w:p>
      <w:pPr>
        <w:pStyle w:val="BodyText"/>
        <w:spacing w:line="240" w:lineRule="auto" w:before="202"/>
        <w:ind w:left="617" w:right="0"/>
        <w:jc w:val="left"/>
      </w:pPr>
      <w:r>
        <w:rPr>
          <w:rFonts w:ascii="Times New Roman" w:hAnsi="Times New Roman" w:cs="Times New Roman" w:eastAsia="Times New Roman" w:hint="default"/>
        </w:rPr>
        <w:t>(23)</w:t>
      </w:r>
      <w:r>
        <w:rPr/>
        <w:t>所得税费用</w:t>
      </w:r>
    </w:p>
    <w:p>
      <w:pPr>
        <w:spacing w:line="240" w:lineRule="auto" w:before="9"/>
        <w:rPr>
          <w:rFonts w:ascii="宋体" w:hAnsi="宋体" w:cs="宋体" w:eastAsia="宋体" w:hint="default"/>
          <w:sz w:val="17"/>
          <w:szCs w:val="17"/>
        </w:rPr>
      </w:pPr>
    </w:p>
    <w:p>
      <w:pPr>
        <w:pStyle w:val="BodyText"/>
        <w:spacing w:line="240" w:lineRule="auto"/>
        <w:ind w:left="617" w:right="0"/>
        <w:jc w:val="left"/>
      </w:pPr>
      <w:r>
        <w:rPr/>
        <w:t>所得税费用</w:t>
      </w:r>
      <w:r>
        <w:rPr>
          <w:spacing w:val="-60"/>
        </w:rPr>
        <w:t> </w:t>
      </w:r>
      <w:r>
        <w:rPr>
          <w:rFonts w:ascii="Times New Roman" w:hAnsi="Times New Roman" w:cs="Times New Roman" w:eastAsia="Times New Roman" w:hint="default"/>
        </w:rPr>
        <w:t>2010 </w:t>
      </w:r>
      <w:r>
        <w:rPr/>
        <w:t>年度发生额为</w:t>
      </w:r>
      <w:r>
        <w:rPr>
          <w:spacing w:val="-60"/>
        </w:rPr>
        <w:t> </w:t>
      </w:r>
      <w:r>
        <w:rPr>
          <w:rFonts w:ascii="Times New Roman" w:hAnsi="Times New Roman" w:cs="Times New Roman" w:eastAsia="Times New Roman" w:hint="default"/>
        </w:rPr>
        <w:t>7,289,276.15 </w:t>
      </w:r>
      <w:r>
        <w:rPr/>
        <w:t>元，比</w:t>
      </w:r>
      <w:r>
        <w:rPr>
          <w:spacing w:val="-60"/>
        </w:rPr>
        <w:t> </w:t>
      </w:r>
      <w:r>
        <w:rPr>
          <w:rFonts w:ascii="Times New Roman" w:hAnsi="Times New Roman" w:cs="Times New Roman" w:eastAsia="Times New Roman" w:hint="default"/>
        </w:rPr>
        <w:t>2009 </w:t>
      </w:r>
      <w:r>
        <w:rPr/>
        <w:t>年度发生额</w:t>
      </w:r>
    </w:p>
    <w:p>
      <w:pPr>
        <w:pStyle w:val="BodyText"/>
        <w:spacing w:line="240" w:lineRule="auto" w:before="66"/>
        <w:ind w:right="0"/>
        <w:jc w:val="left"/>
      </w:pPr>
      <w:r>
        <w:rPr>
          <w:rFonts w:ascii="Times New Roman" w:hAnsi="Times New Roman" w:cs="Times New Roman" w:eastAsia="Times New Roman" w:hint="default"/>
        </w:rPr>
        <w:t>5,045,356.66 </w:t>
      </w:r>
      <w:r>
        <w:rPr/>
        <w:t>元增加</w:t>
      </w:r>
      <w:r>
        <w:rPr>
          <w:spacing w:val="-61"/>
        </w:rPr>
        <w:t> </w:t>
      </w:r>
      <w:r>
        <w:rPr>
          <w:rFonts w:ascii="Times New Roman" w:hAnsi="Times New Roman" w:cs="Times New Roman" w:eastAsia="Times New Roman" w:hint="default"/>
        </w:rPr>
        <w:t>44.47%</w:t>
      </w:r>
      <w:r>
        <w:rPr/>
        <w:t>，主要由于本期本年利润总额增加所致。</w:t>
      </w:r>
    </w:p>
    <w:p>
      <w:pPr>
        <w:spacing w:after="0" w:line="240" w:lineRule="auto"/>
        <w:jc w:val="left"/>
        <w:sectPr>
          <w:pgSz w:w="11910" w:h="16840"/>
          <w:pgMar w:header="850" w:footer="979" w:top="1380" w:bottom="1160" w:left="1660" w:right="1660"/>
        </w:sectPr>
      </w:pPr>
    </w:p>
    <w:p>
      <w:pPr>
        <w:spacing w:line="240" w:lineRule="auto" w:before="1"/>
        <w:rPr>
          <w:rFonts w:ascii="宋体" w:hAnsi="宋体" w:cs="宋体" w:eastAsia="宋体" w:hint="default"/>
          <w:sz w:val="12"/>
          <w:szCs w:val="12"/>
        </w:rPr>
      </w:pPr>
    </w:p>
    <w:p>
      <w:pPr>
        <w:pStyle w:val="Heading1"/>
        <w:spacing w:line="240" w:lineRule="auto"/>
        <w:ind w:right="0"/>
        <w:jc w:val="center"/>
        <w:rPr>
          <w:b w:val="0"/>
          <w:bCs w:val="0"/>
        </w:rPr>
      </w:pPr>
      <w:bookmarkStart w:name="第十节 备查文件" w:id="19"/>
      <w:bookmarkEnd w:id="19"/>
      <w:r>
        <w:rPr>
          <w:b w:val="0"/>
          <w:bCs w:val="0"/>
        </w:rPr>
      </w:r>
      <w:bookmarkStart w:name="_bookmark9" w:id="20"/>
      <w:bookmarkEnd w:id="20"/>
      <w:r>
        <w:rPr>
          <w:b w:val="0"/>
          <w:bCs w:val="0"/>
        </w:rPr>
      </w:r>
      <w:r>
        <w:rPr/>
        <w:t>第十节</w:t>
      </w:r>
      <w:r>
        <w:rPr>
          <w:spacing w:val="-3"/>
        </w:rPr>
        <w:t> </w:t>
      </w:r>
      <w:r>
        <w:rPr/>
        <w:t>备查文件</w:t>
      </w:r>
      <w:r>
        <w:rPr>
          <w:b w:val="0"/>
          <w:bCs w:val="0"/>
        </w:rPr>
      </w:r>
    </w:p>
    <w:p>
      <w:pPr>
        <w:spacing w:line="240" w:lineRule="auto" w:before="13"/>
        <w:rPr>
          <w:rFonts w:ascii="宋体" w:hAnsi="宋体" w:cs="宋体" w:eastAsia="宋体" w:hint="default"/>
          <w:b/>
          <w:bCs/>
          <w:sz w:val="34"/>
          <w:szCs w:val="34"/>
        </w:rPr>
      </w:pPr>
    </w:p>
    <w:p>
      <w:pPr>
        <w:pStyle w:val="BodyText"/>
        <w:spacing w:line="374" w:lineRule="auto"/>
        <w:ind w:right="128" w:firstLine="480"/>
        <w:jc w:val="left"/>
      </w:pPr>
      <w:r>
        <w:rPr>
          <w:spacing w:val="-3"/>
        </w:rPr>
        <w:t>一、载有公司法定代表人、主管会计工作的公司负责人、公司会计机构负责</w:t>
      </w:r>
      <w:r>
        <w:rPr/>
        <w:t> 人（会计主管人员）签名并盖章的财务报表。</w:t>
      </w:r>
    </w:p>
    <w:p>
      <w:pPr>
        <w:pStyle w:val="BodyText"/>
        <w:spacing w:line="240" w:lineRule="auto" w:before="202"/>
        <w:ind w:left="617" w:right="0"/>
        <w:jc w:val="left"/>
      </w:pPr>
      <w:r>
        <w:rPr/>
        <w:t>二、载有会计师事务盖章、注册会计师签名并盖章的审计报告原件。</w:t>
      </w:r>
    </w:p>
    <w:p>
      <w:pPr>
        <w:spacing w:line="240" w:lineRule="auto" w:before="12"/>
        <w:rPr>
          <w:rFonts w:ascii="宋体" w:hAnsi="宋体" w:cs="宋体" w:eastAsia="宋体" w:hint="default"/>
          <w:sz w:val="25"/>
          <w:szCs w:val="25"/>
        </w:rPr>
      </w:pPr>
    </w:p>
    <w:p>
      <w:pPr>
        <w:pStyle w:val="BodyText"/>
        <w:spacing w:line="374" w:lineRule="auto"/>
        <w:ind w:right="128" w:firstLine="480"/>
        <w:jc w:val="left"/>
      </w:pPr>
      <w:r>
        <w:rPr>
          <w:spacing w:val="-3"/>
        </w:rPr>
        <w:t>三、报告期内在中国证监会指定网站上公开披露过的所有公司文件的正本及</w:t>
      </w:r>
      <w:r>
        <w:rPr/>
        <w:t> 公告的原稿。</w:t>
      </w:r>
    </w:p>
    <w:p>
      <w:pPr>
        <w:pStyle w:val="BodyText"/>
        <w:spacing w:line="240" w:lineRule="auto" w:before="204"/>
        <w:ind w:left="617" w:right="0"/>
        <w:jc w:val="left"/>
      </w:pPr>
      <w:r>
        <w:rPr/>
        <w:t>四、经公司法定代表人签名的</w:t>
      </w:r>
      <w:r>
        <w:rPr>
          <w:spacing w:val="-60"/>
        </w:rPr>
        <w:t> </w:t>
      </w:r>
      <w:r>
        <w:rPr>
          <w:rFonts w:ascii="宋体" w:hAnsi="宋体" w:cs="宋体" w:eastAsia="宋体" w:hint="default"/>
        </w:rPr>
        <w:t>2010</w:t>
      </w:r>
      <w:r>
        <w:rPr>
          <w:rFonts w:ascii="宋体" w:hAnsi="宋体" w:cs="宋体" w:eastAsia="宋体" w:hint="default"/>
          <w:spacing w:val="-60"/>
        </w:rPr>
        <w:t> </w:t>
      </w:r>
      <w:r>
        <w:rPr/>
        <w:t>年年度报告全文。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pStyle w:val="BodyText"/>
        <w:spacing w:line="499" w:lineRule="auto"/>
        <w:ind w:left="3574" w:right="0"/>
        <w:jc w:val="center"/>
      </w:pPr>
      <w:r>
        <w:rPr>
          <w:spacing w:val="-1"/>
        </w:rPr>
        <w:t>北京数字政通科技股份有限公司</w:t>
      </w:r>
      <w:r>
        <w:rPr>
          <w:spacing w:val="-113"/>
        </w:rPr>
        <w:t> </w:t>
      </w:r>
      <w:r>
        <w:rPr>
          <w:spacing w:val="-113"/>
        </w:rPr>
      </w:r>
      <w:r>
        <w:rPr/>
        <w:t>法定代表人：吴强华</w:t>
      </w:r>
    </w:p>
    <w:p>
      <w:pPr>
        <w:pStyle w:val="BodyText"/>
        <w:spacing w:line="240" w:lineRule="auto" w:before="77"/>
        <w:ind w:left="3628" w:right="0"/>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p>
    <w:sectPr>
      <w:pgSz w:w="11910" w:h="16840"/>
      <w:pgMar w:header="850" w:footer="979" w:top="1380" w:bottom="116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22998pt;margin-top:771.175964pt;width:6.6pt;height:11pt;mso-position-horizontal-relative:page;mso-position-vertical-relative:page;z-index:-606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6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6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3pt;height:11pt;mso-position-horizontal-relative:page;mso-position-vertical-relative:page;z-index:-606232" type="#_x0000_t202" filled="false" stroked="false">
          <v:textbox inset="0,0,0,0">
            <w:txbxContent>
              <w:p>
                <w:pPr>
                  <w:spacing w:line="203" w:lineRule="exact" w:before="0"/>
                  <w:ind w:left="42"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6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6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4pt;height:11pt;mso-position-horizontal-relative:page;mso-position-vertical-relative:page;z-index:-60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03015pt;margin-top:535.372986pt;width:13.15pt;height:11pt;mso-position-horizontal-relative:page;mso-position-vertical-relative:page;z-index:-605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4pt;height:11pt;mso-position-horizontal-relative:page;mso-position-vertical-relative:page;z-index:-605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r>
                  <w:rPr>
                    <w:rFonts w:ascii="Calibri"/>
                    <w:spacing w:val="2"/>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5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2998pt;margin-top:781.972961pt;width:8.6pt;height:11pt;mso-position-horizontal-relative:page;mso-position-vertical-relative:page;z-index:-606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5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0010pt;margin-top:781.972961pt;width:15.7pt;height:11pt;mso-position-horizontal-relative:page;mso-position-vertical-relative:page;z-index:-60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81.972961pt;width:17.7pt;height:11pt;mso-position-horizontal-relative:page;mso-position-vertical-relative:page;z-index:-605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0010pt;margin-top:781.972961pt;width:15.7pt;height:11pt;mso-position-horizontal-relative:page;mso-position-vertical-relative:page;z-index:-605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81.972961pt;width:17.7pt;height:11pt;mso-position-horizontal-relative:page;mso-position-vertical-relative:page;z-index:-605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0010pt;margin-top:781.972961pt;width:15.7pt;height:11pt;mso-position-horizontal-relative:page;mso-position-vertical-relative:page;z-index:-605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81.972961pt;width:17.850pt;height:11pt;mso-position-horizontal-relative:page;mso-position-vertical-relative:page;z-index:-60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0010pt;margin-top:781.972961pt;width:15.7pt;height:11pt;mso-position-horizontal-relative:page;mso-position-vertical-relative:page;z-index:-605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6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81.972961pt;width:17.7pt;height:11pt;mso-position-horizontal-relative:page;mso-position-vertical-relative:page;z-index:-605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6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6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3pt;height:11pt;mso-position-horizontal-relative:page;mso-position-vertical-relative:page;z-index:-60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2.15pt;height:11pt;mso-position-horizontal-relative:page;mso-position-vertical-relative:page;z-index:-606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r>
                  <w:rPr>
                    <w:rFonts w:ascii="Calibri"/>
                    <w:sz w:val="18"/>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81.972961pt;width:13.15pt;height:11pt;mso-position-horizontal-relative:page;mso-position-vertical-relative:page;z-index:-60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36987pt;margin-top:781.972961pt;width:11.15pt;height:11pt;mso-position-horizontal-relative:page;mso-position-vertical-relative:page;z-index:-606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80005pt;margin-top:42.480011pt;width:26.639999pt;height:24.479996pt;mso-position-horizontal-relative:page;mso-position-vertical-relative:page;z-index:-606568" type="#_x0000_t75" stroked="false">
          <v:imagedata r:id="rId1" o:title=""/>
        </v:shape>
      </w:pict>
    </w:r>
    <w:r>
      <w:rPr/>
      <w:pict>
        <v:group style="position:absolute;margin-left:88.440002pt;margin-top:70.559982pt;width:418.45pt;height:.1pt;mso-position-horizontal-relative:page;mso-position-vertical-relative:page;z-index:-606544" coordorigin="1769,1411" coordsize="8369,2">
          <v:shape style="position:absolute;left:1769;top:1411;width:8369;height:2" coordorigin="1769,1411" coordsize="8369,0" path="m1769,1411l10138,14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7.760010pt;margin-top:57.124981pt;width:228.85pt;height:13.15pt;mso-position-horizontal-relative:page;mso-position-vertical-relative:page;z-index:-60652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北京数字政通科技股份有限公司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880005pt;margin-top:42.47998pt;width:26.639999pt;height:24.479996pt;mso-position-horizontal-relative:page;mso-position-vertical-relative:page;z-index:-606136" type="#_x0000_t75" stroked="false">
          <v:imagedata r:id="rId1" o:title=""/>
        </v:shape>
      </w:pict>
    </w:r>
    <w:r>
      <w:rPr/>
      <w:pict>
        <v:group style="position:absolute;margin-left:70.559998pt;margin-top:70.560005pt;width:700.8pt;height:.1pt;mso-position-horizontal-relative:page;mso-position-vertical-relative:page;z-index:-606112" coordorigin="1411,1411" coordsize="14016,2">
          <v:shape style="position:absolute;left:1411;top:1411;width:14016;height:2" coordorigin="1411,1411" coordsize="14016,0" path="m1411,1411l15427,1411e" filled="false" stroked="true" strokeweight=".72pt" strokecolor="#000000">
            <v:path arrowok="t"/>
          </v:shape>
          <w10:wrap type="none"/>
        </v:group>
      </w:pict>
    </w:r>
    <w:r>
      <w:rPr/>
      <w:pict>
        <v:shape style="position:absolute;margin-left:434.23999pt;margin-top:57.125008pt;width:138.950pt;height:12.6pt;mso-position-horizontal-relative:page;mso-position-vertical-relative:page;z-index:-6060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w w:val="100"/>
                    <w:sz w:val="21"/>
                    <w:szCs w:val="21"/>
                  </w:rPr>
                  <w:t>北</w:t>
                </w:r>
                <w:r>
                  <w:rPr>
                    <w:rFonts w:ascii="宋体" w:hAnsi="宋体" w:cs="宋体" w:eastAsia="宋体" w:hint="default"/>
                    <w:spacing w:val="-14"/>
                    <w:sz w:val="21"/>
                    <w:szCs w:val="21"/>
                  </w:rPr>
                  <w:t> </w:t>
                </w:r>
                <w:r>
                  <w:rPr>
                    <w:rFonts w:ascii="宋体" w:hAnsi="宋体" w:cs="宋体" w:eastAsia="宋体" w:hint="default"/>
                    <w:w w:val="100"/>
                    <w:sz w:val="21"/>
                    <w:szCs w:val="21"/>
                  </w:rPr>
                  <w:t>京</w:t>
                </w:r>
                <w:r>
                  <w:rPr>
                    <w:rFonts w:ascii="宋体" w:hAnsi="宋体" w:cs="宋体" w:eastAsia="宋体" w:hint="default"/>
                    <w:spacing w:val="-14"/>
                    <w:sz w:val="21"/>
                    <w:szCs w:val="21"/>
                  </w:rPr>
                  <w:t> </w:t>
                </w:r>
                <w:r>
                  <w:rPr>
                    <w:rFonts w:ascii="宋体" w:hAnsi="宋体" w:cs="宋体" w:eastAsia="宋体" w:hint="default"/>
                    <w:spacing w:val="93"/>
                    <w:w w:val="100"/>
                    <w:sz w:val="21"/>
                    <w:szCs w:val="21"/>
                  </w:rPr>
                  <w:t>数字政通科技</w:t>
                </w:r>
                <w:r>
                  <w:rPr>
                    <w:rFonts w:ascii="宋体" w:hAnsi="宋体" w:cs="宋体" w:eastAsia="宋体" w:hint="default"/>
                    <w:w w:val="100"/>
                    <w:sz w:val="21"/>
                    <w:szCs w:val="21"/>
                  </w:rPr>
                  <w:t>股</w:t>
                </w:r>
                <w:r>
                  <w:rPr>
                    <w:rFonts w:ascii="宋体" w:hAnsi="宋体" w:cs="宋体" w:eastAsia="宋体" w:hint="default"/>
                    <w:spacing w:val="-12"/>
                    <w:sz w:val="21"/>
                    <w:szCs w:val="21"/>
                  </w:rPr>
                  <w:t> </w:t>
                </w:r>
                <w:r>
                  <w:rPr>
                    <w:rFonts w:ascii="宋体" w:hAnsi="宋体" w:cs="宋体" w:eastAsia="宋体" w:hint="default"/>
                    <w:sz w:val="21"/>
                    <w:szCs w:val="21"/>
                  </w:rPr>
                </w:r>
              </w:p>
            </w:txbxContent>
          </v:textbox>
          <w10:wrap type="none"/>
        </v:shape>
      </w:pict>
    </w:r>
    <w:r>
      <w:rPr/>
      <w:pict>
        <v:shape style="position:absolute;margin-left:571.034241pt;margin-top:57.125008pt;width:78.1pt;height:12.6pt;mso-position-horizontal-relative:page;mso-position-vertical-relative:page;z-index:-6060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w w:val="100"/>
                    <w:sz w:val="21"/>
                    <w:szCs w:val="21"/>
                  </w:rPr>
                  <w:t>份</w:t>
                </w:r>
                <w:r>
                  <w:rPr>
                    <w:rFonts w:ascii="宋体" w:hAnsi="宋体" w:cs="宋体" w:eastAsia="宋体" w:hint="default"/>
                    <w:spacing w:val="-14"/>
                    <w:sz w:val="21"/>
                    <w:szCs w:val="21"/>
                  </w:rPr>
                  <w:t> </w:t>
                </w:r>
                <w:r>
                  <w:rPr>
                    <w:rFonts w:ascii="宋体" w:hAnsi="宋体" w:cs="宋体" w:eastAsia="宋体" w:hint="default"/>
                    <w:spacing w:val="93"/>
                    <w:w w:val="100"/>
                    <w:sz w:val="21"/>
                    <w:szCs w:val="21"/>
                  </w:rPr>
                  <w:t>有限公</w:t>
                </w:r>
                <w:r>
                  <w:rPr>
                    <w:rFonts w:ascii="宋体" w:hAnsi="宋体" w:cs="宋体" w:eastAsia="宋体" w:hint="default"/>
                    <w:w w:val="100"/>
                    <w:sz w:val="21"/>
                    <w:szCs w:val="21"/>
                  </w:rPr>
                  <w:t>司</w:t>
                </w:r>
                <w:r>
                  <w:rPr>
                    <w:rFonts w:ascii="宋体" w:hAnsi="宋体" w:cs="宋体" w:eastAsia="宋体" w:hint="default"/>
                    <w:spacing w:val="-12"/>
                    <w:sz w:val="21"/>
                    <w:szCs w:val="21"/>
                  </w:rPr>
                  <w:t> </w:t>
                </w:r>
                <w:r>
                  <w:rPr>
                    <w:rFonts w:ascii="宋体" w:hAnsi="宋体" w:cs="宋体" w:eastAsia="宋体" w:hint="default"/>
                    <w:sz w:val="21"/>
                    <w:szCs w:val="21"/>
                  </w:rPr>
                </w:r>
              </w:p>
            </w:txbxContent>
          </v:textbox>
          <w10:wrap type="none"/>
        </v:shape>
      </w:pict>
    </w:r>
    <w:r>
      <w:rPr/>
      <w:pict>
        <v:shape style="position:absolute;margin-left:652.399048pt;margin-top:57.702652pt;width:41.85pt;height:12.6pt;mso-position-horizontal-relative:page;mso-position-vertical-relative:page;z-index:-606040"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pacing w:val="40"/>
                    <w:sz w:val="21"/>
                  </w:rPr>
                  <w:t>2</w:t>
                </w:r>
                <w:r>
                  <w:rPr>
                    <w:rFonts w:ascii="Times New Roman"/>
                    <w:spacing w:val="1"/>
                    <w:sz w:val="21"/>
                  </w:rPr>
                  <w:t> </w:t>
                </w:r>
                <w:r>
                  <w:rPr>
                    <w:rFonts w:ascii="Times New Roman"/>
                    <w:spacing w:val="40"/>
                    <w:sz w:val="21"/>
                  </w:rPr>
                  <w:t>0</w:t>
                </w:r>
                <w:r>
                  <w:rPr>
                    <w:rFonts w:ascii="Times New Roman"/>
                    <w:spacing w:val="1"/>
                    <w:sz w:val="21"/>
                  </w:rPr>
                  <w:t> </w:t>
                </w:r>
                <w:r>
                  <w:rPr>
                    <w:rFonts w:ascii="Times New Roman"/>
                    <w:spacing w:val="40"/>
                    <w:sz w:val="21"/>
                  </w:rPr>
                  <w:t>1</w:t>
                </w:r>
                <w:r>
                  <w:rPr>
                    <w:rFonts w:ascii="Times New Roman"/>
                    <w:spacing w:val="1"/>
                    <w:sz w:val="21"/>
                  </w:rPr>
                  <w:t> </w:t>
                </w:r>
                <w:r>
                  <w:rPr>
                    <w:rFonts w:ascii="Times New Roman"/>
                    <w:sz w:val="21"/>
                  </w:rPr>
                  <w:t>0 </w:t>
                </w:r>
                <w:r>
                  <w:rPr>
                    <w:rFonts w:ascii="Times New Roman"/>
                    <w:spacing w:val="-12"/>
                    <w:sz w:val="21"/>
                  </w:rPr>
                  <w:t> </w:t>
                </w:r>
                <w:r>
                  <w:rPr>
                    <w:rFonts w:ascii="Times New Roman"/>
                    <w:sz w:val="21"/>
                  </w:rPr>
                </w:r>
              </w:p>
            </w:txbxContent>
          </v:textbox>
          <w10:wrap type="none"/>
        </v:shape>
      </w:pict>
    </w:r>
    <w:r>
      <w:rPr/>
      <w:pict>
        <v:shape style="position:absolute;margin-left:697.395203pt;margin-top:57.125008pt;width:78.2pt;height:12.6pt;mso-position-horizontal-relative:page;mso-position-vertical-relative:page;z-index:-60601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pacing w:val="93"/>
                    <w:w w:val="100"/>
                    <w:sz w:val="21"/>
                    <w:szCs w:val="21"/>
                  </w:rPr>
                  <w:t>年年度报</w:t>
                </w:r>
                <w:r>
                  <w:rPr>
                    <w:rFonts w:ascii="宋体" w:hAnsi="宋体" w:cs="宋体" w:eastAsia="宋体" w:hint="default"/>
                    <w:w w:val="100"/>
                    <w:sz w:val="21"/>
                    <w:szCs w:val="21"/>
                  </w:rPr>
                  <w:t>告</w:t>
                </w:r>
                <w:r>
                  <w:rPr>
                    <w:rFonts w:ascii="宋体" w:hAnsi="宋体" w:cs="宋体" w:eastAsia="宋体" w:hint="default"/>
                    <w:spacing w:val="-12"/>
                    <w:sz w:val="21"/>
                    <w:szCs w:val="21"/>
                  </w:rPr>
                  <w:t> </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80005pt;margin-top:42.480011pt;width:26.639999pt;height:24.479996pt;mso-position-horizontal-relative:page;mso-position-vertical-relative:page;z-index:-605968" type="#_x0000_t75" stroked="false">
          <v:imagedata r:id="rId1" o:title=""/>
        </v:shape>
      </w:pict>
    </w:r>
    <w:r>
      <w:rPr/>
      <w:pict>
        <v:shape style="position:absolute;margin-left:277.760010pt;margin-top:57.124981pt;width:228.85pt;height:13.15pt;mso-position-horizontal-relative:page;mso-position-vertical-relative:page;z-index:-60594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北京数字政通科技股份有限公司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37"/>
    </w:pPr>
    <w:rPr>
      <w:rFonts w:ascii="宋体" w:hAnsi="宋体" w:eastAsia="宋体"/>
      <w:b/>
      <w:bCs/>
      <w:sz w:val="24"/>
      <w:szCs w:val="24"/>
    </w:rPr>
  </w:style>
  <w:style w:styleId="TOC2" w:type="paragraph">
    <w:name w:val="TOC 2"/>
    <w:basedOn w:val="Normal"/>
    <w:uiPriority w:val="1"/>
    <w:qFormat/>
    <w:pPr>
      <w:spacing w:before="157"/>
      <w:ind w:left="137"/>
    </w:pPr>
    <w:rPr>
      <w:rFonts w:ascii="宋体" w:hAnsi="宋体" w:eastAsia="宋体"/>
      <w:b/>
      <w:bCs/>
      <w:i/>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spacing w:before="14"/>
      <w:ind w:left="2654"/>
      <w:outlineLvl w:val="2"/>
    </w:pPr>
    <w:rPr>
      <w:rFonts w:ascii="宋体" w:hAnsi="宋体" w:eastAsia="宋体"/>
      <w:b/>
      <w:bCs/>
      <w:sz w:val="28"/>
      <w:szCs w:val="28"/>
    </w:rPr>
  </w:style>
  <w:style w:styleId="Heading3" w:type="paragraph">
    <w:name w:val="Heading 3"/>
    <w:basedOn w:val="Normal"/>
    <w:uiPriority w:val="1"/>
    <w:qFormat/>
    <w:pPr>
      <w:spacing w:before="26"/>
      <w:ind w:left="620"/>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egova.com.cn/" TargetMode="External"/><Relationship Id="rId10" Type="http://schemas.openxmlformats.org/officeDocument/2006/relationships/hyperlink" Target="mailto:egova@egova.com" TargetMode="External"/><Relationship Id="rId11" Type="http://schemas.openxmlformats.org/officeDocument/2006/relationships/hyperlink" Target="mailto:Pengfen815@yahoo.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header" Target="header2.xml"/><Relationship Id="rId29" Type="http://schemas.openxmlformats.org/officeDocument/2006/relationships/footer" Target="footer16.xml"/><Relationship Id="rId30" Type="http://schemas.openxmlformats.org/officeDocument/2006/relationships/header" Target="header3.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dc:title>北京数字政通科技股份有限公司</dc:title>
  <dcterms:created xsi:type="dcterms:W3CDTF">2020-04-29T03:57:23Z</dcterms:created>
  <dcterms:modified xsi:type="dcterms:W3CDTF">2020-04-29T03:57:23Z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2011-04-19T00:00:00Z</vt:filetime>
  </property>
  <property fmtid="{D5CDD505-2E9C-101B-9397-08002B2CF9AE}" pid="3" name="Creator">
    <vt:lpwstr>Acrobat PDFMaker 9.0 Word 版</vt:lpwstr>
  </property>
  <property fmtid="{D5CDD505-2E9C-101B-9397-08002B2CF9AE}" pid="4" name="LastSaved">
    <vt:filetime>2020-04-28T00:00:00Z</vt:filetime>
  </property>
</Properties>
</file>