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639999pt;margin-top:48.960022pt;width:481.95pt;height:.1pt;mso-position-horizontal-relative:page;mso-position-vertical-relative:page;z-index:0" coordorigin="1133,979" coordsize="9639,2">
            <v:shape style="position:absolute;left:1133;top:979;width:9639;height:2" coordorigin="1133,979" coordsize="9639,0" path="m1133,979l10771,979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3230" w:lineRule="exact"/>
        <w:ind w:left="9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drawing>
          <wp:inline distT="0" distB="0" distL="0" distR="0">
            <wp:extent cx="5119634" cy="205120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119634" cy="2051208"/>
                    </a:xfrm>
                    <a:prstGeom prst="rect">
                      <a:avLst/>
                    </a:prstGeom>
                  </pic:spPr>
                </pic:pic>
              </a:graphicData>
            </a:graphic>
          </wp:inline>
        </w:drawing>
      </w:r>
      <w:r>
        <w:rPr>
          <w:rFonts w:ascii="Times New Roman" w:hAnsi="Times New Roman" w:cs="Times New Roman" w:eastAsia="Times New Roman" w:hint="default"/>
          <w:position w:val="-64"/>
          <w:sz w:val="20"/>
          <w:szCs w:val="20"/>
        </w:rPr>
      </w:r>
    </w:p>
    <w:p>
      <w:pPr>
        <w:spacing w:line="240" w:lineRule="auto" w:before="10"/>
        <w:rPr>
          <w:rFonts w:ascii="Times New Roman" w:hAnsi="Times New Roman" w:cs="Times New Roman" w:eastAsia="Times New Roman" w:hint="default"/>
          <w:sz w:val="12"/>
          <w:szCs w:val="12"/>
        </w:rPr>
      </w:pPr>
    </w:p>
    <w:p>
      <w:pPr>
        <w:spacing w:line="501" w:lineRule="exact" w:before="0"/>
        <w:ind w:left="2395" w:right="2390"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北京数字政通科技股份有限公司</w:t>
      </w:r>
      <w:r>
        <w:rPr>
          <w:rFonts w:ascii="Microsoft JhengHei" w:hAnsi="Microsoft JhengHei" w:cs="Microsoft JhengHei" w:eastAsia="Microsoft JhengHei" w:hint="default"/>
          <w:sz w:val="36"/>
          <w:szCs w:val="36"/>
        </w:rPr>
      </w:r>
    </w:p>
    <w:p>
      <w:pPr>
        <w:spacing w:before="261"/>
        <w:ind w:left="2395" w:right="2386"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9"/>
          <w:sz w:val="32"/>
          <w:szCs w:val="32"/>
        </w:rPr>
        <w:t> </w:t>
      </w:r>
      <w:r>
        <w:rPr>
          <w:rFonts w:ascii="Microsoft JhengHei" w:hAnsi="Microsoft JhengHei" w:cs="Microsoft JhengHei" w:eastAsia="Microsoft JhengHei" w:hint="default"/>
          <w:b/>
          <w:bCs/>
          <w:sz w:val="32"/>
          <w:szCs w:val="32"/>
        </w:rPr>
        <w:t>年度报告</w:t>
      </w:r>
      <w:r>
        <w:rPr>
          <w:rFonts w:ascii="Microsoft JhengHei" w:hAnsi="Microsoft JhengHei" w:cs="Microsoft JhengHei" w:eastAsia="Microsoft JhengHei" w:hint="default"/>
          <w:sz w:val="32"/>
          <w:szCs w:val="32"/>
        </w:rPr>
      </w:r>
    </w:p>
    <w:p>
      <w:pPr>
        <w:spacing w:line="240" w:lineRule="auto" w:before="9"/>
        <w:rPr>
          <w:rFonts w:ascii="Microsoft JhengHei" w:hAnsi="Microsoft JhengHei" w:cs="Microsoft JhengHei" w:eastAsia="Microsoft JhengHei" w:hint="default"/>
          <w:b/>
          <w:bCs/>
          <w:sz w:val="23"/>
          <w:szCs w:val="23"/>
        </w:rPr>
      </w:pPr>
    </w:p>
    <w:p>
      <w:pPr>
        <w:spacing w:before="0"/>
        <w:ind w:left="2395" w:right="2379" w:firstLine="0"/>
        <w:jc w:val="center"/>
        <w:rPr>
          <w:rFonts w:ascii="Times New Roman" w:hAnsi="Times New Roman" w:cs="Times New Roman" w:eastAsia="Times New Roman" w:hint="default"/>
          <w:sz w:val="22"/>
          <w:szCs w:val="22"/>
        </w:rPr>
      </w:pPr>
      <w:r>
        <w:rPr>
          <w:rFonts w:ascii="Times New Roman"/>
          <w:b/>
          <w:sz w:val="22"/>
        </w:rPr>
        <w:t>2013-13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7"/>
        <w:rPr>
          <w:rFonts w:ascii="Times New Roman" w:hAnsi="Times New Roman" w:cs="Times New Roman" w:eastAsia="Times New Roman" w:hint="default"/>
          <w:b/>
          <w:bCs/>
          <w:sz w:val="24"/>
          <w:szCs w:val="24"/>
        </w:rPr>
      </w:pPr>
    </w:p>
    <w:p>
      <w:pPr>
        <w:spacing w:before="0"/>
        <w:ind w:left="2395" w:right="2388"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2013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4"/>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79" w:top="1060" w:bottom="1160" w:left="1020" w:right="102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0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4"/>
          <w:szCs w:val="24"/>
        </w:rPr>
      </w:pPr>
    </w:p>
    <w:p>
      <w:pPr>
        <w:pStyle w:val="Heading1"/>
        <w:spacing w:line="456" w:lineRule="exact"/>
        <w:ind w:left="2764"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 </w:t>
      </w:r>
      <w:r>
        <w:rPr>
          <w:spacing w:val="11"/>
        </w:rPr>
        <w:t> </w:t>
      </w:r>
      <w:r>
        <w:rPr/>
        <w:t>重要提示、目录和释义</w:t>
      </w:r>
      <w:r>
        <w:rPr>
          <w:b w:val="0"/>
          <w:bCs w:val="0"/>
        </w:rPr>
      </w:r>
    </w:p>
    <w:p>
      <w:pPr>
        <w:spacing w:line="240" w:lineRule="auto" w:before="1"/>
        <w:rPr>
          <w:rFonts w:ascii="Microsoft JhengHei" w:hAnsi="Microsoft JhengHei" w:cs="Microsoft JhengHei" w:eastAsia="Microsoft JhengHei" w:hint="default"/>
          <w:b/>
          <w:bCs/>
          <w:sz w:val="29"/>
          <w:szCs w:val="29"/>
        </w:rPr>
      </w:pPr>
    </w:p>
    <w:p>
      <w:pPr>
        <w:spacing w:line="307" w:lineRule="auto" w:before="0"/>
        <w:ind w:left="112" w:right="125"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本公司董事会、监事会及董事、监事、高级管理人员保证本报告所载资料</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不存在任何虚假记载、误导性陈述或者重大遗漏，并对其内容的真实性、准确</w:t>
      </w:r>
      <w:r>
        <w:rPr>
          <w:rFonts w:ascii="Microsoft JhengHei" w:hAnsi="Microsoft JhengHei" w:cs="Microsoft JhengHei" w:eastAsia="Microsoft JhengHei" w:hint="default"/>
          <w:b/>
          <w:bCs/>
          <w:spacing w:val="22"/>
          <w:sz w:val="28"/>
          <w:szCs w:val="28"/>
        </w:rPr>
        <w:t> </w:t>
      </w:r>
      <w:r>
        <w:rPr>
          <w:rFonts w:ascii="Microsoft JhengHei" w:hAnsi="Microsoft JhengHei" w:cs="Microsoft JhengHei" w:eastAsia="Microsoft JhengHei" w:hint="default"/>
          <w:b/>
          <w:bCs/>
          <w:spacing w:val="22"/>
          <w:sz w:val="28"/>
          <w:szCs w:val="28"/>
        </w:rPr>
      </w:r>
      <w:r>
        <w:rPr>
          <w:rFonts w:ascii="Microsoft JhengHei" w:hAnsi="Microsoft JhengHei" w:cs="Microsoft JhengHei" w:eastAsia="Microsoft JhengHei" w:hint="default"/>
          <w:b/>
          <w:bCs/>
          <w:sz w:val="28"/>
          <w:szCs w:val="28"/>
        </w:rPr>
        <w:t>性和完整性承担个别及连带责任。</w:t>
      </w:r>
      <w:r>
        <w:rPr>
          <w:rFonts w:ascii="Microsoft JhengHei" w:hAnsi="Microsoft JhengHei" w:cs="Microsoft JhengHei" w:eastAsia="Microsoft JhengHei" w:hint="default"/>
          <w:sz w:val="28"/>
          <w:szCs w:val="28"/>
        </w:rPr>
      </w:r>
    </w:p>
    <w:p>
      <w:pPr>
        <w:spacing w:line="357" w:lineRule="auto" w:before="130"/>
        <w:ind w:left="67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54"/>
          <w:sz w:val="28"/>
          <w:szCs w:val="28"/>
        </w:rPr>
        <w:t> </w:t>
      </w:r>
      <w:r>
        <w:rPr>
          <w:rFonts w:ascii="Microsoft JhengHei" w:hAnsi="Microsoft JhengHei" w:cs="Microsoft JhengHei" w:eastAsia="Microsoft JhengHei" w:hint="default"/>
          <w:b/>
          <w:bCs/>
          <w:sz w:val="28"/>
          <w:szCs w:val="28"/>
        </w:rPr>
        <w:t>公司负责人吴强华、主管会计工作负责人殷小敏及会计机构负责人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w:t>
      </w:r>
      <w:r>
        <w:rPr>
          <w:rFonts w:ascii="Microsoft JhengHei" w:hAnsi="Microsoft JhengHei" w:cs="Microsoft JhengHei" w:eastAsia="Microsoft JhengHei" w:hint="default"/>
          <w:sz w:val="28"/>
          <w:szCs w:val="28"/>
        </w:rPr>
      </w:r>
    </w:p>
    <w:p>
      <w:pPr>
        <w:spacing w:line="442" w:lineRule="exact" w:before="0"/>
        <w:ind w:left="11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管人员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向华声明：保证年度报告中财务报告的真实、准确、完整。</w:t>
      </w:r>
      <w:r>
        <w:rPr>
          <w:rFonts w:ascii="Microsoft JhengHei" w:hAnsi="Microsoft JhengHei" w:cs="Microsoft JhengHei" w:eastAsia="Microsoft JhengHei" w:hint="default"/>
          <w:sz w:val="28"/>
          <w:szCs w:val="28"/>
        </w:rPr>
      </w:r>
    </w:p>
    <w:p>
      <w:pPr>
        <w:spacing w:line="307" w:lineRule="auto" w:before="237"/>
        <w:ind w:left="112" w:right="125"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本报告中如有涉及未来的计划、业绩预测等方面的内容，均不构成本公司</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对任何投资者及相关人士的承诺，投资者及相关人士均应对此保持足够的风险</w:t>
      </w:r>
      <w:r>
        <w:rPr>
          <w:rFonts w:ascii="Microsoft JhengHei" w:hAnsi="Microsoft JhengHei" w:cs="Microsoft JhengHei" w:eastAsia="Microsoft JhengHei" w:hint="default"/>
          <w:b/>
          <w:bCs/>
          <w:spacing w:val="22"/>
          <w:sz w:val="28"/>
          <w:szCs w:val="28"/>
        </w:rPr>
        <w:t> </w:t>
      </w:r>
      <w:r>
        <w:rPr>
          <w:rFonts w:ascii="Microsoft JhengHei" w:hAnsi="Microsoft JhengHei" w:cs="Microsoft JhengHei" w:eastAsia="Microsoft JhengHei" w:hint="default"/>
          <w:b/>
          <w:bCs/>
          <w:spacing w:val="22"/>
          <w:sz w:val="28"/>
          <w:szCs w:val="28"/>
        </w:rPr>
      </w:r>
      <w:r>
        <w:rPr>
          <w:rFonts w:ascii="Microsoft JhengHei" w:hAnsi="Microsoft JhengHei" w:cs="Microsoft JhengHei" w:eastAsia="Microsoft JhengHei" w:hint="default"/>
          <w:b/>
          <w:bCs/>
          <w:sz w:val="28"/>
          <w:szCs w:val="28"/>
        </w:rPr>
        <w:t>认识，并且应当理解计划、预测与承诺之间的差异。</w:t>
      </w:r>
      <w:r>
        <w:rPr>
          <w:rFonts w:ascii="Microsoft JhengHei" w:hAnsi="Microsoft JhengHei" w:cs="Microsoft JhengHei" w:eastAsia="Microsoft JhengHei" w:hint="default"/>
          <w:sz w:val="28"/>
          <w:szCs w:val="28"/>
        </w:rPr>
      </w:r>
    </w:p>
    <w:p>
      <w:pPr>
        <w:spacing w:after="0" w:line="307" w:lineRule="auto"/>
        <w:jc w:val="both"/>
        <w:rPr>
          <w:rFonts w:ascii="Microsoft JhengHei" w:hAnsi="Microsoft JhengHei" w:cs="Microsoft JhengHei" w:eastAsia="Microsoft JhengHei" w:hint="default"/>
          <w:sz w:val="28"/>
          <w:szCs w:val="28"/>
        </w:rPr>
        <w:sectPr>
          <w:footerReference w:type="default" r:id="rId8"/>
          <w:pgSz w:w="11910" w:h="16840"/>
          <w:pgMar w:footer="979" w:header="745" w:top="1060" w:bottom="1160" w:left="1020" w:right="102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0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4"/>
          <w:szCs w:val="14"/>
        </w:rPr>
      </w:pPr>
    </w:p>
    <w:p>
      <w:pPr>
        <w:spacing w:line="501" w:lineRule="exact" w:before="0"/>
        <w:ind w:left="2390" w:right="2390"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6"/>
        <w:rPr>
          <w:rFonts w:ascii="Microsoft JhengHei" w:hAnsi="Microsoft JhengHei" w:cs="Microsoft JhengHei" w:eastAsia="Microsoft JhengHei" w:hint="default"/>
          <w:b/>
          <w:bCs/>
          <w:sz w:val="50"/>
          <w:szCs w:val="50"/>
        </w:rPr>
      </w:pPr>
    </w:p>
    <w:sdt>
      <w:sdtPr>
        <w:docPartObj>
          <w:docPartGallery w:val="Table of Contents"/>
          <w:docPartUnique/>
        </w:docPartObj>
      </w:sdtPr>
      <w:sdtEndPr/>
      <w:sdtContent>
        <w:p>
          <w:pPr>
            <w:pStyle w:val="TOC1"/>
            <w:tabs>
              <w:tab w:pos="974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42" w:val="right" w:leader="dot"/>
            </w:tabs>
            <w:spacing w:line="240" w:lineRule="auto" w:before="101"/>
            <w:ind w:right="0"/>
            <w:jc w:val="left"/>
            <w:rPr>
              <w:rFonts w:ascii="Times New Roman" w:hAnsi="Times New Roman" w:cs="Times New Roman" w:eastAsia="Times New Roman" w:hint="default"/>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r>
            <w:r>
              <w:rPr>
                <w:rFonts w:ascii="Times New Roman" w:hAnsi="Times New Roman" w:cs="Times New Roman" w:eastAsia="Times New Roman" w:hint="default"/>
              </w:rPr>
              <w:t>5</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rPr>
              <w:t>7</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rPr>
              <w:t>10</w:t>
            </w:r>
          </w:hyperlink>
        </w:p>
        <w:p>
          <w:pPr>
            <w:pStyle w:val="TOC1"/>
            <w:tabs>
              <w:tab w:pos="9742" w:val="right" w:leader="dot"/>
            </w:tabs>
            <w:spacing w:line="240" w:lineRule="auto" w:before="101"/>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rPr>
              <w:t>34</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41</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45</w:t>
            </w:r>
          </w:hyperlink>
        </w:p>
        <w:p>
          <w:pPr>
            <w:pStyle w:val="TOC1"/>
            <w:tabs>
              <w:tab w:pos="9742" w:val="right" w:leader="dot"/>
            </w:tabs>
            <w:spacing w:line="240" w:lineRule="auto" w:before="101"/>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rPr>
              <w:t>52</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8">
            <w:r>
              <w:rPr/>
              <w:t>第九节</w:t>
            </w:r>
            <w:r>
              <w:rPr>
                <w:spacing w:val="1"/>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rPr>
              <w:t>54</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135</w:t>
            </w:r>
          </w:hyperlink>
        </w:p>
        <w:p>
          <w:pPr/>
          <w:r>
            <w:fldChar w:fldCharType="end"/>
          </w:r>
        </w:p>
      </w:sdtContent>
    </w:sdt>
    <w:p>
      <w:pPr>
        <w:spacing w:after="0"/>
        <w:sectPr>
          <w:pgSz w:w="11910" w:h="16840"/>
          <w:pgMar w:header="745" w:footer="979" w:top="1060" w:bottom="1160" w:left="1020" w:right="1020"/>
        </w:sectPr>
      </w:pPr>
    </w:p>
    <w:p>
      <w:pPr>
        <w:spacing w:before="984"/>
        <w:ind w:left="2390" w:right="239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26"/>
          <w:szCs w:val="26"/>
        </w:rPr>
      </w:pPr>
    </w:p>
    <w:tbl>
      <w:tblPr>
        <w:tblW w:w="0" w:type="auto"/>
        <w:jc w:val="left"/>
        <w:tblInd w:w="107" w:type="dxa"/>
        <w:tblLayout w:type="fixed"/>
        <w:tblCellMar>
          <w:top w:w="0" w:type="dxa"/>
          <w:left w:w="0" w:type="dxa"/>
          <w:bottom w:w="0" w:type="dxa"/>
          <w:right w:w="0" w:type="dxa"/>
        </w:tblCellMar>
        <w:tblLook w:val="01E0"/>
      </w:tblPr>
      <w:tblGrid>
        <w:gridCol w:w="3526"/>
        <w:gridCol w:w="619"/>
        <w:gridCol w:w="5424"/>
      </w:tblGrid>
      <w:tr>
        <w:trPr>
          <w:trHeight w:val="403" w:hRule="exact"/>
        </w:trPr>
        <w:tc>
          <w:tcPr>
            <w:tcW w:w="3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公司、本公司、数字政通、发行人</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r>
      <w:tr>
        <w:trPr>
          <w:trHeight w:val="403"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1"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审计机构、中瑞岳华</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1"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r>
      <w:tr>
        <w:trPr>
          <w:trHeight w:val="403"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中华人民共和国证券监督管理委员会</w:t>
            </w:r>
          </w:p>
        </w:tc>
      </w:tr>
      <w:tr>
        <w:trPr>
          <w:trHeight w:val="401"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交易所</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1"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北京数字政通科技股份有限公司章程</w:t>
            </w:r>
          </w:p>
        </w:tc>
      </w:tr>
      <w:tr>
        <w:trPr>
          <w:trHeight w:val="403"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北京数字政通科技股份有限公司董事会</w:t>
            </w:r>
          </w:p>
        </w:tc>
      </w:tr>
      <w:tr>
        <w:trPr>
          <w:trHeight w:val="401"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北京数字政通科技股份有限公司监事会</w:t>
            </w:r>
          </w:p>
        </w:tc>
      </w:tr>
      <w:tr>
        <w:trPr>
          <w:trHeight w:val="403"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北京数字政通科技股份有限公司股东大会</w:t>
            </w:r>
          </w:p>
        </w:tc>
      </w:tr>
      <w:tr>
        <w:trPr>
          <w:trHeight w:val="1337"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专门委员会</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2"/>
                <w:sz w:val="18"/>
                <w:szCs w:val="18"/>
              </w:rPr>
              <w:t>北京数字政通科技股份有限公司董事会提名委员会、北京数字政通科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技股份有限公司董事会战略委员会、北京数字政通科技股份有限公司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董事会薪酬与考核委员会、北京数字政通科技股份有限公司董事会审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计委员会</w:t>
            </w:r>
          </w:p>
        </w:tc>
      </w:tr>
      <w:tr>
        <w:trPr>
          <w:trHeight w:val="403"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汉王智通</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北京数字政通科技股份有限公司控股子公司汉王智通科技有限公司</w:t>
            </w:r>
          </w:p>
        </w:tc>
      </w:tr>
      <w:tr>
        <w:trPr>
          <w:trHeight w:val="401"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北京子公司</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北京数字政通信息技术有限公司</w:t>
            </w:r>
          </w:p>
        </w:tc>
      </w:tr>
      <w:tr>
        <w:trPr>
          <w:trHeight w:val="403"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上海子公司</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上海政通信息科技有限公司</w:t>
            </w:r>
          </w:p>
        </w:tc>
      </w:tr>
      <w:tr>
        <w:trPr>
          <w:trHeight w:val="401"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武汉子公司</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武汉智慧政通科技有限公司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5"/>
          <w:szCs w:val="25"/>
        </w:rPr>
      </w:pPr>
    </w:p>
    <w:p>
      <w:pPr>
        <w:pStyle w:val="Heading1"/>
        <w:spacing w:line="456" w:lineRule="exact"/>
        <w:ind w:left="3086" w:right="0"/>
        <w:jc w:val="left"/>
        <w:rPr>
          <w:b w:val="0"/>
          <w:bCs w:val="0"/>
        </w:rPr>
      </w:pPr>
      <w:bookmarkStart w:name="第二节公司基本情况简介" w:id="3"/>
      <w:bookmarkEnd w:id="3"/>
      <w:r>
        <w:rPr>
          <w:b w:val="0"/>
          <w:bCs w:val="0"/>
        </w:rPr>
      </w:r>
      <w:bookmarkStart w:name="一、公司信息" w:id="4"/>
      <w:bookmarkEnd w:id="4"/>
      <w:r>
        <w:rPr>
          <w:b w:val="0"/>
          <w:bCs w:val="0"/>
        </w:rPr>
      </w:r>
      <w:bookmarkStart w:name="二、联系人和联系方式" w:id="5"/>
      <w:bookmarkEnd w:id="5"/>
      <w:r>
        <w:rPr>
          <w:b w:val="0"/>
          <w:bCs w:val="0"/>
        </w:rPr>
      </w:r>
      <w:bookmarkStart w:name="三、信息披露及备置地点" w:id="6"/>
      <w:bookmarkEnd w:id="6"/>
      <w:r>
        <w:rPr>
          <w:b w:val="0"/>
          <w:bCs w:val="0"/>
        </w:rPr>
      </w:r>
      <w:bookmarkStart w:name="_bookmark1" w:id="7"/>
      <w:bookmarkEnd w:id="7"/>
      <w:r>
        <w:rPr>
          <w:b w:val="0"/>
          <w:bCs w:val="0"/>
        </w:rPr>
      </w:r>
      <w:r>
        <w:rPr/>
        <w:t>第二节 </w:t>
      </w:r>
      <w:r>
        <w:rPr>
          <w:spacing w:val="9"/>
        </w:rPr>
        <w:t> </w:t>
      </w:r>
      <w:r>
        <w:rPr/>
        <w:t>公司基本情况简介</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一、公司信息</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2930"/>
        <w:gridCol w:w="2304"/>
        <w:gridCol w:w="2158"/>
        <w:gridCol w:w="2177"/>
      </w:tblGrid>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数字政通</w:t>
            </w:r>
          </w:p>
        </w:tc>
        <w:tc>
          <w:tcPr>
            <w:tcW w:w="21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300075</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3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数字政通</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5"/>
                <w:sz w:val="18"/>
              </w:rPr>
              <w:t>eGOVA </w:t>
            </w:r>
            <w:r>
              <w:rPr>
                <w:rFonts w:ascii="Times New Roman"/>
                <w:sz w:val="18"/>
              </w:rPr>
              <w:t>Co,.</w:t>
            </w:r>
            <w:r>
              <w:rPr>
                <w:rFonts w:ascii="Times New Roman"/>
                <w:spacing w:val="-14"/>
                <w:sz w:val="18"/>
              </w:rPr>
              <w:t> </w:t>
            </w:r>
            <w:r>
              <w:rPr>
                <w:rFonts w:ascii="Times New Roman"/>
                <w:sz w:val="18"/>
              </w:rPr>
              <w:t>Ltd</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eGOVA</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北京市北京经济技术开发区宏达北路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100176</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北京市海淀区西直门北大街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号枫蓝国际中心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100082</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hyperlink r:id="rId9">
              <w:r>
                <w:rPr>
                  <w:rFonts w:ascii="Times New Roman" w:hAnsi="Times New Roman" w:cs="Times New Roman" w:eastAsia="Times New Roman" w:hint="default"/>
                  <w:sz w:val="18"/>
                  <w:szCs w:val="18"/>
                </w:rPr>
                <w:t>www.egova.com.cn</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16"/>
                <w:sz w:val="18"/>
                <w:szCs w:val="18"/>
              </w:rPr>
            </w:r>
            <w:r>
              <w:rPr>
                <w:rFonts w:ascii="宋体" w:hAnsi="宋体" w:cs="宋体" w:eastAsia="宋体" w:hint="default"/>
                <w:sz w:val="18"/>
                <w:szCs w:val="18"/>
              </w:rPr>
              <w:t>数字政通官方微博：</w:t>
            </w:r>
            <w:hyperlink r:id="rId10">
              <w:r>
                <w:rPr>
                  <w:rFonts w:ascii="Times New Roman" w:hAnsi="Times New Roman" w:cs="Times New Roman" w:eastAsia="Times New Roman" w:hint="default"/>
                  <w:sz w:val="18"/>
                  <w:szCs w:val="18"/>
                </w:rPr>
                <w:t>http://weibo.com/egova300075</w:t>
              </w:r>
            </w:hyperlink>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egova@egova.com.cn</w:t>
              </w:r>
            </w:hyperlink>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号国际企业大厦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许菲</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北京市海淀区西直门北大街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号枫蓝国</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际中心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北京市海淀区西直门北大街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号枫蓝国</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际中心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010-62212336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010-62212336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010-62212336-656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010-62212336-656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egova@egova.com.cn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egova@egova.com.cn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3862"/>
        <w:gridCol w:w="5707"/>
      </w:tblGrid>
      <w:tr>
        <w:trPr>
          <w:trHeight w:val="401" w:hRule="exact"/>
        </w:trPr>
        <w:tc>
          <w:tcPr>
            <w:tcW w:w="3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《证券时报》</w:t>
            </w:r>
          </w:p>
        </w:tc>
      </w:tr>
      <w:tr>
        <w:trPr>
          <w:trHeight w:val="403" w:hRule="exact"/>
        </w:trPr>
        <w:tc>
          <w:tcPr>
            <w:tcW w:w="3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1" w:hRule="exact"/>
        </w:trPr>
        <w:tc>
          <w:tcPr>
            <w:tcW w:w="3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13"/>
        <w:rPr>
          <w:rFonts w:ascii="Microsoft JhengHei" w:hAnsi="Microsoft JhengHei" w:cs="Microsoft JhengHei" w:eastAsia="Microsoft JhengHei" w:hint="default"/>
          <w:b/>
          <w:bCs/>
          <w:sz w:val="17"/>
          <w:szCs w:val="17"/>
        </w:rPr>
      </w:pPr>
    </w:p>
    <w:p>
      <w:pPr>
        <w:pStyle w:val="Heading2"/>
        <w:spacing w:line="367" w:lineRule="exact"/>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3" w:right="71" w:hanging="449"/>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110108003382370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20"/>
              <w:jc w:val="right"/>
              <w:rPr>
                <w:rFonts w:ascii="Times New Roman" w:hAnsi="Times New Roman" w:cs="Times New Roman" w:eastAsia="Times New Roman" w:hint="default"/>
                <w:sz w:val="18"/>
                <w:szCs w:val="18"/>
              </w:rPr>
            </w:pPr>
            <w:r>
              <w:rPr>
                <w:rFonts w:ascii="Times New Roman"/>
                <w:spacing w:val="-2"/>
                <w:sz w:val="18"/>
              </w:rPr>
              <w:t>110108801160143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80116014-3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股份公司成立登记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110108003382370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20"/>
              <w:jc w:val="right"/>
              <w:rPr>
                <w:rFonts w:ascii="Times New Roman" w:hAnsi="Times New Roman" w:cs="Times New Roman" w:eastAsia="Times New Roman" w:hint="default"/>
                <w:sz w:val="18"/>
                <w:szCs w:val="18"/>
              </w:rPr>
            </w:pPr>
            <w:r>
              <w:rPr>
                <w:rFonts w:ascii="Times New Roman"/>
                <w:spacing w:val="-2"/>
                <w:sz w:val="18"/>
              </w:rPr>
              <w:t>110108801160143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80116014-3</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公司首次发行股票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110108003382370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20"/>
              <w:jc w:val="right"/>
              <w:rPr>
                <w:rFonts w:ascii="Times New Roman" w:hAnsi="Times New Roman" w:cs="Times New Roman" w:eastAsia="Times New Roman" w:hint="default"/>
                <w:sz w:val="18"/>
                <w:szCs w:val="18"/>
              </w:rPr>
            </w:pPr>
            <w:r>
              <w:rPr>
                <w:rFonts w:ascii="Times New Roman"/>
                <w:spacing w:val="-2"/>
                <w:sz w:val="18"/>
              </w:rPr>
              <w:t>110108801160143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80116014-3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
                <w:sz w:val="18"/>
                <w:szCs w:val="18"/>
              </w:rPr>
              <w:t>注册资本、注册地址</w:t>
            </w:r>
            <w:r>
              <w:rPr>
                <w:rFonts w:ascii="宋体" w:hAnsi="宋体" w:cs="宋体" w:eastAsia="宋体" w:hint="default"/>
                <w:sz w:val="18"/>
                <w:szCs w:val="18"/>
              </w:rPr>
              <w:t> 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110108003382370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0"/>
              <w:jc w:val="right"/>
              <w:rPr>
                <w:rFonts w:ascii="Times New Roman" w:hAnsi="Times New Roman" w:cs="Times New Roman" w:eastAsia="Times New Roman" w:hint="default"/>
                <w:sz w:val="18"/>
                <w:szCs w:val="18"/>
              </w:rPr>
            </w:pPr>
            <w:r>
              <w:rPr>
                <w:rFonts w:ascii="Times New Roman"/>
                <w:spacing w:val="-2"/>
                <w:sz w:val="18"/>
              </w:rPr>
              <w:t>110108801160143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80116014-3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5"/>
          <w:szCs w:val="25"/>
        </w:rPr>
      </w:pPr>
    </w:p>
    <w:p>
      <w:pPr>
        <w:pStyle w:val="Heading1"/>
        <w:spacing w:line="456" w:lineRule="exact"/>
        <w:ind w:left="2606" w:right="0"/>
        <w:jc w:val="left"/>
        <w:rPr>
          <w:b w:val="0"/>
          <w:bCs w:val="0"/>
        </w:rPr>
      </w:pPr>
      <w:bookmarkStart w:name="第三节会计数据和财务指标摘要" w:id="9"/>
      <w:bookmarkEnd w:id="9"/>
      <w:r>
        <w:rPr>
          <w:b w:val="0"/>
          <w:bCs w:val="0"/>
        </w:rPr>
      </w:r>
      <w:bookmarkStart w:name="一、主要会计数据和财务指标" w:id="10"/>
      <w:bookmarkEnd w:id="10"/>
      <w:r>
        <w:rPr>
          <w:b w:val="0"/>
          <w:bCs w:val="0"/>
        </w:rPr>
      </w:r>
      <w:bookmarkStart w:name="_bookmark2" w:id="11"/>
      <w:bookmarkEnd w:id="11"/>
      <w:r>
        <w:rPr>
          <w:b w:val="0"/>
          <w:bCs w:val="0"/>
        </w:rPr>
      </w:r>
      <w:r>
        <w:rPr/>
        <w:t>第三节 </w:t>
      </w:r>
      <w:r>
        <w:rPr>
          <w:spacing w:val="12"/>
        </w:rPr>
        <w:t> </w:t>
      </w:r>
      <w:r>
        <w:rPr/>
        <w:t>会计数据和财务指标摘要</w:t>
      </w:r>
      <w:r>
        <w:rPr>
          <w:b w:val="0"/>
          <w:bCs w:val="0"/>
        </w:rPr>
      </w:r>
    </w:p>
    <w:p>
      <w:pPr>
        <w:spacing w:line="240" w:lineRule="auto" w:before="12"/>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一、主要会计数据和财务指标</w:t>
      </w:r>
      <w:r>
        <w:rPr>
          <w:b w:val="0"/>
          <w:bCs w:val="0"/>
        </w:rPr>
      </w:r>
    </w:p>
    <w:p>
      <w:pPr>
        <w:spacing w:line="240" w:lineRule="auto" w:before="8"/>
        <w:rPr>
          <w:rFonts w:ascii="Microsoft JhengHei" w:hAnsi="Microsoft JhengHei" w:cs="Microsoft JhengHei" w:eastAsia="Microsoft JhengHei" w:hint="default"/>
          <w:b/>
          <w:bCs/>
          <w:sz w:val="18"/>
          <w:szCs w:val="1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line="340" w:lineRule="auto" w:before="115"/>
        <w:ind w:left="112" w:right="8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主要会计数据</w:t>
      </w:r>
    </w:p>
    <w:p>
      <w:pPr>
        <w:spacing w:line="240" w:lineRule="auto" w:before="5"/>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18"/>
        <w:gridCol w:w="1740"/>
        <w:gridCol w:w="1738"/>
        <w:gridCol w:w="1738"/>
        <w:gridCol w:w="1735"/>
      </w:tblGrid>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221,977,115.51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121,076,146.62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95,741,632.41</w:t>
            </w:r>
          </w:p>
        </w:tc>
      </w:tr>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68,942,571.26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43,501,107.53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45,715,409.23</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80,081,452.97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60,776,090.34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58,738,899.03</w:t>
            </w:r>
          </w:p>
        </w:tc>
      </w:tr>
      <w:tr>
        <w:trPr>
          <w:trHeight w:val="71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72,229,938.08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51,931,011.79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50,053,094.10</w:t>
            </w:r>
          </w:p>
        </w:tc>
      </w:tr>
      <w:tr>
        <w:trPr>
          <w:trHeight w:val="715"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6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69,072,253.20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47,255,641.01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47,590,408.09</w:t>
            </w:r>
          </w:p>
        </w:tc>
      </w:tr>
      <w:tr>
        <w:trPr>
          <w:trHeight w:val="71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21,197,217.03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14,222,873.71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14,763,233.87</w:t>
            </w:r>
          </w:p>
        </w:tc>
      </w:tr>
      <w:tr>
        <w:trPr>
          <w:trHeight w:val="715"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1,128,684,426.71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918,069,152.91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875,716,668.83</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148,553,364.34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19,620,342.25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657.14%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17,998,869.96</w:t>
            </w:r>
          </w:p>
        </w:tc>
      </w:tr>
      <w:tr>
        <w:trPr>
          <w:trHeight w:val="71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957,023,778.74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898,448,810.66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857,717,798.87</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56,000,000.00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主要财务指标</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626"/>
        <w:gridCol w:w="1735"/>
        <w:gridCol w:w="1738"/>
        <w:gridCol w:w="1735"/>
        <w:gridCol w:w="1735"/>
      </w:tblGrid>
      <w:tr>
        <w:trPr>
          <w:trHeight w:val="403" w:hRule="exact"/>
        </w:trPr>
        <w:tc>
          <w:tcPr>
            <w:tcW w:w="26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0.65</w:t>
            </w:r>
          </w:p>
        </w:tc>
      </w:tr>
      <w:tr>
        <w:trPr>
          <w:trHeight w:val="403" w:hRule="exact"/>
        </w:trPr>
        <w:tc>
          <w:tcPr>
            <w:tcW w:w="2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0.65</w:t>
            </w:r>
          </w:p>
        </w:tc>
      </w:tr>
      <w:tr>
        <w:trPr>
          <w:trHeight w:val="713" w:hRule="exact"/>
        </w:trPr>
        <w:tc>
          <w:tcPr>
            <w:tcW w:w="2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0.62</w:t>
            </w:r>
          </w:p>
        </w:tc>
      </w:tr>
      <w:tr>
        <w:trPr>
          <w:trHeight w:val="403" w:hRule="exact"/>
        </w:trPr>
        <w:tc>
          <w:tcPr>
            <w:tcW w:w="2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1" w:hRule="exact"/>
        </w:trPr>
        <w:tc>
          <w:tcPr>
            <w:tcW w:w="2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8.37%</w:t>
            </w:r>
          </w:p>
        </w:tc>
      </w:tr>
      <w:tr>
        <w:trPr>
          <w:trHeight w:val="715" w:hRule="exact"/>
        </w:trPr>
        <w:tc>
          <w:tcPr>
            <w:tcW w:w="2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0.32%</w:t>
            </w:r>
          </w:p>
        </w:tc>
      </w:tr>
      <w:tr>
        <w:trPr>
          <w:trHeight w:val="401" w:hRule="exact"/>
        </w:trPr>
        <w:tc>
          <w:tcPr>
            <w:tcW w:w="2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623"/>
        <w:gridCol w:w="1738"/>
        <w:gridCol w:w="1738"/>
        <w:gridCol w:w="1735"/>
        <w:gridCol w:w="1735"/>
      </w:tblGrid>
      <w:tr>
        <w:trPr>
          <w:trHeight w:val="362" w:hRule="exact"/>
        </w:trPr>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18"/>
                <w:szCs w:val="18"/>
              </w:rPr>
            </w:pPr>
            <w:bookmarkStart w:name="二、报告期内非经常性损益的项目及金额" w:id="12"/>
            <w:bookmarkEnd w:id="12"/>
            <w:r>
              <w:rPr/>
            </w:r>
            <w:bookmarkStart w:name="三、重大风险提示" w:id="13"/>
            <w:bookmarkEnd w:id="13"/>
            <w:r>
              <w:rPr/>
            </w: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0.2523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0.1693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0.2636</w:t>
            </w:r>
          </w:p>
        </w:tc>
      </w:tr>
      <w:tr>
        <w:trPr>
          <w:trHeight w:val="715" w:hRule="exact"/>
        </w:trPr>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713" w:hRule="exact"/>
        </w:trPr>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11.3931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15.3164</w:t>
            </w:r>
          </w:p>
        </w:tc>
      </w:tr>
      <w:tr>
        <w:trPr>
          <w:trHeight w:val="403" w:hRule="exact"/>
        </w:trPr>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二、报告期内非经常性损益的项目及金额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295"/>
        <w:gridCol w:w="1522"/>
        <w:gridCol w:w="1519"/>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-4,241.24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-2,379.15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-13,606.98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3,512,780.00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5,502,815.36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7,330,884.64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-4,420,000.00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350,853.88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825,065.43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434,591.65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3,157,684.88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4,675,370.78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2,462,686.01</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12" w:right="112" w:firstLine="0"/>
        <w:jc w:val="both"/>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spacing w:line="441" w:lineRule="auto" w:before="0"/>
        <w:ind w:left="595" w:right="6971" w:hanging="48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三、重大风险提示 </w:t>
      </w:r>
      <w:r>
        <w:rPr>
          <w:rFonts w:ascii="宋体" w:hAnsi="宋体" w:cs="宋体" w:eastAsia="宋体" w:hint="default"/>
          <w:sz w:val="24"/>
          <w:szCs w:val="24"/>
        </w:rPr>
        <w:t>1、依赖政府采购风险</w:t>
      </w:r>
    </w:p>
    <w:p>
      <w:pPr>
        <w:pStyle w:val="BodyText"/>
        <w:spacing w:line="266" w:lineRule="exact" w:before="0"/>
        <w:ind w:right="0" w:firstLine="482"/>
        <w:jc w:val="left"/>
      </w:pPr>
      <w:r>
        <w:rPr>
          <w:spacing w:val="-3"/>
          <w:w w:val="95"/>
        </w:rPr>
        <w:t>公司产品主要是各级政府（部、省、市、区、县政府）的数字化城市管理平台以及国土、</w:t>
      </w:r>
      <w:r>
        <w:rPr>
          <w:spacing w:val="-3"/>
        </w:rPr>
      </w:r>
    </w:p>
    <w:p>
      <w:pPr>
        <w:pStyle w:val="BodyText"/>
        <w:spacing w:line="357" w:lineRule="auto" w:before="154"/>
        <w:ind w:right="103"/>
        <w:jc w:val="both"/>
      </w:pPr>
      <w:r>
        <w:rPr>
          <w:spacing w:val="-2"/>
          <w:w w:val="95"/>
        </w:rPr>
        <w:t>规划等政府主管部门的专用管理信息系统。客户定位于各级政府（部、省、市、区、县政府）</w:t>
      </w:r>
      <w:r>
        <w:rPr>
          <w:spacing w:val="30"/>
          <w:w w:val="95"/>
        </w:rPr>
        <w:t> </w:t>
      </w:r>
      <w:r>
        <w:rPr>
          <w:spacing w:val="30"/>
          <w:w w:val="95"/>
        </w:rPr>
      </w:r>
      <w:r>
        <w:rPr>
          <w:spacing w:val="-2"/>
          <w:w w:val="95"/>
        </w:rPr>
        <w:t>部门，虽然街道、乡镇、城市各个专业部门（如执法、污水、供水、园林、海塘、公路等）、</w:t>
      </w:r>
      <w:r>
        <w:rPr>
          <w:spacing w:val="32"/>
          <w:w w:val="95"/>
        </w:rPr>
        <w:t> </w:t>
      </w:r>
      <w:r>
        <w:rPr>
          <w:spacing w:val="32"/>
          <w:w w:val="95"/>
        </w:rPr>
      </w:r>
      <w:r>
        <w:rPr/>
        <w:t>大型企业也是公司的目标用户群，但目前公司销售收入主要来源于政府采购，项目均通过各</w:t>
      </w:r>
      <w:r>
        <w:rPr/>
        <w:t> 级政府招投标过程获得。面对尚不明朗的宏观经济形势，地方政府和行业主管部门可能存在 财政紧缩、推迟或减少对电子政务系统的投入，未来将会对公司的经营产生一定影响。</w:t>
      </w:r>
    </w:p>
    <w:p>
      <w:pPr>
        <w:pStyle w:val="BodyText"/>
        <w:spacing w:line="357" w:lineRule="auto"/>
        <w:ind w:left="595" w:right="131"/>
        <w:jc w:val="left"/>
      </w:pPr>
      <w:r>
        <w:rPr/>
        <w:t>2、市场竞争加剧的风险 公司在数字城市管理领域有着较强的市场竞争力。但随着智慧城市领域的高速发展，从</w:t>
      </w:r>
    </w:p>
    <w:p>
      <w:pPr>
        <w:spacing w:after="0" w:line="357"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51"/>
        <w:jc w:val="both"/>
      </w:pPr>
      <w:r>
        <w:rPr/>
        <w:t>数字政通所属细分市场来看，行业的市场竞争呈逐步加剧的态势，传统竞争对手通过融资手 段，实力、技术逐步增强，如果公司在高速市场扩张情况下，不能持续保持技术领先优势以 及良好的服务能力，将有可能面临市场份额下滑，技术、服务能力被竞争对手超越的风险， 公司未来将面临更加激烈的市场竞争。同时可能会导致毛利率下降的风险。</w:t>
      </w:r>
    </w:p>
    <w:p>
      <w:pPr>
        <w:pStyle w:val="BodyText"/>
        <w:spacing w:line="357" w:lineRule="auto"/>
        <w:ind w:left="595" w:right="131"/>
        <w:jc w:val="left"/>
      </w:pPr>
      <w:r>
        <w:rPr/>
        <w:t>3、核心技术人员流失风险 软件行业属于智力密集型行业，核心技术人员对公司的产品创新、持续发展起着关键的</w:t>
      </w:r>
    </w:p>
    <w:p>
      <w:pPr>
        <w:pStyle w:val="BodyText"/>
        <w:spacing w:line="357" w:lineRule="auto"/>
        <w:ind w:right="112"/>
        <w:jc w:val="both"/>
      </w:pPr>
      <w:r>
        <w:rPr/>
        <w:t>作用，核心技术人员的稳定对公司的发展具有重要影响。经过多年发展，公司现已拥有一支 高素质的技术人员队伍，为了吸引和稳定现有核心技术团队，公司实施了股权激励计划，并 </w:t>
      </w:r>
      <w:r>
        <w:rPr>
          <w:spacing w:val="-2"/>
          <w:w w:val="95"/>
        </w:rPr>
        <w:t>投资4,464.69万元超募资金在武汉市设立了研发中心，着眼未来发展储备了大量的技术人才，</w:t>
      </w:r>
      <w:r>
        <w:rPr>
          <w:spacing w:val="38"/>
          <w:w w:val="95"/>
        </w:rPr>
        <w:t> </w:t>
      </w:r>
      <w:r>
        <w:rPr>
          <w:spacing w:val="38"/>
          <w:w w:val="95"/>
        </w:rPr>
      </w:r>
      <w:r>
        <w:rPr/>
        <w:t>上述措施为公司的长远发展奠定了良好的技术人才基础。虽然公司已建立完善的知识管理体</w:t>
      </w:r>
      <w:r>
        <w:rPr/>
        <w:t> 系，采取了一系列吸引和稳定核心技术人员的措施，包括实施股权激励计划，提高核心技术 人员福利待遇、增加培训机会、创造良好的工作和文化氛围等，但这些措施并不能保证核心 技术人员不流失。未来，如果公司不能保持一只稳定的核心技术团队，将不利于公司各项经 营目标的实现，对公司未来发展将产生不利影响。</w:t>
      </w:r>
    </w:p>
    <w:p>
      <w:pPr>
        <w:pStyle w:val="BodyText"/>
        <w:spacing w:line="357" w:lineRule="auto"/>
        <w:ind w:left="595" w:right="0"/>
        <w:jc w:val="left"/>
      </w:pPr>
      <w:r>
        <w:rPr/>
        <w:t>4、募集资金投资项目风险 报告期内公司使用超募资金10440万元收购北京汉王智通科技有限公司90%股权，从宏观</w:t>
      </w:r>
    </w:p>
    <w:p>
      <w:pPr>
        <w:pStyle w:val="BodyText"/>
        <w:spacing w:line="357" w:lineRule="auto"/>
        <w:ind w:right="112"/>
        <w:jc w:val="both"/>
      </w:pPr>
      <w:r>
        <w:rPr/>
        <w:t>层面分析，智能交通系统中公路、铁路相关系统建设的资金来源主要为各地的财政出资，如 </w:t>
      </w:r>
      <w:r>
        <w:rPr>
          <w:spacing w:val="-2"/>
          <w:w w:val="95"/>
        </w:rPr>
        <w:t>果国家整体经济环境发生改变，很有可能导致地方财政吃紧，政府对这部分领域的投资减少，</w:t>
      </w:r>
      <w:r>
        <w:rPr>
          <w:spacing w:val="30"/>
          <w:w w:val="95"/>
        </w:rPr>
        <w:t> </w:t>
      </w:r>
      <w:r>
        <w:rPr>
          <w:spacing w:val="30"/>
          <w:w w:val="95"/>
        </w:rPr>
      </w:r>
      <w:r>
        <w:rPr/>
        <w:t>从而影响汉王智通公司的市场前景。同时，本项目实施过程中，可能面临汉王智通被收购后</w:t>
      </w:r>
      <w:r>
        <w:rPr/>
        <w:t> 对数字政通的发展思路、公司管理、公司文化的认同风险，以及由此引发的人才流失风险。</w:t>
      </w:r>
    </w:p>
    <w:p>
      <w:pPr>
        <w:spacing w:after="0" w:line="357" w:lineRule="auto"/>
        <w:jc w:val="both"/>
        <w:sectPr>
          <w:pgSz w:w="11910" w:h="16840"/>
          <w:pgMar w:header="745"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456" w:lineRule="exact"/>
        <w:ind w:left="3552" w:right="3669"/>
        <w:jc w:val="center"/>
        <w:rPr>
          <w:b w:val="0"/>
          <w:bCs w:val="0"/>
        </w:rPr>
      </w:pPr>
      <w:bookmarkStart w:name="第四节董事会报告" w:id="14"/>
      <w:bookmarkEnd w:id="14"/>
      <w:r>
        <w:rPr>
          <w:b w:val="0"/>
          <w:bCs w:val="0"/>
        </w:rPr>
      </w:r>
      <w:bookmarkStart w:name="一、管理层讨论与分析" w:id="15"/>
      <w:bookmarkEnd w:id="15"/>
      <w:r>
        <w:rPr>
          <w:b w:val="0"/>
          <w:bCs w:val="0"/>
        </w:rPr>
      </w:r>
      <w:bookmarkStart w:name="_bookmark3" w:id="16"/>
      <w:bookmarkEnd w:id="16"/>
      <w:r>
        <w:rPr>
          <w:b w:val="0"/>
          <w:bCs w:val="0"/>
        </w:rPr>
      </w:r>
      <w:r>
        <w:rPr/>
        <w:t>第四节 </w:t>
      </w:r>
      <w:r>
        <w:rPr>
          <w:spacing w:val="5"/>
        </w:rPr>
        <w:t> </w:t>
      </w:r>
      <w:r>
        <w:rPr/>
        <w:t>董事会报告</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2"/>
        <w:spacing w:line="367" w:lineRule="exact"/>
        <w:ind w:right="251"/>
        <w:jc w:val="left"/>
        <w:rPr>
          <w:b w:val="0"/>
          <w:bCs w:val="0"/>
        </w:rPr>
      </w:pPr>
      <w:r>
        <w:rPr/>
        <w:t>一、管理层讨论与分析</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before="0"/>
        <w:ind w:right="112" w:firstLine="482"/>
        <w:jc w:val="both"/>
      </w:pPr>
      <w:r>
        <w:rPr>
          <w:spacing w:val="-7"/>
        </w:rPr>
        <w:t>2012年，公司实现营业收入22197.71万元，比上年同期增长83.34%，实现营业利润6894.26</w:t>
      </w:r>
      <w:r>
        <w:rPr/>
        <w:t> </w:t>
      </w:r>
      <w:r>
        <w:rPr>
          <w:spacing w:val="5"/>
        </w:rPr>
        <w:t>万元，比上年同期增长58.48%，归属于上市公司股东的净利润7223万元，比上年同期增长</w:t>
      </w:r>
      <w:r>
        <w:rPr>
          <w:spacing w:val="-78"/>
        </w:rPr>
        <w:t> </w:t>
      </w:r>
      <w:r>
        <w:rPr>
          <w:spacing w:val="-78"/>
        </w:rPr>
      </w:r>
      <w:r>
        <w:rPr/>
        <w:t>39.09%。新增合同额（含已中标未签署合同项目）3.2亿元，同比增长79.8%，项目分布在全</w:t>
      </w:r>
      <w:r>
        <w:rPr>
          <w:spacing w:val="-91"/>
        </w:rPr>
        <w:t> </w:t>
      </w:r>
      <w:r>
        <w:rPr>
          <w:spacing w:val="-91"/>
        </w:rPr>
      </w:r>
      <w:r>
        <w:rPr/>
        <w:t>国28个省（直辖市）。报告期内，公司以“创新数字城市，成就政通人和”为己任，加大产</w:t>
      </w:r>
      <w:r>
        <w:rPr>
          <w:spacing w:val="-89"/>
        </w:rPr>
        <w:t> </w:t>
      </w:r>
      <w:r>
        <w:rPr>
          <w:spacing w:val="-89"/>
        </w:rPr>
      </w:r>
      <w:r>
        <w:rPr/>
        <w:t>品研发，积极拓展市场，智慧城市管理领域内的数字化城市管理业务、创新社会管理业务、 </w:t>
      </w:r>
      <w:r>
        <w:rPr>
          <w:spacing w:val="-2"/>
          <w:w w:val="95"/>
        </w:rPr>
        <w:t>数据采集业务和城市管理运营服务业务规模保持快速增长，加之随着国家城镇化战略的实施，</w:t>
      </w:r>
      <w:r>
        <w:rPr>
          <w:spacing w:val="34"/>
          <w:w w:val="95"/>
        </w:rPr>
        <w:t> </w:t>
      </w:r>
      <w:r>
        <w:rPr>
          <w:spacing w:val="34"/>
          <w:w w:val="95"/>
        </w:rPr>
      </w:r>
      <w:r>
        <w:rPr>
          <w:spacing w:val="-2"/>
        </w:rPr>
        <w:t>智慧城市整体建设浪潮方兴未艾，市场前景良好，为经营业绩的较快增长提供了有效的支撑。</w:t>
      </w:r>
    </w:p>
    <w:p>
      <w:pPr>
        <w:pStyle w:val="BodyText"/>
        <w:spacing w:line="357" w:lineRule="auto"/>
        <w:ind w:right="235" w:firstLine="482"/>
        <w:jc w:val="both"/>
      </w:pPr>
      <w:r>
        <w:rPr/>
        <w:t>在数字化城市管理领域，公司根据客户需求，升级完善新一代数字城管</w:t>
      </w:r>
      <w:r>
        <w:rPr>
          <w:spacing w:val="-88"/>
        </w:rPr>
        <w:t> </w:t>
      </w:r>
      <w:r>
        <w:rPr/>
        <w:t>V.11产品系列，</w:t>
      </w:r>
      <w:r>
        <w:rPr/>
        <w:t> 并开发出基于Android、ios平台的移动互联网应用，将三维地图与实景地图相融合，加入信</w:t>
      </w:r>
      <w:r>
        <w:rPr>
          <w:spacing w:val="-111"/>
        </w:rPr>
        <w:t> </w:t>
      </w:r>
      <w:r>
        <w:rPr>
          <w:spacing w:val="-111"/>
        </w:rPr>
      </w:r>
      <w:r>
        <w:rPr/>
        <w:t>息采集、移动视频、数据挖掘等拓展应用，新推出数字城市智管通等系列产品，产品竞争优 势明显。2012年，秉承销售、工程联动的大区一体化营销模式，公司在多个省份拓展出一批</w:t>
      </w:r>
      <w:r>
        <w:rPr>
          <w:spacing w:val="-115"/>
        </w:rPr>
        <w:t> </w:t>
      </w:r>
      <w:r>
        <w:rPr>
          <w:spacing w:val="-115"/>
        </w:rPr>
      </w:r>
      <w:r>
        <w:rPr/>
        <w:t>新的城市客户，并先后获得了多个合同金额在千万元人民币以上的软件开发项目，对公司的 收入和利润增长形成较大贡献，数字城管业务整体呈现良好发展态势。</w:t>
      </w:r>
    </w:p>
    <w:p>
      <w:pPr>
        <w:pStyle w:val="BodyText"/>
        <w:spacing w:line="357" w:lineRule="auto"/>
        <w:ind w:right="230" w:firstLine="482"/>
        <w:jc w:val="both"/>
      </w:pPr>
      <w:r>
        <w:rPr/>
        <w:t>创新社会管理领域作为公司开拓的全新行业，是以网格化管理思想为基础，将城市管理 </w:t>
      </w:r>
      <w:r>
        <w:rPr>
          <w:spacing w:val="-8"/>
          <w:w w:val="98"/>
        </w:rPr>
        <w:t>内容延伸至社区，整合社区管理与服务资源，划分精细化的社会管理网格，组建“网格七员”，</w:t>
      </w:r>
      <w:r>
        <w:rPr>
          <w:spacing w:val="-103"/>
          <w:w w:val="98"/>
        </w:rPr>
        <w:t> </w:t>
      </w:r>
      <w:r>
        <w:rPr>
          <w:spacing w:val="-103"/>
          <w:w w:val="98"/>
        </w:rPr>
      </w:r>
      <w:r>
        <w:rPr/>
        <w:t>实现网格内“人、地、事、物、组织”等全要素信息的常态化管理的社会管理新模式。创新</w:t>
      </w:r>
      <w:r>
        <w:rPr>
          <w:spacing w:val="-106"/>
        </w:rPr>
        <w:t> </w:t>
      </w:r>
      <w:r>
        <w:rPr>
          <w:spacing w:val="-106"/>
        </w:rPr>
      </w:r>
      <w:r>
        <w:rPr/>
        <w:t>社会管理业务在报告期内取得了快速的发展，公司通过加大研发力度，进一步完善健全社管 平台，在丰富产品子系统、适应区域管理服务的基础上，着力加强与维护社会稳定相关的功 能模块的开发，研发出基于智慧数据链的网格化社会管理服务平台，帮助客户做到</w:t>
      </w:r>
      <w:r>
        <w:rPr>
          <w:spacing w:val="-83"/>
        </w:rPr>
        <w:t> </w:t>
      </w:r>
      <w:r>
        <w:rPr/>
        <w:t>“小事化</w:t>
      </w:r>
      <w:r>
        <w:rPr/>
        <w:t> 解不出社区，大事调解不出街道”，并成功应用于湖北、河南、北京、上海等地区，并在北</w:t>
      </w:r>
      <w:r>
        <w:rPr>
          <w:spacing w:val="-106"/>
        </w:rPr>
        <w:t> </w:t>
      </w:r>
      <w:r>
        <w:rPr>
          <w:spacing w:val="-106"/>
        </w:rPr>
      </w:r>
      <w:r>
        <w:rPr/>
        <w:t>京市东城区大力推进网格化公共安全系统，获得广泛好评。</w:t>
      </w:r>
    </w:p>
    <w:p>
      <w:pPr>
        <w:pStyle w:val="BodyText"/>
        <w:spacing w:line="357" w:lineRule="auto"/>
        <w:ind w:right="230" w:firstLine="482"/>
        <w:jc w:val="both"/>
      </w:pPr>
      <w:r>
        <w:rPr/>
        <w:t>在城市管理数据采集领域，公司充分运用募集资金，调动武汉研发中心的人才优势，开 发出基于全景高清相机和三维激光点云技术的新一代移动测量车及集二维、三维、实景、视 </w:t>
      </w:r>
      <w:r>
        <w:rPr>
          <w:spacing w:val="-2"/>
        </w:rPr>
        <w:t>频一体化的GIS平台——“eGovaGlobe”，在天津滨海新区、宁夏石嘴山、福建三明市等地广</w:t>
      </w:r>
      <w:r>
        <w:rPr>
          <w:spacing w:val="-108"/>
        </w:rPr>
        <w:t> </w:t>
      </w:r>
      <w:r>
        <w:rPr>
          <w:spacing w:val="-108"/>
        </w:rPr>
      </w:r>
      <w:r>
        <w:rPr/>
        <w:t>泛应用。报告期内，数据采集实施作业面积约1600</w:t>
      </w:r>
      <w:r>
        <w:rPr>
          <w:spacing w:val="-1"/>
        </w:rPr>
        <w:t> </w:t>
      </w:r>
      <w:r>
        <w:rPr/>
        <w:t>平方公里，同比增长100%以上。</w:t>
      </w:r>
    </w:p>
    <w:p>
      <w:pPr>
        <w:spacing w:after="0" w:line="357" w:lineRule="auto"/>
        <w:jc w:val="both"/>
        <w:sectPr>
          <w:footerReference w:type="default" r:id="rId13"/>
          <w:pgSz w:w="11910" w:h="16840"/>
          <w:pgMar w:footer="979" w:header="745" w:top="1060" w:bottom="1160" w:left="1020" w:right="900"/>
          <w:pgNumType w:start="10"/>
        </w:sectPr>
      </w:pPr>
    </w:p>
    <w:p>
      <w:pPr>
        <w:spacing w:line="240" w:lineRule="auto" w:before="6"/>
        <w:rPr>
          <w:rFonts w:ascii="宋体" w:hAnsi="宋体" w:cs="宋体" w:eastAsia="宋体" w:hint="default"/>
          <w:sz w:val="29"/>
          <w:szCs w:val="29"/>
        </w:rPr>
      </w:pPr>
    </w:p>
    <w:p>
      <w:pPr>
        <w:pStyle w:val="BodyText"/>
        <w:spacing w:line="357" w:lineRule="auto" w:before="26"/>
        <w:ind w:right="112" w:firstLine="482"/>
        <w:jc w:val="both"/>
      </w:pPr>
      <w:r>
        <w:rPr/>
        <w:t>在城市管理运营服务领域，报告期内，公司将拓展业务的重心下放到了区域，扩大业务 拓展的范围和力度，积极横向拓展业务。同时，公司针对信息采集服务外包模式需求，研发 </w:t>
      </w:r>
      <w:r>
        <w:rPr>
          <w:spacing w:val="-3"/>
        </w:rPr>
        <w:t>了“信息采集智能管理系统”,将信息采集管理制度、考核体系、质量保障等内容纳入信息化</w:t>
      </w:r>
      <w:r>
        <w:rPr>
          <w:spacing w:val="-81"/>
        </w:rPr>
        <w:t> </w:t>
      </w:r>
      <w:r>
        <w:rPr>
          <w:spacing w:val="-81"/>
        </w:rPr>
      </w:r>
      <w:r>
        <w:rPr/>
        <w:t>管理系统中，强化对信息采集员、信息采集成果的监控。截止</w:t>
      </w:r>
      <w:r>
        <w:rPr>
          <w:spacing w:val="-92"/>
        </w:rPr>
        <w:t> </w:t>
      </w:r>
      <w:r>
        <w:rPr/>
        <w:t>2012年末，已承接天津市、贵</w:t>
      </w:r>
      <w:r>
        <w:rPr/>
        <w:t> 阳市、福州市、杭州市、宁波市、威海市等近三十个城市的管理运营服务业务，成功案例分 布在全国多个省份，并衍生出宁波水务巡查和温州公投热线等新的服务模式和内容，获得用 户的一致好评，为未来开展更多的增值服务业务奠定了坚实的客户基础。</w:t>
      </w:r>
    </w:p>
    <w:p>
      <w:pPr>
        <w:pStyle w:val="BodyText"/>
        <w:spacing w:line="357" w:lineRule="auto"/>
        <w:ind w:right="112" w:firstLine="482"/>
        <w:jc w:val="both"/>
      </w:pPr>
      <w:r>
        <w:rPr>
          <w:spacing w:val="-3"/>
          <w:w w:val="95"/>
        </w:rPr>
        <w:t>在国土资源管理与规划领域，公司通过加强技术研发进一步夯实业务基础，在保持云南、</w:t>
      </w:r>
      <w:r>
        <w:rPr>
          <w:w w:val="50"/>
        </w:rPr>
        <w:t> </w:t>
      </w:r>
      <w:r>
        <w:rPr/>
        <w:t>山西等传统优势市场业务稳健发展的同时，新拓展了广东、浙江等一批新的政府客户，是该</w:t>
      </w:r>
      <w:r>
        <w:rPr/>
        <w:t> 领域重要的参与厂商。</w:t>
      </w:r>
    </w:p>
    <w:p>
      <w:pPr>
        <w:pStyle w:val="BodyText"/>
        <w:spacing w:line="357" w:lineRule="auto"/>
        <w:ind w:left="595" w:right="6971"/>
        <w:jc w:val="left"/>
      </w:pPr>
      <w:r>
        <w:rPr/>
        <w:t>报告期内经营回顾 1、募集资金管理使用</w:t>
      </w:r>
    </w:p>
    <w:p>
      <w:pPr>
        <w:pStyle w:val="BodyText"/>
        <w:spacing w:line="357" w:lineRule="auto"/>
        <w:ind w:right="110" w:firstLine="482"/>
        <w:jc w:val="both"/>
      </w:pPr>
      <w:r>
        <w:rPr/>
        <w:t>报告期内，公司根据相关要求和募集资金使用计划，加紧项目建设，合理落实募投资金 </w:t>
      </w:r>
      <w:r>
        <w:rPr>
          <w:spacing w:val="-2"/>
        </w:rPr>
        <w:t>使用，在承诺投资项目上取得了较快的发展。2012年4月，为了缓解流动资金的需求压力，提</w:t>
      </w:r>
      <w:r>
        <w:rPr>
          <w:spacing w:val="-116"/>
        </w:rPr>
        <w:t> </w:t>
      </w:r>
      <w:r>
        <w:rPr>
          <w:spacing w:val="-116"/>
        </w:rPr>
      </w:r>
      <w:r>
        <w:rPr/>
        <w:t>升募集资金使用效率，董事会审议通过了使用超募资金</w:t>
      </w:r>
      <w:r>
        <w:rPr>
          <w:spacing w:val="-94"/>
        </w:rPr>
        <w:t> </w:t>
      </w:r>
      <w:r>
        <w:rPr/>
        <w:t>10,000万元永久性补充流动资金的议</w:t>
      </w:r>
      <w:r>
        <w:rPr/>
        <w:t> 案，报告期末，已完成超募资金补充流动资金；</w:t>
      </w:r>
      <w:r>
        <w:rPr>
          <w:spacing w:val="-98"/>
        </w:rPr>
        <w:t> </w:t>
      </w:r>
      <w:r>
        <w:rPr/>
        <w:t>2012年11月，根据公司实际生产经营需求，</w:t>
      </w:r>
      <w:r>
        <w:rPr>
          <w:spacing w:val="-118"/>
        </w:rPr>
        <w:t> </w:t>
      </w:r>
      <w:r>
        <w:rPr>
          <w:spacing w:val="-118"/>
        </w:rPr>
      </w:r>
      <w:r>
        <w:rPr/>
        <w:t>董事会审议通过了使用超募资金投资2000万元设立北京数字政通信息技术有限公司，报告期</w:t>
      </w:r>
      <w:r>
        <w:rPr>
          <w:spacing w:val="-102"/>
        </w:rPr>
        <w:t> </w:t>
      </w:r>
      <w:r>
        <w:rPr>
          <w:spacing w:val="-102"/>
        </w:rPr>
      </w:r>
      <w:r>
        <w:rPr>
          <w:spacing w:val="-2"/>
        </w:rPr>
        <w:t>末，已完成工商登记。2012年12月，股东大会审议通过使用超募资金10440万元收购北京汉王</w:t>
      </w:r>
      <w:r>
        <w:rPr>
          <w:spacing w:val="-109"/>
        </w:rPr>
        <w:t> </w:t>
      </w:r>
      <w:r>
        <w:rPr>
          <w:spacing w:val="-109"/>
        </w:rPr>
      </w:r>
      <w:r>
        <w:rPr>
          <w:spacing w:val="-2"/>
        </w:rPr>
        <w:t>智通科技有限公司90%股权的议案，此次收购对数字政通具有重大战略意义，有利于公司切入</w:t>
      </w:r>
      <w:r>
        <w:rPr/>
        <w:t> 智能交通、平安城市行业，实现优势互补，业务协同，助力智慧城市整体解决方案。同时汉 王智通所提供的产品和解决方案也较好地满足了行业客户的深度需求，符合公司行业纵横发 展、深化发展的目标，有利于加强数字政通在智慧城市顶层设计领域的技术实力，并在智能 交通和平安城市领域内挖掘新的业务成长点，完善和增加公司的产品线，提升专业技术服务 能力，报告期末，公司已制定一系列发展计划，促进政通与智通的进一步整合。</w:t>
      </w:r>
    </w:p>
    <w:p>
      <w:pPr>
        <w:pStyle w:val="BodyText"/>
        <w:spacing w:line="357" w:lineRule="auto"/>
        <w:ind w:left="595" w:right="100"/>
        <w:jc w:val="left"/>
      </w:pPr>
      <w:r>
        <w:rPr/>
        <w:t>2、不断完善公司治理结构 公司按照创业板上市公司规范运作的要求，进一步完善了公司治理。</w:t>
      </w:r>
      <w:r>
        <w:rPr>
          <w:spacing w:val="-89"/>
        </w:rPr>
        <w:t> </w:t>
      </w:r>
      <w:r>
        <w:rPr/>
        <w:t>2012年，公司根据</w:t>
      </w:r>
    </w:p>
    <w:p>
      <w:pPr>
        <w:pStyle w:val="BodyText"/>
        <w:spacing w:line="357" w:lineRule="auto"/>
        <w:ind w:right="110"/>
        <w:jc w:val="both"/>
      </w:pPr>
      <w:r>
        <w:rPr/>
        <w:t>发展需要，对现有的一些内控制度进行完善，加强公司的内控制度体系建设，保障运营环境 的稳定和健康。报告期内，根据中国证券监督管理委员会《关于进一步落实上市公司现金分 </w:t>
      </w:r>
      <w:r>
        <w:rPr>
          <w:spacing w:val="-5"/>
        </w:rPr>
        <w:t>红有关事项的通知》等相关法律、法规、规范性文件的规定，同时公司结合自身情况，对《公</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10"/>
        <w:jc w:val="both"/>
      </w:pPr>
      <w:r>
        <w:rPr>
          <w:spacing w:val="-2"/>
        </w:rPr>
        <w:t>司章程》中的相关条款进行了修改。同时，公司于2012年7月完成了董事会、监事会和管理层</w:t>
      </w:r>
      <w:r>
        <w:rPr>
          <w:spacing w:val="-116"/>
        </w:rPr>
        <w:t> </w:t>
      </w:r>
      <w:r>
        <w:rPr>
          <w:spacing w:val="-116"/>
        </w:rPr>
      </w:r>
      <w:r>
        <w:rPr/>
        <w:t>的换届选举，对公司的未来发展提出了更高的要求。</w:t>
      </w:r>
    </w:p>
    <w:p>
      <w:pPr>
        <w:pStyle w:val="BodyText"/>
        <w:spacing w:line="357" w:lineRule="auto"/>
        <w:ind w:left="595" w:right="131"/>
        <w:jc w:val="left"/>
      </w:pPr>
      <w:r>
        <w:rPr/>
        <w:t>3、研发新产品，拓宽新领域 报告期内，公司进一步加大研发投入，促进科技创新，完善产品研发体系，打造了一批</w:t>
      </w:r>
    </w:p>
    <w:p>
      <w:pPr>
        <w:pStyle w:val="BodyText"/>
        <w:spacing w:line="357" w:lineRule="auto"/>
        <w:ind w:right="121"/>
        <w:jc w:val="both"/>
      </w:pPr>
      <w:r>
        <w:rPr/>
        <w:t>具有核心竞争力的新产品，包括移动互联网应用、三维平台eGovaGlobe等，为公司主营业务</w:t>
      </w:r>
      <w:r>
        <w:rPr>
          <w:spacing w:val="-90"/>
        </w:rPr>
        <w:t> </w:t>
      </w:r>
      <w:r>
        <w:rPr>
          <w:spacing w:val="-90"/>
        </w:rPr>
      </w:r>
      <w:r>
        <w:rPr/>
        <w:t>的快速发展提供了强有力的保障。同时公司积极拓展市场新领域、新方向，创新社会管理业 务增长较快，公共安全、地下网线管理等新领域初见端倪。报告期内，公司获得国家测绘地 理信息局颁发的甲级测绘资质，该项专业资质的获得，标志着公司已具备最高等级的测绘资 格和能力，对于公司在智慧城市领域进一步拓展新的业务空间，提升公司的核心竞争力将起 到良好的促进作用。</w:t>
      </w:r>
    </w:p>
    <w:p>
      <w:pPr>
        <w:pStyle w:val="BodyText"/>
        <w:spacing w:line="357" w:lineRule="auto"/>
        <w:ind w:left="595" w:right="131"/>
        <w:jc w:val="left"/>
      </w:pPr>
      <w:r>
        <w:rPr/>
        <w:t>4、完成股权激励，保持公司持续发展动力 报告期内，公司完成了首期股权激励计划的授予，完善了人才培养和梯队建设计划，健</w:t>
      </w:r>
    </w:p>
    <w:p>
      <w:pPr>
        <w:pStyle w:val="BodyText"/>
        <w:spacing w:line="357" w:lineRule="auto"/>
        <w:ind w:right="151"/>
        <w:jc w:val="both"/>
      </w:pPr>
      <w:r>
        <w:rPr/>
        <w:t>全了核心骨干人员的职业发展规划，使公司的整体执行力和运营效率得到有效提升。股权激 励计划的完成，将有利于公司实施更有效的人才激励政策，保障公司未来的可持续发展。</w:t>
      </w:r>
    </w:p>
    <w:p>
      <w:pPr>
        <w:pStyle w:val="BodyText"/>
        <w:spacing w:line="357" w:lineRule="auto"/>
        <w:ind w:right="111" w:firstLine="482"/>
        <w:jc w:val="left"/>
      </w:pPr>
      <w:r>
        <w:rPr/>
        <w:t>报告期内，公司顺利完成了股权激励计划中对</w:t>
      </w:r>
      <w:r>
        <w:rPr>
          <w:spacing w:val="-99"/>
        </w:rPr>
        <w:t> </w:t>
      </w:r>
      <w:r>
        <w:rPr/>
        <w:t>2012年的业绩考核要求，为未来的发展打</w:t>
      </w:r>
      <w:r>
        <w:rPr/>
        <w:t> 下了坚实的基础。</w:t>
      </w:r>
    </w:p>
    <w:p>
      <w:pPr>
        <w:pStyle w:val="BodyText"/>
        <w:spacing w:line="357" w:lineRule="auto"/>
        <w:ind w:left="595" w:right="131"/>
        <w:jc w:val="left"/>
      </w:pPr>
      <w:r>
        <w:rPr/>
        <w:t>5、助力北斗发展，订单快速增长 报告期内，公司与宁波市智慧城管中心联合申报的《网格化城市管理卫星技术综合应用</w:t>
      </w:r>
    </w:p>
    <w:p>
      <w:pPr>
        <w:pStyle w:val="BodyText"/>
        <w:spacing w:line="357" w:lineRule="auto"/>
        <w:ind w:left="0" w:right="124"/>
        <w:jc w:val="right"/>
      </w:pPr>
      <w:r>
        <w:rPr/>
        <w:t>服务示范》项目被列入国家战略性新兴产业发展专项资金计划，这是我国自主研发北斗卫星 技术首次在城市管理领域获得应用示范，进一步推进城市管理的精细化、高效性、国产化。 报告期内，公司主营业务订单呈现量价齐升的态势，先后与长春高新区、天津滨海新区 和洛阳市签订2000万以上大项目，充分说明公司承接大型项目的能力在逐渐提升并为市场所 认可。同时，公司通过“计算机信息系统集成二级资质”认证，证明公司具备独立承担省级</w:t>
      </w:r>
      <w:r>
        <w:rPr>
          <w:spacing w:val="-105"/>
        </w:rPr>
        <w:t> </w:t>
      </w:r>
      <w:r>
        <w:rPr>
          <w:spacing w:val="-105"/>
        </w:rPr>
      </w:r>
      <w:r>
        <w:rPr/>
        <w:t>计算机信息系统建设的能力，体现了公司在系统集成领域的实力和地位，有利于增强公司计</w:t>
      </w:r>
    </w:p>
    <w:p>
      <w:pPr>
        <w:pStyle w:val="BodyText"/>
        <w:spacing w:line="240" w:lineRule="auto"/>
        <w:ind w:right="0"/>
        <w:jc w:val="both"/>
      </w:pPr>
      <w:r>
        <w:rPr/>
        <w:t>算机信息系统集成方面业务的承揽能力，促进公司系统集成和技术服务业务的发展。</w:t>
      </w:r>
    </w:p>
    <w:p>
      <w:pPr>
        <w:spacing w:after="0" w:line="240" w:lineRule="auto"/>
        <w:jc w:val="both"/>
        <w:sectPr>
          <w:pgSz w:w="11910" w:h="16840"/>
          <w:pgMar w:header="745" w:footer="979" w:top="1060" w:bottom="1160" w:left="1020" w:right="102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bookmarkStart w:name="二、报告期内主要经营情况" w:id="17"/>
      <w:bookmarkEnd w:id="17"/>
      <w:r>
        <w:rPr>
          <w:b w:val="0"/>
          <w:bCs w:val="0"/>
        </w:rPr>
      </w:r>
      <w:bookmarkStart w:name="1、主营业务分析" w:id="18"/>
      <w:bookmarkEnd w:id="18"/>
      <w:r>
        <w:rPr>
          <w:b w:val="0"/>
          <w:bCs w:val="0"/>
        </w:rPr>
      </w:r>
      <w:bookmarkStart w:name="（1）收入" w:id="19"/>
      <w:bookmarkEnd w:id="19"/>
      <w:r>
        <w:rPr>
          <w:b w:val="0"/>
          <w:bCs w:val="0"/>
        </w:rPr>
      </w:r>
      <w:r>
        <w:rPr/>
        <w:t>二、报告期内主要经营情况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、主营业务分析</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40" w:lineRule="auto" w:before="145"/>
        <w:ind w:left="595" w:right="0"/>
        <w:jc w:val="left"/>
      </w:pPr>
      <w:r>
        <w:rPr/>
        <w:t>2012年度，公司实现主营业务收入221,977,115.51元，同比增长83.34%，主要原因是公</w:t>
      </w:r>
    </w:p>
    <w:p>
      <w:pPr>
        <w:spacing w:line="240" w:lineRule="auto" w:before="10"/>
        <w:rPr>
          <w:rFonts w:ascii="宋体" w:hAnsi="宋体" w:cs="宋体" w:eastAsia="宋体" w:hint="default"/>
          <w:sz w:val="9"/>
          <w:szCs w:val="9"/>
        </w:rPr>
      </w:pPr>
    </w:p>
    <w:p>
      <w:pPr>
        <w:pStyle w:val="BodyText"/>
        <w:spacing w:line="357" w:lineRule="auto" w:before="26"/>
        <w:ind w:right="151"/>
        <w:jc w:val="both"/>
      </w:pPr>
      <w:r>
        <w:rPr/>
        <w:t>司主营业务领域市场发展迅速，订单饱满，在智慧城市管理领域的数字化城市管理业务、创 新社会管理业务、数据采集业务和城市管理运营服务等业务持续快速增长，国土资源管理与 城市规划领域保持稳定发展，在为经营业绩的较快增长提供了有效的支撑。</w:t>
      </w:r>
    </w:p>
    <w:p>
      <w:pPr>
        <w:pStyle w:val="BodyText"/>
        <w:spacing w:line="357" w:lineRule="auto"/>
        <w:ind w:right="112" w:firstLine="482"/>
        <w:jc w:val="both"/>
      </w:pPr>
      <w:r>
        <w:rPr>
          <w:spacing w:val="-2"/>
          <w:w w:val="95"/>
        </w:rPr>
        <w:t>智慧城市管理领域，报告期内实现营业收入204,000,889.58元，较去年同比增长91.04%，</w:t>
      </w:r>
      <w:r>
        <w:rPr>
          <w:w w:val="50"/>
        </w:rPr>
        <w:t> </w:t>
      </w:r>
      <w:r>
        <w:rPr/>
        <w:t>主要是因为公司竞争优势进一步增强，市场需求旺盛，行业投资力度有不断扩大趋势。</w:t>
      </w:r>
    </w:p>
    <w:p>
      <w:pPr>
        <w:pStyle w:val="BodyText"/>
        <w:spacing w:line="357" w:lineRule="auto"/>
        <w:ind w:right="112" w:firstLine="482"/>
        <w:jc w:val="both"/>
      </w:pPr>
      <w:r>
        <w:rPr>
          <w:spacing w:val="-2"/>
        </w:rPr>
        <w:t>国土资源管理与城市规划领域，报告期内实现营业收入17,940,225.93元，较去年同比增</w:t>
      </w:r>
      <w:r>
        <w:rPr/>
        <w:t> 长25.64%，主要是因为行业持续景气和订单相对充足。</w:t>
      </w:r>
    </w:p>
    <w:p>
      <w:pPr>
        <w:spacing w:before="46"/>
        <w:ind w:left="112" w:right="0" w:firstLine="0"/>
        <w:jc w:val="both"/>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40" w:lineRule="auto" w:before="117"/>
        <w:ind w:left="112" w:right="7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公司重大的在手订单情况</w:t>
      </w:r>
    </w:p>
    <w:p>
      <w:pPr>
        <w:spacing w:before="39"/>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pStyle w:val="BodyText"/>
        <w:spacing w:line="357" w:lineRule="auto" w:before="134"/>
        <w:ind w:left="595" w:right="95"/>
        <w:jc w:val="left"/>
      </w:pPr>
      <w:r>
        <w:rPr/>
        <w:t>1、天津市滨海新区环境保护和市容管理局数字化城市管理信息系统平台建设项目 </w:t>
      </w:r>
      <w:r>
        <w:rPr>
          <w:spacing w:val="-2"/>
        </w:rPr>
        <w:t>公司于2012年10月9日收到通知中标书，中标天津市滨海新区环境保护和市容管理局数字</w:t>
      </w:r>
    </w:p>
    <w:p>
      <w:pPr>
        <w:pStyle w:val="BodyText"/>
        <w:spacing w:line="357" w:lineRule="auto"/>
        <w:ind w:right="0"/>
        <w:jc w:val="left"/>
      </w:pPr>
      <w:r>
        <w:rPr/>
        <w:t>化城市管理信息系统平台建设项目，2012年12月27日公司发布签订合同相关公告，具体情况</w:t>
      </w:r>
      <w:r>
        <w:rPr>
          <w:spacing w:val="-100"/>
        </w:rPr>
        <w:t> </w:t>
      </w:r>
      <w:r>
        <w:rPr>
          <w:spacing w:val="-100"/>
        </w:rPr>
      </w:r>
      <w:r>
        <w:rPr/>
        <w:t>如下：</w:t>
      </w:r>
    </w:p>
    <w:p>
      <w:pPr>
        <w:pStyle w:val="BodyText"/>
        <w:spacing w:line="357" w:lineRule="auto"/>
        <w:ind w:left="595" w:right="5171"/>
        <w:jc w:val="left"/>
      </w:pPr>
      <w:r>
        <w:rPr/>
        <w:t>合同委托方： 天津市滨海新区环境保护和市容管理局 合同金额：</w:t>
      </w:r>
    </w:p>
    <w:p>
      <w:pPr>
        <w:pStyle w:val="BodyText"/>
        <w:spacing w:line="357" w:lineRule="auto"/>
        <w:ind w:left="595" w:right="7091"/>
        <w:jc w:val="left"/>
      </w:pPr>
      <w:r>
        <w:rPr/>
        <w:t>人民币2,396 万元。 系统建设内容：</w:t>
      </w:r>
    </w:p>
    <w:p>
      <w:pPr>
        <w:pStyle w:val="BodyText"/>
        <w:spacing w:line="357" w:lineRule="auto"/>
        <w:ind w:right="133" w:firstLine="482"/>
        <w:jc w:val="both"/>
      </w:pPr>
      <w:r>
        <w:rPr/>
        <w:t>技术开发是指数字政通根据天津市滨海新区环境保护和市容管理局系统建设目标，以数 字政通自主知识产权的“数字城管eUrban2012”为基础，结合多年相关系统建设所积淀的技</w:t>
      </w:r>
      <w:r>
        <w:rPr>
          <w:spacing w:val="-103"/>
        </w:rPr>
        <w:t> </w:t>
      </w:r>
      <w:r>
        <w:rPr>
          <w:spacing w:val="-103"/>
        </w:rPr>
      </w:r>
      <w:r>
        <w:rPr/>
        <w:t>术基础，通过软件工程和硬件运行环境集成的方式，充分利用天津市滨海新区环境保护和市 容管理局已有的数据成果，实现系统的各项功能目标，主要包括以下服务内容：</w:t>
      </w:r>
    </w:p>
    <w:p>
      <w:pPr>
        <w:pStyle w:val="BodyText"/>
        <w:spacing w:line="240" w:lineRule="auto"/>
        <w:ind w:left="595" w:right="0"/>
        <w:jc w:val="left"/>
      </w:pPr>
      <w:r>
        <w:rPr/>
        <w:t>1) 系统用户需求调研</w:t>
      </w:r>
    </w:p>
    <w:p>
      <w:pPr>
        <w:spacing w:after="0" w:line="240"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240" w:lineRule="auto" w:before="26"/>
        <w:ind w:left="595" w:right="0"/>
        <w:jc w:val="left"/>
      </w:pPr>
      <w:r>
        <w:rPr/>
        <w:t>2) 系统实施设计</w:t>
      </w:r>
    </w:p>
    <w:p>
      <w:pPr>
        <w:pStyle w:val="BodyText"/>
        <w:spacing w:line="240" w:lineRule="auto" w:before="154"/>
        <w:ind w:left="595" w:right="0"/>
        <w:jc w:val="left"/>
      </w:pPr>
      <w:r>
        <w:rPr/>
        <w:t>3) 各应用子系统开发与调试</w:t>
      </w:r>
    </w:p>
    <w:p>
      <w:pPr>
        <w:pStyle w:val="BodyText"/>
        <w:spacing w:line="240" w:lineRule="auto" w:before="154"/>
        <w:ind w:left="595" w:right="0"/>
        <w:jc w:val="left"/>
      </w:pPr>
      <w:r>
        <w:rPr/>
        <w:t>4) 业务系统平台运行环境搭建</w:t>
      </w:r>
    </w:p>
    <w:p>
      <w:pPr>
        <w:pStyle w:val="BodyText"/>
        <w:spacing w:line="240" w:lineRule="auto" w:before="154"/>
        <w:ind w:left="595" w:right="0"/>
        <w:jc w:val="left"/>
      </w:pPr>
      <w:r>
        <w:rPr/>
        <w:t>5) 软件平台采购</w:t>
      </w:r>
    </w:p>
    <w:p>
      <w:pPr>
        <w:pStyle w:val="BodyText"/>
        <w:spacing w:line="240" w:lineRule="auto" w:before="154"/>
        <w:ind w:left="595" w:right="0"/>
        <w:jc w:val="left"/>
      </w:pPr>
      <w:r>
        <w:rPr/>
        <w:t>6) 二维数据、2.5 维数据和实景影像数据普查及建库</w:t>
      </w:r>
    </w:p>
    <w:p>
      <w:pPr>
        <w:pStyle w:val="BodyText"/>
        <w:spacing w:line="357" w:lineRule="auto" w:before="154"/>
        <w:ind w:right="132" w:firstLine="482"/>
        <w:jc w:val="left"/>
      </w:pPr>
      <w:r>
        <w:rPr/>
        <w:t>7)与市级平台、开发区、保税区、中新生态城现有平台的对接和塘沽、汉沽、大港、高 新区、中心商务区五个功能区的实施。</w:t>
      </w:r>
    </w:p>
    <w:p>
      <w:pPr>
        <w:pStyle w:val="BodyText"/>
        <w:spacing w:line="240" w:lineRule="auto"/>
        <w:ind w:left="595" w:right="0"/>
        <w:jc w:val="left"/>
      </w:pPr>
      <w:r>
        <w:rPr/>
        <w:t>8) 系统的现场安装、调试、接口联调</w:t>
      </w:r>
    </w:p>
    <w:p>
      <w:pPr>
        <w:pStyle w:val="BodyText"/>
        <w:spacing w:line="240" w:lineRule="auto" w:before="154"/>
        <w:ind w:left="595" w:right="0"/>
        <w:jc w:val="left"/>
      </w:pPr>
      <w:r>
        <w:rPr/>
        <w:t>9) 监督中心、指挥中心、专业部门人员培训</w:t>
      </w:r>
    </w:p>
    <w:p>
      <w:pPr>
        <w:pStyle w:val="BodyText"/>
        <w:spacing w:line="357" w:lineRule="auto" w:before="154"/>
        <w:ind w:left="595" w:right="0"/>
        <w:jc w:val="left"/>
      </w:pPr>
      <w:r>
        <w:rPr/>
        <w:t>10) 系统建设相关文档的制作。 </w:t>
      </w:r>
      <w:r>
        <w:rPr>
          <w:spacing w:val="-5"/>
        </w:rPr>
        <w:t>该合同实施进展情况为：截至2012年12月31日，委托方按合同约定内容已支付款项958.40</w:t>
      </w:r>
    </w:p>
    <w:p>
      <w:pPr>
        <w:pStyle w:val="BodyText"/>
        <w:spacing w:line="357" w:lineRule="auto"/>
        <w:ind w:left="595" w:right="131" w:hanging="483"/>
        <w:jc w:val="left"/>
      </w:pPr>
      <w:r>
        <w:rPr/>
        <w:t>万元。项目按照合同约定顺利进行开展。 2、洛阳市数字化城市管理数据建设、应用软件开发和实施项目 公司于2012年10月30日收到洛阳市城市监察管理局的采购代理机构洛阳市政府采购中心</w:t>
      </w:r>
    </w:p>
    <w:p>
      <w:pPr>
        <w:pStyle w:val="BodyText"/>
        <w:spacing w:line="357" w:lineRule="auto"/>
        <w:ind w:right="110"/>
        <w:jc w:val="both"/>
      </w:pPr>
      <w:r>
        <w:rPr>
          <w:spacing w:val="-2"/>
        </w:rPr>
        <w:t>发出的《中标通知书》（洛阳市采购中心中字[2012]637号），通知公司中标洛阳市数字化城</w:t>
      </w:r>
      <w:r>
        <w:rPr>
          <w:spacing w:val="-113"/>
        </w:rPr>
        <w:t> </w:t>
      </w:r>
      <w:r>
        <w:rPr>
          <w:spacing w:val="-113"/>
        </w:rPr>
      </w:r>
      <w:r>
        <w:rPr/>
        <w:t>市管理数据建设、应用软件开发和实施项目，并于</w:t>
      </w:r>
      <w:r>
        <w:rPr>
          <w:spacing w:val="-94"/>
        </w:rPr>
        <w:t> </w:t>
      </w:r>
      <w:r>
        <w:rPr/>
        <w:t>2012年12月15日发布合同签订公告具体事</w:t>
      </w:r>
      <w:r>
        <w:rPr/>
        <w:t> 项如下：</w:t>
      </w:r>
    </w:p>
    <w:p>
      <w:pPr>
        <w:pStyle w:val="BodyText"/>
        <w:spacing w:line="357" w:lineRule="auto"/>
        <w:ind w:left="595" w:right="6731"/>
        <w:jc w:val="left"/>
      </w:pPr>
      <w:r>
        <w:rPr/>
        <w:t>合同对方： 洛阳市城市监察管理局 合同金额： 人民币2,958.57 万元。 项目建设内容：</w:t>
      </w:r>
    </w:p>
    <w:p>
      <w:pPr>
        <w:pStyle w:val="BodyText"/>
        <w:spacing w:line="357" w:lineRule="auto"/>
        <w:ind w:right="148" w:firstLine="482"/>
        <w:jc w:val="both"/>
      </w:pPr>
      <w:r>
        <w:rPr/>
        <w:t>洛阳市数字化城市管理系统数据建设、应用软件开发和实施项目建设。包含应用系统建 设、基础数据建设、体制机制建设、系统运行环境建设、建立洛阳市数字化城市管理综合评 价的体系和制定洛阳市数字化城市管理的标准规范。</w:t>
      </w:r>
    </w:p>
    <w:p>
      <w:pPr>
        <w:pStyle w:val="BodyText"/>
        <w:spacing w:line="357" w:lineRule="auto"/>
        <w:ind w:right="0" w:firstLine="482"/>
        <w:jc w:val="left"/>
      </w:pPr>
      <w:r>
        <w:rPr>
          <w:spacing w:val="-5"/>
        </w:rPr>
        <w:t>该合同实施进展情况为：截至2012年12月31日，委托方按合同约定内容已支付款项116.52</w:t>
      </w:r>
      <w:r>
        <w:rPr/>
        <w:t> 万元。项目按照合同约定顺利进行开展。</w:t>
      </w:r>
    </w:p>
    <w:p>
      <w:pPr>
        <w:pStyle w:val="BodyText"/>
        <w:spacing w:line="357" w:lineRule="auto"/>
        <w:ind w:left="595" w:right="0"/>
        <w:jc w:val="left"/>
      </w:pPr>
      <w:r>
        <w:rPr/>
        <w:t>3、长春市高新区长东北核心区数字化城市一期工程 </w:t>
      </w:r>
      <w:r>
        <w:rPr>
          <w:spacing w:val="3"/>
        </w:rPr>
        <w:t>公司于2012年11月1日收到长春高新技术产业开发区建设发展中心的采购代理机构吉林</w:t>
      </w:r>
    </w:p>
    <w:p>
      <w:pPr>
        <w:spacing w:after="0" w:line="357"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34"/>
        <w:jc w:val="left"/>
      </w:pPr>
      <w:bookmarkStart w:name="（2）成本" w:id="20"/>
      <w:bookmarkEnd w:id="20"/>
      <w:r>
        <w:rPr/>
      </w:r>
      <w:bookmarkStart w:name="（3）费用" w:id="21"/>
      <w:bookmarkEnd w:id="21"/>
      <w:r>
        <w:rPr/>
      </w:r>
      <w:r>
        <w:rPr/>
        <w:t>省中信公路科技咨询有限责任公司发出的《中标通知书》，通知公司中标长春市高新区长东 北核心区数字化城市一期工程，具体事项如下：</w:t>
      </w:r>
    </w:p>
    <w:p>
      <w:pPr>
        <w:pStyle w:val="BodyText"/>
        <w:spacing w:line="357" w:lineRule="auto"/>
        <w:ind w:left="595" w:right="6611"/>
        <w:jc w:val="left"/>
      </w:pPr>
      <w:r>
        <w:rPr/>
        <w:t>合同对方： 长春高新技术产业开发区 合同金额： 人民币2,010.86万元。 项目建设内容：</w:t>
      </w:r>
    </w:p>
    <w:p>
      <w:pPr>
        <w:pStyle w:val="BodyText"/>
        <w:spacing w:line="357" w:lineRule="auto"/>
        <w:ind w:left="595" w:right="0"/>
        <w:jc w:val="left"/>
      </w:pPr>
      <w:r>
        <w:rPr/>
        <w:t>项目建设内容主要包含数字化城市管理系统及数字化市政管理系统。 该合同实施进展情况为：截至2012年12月31日，因客户流程原因，合同在报告期末尚未</w:t>
      </w:r>
    </w:p>
    <w:p>
      <w:pPr>
        <w:pStyle w:val="BodyText"/>
        <w:spacing w:line="240" w:lineRule="auto"/>
        <w:ind w:right="0"/>
        <w:jc w:val="left"/>
      </w:pPr>
      <w:r>
        <w:rPr/>
        <w:t>完成签署流程，故该项目在报告期内未确认收入。</w:t>
      </w:r>
    </w:p>
    <w:p>
      <w:pPr>
        <w:spacing w:before="164"/>
        <w:ind w:left="112" w:right="0" w:firstLine="0"/>
        <w:jc w:val="left"/>
        <w:rPr>
          <w:rFonts w:ascii="宋体" w:hAnsi="宋体" w:cs="宋体" w:eastAsia="宋体" w:hint="default"/>
          <w:sz w:val="18"/>
          <w:szCs w:val="18"/>
        </w:rPr>
      </w:pPr>
      <w:r>
        <w:rPr>
          <w:rFonts w:ascii="宋体" w:hAnsi="宋体" w:cs="宋体" w:eastAsia="宋体" w:hint="default"/>
          <w:sz w:val="18"/>
          <w:szCs w:val="18"/>
        </w:rPr>
        <w:t>数量分散的订单情况</w:t>
      </w:r>
    </w:p>
    <w:p>
      <w:pPr>
        <w:spacing w:line="340" w:lineRule="auto" w:before="117"/>
        <w:ind w:left="112" w:right="5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）成本</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370"/>
        <w:gridCol w:w="1366"/>
        <w:gridCol w:w="1368"/>
        <w:gridCol w:w="1366"/>
        <w:gridCol w:w="1368"/>
        <w:gridCol w:w="1368"/>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智慧城市管理领 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智慧城市管理相 关业务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91,048,093.77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42,747,330.49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-0.24%</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国土资源管理与 城市规划领域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both"/>
              <w:rPr>
                <w:rFonts w:ascii="宋体" w:hAnsi="宋体" w:cs="宋体" w:eastAsia="宋体" w:hint="default"/>
                <w:sz w:val="18"/>
                <w:szCs w:val="18"/>
              </w:rPr>
            </w:pPr>
            <w:r>
              <w:rPr>
                <w:rFonts w:ascii="宋体" w:hAnsi="宋体" w:cs="宋体" w:eastAsia="宋体" w:hint="default"/>
                <w:sz w:val="18"/>
                <w:szCs w:val="18"/>
              </w:rPr>
              <w:t>国土资源管理与 城市规划相关业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6,717,013.47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3,034,165.40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0.24%</w:t>
            </w:r>
          </w:p>
        </w:tc>
      </w:tr>
    </w:tbl>
    <w:p>
      <w:pPr>
        <w:spacing w:line="240" w:lineRule="auto" w:before="5"/>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）费用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18,453,471.92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17,831,415.44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2"/>
                <w:sz w:val="18"/>
                <w:szCs w:val="18"/>
              </w:rPr>
              <w:t>本年收入增加，人工费用及差旅费等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相应增加</w:t>
            </w:r>
          </w:p>
        </w:tc>
      </w:tr>
      <w:tr>
        <w:trPr>
          <w:trHeight w:val="358" w:hRule="exact"/>
        </w:trPr>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人工成本增加、研发成本研发费用费</w:t>
            </w:r>
          </w:p>
        </w:tc>
      </w:tr>
      <w:tr>
        <w:trPr>
          <w:trHeight w:val="315"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71" w:right="0"/>
              <w:jc w:val="left"/>
              <w:rPr>
                <w:rFonts w:ascii="Times New Roman" w:hAnsi="Times New Roman" w:cs="Times New Roman" w:eastAsia="Times New Roman" w:hint="default"/>
                <w:sz w:val="18"/>
                <w:szCs w:val="18"/>
              </w:rPr>
            </w:pPr>
            <w:r>
              <w:rPr>
                <w:rFonts w:ascii="Times New Roman"/>
                <w:sz w:val="18"/>
              </w:rPr>
              <w:t>48,608,503.61</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71" w:right="0"/>
              <w:jc w:val="left"/>
              <w:rPr>
                <w:rFonts w:ascii="Times New Roman" w:hAnsi="Times New Roman" w:cs="Times New Roman" w:eastAsia="Times New Roman" w:hint="default"/>
                <w:sz w:val="18"/>
                <w:szCs w:val="18"/>
              </w:rPr>
            </w:pPr>
            <w:r>
              <w:rPr>
                <w:rFonts w:ascii="Times New Roman"/>
                <w:sz w:val="18"/>
              </w:rPr>
              <w:t>25,541,536.48</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90.31%</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用化比例增加及分摊股权激励费用</w:t>
            </w:r>
          </w:p>
        </w:tc>
      </w:tr>
      <w:tr>
        <w:trPr>
          <w:trHeight w:val="353" w:hRule="exact"/>
        </w:trPr>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分摊所致成本</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bookmarkStart w:name="（4）研发投入" w:id="22"/>
            <w:bookmarkEnd w:id="22"/>
            <w:r>
              <w:rPr/>
            </w:r>
            <w:bookmarkStart w:name="（5）现金流" w:id="23"/>
            <w:bookmarkEnd w:id="23"/>
            <w:r>
              <w:rPr/>
            </w: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-19,852,555.24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-17,252,725.97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pacing w:val="-2"/>
                <w:sz w:val="18"/>
                <w:szCs w:val="18"/>
              </w:rPr>
              <w:t>定期存款比例提高，利息收入相应增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加</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7,851,514.89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8,845,078.55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经批准成为重点软件企业，所得税率</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bl>
    <w:p>
      <w:pPr>
        <w:spacing w:line="240" w:lineRule="auto" w:before="2"/>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）研发投入</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10" w:firstLine="482"/>
        <w:jc w:val="both"/>
      </w:pPr>
      <w:r>
        <w:rPr/>
        <w:t>2012年，公司为了进一步增强核心技术与产品的竞争能力，加强了研发投入，</w:t>
      </w:r>
      <w:r>
        <w:rPr>
          <w:spacing w:val="-87"/>
        </w:rPr>
        <w:t> </w:t>
      </w:r>
      <w:r>
        <w:rPr/>
        <w:t>2012年研</w:t>
      </w:r>
      <w:r>
        <w:rPr/>
        <w:t> </w:t>
      </w:r>
      <w:r>
        <w:rPr>
          <w:spacing w:val="-2"/>
        </w:rPr>
        <w:t>发费用总额为37,331,966.14元，占销售收入比例16.82%，增强了公司的核心竞争力。其中资</w:t>
      </w:r>
      <w:r>
        <w:rPr>
          <w:spacing w:val="-102"/>
        </w:rPr>
        <w:t> </w:t>
      </w:r>
      <w:r>
        <w:rPr>
          <w:spacing w:val="-102"/>
        </w:rPr>
      </w:r>
      <w:r>
        <w:rPr/>
        <w:t>本化金额11,157,706.50元，费用化金额26,174,259.64元。资本化研发共8个项目，其中4项</w:t>
      </w:r>
      <w:r>
        <w:rPr>
          <w:spacing w:val="-86"/>
        </w:rPr>
        <w:t> </w:t>
      </w:r>
      <w:r>
        <w:rPr>
          <w:spacing w:val="-86"/>
        </w:rPr>
      </w:r>
      <w:r>
        <w:rPr>
          <w:spacing w:val="-5"/>
        </w:rPr>
        <w:t>已于2012年3月结项并取得软件著作权，另外4个项目为2012年新投入的研发项目，预计于2013</w:t>
      </w:r>
      <w:r>
        <w:rPr>
          <w:spacing w:val="-84"/>
        </w:rPr>
        <w:t> </w:t>
      </w:r>
      <w:r>
        <w:rPr>
          <w:spacing w:val="-84"/>
        </w:rPr>
      </w:r>
      <w:r>
        <w:rPr>
          <w:spacing w:val="-2"/>
        </w:rPr>
        <w:t>年结项；费用化研发项目主要有6个，预计于2013年结项。2013年，公司将进一步加大研发力</w:t>
      </w:r>
      <w:r>
        <w:rPr>
          <w:spacing w:val="-112"/>
        </w:rPr>
        <w:t> </w:t>
      </w:r>
      <w:r>
        <w:rPr>
          <w:spacing w:val="-112"/>
        </w:rPr>
      </w:r>
      <w:r>
        <w:rPr/>
        <w:t>度，重点开展智慧城市相关业务的产品开发和建设，在三维实景、北斗导航等技术领域上继 续加大研发投入。</w:t>
      </w:r>
    </w:p>
    <w:p>
      <w:pPr>
        <w:spacing w:before="46"/>
        <w:ind w:left="11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37,331,966.14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31,031,283.77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19,220,756.90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20.07%</w:t>
            </w:r>
          </w:p>
        </w:tc>
      </w:tr>
    </w:tbl>
    <w:p>
      <w:pPr>
        <w:spacing w:line="240" w:lineRule="auto" w:before="5"/>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pict>
          <v:shape style="position:absolute;margin-left:170.399994pt;margin-top:-32.828133pt;width:125.3pt;height:19.8pt;mso-position-horizontal-relative:page;mso-position-vertical-relative:paragraph;z-index:-68910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76.399994pt;margin-top:-32.828133pt;width:119.3pt;height:19.8pt;mso-position-horizontal-relative:page;mso-position-vertical-relative:paragraph;z-index:-689080" coordorigin="3528,-657" coordsize="2386,396">
            <v:shape style="position:absolute;left:3528;top:-657;width:2386;height:396" coordorigin="3528,-657" coordsize="2386,396" path="m3528,-657l3528,-261,5914,-261,5914,-657,3528,-657xe" filled="true" fillcolor="#ffffff" stroked="false">
              <v:path arrowok="t"/>
              <v:fill type="solid"/>
            </v:shape>
            <w10:wrap type="none"/>
          </v:group>
        </w:pict>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）现金流</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393"/>
        <w:gridCol w:w="2393"/>
        <w:gridCol w:w="2390"/>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8"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222,401,907.82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133,819,635.21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201,204,690.79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119,596,761.50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68.24%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21,197,217.03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14,222,873.71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49.04%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18,780.00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-88.82%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73,802,595.23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41,494,395.45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77.86%</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-73,800,495.23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-41,475,615.45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77.86%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-69,403,278.20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-38,452,741.74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80.49%</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after="0"/>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bookmarkStart w:name="（6）公司主要供应商、客户情况" w:id="24"/>
      <w:bookmarkEnd w:id="24"/>
      <w:r>
        <w:rPr/>
      </w:r>
      <w:bookmarkStart w:name="（7）公司未来发展与规划延续至报告期的说明" w:id="25"/>
      <w:bookmarkEnd w:id="25"/>
      <w:r>
        <w:rPr/>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pStyle w:val="BodyText"/>
        <w:spacing w:line="357" w:lineRule="auto" w:before="132"/>
        <w:ind w:right="132" w:firstLine="482"/>
        <w:jc w:val="left"/>
      </w:pPr>
      <w:r>
        <w:rPr/>
        <w:t>报告期内，公司经营活动现金流入较去年同比上升，主要因为经营收入增加同时销售回 款增加；</w:t>
      </w:r>
    </w:p>
    <w:p>
      <w:pPr>
        <w:pStyle w:val="BodyText"/>
        <w:spacing w:line="357" w:lineRule="auto"/>
        <w:ind w:right="132" w:firstLine="482"/>
        <w:jc w:val="left"/>
      </w:pPr>
      <w:r>
        <w:rPr/>
        <w:t>报告期内，公司经营活动现金流出较去年同比上升，主要因为本年收入增加同时成本费 用也相应增加；</w:t>
      </w:r>
    </w:p>
    <w:p>
      <w:pPr>
        <w:pStyle w:val="BodyText"/>
        <w:spacing w:line="357" w:lineRule="auto"/>
        <w:ind w:right="132" w:firstLine="482"/>
        <w:jc w:val="left"/>
      </w:pPr>
      <w:r>
        <w:rPr/>
        <w:t>报告期内，公司经营活动产生的现金流量净额较去年同比上升，主要因为经营收入增加 同时销售回款增加；</w:t>
      </w:r>
    </w:p>
    <w:p>
      <w:pPr>
        <w:pStyle w:val="BodyText"/>
        <w:spacing w:line="357" w:lineRule="auto"/>
        <w:ind w:right="132" w:firstLine="482"/>
        <w:jc w:val="left"/>
      </w:pPr>
      <w:r>
        <w:rPr/>
        <w:t>报告期内，公司投资活动现金流出同比上升，主要因为本年公司在武汉和北京投资成立 了2家全资子公司并收购了汉王智通科技有限公司，使得投资活动现金流出同比上升较多；</w:t>
      </w:r>
    </w:p>
    <w:p>
      <w:pPr>
        <w:pStyle w:val="BodyText"/>
        <w:spacing w:line="357" w:lineRule="auto"/>
        <w:ind w:left="595" w:right="131"/>
        <w:jc w:val="left"/>
      </w:pPr>
      <w:r>
        <w:rPr/>
        <w:t>报告期内，公司筹资活动产生的现金流出较期初增加，主要因为向股东分配现金股利； 报告期内，公司现金及现金等价物净增加额同比减少，主要因为本年公司收购了汉王智</w:t>
      </w:r>
    </w:p>
    <w:p>
      <w:pPr>
        <w:pStyle w:val="BodyText"/>
        <w:spacing w:line="357" w:lineRule="auto"/>
        <w:ind w:left="595" w:right="131" w:hanging="483"/>
        <w:jc w:val="left"/>
      </w:pPr>
      <w:r>
        <w:rPr/>
        <w:t>通科技有限公司，资金支出增加较多，使得现金及现金等价物净增加额同比下降； 报告期内公司经营活动的现金流量与本年度净利润存在重大差异的原因说明公司本年收</w:t>
      </w:r>
    </w:p>
    <w:p>
      <w:pPr>
        <w:pStyle w:val="BodyText"/>
        <w:spacing w:line="240" w:lineRule="auto"/>
        <w:ind w:right="0"/>
        <w:jc w:val="left"/>
      </w:pPr>
      <w:r>
        <w:rPr/>
        <w:t>入增加，但部分项目尚未达到结算付款期限，未能形成现金流入。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6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0"/>
          <w:szCs w:val="20"/>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）公司主要供应商、客户情况</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258"/>
        <w:gridCol w:w="5311"/>
      </w:tblGrid>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50,600,129.40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40" w:lineRule="auto" w:before="101"/>
        <w:ind w:left="112" w:right="8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258"/>
        <w:gridCol w:w="5311"/>
      </w:tblGrid>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9,067,735.06</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47.11%</w:t>
            </w:r>
          </w:p>
        </w:tc>
      </w:tr>
    </w:tbl>
    <w:p>
      <w:pPr>
        <w:spacing w:before="49"/>
        <w:ind w:left="112" w:right="0" w:firstLine="0"/>
        <w:jc w:val="left"/>
        <w:rPr>
          <w:rFonts w:ascii="宋体" w:hAnsi="宋体" w:cs="宋体" w:eastAsia="宋体" w:hint="default"/>
          <w:sz w:val="18"/>
          <w:szCs w:val="18"/>
        </w:rPr>
      </w:pPr>
      <w:r>
        <w:rPr/>
        <w:pict>
          <v:shape style="position:absolute;margin-left:263.519989pt;margin-top:-20.278292pt;width:271.45pt;height:19.8pt;mso-position-horizontal-relative:page;mso-position-vertical-relative:paragraph;z-index:-689056"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69.639984pt;margin-top:-20.278292pt;width:265.350pt;height:19.8pt;mso-position-horizontal-relative:page;mso-position-vertical-relative:paragraph;z-index:-689032" coordorigin="5393,-406" coordsize="5307,396">
            <v:shape style="position:absolute;left:5393;top:-406;width:5307;height:396" coordorigin="5393,-406" coordsize="5307,396" path="m5393,-406l5393,-10,10699,-10,10699,-406,5393,-406xe" filled="true" fillcolor="#ffffff" stroked="false">
              <v:path arrowok="t"/>
              <v:fill type="solid"/>
            </v:shape>
            <w10:wrap type="none"/>
          </v:group>
        </w:pict>
      </w:r>
      <w:r>
        <w:rPr>
          <w:rFonts w:ascii="宋体" w:hAnsi="宋体" w:cs="宋体" w:eastAsia="宋体" w:hint="default"/>
          <w:sz w:val="18"/>
          <w:szCs w:val="18"/>
        </w:rPr>
        <w:t>向单一供应商采购比例超过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）公司未来发展与规划延续至报告期的说明</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首次公开发行招股说明书中披露的未来发展与规划在本报告期的实施情况</w:t>
      </w:r>
    </w:p>
    <w:p>
      <w:pPr>
        <w:spacing w:after="0"/>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bookmarkStart w:name="2、主营业务分部报告" w:id="26"/>
      <w:bookmarkEnd w:id="26"/>
      <w:r>
        <w:rPr/>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pStyle w:val="BodyText"/>
        <w:spacing w:line="357" w:lineRule="auto" w:before="132"/>
        <w:ind w:right="148" w:firstLine="482"/>
        <w:jc w:val="both"/>
      </w:pPr>
      <w:r>
        <w:rPr/>
        <w:t>报告期内，公司贯彻执行在招股说明书上表明的未来发展规划，充分发挥管理、人才、 技术、经验、客户等方面的优势，在公司既定的数字化城市管理、规划和国土发展领域，吸 收新的技术路线与应用需求，不断完善公司的核心产品，强化公司数据与应用服务能力，从 纵向、横向两个方面延伸行业应用领域，扩大盈利方向，增强企业的核心竞争力。</w:t>
      </w:r>
    </w:p>
    <w:p>
      <w:pPr>
        <w:spacing w:before="46"/>
        <w:ind w:left="112" w:right="0"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pStyle w:val="BodyText"/>
        <w:spacing w:line="357" w:lineRule="auto" w:before="145"/>
        <w:ind w:right="110" w:firstLine="482"/>
        <w:jc w:val="both"/>
      </w:pPr>
      <w:r>
        <w:rPr/>
        <w:t>报告期内，公司较好的完成了2012年的发展目标，经营业绩保持稳定增长，股权激励计 划顺利实施并达到2012年业绩考核标准；创新社会管理领域得到大力推广实施，成为公司新</w:t>
      </w:r>
      <w:r>
        <w:rPr>
          <w:spacing w:val="-111"/>
        </w:rPr>
        <w:t> </w:t>
      </w:r>
      <w:r>
        <w:rPr>
          <w:spacing w:val="-111"/>
        </w:rPr>
      </w:r>
      <w:r>
        <w:rPr>
          <w:spacing w:val="-2"/>
          <w:w w:val="95"/>
        </w:rPr>
        <w:t>的利润增长点；数据采集和城市管理运营服务持续盈利，通过产品研发，进一步拓展了市场，</w:t>
      </w:r>
      <w:r>
        <w:rPr>
          <w:spacing w:val="31"/>
          <w:w w:val="95"/>
        </w:rPr>
        <w:t> </w:t>
      </w:r>
      <w:r>
        <w:rPr>
          <w:spacing w:val="31"/>
          <w:w w:val="95"/>
        </w:rPr>
      </w:r>
      <w:r>
        <w:rPr/>
        <w:t>提升了核心竞争力；公司四项募投项目在报告期内顺利完工达产，均达到或超出既定发展目</w:t>
      </w:r>
      <w:r>
        <w:rPr/>
        <w:t> 标，为公司的长期发展奠定基础；积极采取内涵提升与外延扩展良性互动的发展策略，成功 </w:t>
      </w:r>
      <w:r>
        <w:rPr>
          <w:spacing w:val="-2"/>
        </w:rPr>
        <w:t>收购汉王智通科技有限公司90%股权，增强了公司在智慧城市顶层设计领域的技术实力，并在</w:t>
      </w:r>
      <w:r>
        <w:rPr>
          <w:spacing w:val="-118"/>
        </w:rPr>
        <w:t> </w:t>
      </w:r>
      <w:r>
        <w:rPr>
          <w:spacing w:val="-118"/>
        </w:rPr>
      </w:r>
      <w:r>
        <w:rPr/>
        <w:t>智能交通和平安城市领域内挖掘新的业务成长点。</w:t>
      </w:r>
    </w:p>
    <w:p>
      <w:pPr>
        <w:spacing w:before="46"/>
        <w:ind w:left="112"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、主营业务分部报告</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4" w:right="47" w:hanging="17"/>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4" w:right="47"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6"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智慧城市管理领 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204,000,889.58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91,048,093.77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国土资源管理与 城市规划领域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17,940,225.93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6,717,013.47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-16.19%</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164,907,298.40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55,248,074.66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22,016,458.87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16,965,461.38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35,017,358.24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25,551,571.20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-6.23%</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121,605,326.68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52,581,863.58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100,335,788.83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45,183,243.66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-7.97%</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9" w:right="0" w:firstLine="0"/>
        <w:jc w:val="left"/>
        <w:rPr>
          <w:rFonts w:ascii="Microsoft JhengHei" w:hAnsi="Microsoft JhengHei" w:cs="Microsoft JhengHei" w:eastAsia="Microsoft JhengHei" w:hint="default"/>
          <w:sz w:val="21"/>
          <w:szCs w:val="21"/>
        </w:rPr>
      </w:pPr>
      <w:bookmarkStart w:name="3、资产、负债状况分析" w:id="27"/>
      <w:bookmarkEnd w:id="27"/>
      <w:r>
        <w:rPr/>
      </w:r>
      <w:bookmarkStart w:name="（1）资产项目重大变动情况" w:id="28"/>
      <w:bookmarkEnd w:id="28"/>
      <w:r>
        <w:rPr/>
      </w:r>
      <w:bookmarkStart w:name="4、公司竞争能力重大变化分析" w:id="29"/>
      <w:bookmarkEnd w:id="29"/>
      <w:r>
        <w:rPr/>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、资产、负债状况分析</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）资产项目重大变动情况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666,714,686.6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736,117,964.85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w w:val="95"/>
                <w:sz w:val="18"/>
              </w:rPr>
              <w:t>-21.11%</w:t>
            </w:r>
            <w:r>
              <w:rPr>
                <w:rFonts w:ascii="Times New Roman"/>
                <w:spacing w:val="-1"/>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2"/>
              <w:jc w:val="left"/>
              <w:rPr>
                <w:rFonts w:ascii="宋体" w:hAnsi="宋体" w:cs="宋体" w:eastAsia="宋体" w:hint="default"/>
                <w:sz w:val="18"/>
                <w:szCs w:val="18"/>
              </w:rPr>
            </w:pPr>
            <w:r>
              <w:rPr>
                <w:rFonts w:ascii="宋体" w:hAnsi="宋体" w:cs="宋体" w:eastAsia="宋体" w:hint="default"/>
                <w:sz w:val="18"/>
                <w:szCs w:val="18"/>
              </w:rPr>
              <w:t>本年公司收购了汉王智通科技有限 公司，资金支出增加较多</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153,805,820.1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74,393,220.36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2"/>
                <w:sz w:val="18"/>
                <w:szCs w:val="18"/>
              </w:rPr>
              <w:t>公司本年收入大幅度增加，但因下半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年确认收入的项目较多，部分项目尚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未收到客户结算付款，使得应收账款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增加较多</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51,379,637.45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1,864,275.39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主要系公司合并汉王智通资产负债 </w:t>
            </w:r>
            <w:r>
              <w:rPr>
                <w:rFonts w:ascii="宋体" w:hAnsi="宋体" w:cs="宋体" w:eastAsia="宋体" w:hint="default"/>
                <w:spacing w:val="-2"/>
                <w:sz w:val="18"/>
                <w:szCs w:val="18"/>
              </w:rPr>
              <w:t>表，汉王智通存货科目中发出商品较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多，但尚未开票及确认收入，报告期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内不能结转损益，导致存货大幅增加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44,565,921.76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44,879,766.67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28,395,592.47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17,372,313.56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2"/>
              <w:jc w:val="left"/>
              <w:rPr>
                <w:rFonts w:ascii="宋体" w:hAnsi="宋体" w:cs="宋体" w:eastAsia="宋体" w:hint="default"/>
                <w:sz w:val="18"/>
                <w:szCs w:val="18"/>
              </w:rPr>
            </w:pPr>
            <w:r>
              <w:rPr>
                <w:rFonts w:ascii="宋体" w:hAnsi="宋体" w:cs="宋体" w:eastAsia="宋体" w:hint="default"/>
                <w:sz w:val="18"/>
                <w:szCs w:val="18"/>
              </w:rPr>
              <w:t>因购置武汉研发中心办公用房尚未 完工所致</w:t>
            </w:r>
          </w:p>
        </w:tc>
      </w:tr>
    </w:tbl>
    <w:p>
      <w:pPr>
        <w:spacing w:line="240" w:lineRule="auto" w:before="2"/>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、公司竞争能力重大变化分析</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left="595" w:right="0"/>
        <w:jc w:val="left"/>
      </w:pPr>
      <w:r>
        <w:rPr/>
        <w:t>报告期内，公司核心竞争能力进一步提升。 </w:t>
      </w:r>
      <w:r>
        <w:rPr>
          <w:spacing w:val="-3"/>
          <w:w w:val="95"/>
        </w:rPr>
        <w:t>公司在数字化城市管理领域加大产品研发力度，积极拓宽市场份额，通过前后向一体化，</w:t>
      </w:r>
      <w:r>
        <w:rPr>
          <w:spacing w:val="-3"/>
        </w:rPr>
      </w:r>
    </w:p>
    <w:p>
      <w:pPr>
        <w:pStyle w:val="BodyText"/>
        <w:spacing w:line="357" w:lineRule="auto"/>
        <w:ind w:right="134"/>
        <w:jc w:val="left"/>
      </w:pPr>
      <w:r>
        <w:rPr/>
        <w:t>即前期数据采集，后期运营服务的模式，进一步增强了市场竞争力，报告期内，承接项目的 规模较往年显著加大。</w:t>
      </w:r>
    </w:p>
    <w:p>
      <w:pPr>
        <w:pStyle w:val="BodyText"/>
        <w:spacing w:line="357" w:lineRule="auto"/>
        <w:ind w:right="148" w:firstLine="482"/>
        <w:jc w:val="both"/>
      </w:pPr>
      <w:r>
        <w:rPr/>
        <w:t>报告期内，公司全面进军智慧城市建设领域，收购汉王智通科技有限公司，增强了公司 在提供智慧城市全面解决方案领域的技术实力。同时，公司特别注重智慧城市的顶层设计能 力，并为此成立专业的解决方案咨询部，为客户提供一站式的服务。</w:t>
      </w:r>
    </w:p>
    <w:p>
      <w:pPr>
        <w:pStyle w:val="BodyText"/>
        <w:spacing w:line="357" w:lineRule="auto"/>
        <w:ind w:left="595" w:right="7091"/>
        <w:jc w:val="left"/>
      </w:pPr>
      <w:r>
        <w:rPr/>
        <w:t>公司主要无形资产： 1、商标</w:t>
      </w:r>
    </w:p>
    <w:tbl>
      <w:tblPr>
        <w:tblW w:w="0" w:type="auto"/>
        <w:jc w:val="left"/>
        <w:tblInd w:w="105" w:type="dxa"/>
        <w:tblLayout w:type="fixed"/>
        <w:tblCellMar>
          <w:top w:w="0" w:type="dxa"/>
          <w:left w:w="0" w:type="dxa"/>
          <w:bottom w:w="0" w:type="dxa"/>
          <w:right w:w="0" w:type="dxa"/>
        </w:tblCellMar>
        <w:tblLook w:val="01E0"/>
      </w:tblPr>
      <w:tblGrid>
        <w:gridCol w:w="742"/>
        <w:gridCol w:w="1166"/>
        <w:gridCol w:w="3307"/>
        <w:gridCol w:w="1212"/>
        <w:gridCol w:w="1476"/>
        <w:gridCol w:w="1476"/>
      </w:tblGrid>
      <w:tr>
        <w:trPr>
          <w:trHeight w:val="660" w:hRule="exact"/>
        </w:trPr>
        <w:tc>
          <w:tcPr>
            <w:tcW w:w="74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16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330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tabs>
                <w:tab w:pos="419" w:val="left" w:leader="none"/>
              </w:tabs>
              <w:spacing w:line="267" w:lineRule="exact"/>
              <w:ind w:right="0"/>
              <w:jc w:val="center"/>
              <w:rPr>
                <w:rFonts w:ascii="宋体" w:hAnsi="宋体" w:cs="宋体" w:eastAsia="宋体" w:hint="default"/>
                <w:sz w:val="21"/>
                <w:szCs w:val="21"/>
              </w:rPr>
            </w:pPr>
            <w:r>
              <w:rPr>
                <w:rFonts w:ascii="宋体" w:hAnsi="宋体" w:cs="宋体" w:eastAsia="宋体" w:hint="default"/>
                <w:w w:val="95"/>
                <w:sz w:val="21"/>
                <w:szCs w:val="21"/>
              </w:rPr>
              <w:t>商</w:t>
              <w:tab/>
            </w:r>
            <w:r>
              <w:rPr>
                <w:rFonts w:ascii="宋体" w:hAnsi="宋体" w:cs="宋体" w:eastAsia="宋体" w:hint="default"/>
                <w:sz w:val="21"/>
                <w:szCs w:val="21"/>
              </w:rPr>
              <w:t>标</w:t>
            </w:r>
          </w:p>
        </w:tc>
        <w:tc>
          <w:tcPr>
            <w:tcW w:w="121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tabs>
                <w:tab w:pos="914" w:val="left" w:leader="none"/>
              </w:tabs>
              <w:spacing w:line="273" w:lineRule="auto"/>
              <w:ind w:left="494" w:right="72" w:hanging="420"/>
              <w:jc w:val="left"/>
              <w:rPr>
                <w:rFonts w:ascii="宋体" w:hAnsi="宋体" w:cs="宋体" w:eastAsia="宋体" w:hint="default"/>
                <w:sz w:val="21"/>
                <w:szCs w:val="21"/>
              </w:rPr>
            </w:pPr>
            <w:r>
              <w:rPr>
                <w:rFonts w:ascii="宋体" w:hAnsi="宋体" w:cs="宋体" w:eastAsia="宋体" w:hint="default"/>
                <w:w w:val="95"/>
                <w:sz w:val="21"/>
                <w:szCs w:val="21"/>
              </w:rPr>
              <w:t>注册</w:t>
              <w:tab/>
            </w:r>
            <w:r>
              <w:rPr>
                <w:rFonts w:ascii="宋体" w:hAnsi="宋体" w:cs="宋体" w:eastAsia="宋体" w:hint="default"/>
                <w:sz w:val="21"/>
                <w:szCs w:val="21"/>
              </w:rPr>
              <w:t>类</w:t>
            </w:r>
            <w:r>
              <w:rPr>
                <w:rFonts w:ascii="宋体" w:hAnsi="宋体" w:cs="宋体" w:eastAsia="宋体" w:hint="default"/>
                <w:w w:val="99"/>
                <w:sz w:val="21"/>
                <w:szCs w:val="21"/>
              </w:rPr>
              <w:t> </w:t>
            </w:r>
            <w:r>
              <w:rPr>
                <w:rFonts w:ascii="宋体" w:hAnsi="宋体" w:cs="宋体" w:eastAsia="宋体" w:hint="default"/>
                <w:sz w:val="21"/>
                <w:szCs w:val="21"/>
              </w:rPr>
              <w:t>别</w:t>
            </w:r>
          </w:p>
        </w:tc>
        <w:tc>
          <w:tcPr>
            <w:tcW w:w="14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申请日期</w:t>
            </w:r>
          </w:p>
        </w:tc>
        <w:tc>
          <w:tcPr>
            <w:tcW w:w="14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受理日期</w:t>
            </w:r>
          </w:p>
        </w:tc>
      </w:tr>
      <w:tr>
        <w:trPr>
          <w:trHeight w:val="658"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center"/>
              <w:rPr>
                <w:rFonts w:ascii="Times New Roman" w:hAnsi="Times New Roman" w:cs="Times New Roman" w:eastAsia="Times New Roman" w:hint="default"/>
                <w:sz w:val="24"/>
                <w:szCs w:val="24"/>
              </w:rPr>
            </w:pPr>
            <w:r>
              <w:rPr>
                <w:rFonts w:ascii="Times New Roman"/>
                <w:sz w:val="24"/>
              </w:rPr>
              <w:t>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6674144</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3"/>
                <w:szCs w:val="3"/>
              </w:rPr>
            </w:pPr>
          </w:p>
          <w:p>
            <w:pPr>
              <w:pStyle w:val="TableParagraph"/>
              <w:spacing w:line="535" w:lineRule="exact"/>
              <w:ind w:left="1351"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377951" cy="3398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377951" cy="339852"/>
                          </a:xfrm>
                          <a:prstGeom prst="rect">
                            <a:avLst/>
                          </a:prstGeom>
                        </pic:spPr>
                      </pic:pic>
                    </a:graphicData>
                  </a:graphic>
                </wp:inline>
              </w:drawing>
            </w:r>
            <w:r>
              <w:rPr>
                <w:rFonts w:ascii="宋体" w:hAnsi="宋体" w:cs="宋体" w:eastAsia="宋体" w:hint="default"/>
                <w:position w:val="-10"/>
                <w:sz w:val="20"/>
                <w:szCs w:val="20"/>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center"/>
              <w:rPr>
                <w:rFonts w:ascii="Times New Roman" w:hAnsi="Times New Roman" w:cs="Times New Roman" w:eastAsia="Times New Roman" w:hint="default"/>
                <w:sz w:val="24"/>
                <w:szCs w:val="24"/>
              </w:rPr>
            </w:pPr>
            <w:r>
              <w:rPr>
                <w:rFonts w:ascii="Times New Roman"/>
                <w:sz w:val="24"/>
              </w:rPr>
              <w:t>42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center"/>
              <w:rPr>
                <w:rFonts w:ascii="Times New Roman" w:hAnsi="Times New Roman" w:cs="Times New Roman" w:eastAsia="Times New Roman" w:hint="default"/>
                <w:sz w:val="24"/>
                <w:szCs w:val="24"/>
              </w:rPr>
            </w:pPr>
            <w:r>
              <w:rPr>
                <w:rFonts w:ascii="Times New Roman"/>
                <w:sz w:val="24"/>
              </w:rPr>
              <w:t>2008-04-21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center"/>
              <w:rPr>
                <w:rFonts w:ascii="Times New Roman" w:hAnsi="Times New Roman" w:cs="Times New Roman" w:eastAsia="Times New Roman" w:hint="default"/>
                <w:sz w:val="24"/>
                <w:szCs w:val="24"/>
              </w:rPr>
            </w:pPr>
            <w:r>
              <w:rPr>
                <w:rFonts w:ascii="Times New Roman"/>
                <w:sz w:val="24"/>
              </w:rPr>
              <w:t>2008-05-12</w:t>
            </w:r>
          </w:p>
        </w:tc>
      </w:tr>
    </w:tbl>
    <w:p>
      <w:pPr>
        <w:spacing w:after="0" w:line="240" w:lineRule="auto"/>
        <w:jc w:val="center"/>
        <w:rPr>
          <w:rFonts w:ascii="Times New Roman" w:hAnsi="Times New Roman" w:cs="Times New Roman" w:eastAsia="Times New Roman" w:hint="default"/>
          <w:sz w:val="24"/>
          <w:szCs w:val="24"/>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742"/>
        <w:gridCol w:w="1166"/>
        <w:gridCol w:w="3307"/>
        <w:gridCol w:w="1212"/>
        <w:gridCol w:w="1476"/>
        <w:gridCol w:w="1476"/>
      </w:tblGrid>
      <w:tr>
        <w:trPr>
          <w:trHeight w:val="658"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00"/>
              <w:jc w:val="right"/>
              <w:rPr>
                <w:rFonts w:ascii="Times New Roman" w:hAnsi="Times New Roman" w:cs="Times New Roman" w:eastAsia="Times New Roman" w:hint="default"/>
                <w:sz w:val="24"/>
                <w:szCs w:val="24"/>
              </w:rPr>
            </w:pPr>
            <w:r>
              <w:rPr>
                <w:rFonts w:ascii="Times New Roman"/>
                <w:sz w:val="24"/>
              </w:rPr>
              <w:t>2</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7573180</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420" w:lineRule="exact"/>
              <w:ind w:left="41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572768" cy="26670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1572768" cy="266700"/>
                          </a:xfrm>
                          <a:prstGeom prst="rect">
                            <a:avLst/>
                          </a:prstGeom>
                        </pic:spPr>
                      </pic:pic>
                    </a:graphicData>
                  </a:graphic>
                </wp:inline>
              </w:drawing>
            </w:r>
            <w:r>
              <w:rPr>
                <w:rFonts w:ascii="宋体" w:hAnsi="宋体" w:cs="宋体" w:eastAsia="宋体" w:hint="default"/>
                <w:position w:val="-7"/>
                <w:sz w:val="20"/>
                <w:szCs w:val="20"/>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35"/>
              <w:jc w:val="right"/>
              <w:rPr>
                <w:rFonts w:ascii="Times New Roman" w:hAnsi="Times New Roman" w:cs="Times New Roman" w:eastAsia="Times New Roman" w:hint="default"/>
                <w:sz w:val="24"/>
                <w:szCs w:val="24"/>
              </w:rPr>
            </w:pPr>
            <w:r>
              <w:rPr>
                <w:rFonts w:ascii="Times New Roman"/>
                <w:sz w:val="24"/>
              </w:rPr>
              <w:t>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68"/>
              <w:jc w:val="right"/>
              <w:rPr>
                <w:rFonts w:ascii="Times New Roman" w:hAnsi="Times New Roman" w:cs="Times New Roman" w:eastAsia="Times New Roman" w:hint="default"/>
                <w:sz w:val="24"/>
                <w:szCs w:val="24"/>
              </w:rPr>
            </w:pPr>
            <w:r>
              <w:rPr>
                <w:rFonts w:ascii="Times New Roman"/>
                <w:spacing w:val="-1"/>
                <w:sz w:val="24"/>
              </w:rPr>
              <w:t>2009-07-27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center"/>
              <w:rPr>
                <w:rFonts w:ascii="Times New Roman" w:hAnsi="Times New Roman" w:cs="Times New Roman" w:eastAsia="Times New Roman" w:hint="default"/>
                <w:sz w:val="24"/>
                <w:szCs w:val="24"/>
              </w:rPr>
            </w:pPr>
            <w:r>
              <w:rPr>
                <w:rFonts w:ascii="Times New Roman"/>
                <w:sz w:val="24"/>
              </w:rPr>
              <w:t>2009-08-04</w:t>
            </w:r>
          </w:p>
        </w:tc>
      </w:tr>
      <w:tr>
        <w:trPr>
          <w:trHeight w:val="348"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00"/>
              <w:jc w:val="right"/>
              <w:rPr>
                <w:rFonts w:ascii="Times New Roman" w:hAnsi="Times New Roman" w:cs="Times New Roman" w:eastAsia="Times New Roman" w:hint="default"/>
                <w:sz w:val="24"/>
                <w:szCs w:val="24"/>
              </w:rPr>
            </w:pPr>
            <w:r>
              <w:rPr>
                <w:rFonts w:ascii="Times New Roman"/>
                <w:sz w:val="24"/>
              </w:rPr>
              <w:t>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9342398</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think</w:t>
            </w:r>
            <w:r>
              <w:rPr>
                <w:rFonts w:ascii="Times New Roman"/>
                <w:spacing w:val="-4"/>
                <w:sz w:val="21"/>
              </w:rPr>
              <w:t> </w:t>
            </w:r>
            <w:r>
              <w:rPr>
                <w:rFonts w:ascii="Times New Roman"/>
                <w:sz w:val="21"/>
              </w:rPr>
              <w:t>cam</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35"/>
              <w:jc w:val="right"/>
              <w:rPr>
                <w:rFonts w:ascii="Times New Roman" w:hAnsi="Times New Roman" w:cs="Times New Roman" w:eastAsia="Times New Roman" w:hint="default"/>
                <w:sz w:val="24"/>
                <w:szCs w:val="24"/>
              </w:rPr>
            </w:pPr>
            <w:r>
              <w:rPr>
                <w:rFonts w:ascii="Times New Roman"/>
                <w:sz w:val="24"/>
              </w:rPr>
              <w:t>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68"/>
              <w:jc w:val="right"/>
              <w:rPr>
                <w:rFonts w:ascii="Times New Roman" w:hAnsi="Times New Roman" w:cs="Times New Roman" w:eastAsia="Times New Roman" w:hint="default"/>
                <w:sz w:val="24"/>
                <w:szCs w:val="24"/>
              </w:rPr>
            </w:pPr>
            <w:r>
              <w:rPr>
                <w:rFonts w:ascii="Times New Roman"/>
                <w:spacing w:val="-1"/>
                <w:sz w:val="24"/>
              </w:rPr>
              <w:t>2011-04-15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center"/>
              <w:rPr>
                <w:rFonts w:ascii="Times New Roman" w:hAnsi="Times New Roman" w:cs="Times New Roman" w:eastAsia="Times New Roman" w:hint="default"/>
                <w:sz w:val="24"/>
                <w:szCs w:val="24"/>
              </w:rPr>
            </w:pPr>
            <w:r>
              <w:rPr>
                <w:rFonts w:ascii="Times New Roman"/>
                <w:sz w:val="24"/>
              </w:rPr>
              <w:t>2011-04-28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7" w:lineRule="auto" w:before="26"/>
        <w:ind w:left="595" w:right="611"/>
        <w:jc w:val="left"/>
      </w:pPr>
      <w:r>
        <w:rPr/>
        <w:t>1、软件著作权 截至2012年12月31日，公司及下属全资子公司共拥有37项著作权，具体情况如下：</w:t>
      </w:r>
    </w:p>
    <w:tbl>
      <w:tblPr>
        <w:tblW w:w="0" w:type="auto"/>
        <w:jc w:val="left"/>
        <w:tblInd w:w="532" w:type="dxa"/>
        <w:tblLayout w:type="fixed"/>
        <w:tblCellMar>
          <w:top w:w="0" w:type="dxa"/>
          <w:left w:w="0" w:type="dxa"/>
          <w:bottom w:w="0" w:type="dxa"/>
          <w:right w:w="0" w:type="dxa"/>
        </w:tblCellMar>
        <w:tblLook w:val="01E0"/>
      </w:tblPr>
      <w:tblGrid>
        <w:gridCol w:w="708"/>
        <w:gridCol w:w="1985"/>
        <w:gridCol w:w="3401"/>
        <w:gridCol w:w="1702"/>
        <w:gridCol w:w="1135"/>
      </w:tblGrid>
      <w:tr>
        <w:trPr>
          <w:trHeight w:val="338" w:hRule="exact"/>
        </w:trPr>
        <w:tc>
          <w:tcPr>
            <w:tcW w:w="708" w:type="dxa"/>
            <w:tcBorders>
              <w:top w:val="nil" w:sz="6" w:space="0" w:color="auto"/>
              <w:left w:val="nil" w:sz="6" w:space="0" w:color="auto"/>
              <w:bottom w:val="single" w:sz="6" w:space="0" w:color="000000"/>
              <w:right w:val="single" w:sz="6" w:space="0" w:color="000000"/>
            </w:tcBorders>
          </w:tcPr>
          <w:p>
            <w:pPr>
              <w:pStyle w:val="TableParagraph"/>
              <w:spacing w:line="284" w:lineRule="exact"/>
              <w:ind w:left="7"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序号</w:t>
            </w:r>
            <w:r>
              <w:rPr>
                <w:rFonts w:ascii="Microsoft JhengHei" w:hAnsi="Microsoft JhengHei" w:cs="Microsoft JhengHei" w:eastAsia="Microsoft JhengHei" w:hint="default"/>
                <w:sz w:val="20"/>
                <w:szCs w:val="20"/>
              </w:rPr>
            </w:r>
          </w:p>
        </w:tc>
        <w:tc>
          <w:tcPr>
            <w:tcW w:w="1985" w:type="dxa"/>
            <w:tcBorders>
              <w:top w:val="nil" w:sz="6" w:space="0" w:color="auto"/>
              <w:left w:val="single" w:sz="6" w:space="0" w:color="000000"/>
              <w:bottom w:val="single" w:sz="6" w:space="0" w:color="000000"/>
              <w:right w:val="single" w:sz="6" w:space="0" w:color="000000"/>
            </w:tcBorders>
          </w:tcPr>
          <w:p>
            <w:pPr>
              <w:pStyle w:val="TableParagraph"/>
              <w:spacing w:line="284" w:lineRule="exact"/>
              <w:ind w:left="18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软件著作权登记号</w:t>
            </w:r>
            <w:r>
              <w:rPr>
                <w:rFonts w:ascii="Microsoft JhengHei" w:hAnsi="Microsoft JhengHei" w:cs="Microsoft JhengHei" w:eastAsia="Microsoft JhengHei" w:hint="default"/>
                <w:sz w:val="20"/>
                <w:szCs w:val="20"/>
              </w:rPr>
            </w:r>
          </w:p>
        </w:tc>
        <w:tc>
          <w:tcPr>
            <w:tcW w:w="3401" w:type="dxa"/>
            <w:tcBorders>
              <w:top w:val="nil" w:sz="6" w:space="0" w:color="auto"/>
              <w:left w:val="single" w:sz="6" w:space="0" w:color="000000"/>
              <w:bottom w:val="single" w:sz="6" w:space="0" w:color="000000"/>
              <w:right w:val="single" w:sz="6" w:space="0" w:color="000000"/>
            </w:tcBorders>
          </w:tcPr>
          <w:p>
            <w:pPr>
              <w:pStyle w:val="TableParagraph"/>
              <w:spacing w:line="28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软件名称</w:t>
            </w:r>
            <w:r>
              <w:rPr>
                <w:rFonts w:ascii="Microsoft JhengHei" w:hAnsi="Microsoft JhengHei" w:cs="Microsoft JhengHei" w:eastAsia="Microsoft JhengHei" w:hint="default"/>
                <w:sz w:val="20"/>
                <w:szCs w:val="20"/>
              </w:rPr>
            </w:r>
          </w:p>
        </w:tc>
        <w:tc>
          <w:tcPr>
            <w:tcW w:w="1702" w:type="dxa"/>
            <w:tcBorders>
              <w:top w:val="nil" w:sz="6" w:space="0" w:color="auto"/>
              <w:left w:val="single" w:sz="6" w:space="0" w:color="000000"/>
              <w:bottom w:val="single" w:sz="6" w:space="0" w:color="000000"/>
              <w:right w:val="single" w:sz="6" w:space="0" w:color="000000"/>
            </w:tcBorders>
          </w:tcPr>
          <w:p>
            <w:pPr>
              <w:pStyle w:val="TableParagraph"/>
              <w:spacing w:line="28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首次发布日期</w:t>
            </w:r>
            <w:r>
              <w:rPr>
                <w:rFonts w:ascii="Microsoft JhengHei" w:hAnsi="Microsoft JhengHei" w:cs="Microsoft JhengHei" w:eastAsia="Microsoft JhengHei" w:hint="default"/>
                <w:sz w:val="20"/>
                <w:szCs w:val="20"/>
              </w:rPr>
            </w:r>
          </w:p>
        </w:tc>
        <w:tc>
          <w:tcPr>
            <w:tcW w:w="1135" w:type="dxa"/>
            <w:tcBorders>
              <w:top w:val="nil" w:sz="6" w:space="0" w:color="auto"/>
              <w:left w:val="single" w:sz="6" w:space="0" w:color="000000"/>
              <w:bottom w:val="single" w:sz="6" w:space="0" w:color="000000"/>
              <w:right w:val="single" w:sz="6" w:space="0" w:color="000000"/>
            </w:tcBorders>
          </w:tcPr>
          <w:p>
            <w:pPr>
              <w:pStyle w:val="TableParagraph"/>
              <w:spacing w:line="284"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权利人</w:t>
            </w:r>
            <w:r>
              <w:rPr>
                <w:rFonts w:ascii="Microsoft JhengHei" w:hAnsi="Microsoft JhengHei" w:cs="Microsoft JhengHei" w:eastAsia="Microsoft JhengHei" w:hint="default"/>
                <w:sz w:val="20"/>
                <w:szCs w:val="20"/>
              </w:rPr>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left"/>
              <w:rPr>
                <w:rFonts w:ascii="Times New Roman" w:hAnsi="Times New Roman" w:cs="Times New Roman" w:eastAsia="Times New Roman" w:hint="default"/>
                <w:sz w:val="20"/>
                <w:szCs w:val="20"/>
              </w:rPr>
            </w:pPr>
            <w:r>
              <w:rPr>
                <w:rFonts w:ascii="Times New Roman"/>
                <w:sz w:val="20"/>
              </w:rPr>
              <w:t>2003SR5220</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电子政务管理信息系统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2002.7.3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2003SR5219</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国土资源管理信息系统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2002.8.12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2005SR07642</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城市市政监管信息系统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2004.9.28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left"/>
              <w:rPr>
                <w:rFonts w:ascii="Times New Roman" w:hAnsi="Times New Roman" w:cs="Times New Roman" w:eastAsia="Times New Roman" w:hint="default"/>
                <w:sz w:val="20"/>
                <w:szCs w:val="20"/>
              </w:rPr>
            </w:pPr>
            <w:r>
              <w:rPr>
                <w:rFonts w:ascii="Times New Roman"/>
                <w:sz w:val="20"/>
              </w:rPr>
              <w:t>2006SR06981</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数字化城市管理信息系统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2006.3.31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2007SR06724</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数字城管无线数据采集系统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2006.6.15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660"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left"/>
              <w:rPr>
                <w:rFonts w:ascii="Times New Roman" w:hAnsi="Times New Roman" w:cs="Times New Roman" w:eastAsia="Times New Roman" w:hint="default"/>
                <w:sz w:val="20"/>
                <w:szCs w:val="20"/>
              </w:rPr>
            </w:pPr>
            <w:r>
              <w:rPr>
                <w:rFonts w:ascii="Times New Roman"/>
                <w:sz w:val="20"/>
              </w:rPr>
              <w:t>2008SR21489</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流动人口与出租房屋管理信息系统</w:t>
            </w:r>
          </w:p>
          <w:p>
            <w:pPr>
              <w:pStyle w:val="TableParagraph"/>
              <w:spacing w:line="240" w:lineRule="auto" w:before="97"/>
              <w:ind w:left="2" w:right="0"/>
              <w:jc w:val="left"/>
              <w:rPr>
                <w:rFonts w:ascii="Times New Roman" w:hAnsi="Times New Roman" w:cs="Times New Roman" w:eastAsia="Times New Roman" w:hint="default"/>
                <w:sz w:val="20"/>
                <w:szCs w:val="20"/>
              </w:rPr>
            </w:pPr>
            <w:r>
              <w:rPr>
                <w:rFonts w:ascii="Times New Roman"/>
                <w:sz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2008.1.1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660"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2008SR21488</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 w:right="194"/>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流动人口与出租房屋无线数据采集系</w:t>
            </w:r>
            <w:r>
              <w:rPr>
                <w:rFonts w:ascii="宋体" w:hAnsi="宋体" w:cs="宋体" w:eastAsia="宋体" w:hint="default"/>
                <w:spacing w:val="52"/>
                <w:w w:val="95"/>
                <w:sz w:val="20"/>
                <w:szCs w:val="20"/>
              </w:rPr>
              <w:t> </w:t>
            </w:r>
            <w:r>
              <w:rPr>
                <w:rFonts w:ascii="宋体" w:hAnsi="宋体" w:cs="宋体" w:eastAsia="宋体" w:hint="default"/>
                <w:sz w:val="20"/>
                <w:szCs w:val="20"/>
              </w:rPr>
              <w:t>统</w:t>
            </w:r>
            <w:r>
              <w:rPr>
                <w:rFonts w:ascii="Times New Roman" w:hAnsi="Times New Roman" w:cs="Times New Roman" w:eastAsia="Times New Roman" w:hint="default"/>
                <w:b/>
                <w:bCs/>
                <w:sz w:val="20"/>
                <w:szCs w:val="20"/>
              </w:rPr>
              <w:t>V1.0</w:t>
            </w:r>
            <w:r>
              <w:rPr>
                <w:rFonts w:ascii="Times New Roman" w:hAnsi="Times New Roman" w:cs="Times New Roman" w:eastAsia="Times New Roman" w:hint="default"/>
                <w:sz w:val="20"/>
                <w:szCs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2008.1.1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2008SR21487</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数字化社区管理信息系统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2007.12.20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2009SR046739</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规划管理信息系统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2009.1.15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2009SR034968</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政通</w:t>
            </w:r>
            <w:r>
              <w:rPr>
                <w:rFonts w:ascii="Times New Roman" w:hAnsi="Times New Roman" w:cs="Times New Roman" w:eastAsia="Times New Roman" w:hint="default"/>
                <w:sz w:val="20"/>
                <w:szCs w:val="20"/>
              </w:rPr>
              <w:t>”</w:t>
            </w:r>
            <w:r>
              <w:rPr>
                <w:rFonts w:ascii="宋体" w:hAnsi="宋体" w:cs="宋体" w:eastAsia="宋体" w:hint="default"/>
                <w:sz w:val="20"/>
                <w:szCs w:val="20"/>
              </w:rPr>
              <w:t>空间数据发布系统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2009.5.25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sz w:val="20"/>
              </w:rPr>
              <w:t>11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left"/>
              <w:rPr>
                <w:rFonts w:ascii="Times New Roman" w:hAnsi="Times New Roman" w:cs="Times New Roman" w:eastAsia="Times New Roman" w:hint="default"/>
                <w:sz w:val="20"/>
                <w:szCs w:val="20"/>
              </w:rPr>
            </w:pPr>
            <w:r>
              <w:rPr>
                <w:rFonts w:ascii="Times New Roman"/>
                <w:sz w:val="20"/>
              </w:rPr>
              <w:t>2009SR034966</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政通</w:t>
            </w:r>
            <w:r>
              <w:rPr>
                <w:rFonts w:ascii="Times New Roman" w:hAnsi="Times New Roman" w:cs="Times New Roman" w:eastAsia="Times New Roman" w:hint="default"/>
                <w:sz w:val="20"/>
                <w:szCs w:val="20"/>
              </w:rPr>
              <w:t>”</w:t>
            </w:r>
            <w:r>
              <w:rPr>
                <w:rFonts w:ascii="宋体" w:hAnsi="宋体" w:cs="宋体" w:eastAsia="宋体" w:hint="default"/>
                <w:sz w:val="20"/>
                <w:szCs w:val="20"/>
              </w:rPr>
              <w:t>嵌入式地图引擎系统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2007.9.28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12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2010SR061749</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数字执法管理信息系统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2009.5.10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sz w:val="20"/>
              </w:rPr>
              <w:t>13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left"/>
              <w:rPr>
                <w:rFonts w:ascii="Times New Roman" w:hAnsi="Times New Roman" w:cs="Times New Roman" w:eastAsia="Times New Roman" w:hint="default"/>
                <w:sz w:val="20"/>
                <w:szCs w:val="20"/>
              </w:rPr>
            </w:pPr>
            <w:r>
              <w:rPr>
                <w:rFonts w:ascii="Times New Roman"/>
                <w:sz w:val="20"/>
              </w:rPr>
              <w:t>2011SR001079</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信息采集智能管理系统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2010.7.1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14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2010SR073840</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移动测量系统采集软件</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2010.5.16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15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2010SR073843</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移动测量系统检校软件</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2010.7.1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sz w:val="20"/>
              </w:rPr>
              <w:t>16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left"/>
              <w:rPr>
                <w:rFonts w:ascii="Times New Roman" w:hAnsi="Times New Roman" w:cs="Times New Roman" w:eastAsia="Times New Roman" w:hint="default"/>
                <w:sz w:val="20"/>
                <w:szCs w:val="20"/>
              </w:rPr>
            </w:pPr>
            <w:r>
              <w:rPr>
                <w:rFonts w:ascii="Times New Roman"/>
                <w:sz w:val="20"/>
              </w:rPr>
              <w:t>2010SR073838</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移动测量系统数据生产软件</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2010.7.1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17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2010SR073648</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实景三维</w:t>
            </w:r>
            <w:r>
              <w:rPr>
                <w:rFonts w:ascii="Times New Roman" w:hAnsi="Times New Roman" w:cs="Times New Roman" w:eastAsia="Times New Roman" w:hint="default"/>
                <w:sz w:val="20"/>
                <w:szCs w:val="20"/>
              </w:rPr>
              <w:t>“</w:t>
            </w:r>
            <w:r>
              <w:rPr>
                <w:rFonts w:ascii="宋体" w:hAnsi="宋体" w:cs="宋体" w:eastAsia="宋体" w:hint="default"/>
                <w:sz w:val="20"/>
                <w:szCs w:val="20"/>
              </w:rPr>
              <w:t>城管通</w:t>
            </w:r>
            <w:r>
              <w:rPr>
                <w:rFonts w:ascii="Times New Roman" w:hAnsi="Times New Roman" w:cs="Times New Roman" w:eastAsia="Times New Roman" w:hint="default"/>
                <w:sz w:val="20"/>
                <w:szCs w:val="20"/>
              </w:rPr>
              <w:t>”</w:t>
            </w:r>
            <w:r>
              <w:rPr>
                <w:rFonts w:ascii="宋体" w:hAnsi="宋体" w:cs="宋体" w:eastAsia="宋体" w:hint="default"/>
                <w:sz w:val="20"/>
                <w:szCs w:val="20"/>
              </w:rPr>
              <w:t>应用软件</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2010.6.16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sz w:val="20"/>
              </w:rPr>
              <w:t>18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left"/>
              <w:rPr>
                <w:rFonts w:ascii="Times New Roman" w:hAnsi="Times New Roman" w:cs="Times New Roman" w:eastAsia="Times New Roman" w:hint="default"/>
                <w:sz w:val="20"/>
                <w:szCs w:val="20"/>
              </w:rPr>
            </w:pPr>
            <w:r>
              <w:rPr>
                <w:rFonts w:ascii="Times New Roman"/>
                <w:sz w:val="20"/>
              </w:rPr>
              <w:t>2010SR073650</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实景三维浏览软件</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2010.5.16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972"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19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2010SR072096</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2" w:right="-10"/>
              <w:jc w:val="left"/>
              <w:rPr>
                <w:rFonts w:ascii="宋体" w:hAnsi="宋体" w:cs="宋体" w:eastAsia="宋体" w:hint="default"/>
                <w:sz w:val="20"/>
                <w:szCs w:val="20"/>
              </w:rPr>
            </w:pPr>
            <w:r>
              <w:rPr>
                <w:rFonts w:ascii="宋体" w:hAnsi="宋体" w:cs="宋体" w:eastAsia="宋体" w:hint="default"/>
                <w:sz w:val="20"/>
                <w:szCs w:val="20"/>
              </w:rPr>
              <w:t>乡村生态旅游数字导引系统</w:t>
            </w:r>
            <w:r>
              <w:rPr>
                <w:rFonts w:ascii="Times New Roman" w:hAnsi="Times New Roman" w:cs="Times New Roman" w:eastAsia="Times New Roman" w:hint="default"/>
                <w:sz w:val="20"/>
                <w:szCs w:val="20"/>
              </w:rPr>
              <w:t>”</w:t>
            </w:r>
            <w:r>
              <w:rPr>
                <w:rFonts w:ascii="宋体" w:hAnsi="宋体" w:cs="宋体" w:eastAsia="宋体" w:hint="default"/>
                <w:sz w:val="20"/>
                <w:szCs w:val="20"/>
              </w:rPr>
              <w:t>乡游通</w:t>
            </w:r>
            <w:r>
              <w:rPr>
                <w:rFonts w:ascii="Times New Roman" w:hAnsi="Times New Roman" w:cs="Times New Roman" w:eastAsia="Times New Roman" w:hint="default"/>
                <w:sz w:val="20"/>
                <w:szCs w:val="20"/>
              </w:rPr>
              <w:t>”</w:t>
            </w:r>
            <w:r>
              <w:rPr>
                <w:rFonts w:ascii="宋体" w:hAnsi="宋体" w:cs="宋体" w:eastAsia="宋体" w:hint="default"/>
                <w:sz w:val="20"/>
                <w:szCs w:val="20"/>
              </w:rPr>
              <w:t>软</w:t>
            </w:r>
            <w:r>
              <w:rPr>
                <w:rFonts w:ascii="宋体" w:hAnsi="宋体" w:cs="宋体" w:eastAsia="宋体" w:hint="default"/>
                <w:w w:val="99"/>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V1.0</w:t>
            </w:r>
            <w:r>
              <w:rPr>
                <w:rFonts w:ascii="宋体" w:hAnsi="宋体" w:cs="宋体" w:eastAsia="宋体" w:hint="default"/>
                <w:sz w:val="20"/>
                <w:szCs w:val="20"/>
              </w:rPr>
              <w:t>（与中国建筑设计研究院共有）</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2010.8.10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 w:right="2"/>
              <w:jc w:val="center"/>
              <w:rPr>
                <w:rFonts w:ascii="宋体" w:hAnsi="宋体" w:cs="宋体" w:eastAsia="宋体" w:hint="default"/>
                <w:sz w:val="20"/>
                <w:szCs w:val="20"/>
              </w:rPr>
            </w:pPr>
            <w:r>
              <w:rPr>
                <w:rFonts w:ascii="宋体" w:hAnsi="宋体" w:cs="宋体" w:eastAsia="宋体" w:hint="default"/>
                <w:spacing w:val="-14"/>
                <w:w w:val="99"/>
                <w:sz w:val="20"/>
                <w:szCs w:val="20"/>
              </w:rPr>
              <w:t>公司、中国建</w:t>
            </w:r>
            <w:r>
              <w:rPr>
                <w:rFonts w:ascii="宋体" w:hAnsi="宋体" w:cs="宋体" w:eastAsia="宋体" w:hint="default"/>
                <w:w w:val="99"/>
                <w:sz w:val="20"/>
                <w:szCs w:val="20"/>
              </w:rPr>
              <w:t> </w:t>
            </w:r>
            <w:r>
              <w:rPr>
                <w:rFonts w:ascii="宋体" w:hAnsi="宋体" w:cs="宋体" w:eastAsia="宋体" w:hint="default"/>
                <w:sz w:val="20"/>
                <w:szCs w:val="20"/>
              </w:rPr>
              <w:t>筑设计研究</w:t>
            </w:r>
            <w:r>
              <w:rPr>
                <w:rFonts w:ascii="宋体" w:hAnsi="宋体" w:cs="宋体" w:eastAsia="宋体" w:hint="default"/>
                <w:w w:val="99"/>
                <w:sz w:val="20"/>
                <w:szCs w:val="20"/>
              </w:rPr>
              <w:t> </w:t>
            </w:r>
            <w:r>
              <w:rPr>
                <w:rFonts w:ascii="宋体" w:hAnsi="宋体" w:cs="宋体" w:eastAsia="宋体" w:hint="default"/>
                <w:sz w:val="20"/>
                <w:szCs w:val="20"/>
              </w:rPr>
              <w:t>院</w:t>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20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2010SR074694</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新一代</w:t>
            </w:r>
            <w:r>
              <w:rPr>
                <w:rFonts w:ascii="Times New Roman" w:hAnsi="Times New Roman" w:cs="Times New Roman" w:eastAsia="Times New Roman" w:hint="default"/>
                <w:sz w:val="20"/>
                <w:szCs w:val="20"/>
              </w:rPr>
              <w:t>”</w:t>
            </w:r>
            <w:r>
              <w:rPr>
                <w:rFonts w:ascii="宋体" w:hAnsi="宋体" w:cs="宋体" w:eastAsia="宋体" w:hint="default"/>
                <w:sz w:val="20"/>
                <w:szCs w:val="20"/>
              </w:rPr>
              <w:t>数字城管系统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2010.12.12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21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2011SR083934</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视频监控管理系统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2011.3.5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22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2011SR083932</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移动执法系统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2011.7.8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sz w:val="20"/>
              </w:rPr>
              <w:t>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left"/>
              <w:rPr>
                <w:rFonts w:ascii="Times New Roman" w:hAnsi="Times New Roman" w:cs="Times New Roman" w:eastAsia="Times New Roman" w:hint="default"/>
                <w:sz w:val="20"/>
                <w:szCs w:val="20"/>
              </w:rPr>
            </w:pPr>
            <w:r>
              <w:rPr>
                <w:rFonts w:ascii="Times New Roman"/>
                <w:sz w:val="20"/>
              </w:rPr>
              <w:t>2012SR018674</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国土资源管理信息系统</w:t>
            </w:r>
            <w:r>
              <w:rPr>
                <w:rFonts w:ascii="Times New Roman" w:hAnsi="Times New Roman" w:cs="Times New Roman" w:eastAsia="Times New Roman" w:hint="default"/>
                <w:sz w:val="20"/>
                <w:szCs w:val="20"/>
              </w:rPr>
              <w:t>V2.0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2012.1.4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24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2012SR018676</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国土资源综合监管系统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2011.12.20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sz w:val="20"/>
              </w:rPr>
              <w:t>25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left"/>
              <w:rPr>
                <w:rFonts w:ascii="Times New Roman" w:hAnsi="Times New Roman" w:cs="Times New Roman" w:eastAsia="Times New Roman" w:hint="default"/>
                <w:sz w:val="20"/>
                <w:szCs w:val="20"/>
              </w:rPr>
            </w:pPr>
            <w:r>
              <w:rPr>
                <w:rFonts w:ascii="Times New Roman"/>
                <w:sz w:val="20"/>
              </w:rPr>
              <w:t>2012SR018682</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专业网格化管理系统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2012.1.4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26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2012SR018686</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网格化社会服务管理系统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2012.1.4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27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2012SR022552</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智慧城市管理信息系统</w:t>
            </w:r>
            <w:r>
              <w:rPr>
                <w:rFonts w:ascii="Times New Roman" w:hAnsi="Times New Roman" w:cs="Times New Roman" w:eastAsia="Times New Roman" w:hint="default"/>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2012.1.15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28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2012SR022551</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数字化城市管理信息系统</w:t>
            </w:r>
            <w:r>
              <w:rPr>
                <w:rFonts w:ascii="Times New Roman" w:hAnsi="Times New Roman" w:cs="Times New Roman" w:eastAsia="Times New Roman" w:hint="default"/>
                <w:sz w:val="20"/>
                <w:szCs w:val="20"/>
              </w:rPr>
              <w:t>V2.0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2012.1.15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bl>
    <w:p>
      <w:pPr>
        <w:spacing w:after="0" w:line="261" w:lineRule="exact"/>
        <w:jc w:val="center"/>
        <w:rPr>
          <w:rFonts w:ascii="宋体" w:hAnsi="宋体" w:cs="宋体" w:eastAsia="宋体" w:hint="default"/>
          <w:sz w:val="20"/>
          <w:szCs w:val="20"/>
        </w:rPr>
        <w:sectPr>
          <w:footerReference w:type="default" r:id="rId15"/>
          <w:pgSz w:w="11910" w:h="16840"/>
          <w:pgMar w:footer="979" w:header="745" w:top="1060" w:bottom="1160" w:left="1020" w:right="1020"/>
          <w:pgNumType w:start="20"/>
        </w:sectPr>
      </w:pPr>
    </w:p>
    <w:p>
      <w:pPr>
        <w:spacing w:line="240" w:lineRule="auto" w:before="6"/>
        <w:rPr>
          <w:rFonts w:ascii="宋体" w:hAnsi="宋体" w:cs="宋体" w:eastAsia="宋体" w:hint="default"/>
          <w:sz w:val="28"/>
          <w:szCs w:val="28"/>
        </w:rPr>
      </w:pPr>
    </w:p>
    <w:tbl>
      <w:tblPr>
        <w:tblW w:w="0" w:type="auto"/>
        <w:jc w:val="left"/>
        <w:tblInd w:w="532" w:type="dxa"/>
        <w:tblLayout w:type="fixed"/>
        <w:tblCellMar>
          <w:top w:w="0" w:type="dxa"/>
          <w:left w:w="0" w:type="dxa"/>
          <w:bottom w:w="0" w:type="dxa"/>
          <w:right w:w="0" w:type="dxa"/>
        </w:tblCellMar>
        <w:tblLook w:val="01E0"/>
      </w:tblPr>
      <w:tblGrid>
        <w:gridCol w:w="708"/>
        <w:gridCol w:w="1985"/>
        <w:gridCol w:w="3401"/>
        <w:gridCol w:w="1702"/>
        <w:gridCol w:w="1135"/>
      </w:tblGrid>
      <w:tr>
        <w:trPr>
          <w:trHeight w:val="353" w:hRule="exact"/>
        </w:trPr>
        <w:tc>
          <w:tcPr>
            <w:tcW w:w="708" w:type="dxa"/>
            <w:tcBorders>
              <w:top w:val="nil" w:sz="6" w:space="0" w:color="auto"/>
              <w:left w:val="nil" w:sz="6" w:space="0" w:color="auto"/>
              <w:bottom w:val="single" w:sz="6" w:space="0" w:color="000000"/>
              <w:right w:val="single" w:sz="6" w:space="0" w:color="000000"/>
            </w:tcBorders>
          </w:tcPr>
          <w:p>
            <w:pPr>
              <w:pStyle w:val="TableParagraph"/>
              <w:spacing w:line="240" w:lineRule="auto" w:before="65"/>
              <w:ind w:right="244"/>
              <w:jc w:val="right"/>
              <w:rPr>
                <w:rFonts w:ascii="Times New Roman" w:hAnsi="Times New Roman" w:cs="Times New Roman" w:eastAsia="Times New Roman" w:hint="default"/>
                <w:sz w:val="20"/>
                <w:szCs w:val="20"/>
              </w:rPr>
            </w:pPr>
            <w:r>
              <w:rPr>
                <w:rFonts w:ascii="Times New Roman"/>
                <w:sz w:val="20"/>
              </w:rPr>
              <w:t>29</w:t>
            </w:r>
          </w:p>
        </w:tc>
        <w:tc>
          <w:tcPr>
            <w:tcW w:w="198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5"/>
              <w:ind w:left="2" w:right="0"/>
              <w:jc w:val="left"/>
              <w:rPr>
                <w:rFonts w:ascii="Times New Roman" w:hAnsi="Times New Roman" w:cs="Times New Roman" w:eastAsia="Times New Roman" w:hint="default"/>
                <w:sz w:val="20"/>
                <w:szCs w:val="20"/>
              </w:rPr>
            </w:pPr>
            <w:r>
              <w:rPr>
                <w:rFonts w:ascii="Times New Roman"/>
                <w:sz w:val="20"/>
              </w:rPr>
              <w:t>2012SR134336</w:t>
            </w:r>
          </w:p>
        </w:tc>
        <w:tc>
          <w:tcPr>
            <w:tcW w:w="340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政通</w:t>
            </w:r>
            <w:r>
              <w:rPr>
                <w:rFonts w:ascii="Times New Roman" w:hAnsi="Times New Roman" w:cs="Times New Roman" w:eastAsia="Times New Roman" w:hint="default"/>
                <w:sz w:val="20"/>
                <w:szCs w:val="20"/>
              </w:rPr>
              <w:t>”</w:t>
            </w:r>
            <w:r>
              <w:rPr>
                <w:rFonts w:ascii="宋体" w:hAnsi="宋体" w:cs="宋体" w:eastAsia="宋体" w:hint="default"/>
                <w:sz w:val="20"/>
                <w:szCs w:val="20"/>
              </w:rPr>
              <w:t>三维地理信息系统</w:t>
            </w:r>
          </w:p>
        </w:tc>
        <w:tc>
          <w:tcPr>
            <w:tcW w:w="170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5"/>
              <w:ind w:left="444" w:right="0"/>
              <w:jc w:val="left"/>
              <w:rPr>
                <w:rFonts w:ascii="Times New Roman" w:hAnsi="Times New Roman" w:cs="Times New Roman" w:eastAsia="Times New Roman" w:hint="default"/>
                <w:sz w:val="20"/>
                <w:szCs w:val="20"/>
              </w:rPr>
            </w:pPr>
            <w:r>
              <w:rPr>
                <w:rFonts w:ascii="Times New Roman"/>
                <w:sz w:val="20"/>
              </w:rPr>
              <w:t>2012.9.23</w:t>
            </w:r>
          </w:p>
        </w:tc>
        <w:tc>
          <w:tcPr>
            <w:tcW w:w="113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8"/>
              <w:ind w:right="360"/>
              <w:jc w:val="right"/>
              <w:rPr>
                <w:rFonts w:ascii="宋体" w:hAnsi="宋体" w:cs="宋体" w:eastAsia="宋体" w:hint="default"/>
                <w:sz w:val="20"/>
                <w:szCs w:val="20"/>
              </w:rPr>
            </w:pPr>
            <w:r>
              <w:rPr>
                <w:rFonts w:ascii="宋体" w:hAnsi="宋体" w:cs="宋体" w:eastAsia="宋体" w:hint="default"/>
                <w:w w:val="95"/>
                <w:sz w:val="20"/>
                <w:szCs w:val="20"/>
              </w:rPr>
              <w:t>公司</w:t>
            </w:r>
            <w:r>
              <w:rPr>
                <w:rFonts w:ascii="宋体" w:hAnsi="宋体" w:cs="宋体" w:eastAsia="宋体" w:hint="default"/>
                <w:sz w:val="20"/>
                <w:szCs w:val="20"/>
              </w:rPr>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right="244"/>
              <w:jc w:val="right"/>
              <w:rPr>
                <w:rFonts w:ascii="Times New Roman" w:hAnsi="Times New Roman" w:cs="Times New Roman" w:eastAsia="Times New Roman" w:hint="default"/>
                <w:sz w:val="20"/>
                <w:szCs w:val="20"/>
              </w:rPr>
            </w:pPr>
            <w:r>
              <w:rPr>
                <w:rFonts w:ascii="Times New Roman"/>
                <w:sz w:val="20"/>
              </w:rPr>
              <w:t>30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left"/>
              <w:rPr>
                <w:rFonts w:ascii="Times New Roman" w:hAnsi="Times New Roman" w:cs="Times New Roman" w:eastAsia="Times New Roman" w:hint="default"/>
                <w:sz w:val="20"/>
                <w:szCs w:val="20"/>
              </w:rPr>
            </w:pPr>
            <w:r>
              <w:rPr>
                <w:rFonts w:ascii="Times New Roman"/>
                <w:sz w:val="20"/>
              </w:rPr>
              <w:t>2012SR134342</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eGis</w:t>
            </w:r>
            <w:r>
              <w:rPr>
                <w:rFonts w:ascii="宋体" w:hAnsi="宋体" w:cs="宋体" w:eastAsia="宋体" w:hint="default"/>
                <w:sz w:val="20"/>
                <w:szCs w:val="20"/>
              </w:rPr>
              <w:t>地理信息系统平台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44" w:right="0"/>
              <w:jc w:val="left"/>
              <w:rPr>
                <w:rFonts w:ascii="Times New Roman" w:hAnsi="Times New Roman" w:cs="Times New Roman" w:eastAsia="Times New Roman" w:hint="default"/>
                <w:sz w:val="20"/>
                <w:szCs w:val="20"/>
              </w:rPr>
            </w:pPr>
            <w:r>
              <w:rPr>
                <w:rFonts w:ascii="Times New Roman"/>
                <w:sz w:val="20"/>
              </w:rPr>
              <w:t>2012.5.15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360"/>
              <w:jc w:val="right"/>
              <w:rPr>
                <w:rFonts w:ascii="宋体" w:hAnsi="宋体" w:cs="宋体" w:eastAsia="宋体" w:hint="default"/>
                <w:sz w:val="20"/>
                <w:szCs w:val="20"/>
              </w:rPr>
            </w:pPr>
            <w:r>
              <w:rPr>
                <w:rFonts w:ascii="宋体" w:hAnsi="宋体" w:cs="宋体" w:eastAsia="宋体" w:hint="default"/>
                <w:w w:val="95"/>
                <w:sz w:val="20"/>
                <w:szCs w:val="20"/>
              </w:rPr>
              <w:t>公司</w:t>
            </w:r>
            <w:r>
              <w:rPr>
                <w:rFonts w:ascii="宋体" w:hAnsi="宋体" w:cs="宋体" w:eastAsia="宋体" w:hint="default"/>
                <w:sz w:val="20"/>
                <w:szCs w:val="20"/>
              </w:rPr>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244"/>
              <w:jc w:val="right"/>
              <w:rPr>
                <w:rFonts w:ascii="Times New Roman" w:hAnsi="Times New Roman" w:cs="Times New Roman" w:eastAsia="Times New Roman" w:hint="default"/>
                <w:sz w:val="20"/>
                <w:szCs w:val="20"/>
              </w:rPr>
            </w:pPr>
            <w:r>
              <w:rPr>
                <w:rFonts w:ascii="Times New Roman"/>
                <w:sz w:val="20"/>
              </w:rPr>
              <w:t>31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2011SRBJ2876</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汉王屏幕录像软件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44" w:right="0"/>
              <w:jc w:val="left"/>
              <w:rPr>
                <w:rFonts w:ascii="Times New Roman" w:hAnsi="Times New Roman" w:cs="Times New Roman" w:eastAsia="Times New Roman" w:hint="default"/>
                <w:sz w:val="20"/>
                <w:szCs w:val="20"/>
              </w:rPr>
            </w:pPr>
            <w:r>
              <w:rPr>
                <w:rFonts w:ascii="Times New Roman"/>
                <w:sz w:val="20"/>
              </w:rPr>
              <w:t>2011.8.10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60"/>
              <w:jc w:val="right"/>
              <w:rPr>
                <w:rFonts w:ascii="宋体" w:hAnsi="宋体" w:cs="宋体" w:eastAsia="宋体" w:hint="default"/>
                <w:sz w:val="20"/>
                <w:szCs w:val="20"/>
              </w:rPr>
            </w:pPr>
            <w:r>
              <w:rPr>
                <w:rFonts w:ascii="宋体" w:hAnsi="宋体" w:cs="宋体" w:eastAsia="宋体" w:hint="default"/>
                <w:w w:val="95"/>
                <w:sz w:val="20"/>
                <w:szCs w:val="20"/>
              </w:rPr>
              <w:t>公司</w:t>
            </w:r>
            <w:r>
              <w:rPr>
                <w:rFonts w:ascii="宋体" w:hAnsi="宋体" w:cs="宋体" w:eastAsia="宋体" w:hint="default"/>
                <w:sz w:val="20"/>
                <w:szCs w:val="20"/>
              </w:rPr>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right="244"/>
              <w:jc w:val="right"/>
              <w:rPr>
                <w:rFonts w:ascii="Times New Roman" w:hAnsi="Times New Roman" w:cs="Times New Roman" w:eastAsia="Times New Roman" w:hint="default"/>
                <w:sz w:val="20"/>
                <w:szCs w:val="20"/>
              </w:rPr>
            </w:pPr>
            <w:r>
              <w:rPr>
                <w:rFonts w:ascii="Times New Roman"/>
                <w:sz w:val="20"/>
              </w:rPr>
              <w:t>32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left"/>
              <w:rPr>
                <w:rFonts w:ascii="Times New Roman" w:hAnsi="Times New Roman" w:cs="Times New Roman" w:eastAsia="Times New Roman" w:hint="default"/>
                <w:sz w:val="20"/>
                <w:szCs w:val="20"/>
              </w:rPr>
            </w:pPr>
            <w:r>
              <w:rPr>
                <w:rFonts w:ascii="Times New Roman"/>
                <w:sz w:val="20"/>
              </w:rPr>
              <w:t>2011SRBJ2878</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汉王智能交通信息采集平台软件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44" w:right="0"/>
              <w:jc w:val="left"/>
              <w:rPr>
                <w:rFonts w:ascii="Times New Roman" w:hAnsi="Times New Roman" w:cs="Times New Roman" w:eastAsia="Times New Roman" w:hint="default"/>
                <w:sz w:val="20"/>
                <w:szCs w:val="20"/>
              </w:rPr>
            </w:pPr>
            <w:r>
              <w:rPr>
                <w:rFonts w:ascii="Times New Roman"/>
                <w:sz w:val="20"/>
              </w:rPr>
              <w:t>2011.8.10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360"/>
              <w:jc w:val="right"/>
              <w:rPr>
                <w:rFonts w:ascii="宋体" w:hAnsi="宋体" w:cs="宋体" w:eastAsia="宋体" w:hint="default"/>
                <w:sz w:val="20"/>
                <w:szCs w:val="20"/>
              </w:rPr>
            </w:pPr>
            <w:r>
              <w:rPr>
                <w:rFonts w:ascii="宋体" w:hAnsi="宋体" w:cs="宋体" w:eastAsia="宋体" w:hint="default"/>
                <w:w w:val="95"/>
                <w:sz w:val="20"/>
                <w:szCs w:val="20"/>
              </w:rPr>
              <w:t>公司</w:t>
            </w:r>
            <w:r>
              <w:rPr>
                <w:rFonts w:ascii="宋体" w:hAnsi="宋体" w:cs="宋体" w:eastAsia="宋体" w:hint="default"/>
                <w:sz w:val="20"/>
                <w:szCs w:val="20"/>
              </w:rPr>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244"/>
              <w:jc w:val="right"/>
              <w:rPr>
                <w:rFonts w:ascii="Times New Roman" w:hAnsi="Times New Roman" w:cs="Times New Roman" w:eastAsia="Times New Roman" w:hint="default"/>
                <w:sz w:val="20"/>
                <w:szCs w:val="20"/>
              </w:rPr>
            </w:pPr>
            <w:r>
              <w:rPr>
                <w:rFonts w:ascii="Times New Roman"/>
                <w:sz w:val="20"/>
              </w:rPr>
              <w:t>33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2011SRBJ2877</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汉王智能卡口系统应用软件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44" w:right="0"/>
              <w:jc w:val="left"/>
              <w:rPr>
                <w:rFonts w:ascii="Times New Roman" w:hAnsi="Times New Roman" w:cs="Times New Roman" w:eastAsia="Times New Roman" w:hint="default"/>
                <w:sz w:val="20"/>
                <w:szCs w:val="20"/>
              </w:rPr>
            </w:pPr>
            <w:r>
              <w:rPr>
                <w:rFonts w:ascii="Times New Roman"/>
                <w:sz w:val="20"/>
              </w:rPr>
              <w:t>2011.8.10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60"/>
              <w:jc w:val="right"/>
              <w:rPr>
                <w:rFonts w:ascii="宋体" w:hAnsi="宋体" w:cs="宋体" w:eastAsia="宋体" w:hint="default"/>
                <w:sz w:val="20"/>
                <w:szCs w:val="20"/>
              </w:rPr>
            </w:pPr>
            <w:r>
              <w:rPr>
                <w:rFonts w:ascii="宋体" w:hAnsi="宋体" w:cs="宋体" w:eastAsia="宋体" w:hint="default"/>
                <w:w w:val="95"/>
                <w:sz w:val="20"/>
                <w:szCs w:val="20"/>
              </w:rPr>
              <w:t>公司</w:t>
            </w:r>
            <w:r>
              <w:rPr>
                <w:rFonts w:ascii="宋体" w:hAnsi="宋体" w:cs="宋体" w:eastAsia="宋体" w:hint="default"/>
                <w:sz w:val="20"/>
                <w:szCs w:val="20"/>
              </w:rPr>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244"/>
              <w:jc w:val="right"/>
              <w:rPr>
                <w:rFonts w:ascii="Times New Roman" w:hAnsi="Times New Roman" w:cs="Times New Roman" w:eastAsia="Times New Roman" w:hint="default"/>
                <w:sz w:val="20"/>
                <w:szCs w:val="20"/>
              </w:rPr>
            </w:pPr>
            <w:r>
              <w:rPr>
                <w:rFonts w:ascii="Times New Roman"/>
                <w:sz w:val="20"/>
              </w:rPr>
              <w:t>34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2012SR051713</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高清路径识别系统</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44" w:right="0"/>
              <w:jc w:val="left"/>
              <w:rPr>
                <w:rFonts w:ascii="Times New Roman" w:hAnsi="Times New Roman" w:cs="Times New Roman" w:eastAsia="Times New Roman" w:hint="default"/>
                <w:sz w:val="20"/>
                <w:szCs w:val="20"/>
              </w:rPr>
            </w:pPr>
            <w:r>
              <w:rPr>
                <w:rFonts w:ascii="Times New Roman"/>
                <w:sz w:val="20"/>
              </w:rPr>
              <w:t>2012.6.16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60"/>
              <w:jc w:val="right"/>
              <w:rPr>
                <w:rFonts w:ascii="宋体" w:hAnsi="宋体" w:cs="宋体" w:eastAsia="宋体" w:hint="default"/>
                <w:sz w:val="20"/>
                <w:szCs w:val="20"/>
              </w:rPr>
            </w:pPr>
            <w:r>
              <w:rPr>
                <w:rFonts w:ascii="宋体" w:hAnsi="宋体" w:cs="宋体" w:eastAsia="宋体" w:hint="default"/>
                <w:w w:val="95"/>
                <w:sz w:val="20"/>
                <w:szCs w:val="20"/>
              </w:rPr>
              <w:t>公司</w:t>
            </w:r>
            <w:r>
              <w:rPr>
                <w:rFonts w:ascii="宋体" w:hAnsi="宋体" w:cs="宋体" w:eastAsia="宋体" w:hint="default"/>
                <w:sz w:val="20"/>
                <w:szCs w:val="20"/>
              </w:rPr>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244"/>
              <w:jc w:val="right"/>
              <w:rPr>
                <w:rFonts w:ascii="Times New Roman" w:hAnsi="Times New Roman" w:cs="Times New Roman" w:eastAsia="Times New Roman" w:hint="default"/>
                <w:sz w:val="20"/>
                <w:szCs w:val="20"/>
              </w:rPr>
            </w:pPr>
            <w:r>
              <w:rPr>
                <w:rFonts w:ascii="Times New Roman"/>
                <w:sz w:val="20"/>
              </w:rPr>
              <w:t>35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2012SR058932</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闯红灯自动记录系统</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4" w:right="0"/>
              <w:jc w:val="left"/>
              <w:rPr>
                <w:rFonts w:ascii="Times New Roman" w:hAnsi="Times New Roman" w:cs="Times New Roman" w:eastAsia="Times New Roman" w:hint="default"/>
                <w:sz w:val="20"/>
                <w:szCs w:val="20"/>
              </w:rPr>
            </w:pPr>
            <w:r>
              <w:rPr>
                <w:rFonts w:ascii="Times New Roman"/>
                <w:sz w:val="20"/>
              </w:rPr>
              <w:t>2012.7.4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60"/>
              <w:jc w:val="right"/>
              <w:rPr>
                <w:rFonts w:ascii="宋体" w:hAnsi="宋体" w:cs="宋体" w:eastAsia="宋体" w:hint="default"/>
                <w:sz w:val="20"/>
                <w:szCs w:val="20"/>
              </w:rPr>
            </w:pPr>
            <w:r>
              <w:rPr>
                <w:rFonts w:ascii="宋体" w:hAnsi="宋体" w:cs="宋体" w:eastAsia="宋体" w:hint="default"/>
                <w:w w:val="95"/>
                <w:sz w:val="20"/>
                <w:szCs w:val="20"/>
              </w:rPr>
              <w:t>公司</w:t>
            </w:r>
            <w:r>
              <w:rPr>
                <w:rFonts w:ascii="宋体" w:hAnsi="宋体" w:cs="宋体" w:eastAsia="宋体" w:hint="default"/>
                <w:sz w:val="20"/>
                <w:szCs w:val="20"/>
              </w:rPr>
            </w:r>
          </w:p>
        </w:tc>
      </w:tr>
      <w:tr>
        <w:trPr>
          <w:trHeight w:val="346"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244"/>
              <w:jc w:val="right"/>
              <w:rPr>
                <w:rFonts w:ascii="Times New Roman" w:hAnsi="Times New Roman" w:cs="Times New Roman" w:eastAsia="Times New Roman" w:hint="default"/>
                <w:sz w:val="20"/>
                <w:szCs w:val="20"/>
              </w:rPr>
            </w:pPr>
            <w:r>
              <w:rPr>
                <w:rFonts w:ascii="Times New Roman"/>
                <w:sz w:val="20"/>
              </w:rPr>
              <w:t>36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2012SR073147</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智能视频行为分析软件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44" w:right="0"/>
              <w:jc w:val="left"/>
              <w:rPr>
                <w:rFonts w:ascii="Times New Roman" w:hAnsi="Times New Roman" w:cs="Times New Roman" w:eastAsia="Times New Roman" w:hint="default"/>
                <w:sz w:val="20"/>
                <w:szCs w:val="20"/>
              </w:rPr>
            </w:pPr>
            <w:r>
              <w:rPr>
                <w:rFonts w:ascii="Times New Roman"/>
                <w:sz w:val="20"/>
              </w:rPr>
              <w:t>2012.8.10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60"/>
              <w:jc w:val="right"/>
              <w:rPr>
                <w:rFonts w:ascii="宋体" w:hAnsi="宋体" w:cs="宋体" w:eastAsia="宋体" w:hint="default"/>
                <w:sz w:val="20"/>
                <w:szCs w:val="20"/>
              </w:rPr>
            </w:pPr>
            <w:r>
              <w:rPr>
                <w:rFonts w:ascii="宋体" w:hAnsi="宋体" w:cs="宋体" w:eastAsia="宋体" w:hint="default"/>
                <w:w w:val="95"/>
                <w:sz w:val="20"/>
                <w:szCs w:val="20"/>
              </w:rPr>
              <w:t>公司</w:t>
            </w:r>
            <w:r>
              <w:rPr>
                <w:rFonts w:ascii="宋体" w:hAnsi="宋体" w:cs="宋体" w:eastAsia="宋体" w:hint="default"/>
                <w:sz w:val="20"/>
                <w:szCs w:val="20"/>
              </w:rPr>
            </w:r>
          </w:p>
        </w:tc>
      </w:tr>
      <w:tr>
        <w:trPr>
          <w:trHeight w:val="348" w:hRule="exact"/>
        </w:trPr>
        <w:tc>
          <w:tcPr>
            <w:tcW w:w="7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right="244"/>
              <w:jc w:val="right"/>
              <w:rPr>
                <w:rFonts w:ascii="Times New Roman" w:hAnsi="Times New Roman" w:cs="Times New Roman" w:eastAsia="Times New Roman" w:hint="default"/>
                <w:sz w:val="20"/>
                <w:szCs w:val="20"/>
              </w:rPr>
            </w:pPr>
            <w:r>
              <w:rPr>
                <w:rFonts w:ascii="Times New Roman"/>
                <w:sz w:val="20"/>
              </w:rPr>
              <w:t>37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left"/>
              <w:rPr>
                <w:rFonts w:ascii="Times New Roman" w:hAnsi="Times New Roman" w:cs="Times New Roman" w:eastAsia="Times New Roman" w:hint="default"/>
                <w:sz w:val="20"/>
                <w:szCs w:val="20"/>
              </w:rPr>
            </w:pPr>
            <w:r>
              <w:rPr>
                <w:rFonts w:ascii="Times New Roman"/>
                <w:sz w:val="20"/>
              </w:rPr>
              <w:t>2012SR073629</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嵌入式车辆识别系统</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44" w:right="0"/>
              <w:jc w:val="left"/>
              <w:rPr>
                <w:rFonts w:ascii="Times New Roman" w:hAnsi="Times New Roman" w:cs="Times New Roman" w:eastAsia="Times New Roman" w:hint="default"/>
                <w:sz w:val="20"/>
                <w:szCs w:val="20"/>
              </w:rPr>
            </w:pPr>
            <w:r>
              <w:rPr>
                <w:rFonts w:ascii="Times New Roman"/>
                <w:sz w:val="20"/>
              </w:rPr>
              <w:t>2012.8.11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360"/>
              <w:jc w:val="right"/>
              <w:rPr>
                <w:rFonts w:ascii="宋体" w:hAnsi="宋体" w:cs="宋体" w:eastAsia="宋体" w:hint="default"/>
                <w:sz w:val="20"/>
                <w:szCs w:val="20"/>
              </w:rPr>
            </w:pPr>
            <w:r>
              <w:rPr>
                <w:rFonts w:ascii="宋体" w:hAnsi="宋体" w:cs="宋体" w:eastAsia="宋体" w:hint="default"/>
                <w:w w:val="95"/>
                <w:sz w:val="20"/>
                <w:szCs w:val="20"/>
              </w:rPr>
              <w:t>公司</w:t>
            </w:r>
            <w:r>
              <w:rPr>
                <w:rFonts w:ascii="宋体" w:hAnsi="宋体" w:cs="宋体" w:eastAsia="宋体" w:hint="default"/>
                <w:sz w:val="20"/>
                <w:szCs w:val="20"/>
              </w:rPr>
            </w:r>
          </w:p>
        </w:tc>
      </w:tr>
    </w:tbl>
    <w:p>
      <w:pPr>
        <w:spacing w:line="240" w:lineRule="auto" w:before="0"/>
        <w:rPr>
          <w:rFonts w:ascii="宋体" w:hAnsi="宋体" w:cs="宋体" w:eastAsia="宋体" w:hint="default"/>
          <w:sz w:val="25"/>
          <w:szCs w:val="25"/>
        </w:rPr>
      </w:pPr>
    </w:p>
    <w:p>
      <w:pPr>
        <w:pStyle w:val="BodyText"/>
        <w:spacing w:line="357" w:lineRule="auto" w:before="26"/>
        <w:ind w:left="595" w:right="0"/>
        <w:jc w:val="left"/>
      </w:pPr>
      <w:r>
        <w:rPr/>
        <w:t>2、专利： 截止2012年12月31日，公司及下属全资子公司已获得和申请受理专利</w:t>
      </w:r>
      <w:r>
        <w:rPr>
          <w:spacing w:val="-115"/>
        </w:rPr>
        <w:t> </w:t>
      </w:r>
      <w:r>
        <w:rPr/>
        <w:t>30项，具体情况如</w:t>
      </w:r>
    </w:p>
    <w:p>
      <w:pPr>
        <w:pStyle w:val="BodyText"/>
        <w:spacing w:line="240" w:lineRule="auto"/>
        <w:ind w:right="0"/>
        <w:jc w:val="left"/>
      </w:pPr>
      <w:r>
        <w:rPr/>
        <w:t>下：</w:t>
      </w:r>
    </w:p>
    <w:p>
      <w:pPr>
        <w:pStyle w:val="BodyText"/>
        <w:spacing w:line="240" w:lineRule="auto" w:before="154"/>
        <w:ind w:left="595" w:right="0"/>
        <w:jc w:val="left"/>
      </w:pPr>
      <w:r>
        <w:rPr/>
        <w:t>1）已获得专利列表</w:t>
      </w:r>
    </w:p>
    <w:p>
      <w:pPr>
        <w:spacing w:line="240" w:lineRule="auto" w:before="8"/>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682"/>
        <w:gridCol w:w="2976"/>
        <w:gridCol w:w="1702"/>
        <w:gridCol w:w="1558"/>
        <w:gridCol w:w="1858"/>
        <w:gridCol w:w="1224"/>
      </w:tblGrid>
      <w:tr>
        <w:trPr>
          <w:trHeight w:val="427" w:hRule="exact"/>
        </w:trPr>
        <w:tc>
          <w:tcPr>
            <w:tcW w:w="6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15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29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13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专利名称</w:t>
            </w:r>
            <w:r>
              <w:rPr>
                <w:rFonts w:ascii="Microsoft JhengHei" w:hAnsi="Microsoft JhengHei" w:cs="Microsoft JhengHei" w:eastAsia="Microsoft JhengHei"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专利申请日</w:t>
            </w:r>
            <w:r>
              <w:rPr>
                <w:rFonts w:ascii="Microsoft JhengHei" w:hAnsi="Microsoft JhengHei" w:cs="Microsoft JhengHei" w:eastAsia="Microsoft JhengHei"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授权公告日</w:t>
            </w:r>
            <w:r>
              <w:rPr>
                <w:rFonts w:ascii="Microsoft JhengHei" w:hAnsi="Microsoft JhengHei" w:cs="Microsoft JhengHei" w:eastAsia="Microsoft JhengHei" w:hint="default"/>
                <w:sz w:val="18"/>
                <w:szCs w:val="18"/>
              </w:rPr>
            </w:r>
          </w:p>
        </w:tc>
        <w:tc>
          <w:tcPr>
            <w:tcW w:w="1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8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专利号</w:t>
            </w:r>
            <w:r>
              <w:rPr>
                <w:rFonts w:ascii="Microsoft JhengHei" w:hAnsi="Microsoft JhengHei" w:cs="Microsoft JhengHei" w:eastAsia="Microsoft JhengHei" w:hint="default"/>
                <w:sz w:val="18"/>
                <w:szCs w:val="18"/>
              </w:rPr>
            </w:r>
          </w:p>
        </w:tc>
        <w:tc>
          <w:tcPr>
            <w:tcW w:w="12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专利类型</w:t>
            </w:r>
            <w:r>
              <w:rPr>
                <w:rFonts w:ascii="Microsoft JhengHei" w:hAnsi="Microsoft JhengHei" w:cs="Microsoft JhengHei" w:eastAsia="Microsoft JhengHei" w:hint="default"/>
                <w:sz w:val="18"/>
                <w:szCs w:val="18"/>
              </w:rPr>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5" w:right="0"/>
              <w:jc w:val="left"/>
              <w:rPr>
                <w:rFonts w:ascii="Times New Roman" w:hAnsi="Times New Roman" w:cs="Times New Roman" w:eastAsia="Times New Roman" w:hint="default"/>
                <w:sz w:val="18"/>
                <w:szCs w:val="18"/>
              </w:rPr>
            </w:pPr>
            <w:r>
              <w:rPr>
                <w:rFonts w:ascii="Times New Roman"/>
                <w:sz w:val="18"/>
              </w:rPr>
              <w:t>1</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77"/>
              <w:jc w:val="left"/>
              <w:rPr>
                <w:rFonts w:ascii="宋体" w:hAnsi="宋体" w:cs="宋体" w:eastAsia="宋体" w:hint="default"/>
                <w:sz w:val="18"/>
                <w:szCs w:val="18"/>
              </w:rPr>
            </w:pPr>
            <w:r>
              <w:rPr>
                <w:rFonts w:ascii="宋体" w:hAnsi="宋体" w:cs="宋体" w:eastAsia="宋体" w:hint="default"/>
                <w:sz w:val="18"/>
                <w:szCs w:val="18"/>
              </w:rPr>
              <w:t>基于快速车牌定位算法的车辆视频触 发装置和方法</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ZL200410102933.8</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  明</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5" w:right="0"/>
              <w:jc w:val="left"/>
              <w:rPr>
                <w:rFonts w:ascii="Times New Roman" w:hAnsi="Times New Roman" w:cs="Times New Roman" w:eastAsia="Times New Roman" w:hint="default"/>
                <w:sz w:val="18"/>
                <w:szCs w:val="18"/>
              </w:rPr>
            </w:pPr>
            <w:r>
              <w:rPr>
                <w:rFonts w:ascii="Times New Roman"/>
                <w:sz w:val="18"/>
              </w:rPr>
              <w:t>2</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77"/>
              <w:jc w:val="left"/>
              <w:rPr>
                <w:rFonts w:ascii="宋体" w:hAnsi="宋体" w:cs="宋体" w:eastAsia="宋体" w:hint="default"/>
                <w:sz w:val="18"/>
                <w:szCs w:val="18"/>
              </w:rPr>
            </w:pPr>
            <w:r>
              <w:rPr>
                <w:rFonts w:ascii="宋体" w:hAnsi="宋体" w:cs="宋体" w:eastAsia="宋体" w:hint="default"/>
                <w:sz w:val="18"/>
                <w:szCs w:val="18"/>
              </w:rPr>
              <w:t>用于智能交通系统的嵌入式综合信息 采集装置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ZL.200410102935.7</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  明</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5" w:right="0"/>
              <w:jc w:val="left"/>
              <w:rPr>
                <w:rFonts w:ascii="Times New Roman" w:hAnsi="Times New Roman" w:cs="Times New Roman" w:eastAsia="Times New Roman" w:hint="default"/>
                <w:sz w:val="18"/>
                <w:szCs w:val="18"/>
              </w:rPr>
            </w:pPr>
            <w:r>
              <w:rPr>
                <w:rFonts w:ascii="Times New Roman"/>
                <w:sz w:val="18"/>
              </w:rPr>
              <w:t>3</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城市卡口车牌自动识别系统</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ZL200910077746.1</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  明</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5" w:right="0"/>
              <w:jc w:val="left"/>
              <w:rPr>
                <w:rFonts w:ascii="Times New Roman" w:hAnsi="Times New Roman" w:cs="Times New Roman" w:eastAsia="Times New Roman" w:hint="default"/>
                <w:sz w:val="18"/>
                <w:szCs w:val="18"/>
              </w:rPr>
            </w:pPr>
            <w:r>
              <w:rPr>
                <w:rFonts w:ascii="Times New Roman"/>
                <w:sz w:val="18"/>
              </w:rPr>
              <w:t>4</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高清相机的快速图像处理方法</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ZL200910077332.9</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  明</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5" w:right="0"/>
              <w:jc w:val="left"/>
              <w:rPr>
                <w:rFonts w:ascii="Times New Roman" w:hAnsi="Times New Roman" w:cs="Times New Roman" w:eastAsia="Times New Roman" w:hint="default"/>
                <w:sz w:val="18"/>
                <w:szCs w:val="18"/>
              </w:rPr>
            </w:pPr>
            <w:r>
              <w:rPr>
                <w:rFonts w:ascii="Times New Roman"/>
                <w:sz w:val="18"/>
              </w:rPr>
              <w:t>5</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高清车辆抓拍系统的光通量控制方法</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ZL200910079435.9</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  明</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5" w:right="0"/>
              <w:jc w:val="left"/>
              <w:rPr>
                <w:rFonts w:ascii="Times New Roman" w:hAnsi="Times New Roman" w:cs="Times New Roman" w:eastAsia="Times New Roman" w:hint="default"/>
                <w:sz w:val="18"/>
                <w:szCs w:val="18"/>
              </w:rPr>
            </w:pPr>
            <w:r>
              <w:rPr>
                <w:rFonts w:ascii="Times New Roman"/>
                <w:sz w:val="18"/>
              </w:rPr>
              <w:t>6</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一种移动式车辆监测装置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ZL200420118620.7</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5" w:right="0"/>
              <w:jc w:val="left"/>
              <w:rPr>
                <w:rFonts w:ascii="Times New Roman" w:hAnsi="Times New Roman" w:cs="Times New Roman" w:eastAsia="Times New Roman" w:hint="default"/>
                <w:sz w:val="18"/>
                <w:szCs w:val="18"/>
              </w:rPr>
            </w:pPr>
            <w:r>
              <w:rPr>
                <w:rFonts w:ascii="Times New Roman"/>
                <w:sz w:val="18"/>
              </w:rPr>
              <w:t>7</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77"/>
              <w:jc w:val="left"/>
              <w:rPr>
                <w:rFonts w:ascii="宋体" w:hAnsi="宋体" w:cs="宋体" w:eastAsia="宋体" w:hint="default"/>
                <w:sz w:val="18"/>
                <w:szCs w:val="18"/>
              </w:rPr>
            </w:pPr>
            <w:r>
              <w:rPr>
                <w:rFonts w:ascii="宋体" w:hAnsi="宋体" w:cs="宋体" w:eastAsia="宋体" w:hint="default"/>
                <w:sz w:val="18"/>
                <w:szCs w:val="18"/>
              </w:rPr>
              <w:t>基于快速车牌定位算法的车辆视频触 发装置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ZL200420118616.0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73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5" w:right="0"/>
              <w:jc w:val="left"/>
              <w:rPr>
                <w:rFonts w:ascii="Times New Roman" w:hAnsi="Times New Roman" w:cs="Times New Roman" w:eastAsia="Times New Roman" w:hint="default"/>
                <w:sz w:val="18"/>
                <w:szCs w:val="18"/>
              </w:rPr>
            </w:pPr>
            <w:r>
              <w:rPr>
                <w:rFonts w:ascii="Times New Roman"/>
                <w:sz w:val="18"/>
              </w:rPr>
              <w:t>8</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77"/>
              <w:jc w:val="left"/>
              <w:rPr>
                <w:rFonts w:ascii="宋体" w:hAnsi="宋体" w:cs="宋体" w:eastAsia="宋体" w:hint="default"/>
                <w:sz w:val="18"/>
                <w:szCs w:val="18"/>
              </w:rPr>
            </w:pPr>
            <w:r>
              <w:rPr>
                <w:rFonts w:ascii="宋体" w:hAnsi="宋体" w:cs="宋体" w:eastAsia="宋体" w:hint="default"/>
                <w:sz w:val="18"/>
                <w:szCs w:val="18"/>
              </w:rPr>
              <w:t>调节支架及使用该调节支架的视频监 测装置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ZL201020215825.2</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5" w:right="0"/>
              <w:jc w:val="left"/>
              <w:rPr>
                <w:rFonts w:ascii="Times New Roman" w:hAnsi="Times New Roman" w:cs="Times New Roman" w:eastAsia="Times New Roman" w:hint="default"/>
                <w:sz w:val="18"/>
                <w:szCs w:val="18"/>
              </w:rPr>
            </w:pPr>
            <w:r>
              <w:rPr>
                <w:rFonts w:ascii="Times New Roman"/>
                <w:sz w:val="18"/>
              </w:rPr>
              <w:t>9</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视频检测装置的支撑体</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ZL201020291508.9</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10</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印刷电路板的封装盒体</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ZL201020297373.7</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11</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77"/>
              <w:jc w:val="left"/>
              <w:rPr>
                <w:rFonts w:ascii="宋体" w:hAnsi="宋体" w:cs="宋体" w:eastAsia="宋体" w:hint="default"/>
                <w:sz w:val="18"/>
                <w:szCs w:val="18"/>
              </w:rPr>
            </w:pPr>
            <w:r>
              <w:rPr>
                <w:rFonts w:ascii="宋体" w:hAnsi="宋体" w:cs="宋体" w:eastAsia="宋体" w:hint="default"/>
                <w:sz w:val="18"/>
                <w:szCs w:val="18"/>
              </w:rPr>
              <w:t>摄像设备的调节和固定装置及视频检 测装置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ZL201020519911.2</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12</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视频监测装置保护罩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ZL201030220598.8</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13</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用于固定视频监测装置的立柱</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ZL201030233412.2</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14</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交通监控设备</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ZL201130188265.6</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r>
      <w:tr>
        <w:trPr>
          <w:trHeight w:val="442"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15</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嵌入式一体化车牌辨识仪（注：该专</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ZL01271088.1</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bl>
    <w:p>
      <w:pPr>
        <w:spacing w:after="0" w:line="240" w:lineRule="auto"/>
        <w:jc w:val="center"/>
        <w:rPr>
          <w:rFonts w:ascii="宋体" w:hAnsi="宋体" w:cs="宋体" w:eastAsia="宋体" w:hint="default"/>
          <w:sz w:val="18"/>
          <w:szCs w:val="18"/>
        </w:rPr>
        <w:sectPr>
          <w:pgSz w:w="11910" w:h="16840"/>
          <w:pgMar w:header="745" w:footer="979" w:top="1060" w:bottom="1160" w:left="1020" w:right="66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682"/>
        <w:gridCol w:w="2976"/>
        <w:gridCol w:w="1702"/>
        <w:gridCol w:w="1558"/>
        <w:gridCol w:w="1858"/>
        <w:gridCol w:w="1224"/>
      </w:tblGrid>
      <w:tr>
        <w:trPr>
          <w:trHeight w:val="386" w:hRule="exact"/>
        </w:trPr>
        <w:tc>
          <w:tcPr>
            <w:tcW w:w="682" w:type="dxa"/>
            <w:tcBorders>
              <w:top w:val="single" w:sz="6" w:space="0" w:color="000000"/>
              <w:left w:val="single" w:sz="6" w:space="0" w:color="000000"/>
              <w:bottom w:val="single" w:sz="6" w:space="0" w:color="000000"/>
              <w:right w:val="single" w:sz="6" w:space="0" w:color="000000"/>
            </w:tcBorders>
          </w:tcPr>
          <w:p>
            <w:pP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bookmarkStart w:name="5、投资状况分析" w:id="30"/>
            <w:bookmarkEnd w:id="30"/>
            <w:r>
              <w:rPr/>
            </w:r>
            <w:bookmarkStart w:name="（1）募集资金总体使用情况" w:id="31"/>
            <w:bookmarkEnd w:id="31"/>
            <w:r>
              <w:rPr/>
            </w:r>
            <w:r>
              <w:rPr>
                <w:rFonts w:ascii="宋体" w:hAnsi="宋体" w:cs="宋体" w:eastAsia="宋体" w:hint="default"/>
                <w:sz w:val="18"/>
                <w:szCs w:val="18"/>
              </w:rPr>
              <w:t>利已过期）</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r>
    </w:tbl>
    <w:p>
      <w:pPr>
        <w:spacing w:line="276" w:lineRule="exact"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）申请中专利权列表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83"/>
        <w:gridCol w:w="3218"/>
        <w:gridCol w:w="1699"/>
        <w:gridCol w:w="1615"/>
        <w:gridCol w:w="2390"/>
      </w:tblGrid>
      <w:tr>
        <w:trPr>
          <w:trHeight w:val="427" w:hRule="exact"/>
        </w:trPr>
        <w:tc>
          <w:tcPr>
            <w:tcW w:w="8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2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32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14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专利名称</w:t>
            </w:r>
            <w:r>
              <w:rPr>
                <w:rFonts w:ascii="Microsoft JhengHei" w:hAnsi="Microsoft JhengHei" w:cs="Microsoft JhengHei" w:eastAsia="Microsoft JhengHei"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专利申请日</w:t>
            </w:r>
            <w:r>
              <w:rPr>
                <w:rFonts w:ascii="Microsoft JhengHei" w:hAnsi="Microsoft JhengHei" w:cs="Microsoft JhengHei" w:eastAsia="Microsoft JhengHei" w:hint="default"/>
                <w:sz w:val="18"/>
                <w:szCs w:val="18"/>
              </w:rPr>
            </w:r>
          </w:p>
        </w:tc>
        <w:tc>
          <w:tcPr>
            <w:tcW w:w="16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5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专利申请号</w:t>
            </w:r>
            <w:r>
              <w:rPr>
                <w:rFonts w:ascii="Microsoft JhengHei" w:hAnsi="Microsoft JhengHei" w:cs="Microsoft JhengHei" w:eastAsia="Microsoft JhengHei" w:hint="default"/>
                <w:sz w:val="18"/>
                <w:szCs w:val="18"/>
              </w:rPr>
            </w:r>
          </w:p>
        </w:tc>
        <w:tc>
          <w:tcPr>
            <w:tcW w:w="23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1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申请专利类型及法律状态</w:t>
            </w:r>
            <w:r>
              <w:rPr>
                <w:rFonts w:ascii="Microsoft JhengHei" w:hAnsi="Microsoft JhengHei" w:cs="Microsoft JhengHei" w:eastAsia="Microsoft JhengHei" w:hint="default"/>
                <w:sz w:val="18"/>
                <w:szCs w:val="18"/>
              </w:rPr>
            </w:r>
          </w:p>
        </w:tc>
      </w:tr>
      <w:tr>
        <w:trPr>
          <w:trHeight w:val="427"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5" w:right="0"/>
              <w:jc w:val="left"/>
              <w:rPr>
                <w:rFonts w:ascii="Times New Roman" w:hAnsi="Times New Roman" w:cs="Times New Roman" w:eastAsia="Times New Roman" w:hint="default"/>
                <w:sz w:val="18"/>
                <w:szCs w:val="18"/>
              </w:rPr>
            </w:pPr>
            <w:r>
              <w:rPr>
                <w:rFonts w:ascii="Times New Roman"/>
                <w:sz w:val="18"/>
              </w:rPr>
              <w:t>1</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多车道车辆监控方法及系统</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200910077747.6</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9"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实质审查</w:t>
            </w:r>
          </w:p>
        </w:tc>
      </w:tr>
      <w:tr>
        <w:trPr>
          <w:trHeight w:val="427"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5" w:right="0"/>
              <w:jc w:val="left"/>
              <w:rPr>
                <w:rFonts w:ascii="Times New Roman" w:hAnsi="Times New Roman" w:cs="Times New Roman" w:eastAsia="Times New Roman" w:hint="default"/>
                <w:sz w:val="18"/>
                <w:szCs w:val="18"/>
              </w:rPr>
            </w:pPr>
            <w:r>
              <w:rPr>
                <w:rFonts w:ascii="Times New Roman"/>
                <w:sz w:val="18"/>
              </w:rPr>
              <w:t>2</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车辆颜色识别方法及装置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200910093263.0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9"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专利受理</w:t>
            </w:r>
          </w:p>
        </w:tc>
      </w:tr>
      <w:tr>
        <w:trPr>
          <w:trHeight w:val="427"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5" w:right="0"/>
              <w:jc w:val="left"/>
              <w:rPr>
                <w:rFonts w:ascii="Times New Roman" w:hAnsi="Times New Roman" w:cs="Times New Roman" w:eastAsia="Times New Roman" w:hint="default"/>
                <w:sz w:val="18"/>
                <w:szCs w:val="18"/>
              </w:rPr>
            </w:pPr>
            <w:r>
              <w:rPr>
                <w:rFonts w:ascii="Times New Roman"/>
                <w:sz w:val="18"/>
              </w:rPr>
              <w:t>3</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交通路口车辆违章的监测系统及方法</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201010133245.3</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9"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专利受理</w:t>
            </w:r>
          </w:p>
        </w:tc>
      </w:tr>
      <w:tr>
        <w:trPr>
          <w:trHeight w:val="739"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5" w:right="0"/>
              <w:jc w:val="left"/>
              <w:rPr>
                <w:rFonts w:ascii="Times New Roman" w:hAnsi="Times New Roman" w:cs="Times New Roman" w:eastAsia="Times New Roman" w:hint="default"/>
                <w:sz w:val="18"/>
                <w:szCs w:val="18"/>
              </w:rPr>
            </w:pPr>
            <w:r>
              <w:rPr>
                <w:rFonts w:ascii="Times New Roman"/>
                <w:sz w:val="18"/>
              </w:rPr>
              <w:t>4</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39"/>
              <w:jc w:val="left"/>
              <w:rPr>
                <w:rFonts w:ascii="宋体" w:hAnsi="宋体" w:cs="宋体" w:eastAsia="宋体" w:hint="default"/>
                <w:sz w:val="18"/>
                <w:szCs w:val="18"/>
              </w:rPr>
            </w:pPr>
            <w:r>
              <w:rPr>
                <w:rFonts w:ascii="宋体" w:hAnsi="宋体" w:cs="宋体" w:eastAsia="宋体" w:hint="default"/>
                <w:sz w:val="18"/>
                <w:szCs w:val="18"/>
              </w:rPr>
              <w:t>基于视频图像的路面距离检测方法及装 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201010536405.9</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2"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实质审查</w:t>
            </w:r>
          </w:p>
        </w:tc>
      </w:tr>
      <w:tr>
        <w:trPr>
          <w:trHeight w:val="739"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5" w:right="0"/>
              <w:jc w:val="left"/>
              <w:rPr>
                <w:rFonts w:ascii="Times New Roman" w:hAnsi="Times New Roman" w:cs="Times New Roman" w:eastAsia="Times New Roman" w:hint="default"/>
                <w:sz w:val="18"/>
                <w:szCs w:val="18"/>
              </w:rPr>
            </w:pPr>
            <w:r>
              <w:rPr>
                <w:rFonts w:ascii="Times New Roman"/>
                <w:sz w:val="18"/>
              </w:rPr>
              <w:t>5</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39"/>
              <w:jc w:val="left"/>
              <w:rPr>
                <w:rFonts w:ascii="宋体" w:hAnsi="宋体" w:cs="宋体" w:eastAsia="宋体" w:hint="default"/>
                <w:sz w:val="18"/>
                <w:szCs w:val="18"/>
              </w:rPr>
            </w:pPr>
            <w:r>
              <w:rPr>
                <w:rFonts w:ascii="宋体" w:hAnsi="宋体" w:cs="宋体" w:eastAsia="宋体" w:hint="default"/>
                <w:sz w:val="18"/>
                <w:szCs w:val="18"/>
              </w:rPr>
              <w:t>利用图形化交互界面输入摄像机参数的 方法</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201010563651.3</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2"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实质审查</w:t>
            </w:r>
          </w:p>
        </w:tc>
      </w:tr>
      <w:tr>
        <w:trPr>
          <w:trHeight w:val="739"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5" w:right="0"/>
              <w:jc w:val="left"/>
              <w:rPr>
                <w:rFonts w:ascii="Times New Roman" w:hAnsi="Times New Roman" w:cs="Times New Roman" w:eastAsia="Times New Roman" w:hint="default"/>
                <w:sz w:val="18"/>
                <w:szCs w:val="18"/>
              </w:rPr>
            </w:pPr>
            <w:r>
              <w:rPr>
                <w:rFonts w:ascii="Times New Roman"/>
                <w:sz w:val="18"/>
              </w:rPr>
              <w:t>6</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39"/>
              <w:jc w:val="left"/>
              <w:rPr>
                <w:rFonts w:ascii="宋体" w:hAnsi="宋体" w:cs="宋体" w:eastAsia="宋体" w:hint="default"/>
                <w:sz w:val="18"/>
                <w:szCs w:val="18"/>
              </w:rPr>
            </w:pPr>
            <w:r>
              <w:rPr>
                <w:rFonts w:ascii="宋体" w:hAnsi="宋体" w:cs="宋体" w:eastAsia="宋体" w:hint="default"/>
                <w:sz w:val="18"/>
                <w:szCs w:val="18"/>
              </w:rPr>
              <w:t>视频图像的顺逆光判断和拍摄时间检测 方法</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201010599303.1</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2"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实质审查</w:t>
            </w:r>
          </w:p>
        </w:tc>
      </w:tr>
      <w:tr>
        <w:trPr>
          <w:trHeight w:val="427"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5" w:right="0"/>
              <w:jc w:val="left"/>
              <w:rPr>
                <w:rFonts w:ascii="Times New Roman" w:hAnsi="Times New Roman" w:cs="Times New Roman" w:eastAsia="Times New Roman" w:hint="default"/>
                <w:sz w:val="18"/>
                <w:szCs w:val="18"/>
              </w:rPr>
            </w:pPr>
            <w:r>
              <w:rPr>
                <w:rFonts w:ascii="Times New Roman"/>
                <w:sz w:val="18"/>
              </w:rPr>
              <w:t>7</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车辆颜色的识别方法及装置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201110080502.6</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2"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专利受理</w:t>
            </w:r>
          </w:p>
        </w:tc>
      </w:tr>
      <w:tr>
        <w:trPr>
          <w:trHeight w:val="425"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5" w:right="0"/>
              <w:jc w:val="left"/>
              <w:rPr>
                <w:rFonts w:ascii="Times New Roman" w:hAnsi="Times New Roman" w:cs="Times New Roman" w:eastAsia="Times New Roman" w:hint="default"/>
                <w:sz w:val="18"/>
                <w:szCs w:val="18"/>
              </w:rPr>
            </w:pPr>
            <w:r>
              <w:rPr>
                <w:rFonts w:ascii="Times New Roman"/>
                <w:sz w:val="18"/>
              </w:rPr>
              <w:t>8</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车辆检测方法和装置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201110103886.9</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2"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专利受理</w:t>
            </w:r>
          </w:p>
        </w:tc>
      </w:tr>
      <w:tr>
        <w:trPr>
          <w:trHeight w:val="427"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5" w:right="0"/>
              <w:jc w:val="left"/>
              <w:rPr>
                <w:rFonts w:ascii="Times New Roman" w:hAnsi="Times New Roman" w:cs="Times New Roman" w:eastAsia="Times New Roman" w:hint="default"/>
                <w:sz w:val="18"/>
                <w:szCs w:val="18"/>
              </w:rPr>
            </w:pPr>
            <w:r>
              <w:rPr>
                <w:rFonts w:ascii="Times New Roman"/>
                <w:sz w:val="18"/>
              </w:rPr>
              <w:t>9</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道路监控相机的安装方法以及安装系统</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201110172599.3</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19"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专利受理</w:t>
            </w:r>
          </w:p>
        </w:tc>
      </w:tr>
      <w:tr>
        <w:trPr>
          <w:trHeight w:val="427"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10</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视频图像的检测场景判断方法及装置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201110173830.0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9"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专利受理</w:t>
            </w:r>
          </w:p>
        </w:tc>
      </w:tr>
      <w:tr>
        <w:trPr>
          <w:trHeight w:val="739"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11</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2"/>
              <w:jc w:val="left"/>
              <w:rPr>
                <w:rFonts w:ascii="宋体" w:hAnsi="宋体" w:cs="宋体" w:eastAsia="宋体" w:hint="default"/>
                <w:sz w:val="18"/>
                <w:szCs w:val="18"/>
              </w:rPr>
            </w:pPr>
            <w:r>
              <w:rPr>
                <w:rFonts w:ascii="宋体" w:hAnsi="宋体" w:cs="宋体" w:eastAsia="宋体" w:hint="default"/>
                <w:spacing w:val="6"/>
                <w:sz w:val="18"/>
                <w:szCs w:val="18"/>
              </w:rPr>
              <w:t>调整道路交通监控设备位置的方法和装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201110173847.6</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9"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专利受理</w:t>
            </w:r>
          </w:p>
        </w:tc>
      </w:tr>
      <w:tr>
        <w:trPr>
          <w:trHeight w:val="427"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12</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车辆图片获取方法和装置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201110208569.3</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9"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专利受理</w:t>
            </w:r>
          </w:p>
        </w:tc>
      </w:tr>
      <w:tr>
        <w:trPr>
          <w:trHeight w:val="427"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13</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基于视频的交通信号灯检测方法及装置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201110249688.3</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9"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专利受理</w:t>
            </w:r>
          </w:p>
        </w:tc>
      </w:tr>
      <w:tr>
        <w:trPr>
          <w:trHeight w:val="427"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14</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智能摄像机及智能摄像方法</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201210132462.X</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9"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专利受理</w:t>
            </w:r>
          </w:p>
        </w:tc>
      </w:tr>
      <w:tr>
        <w:trPr>
          <w:trHeight w:val="427"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15</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JPEG</w:t>
            </w:r>
            <w:r>
              <w:rPr>
                <w:rFonts w:ascii="宋体" w:hAnsi="宋体" w:cs="宋体" w:eastAsia="宋体" w:hint="default"/>
                <w:sz w:val="18"/>
                <w:szCs w:val="18"/>
              </w:rPr>
              <w:t>图像压缩方法和系统</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201210260832.8</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9" w:right="0"/>
              <w:jc w:val="left"/>
              <w:rPr>
                <w:rFonts w:ascii="宋体" w:hAnsi="宋体" w:cs="宋体" w:eastAsia="宋体" w:hint="default"/>
                <w:sz w:val="18"/>
                <w:szCs w:val="18"/>
              </w:rPr>
            </w:pPr>
            <w:r>
              <w:rPr>
                <w:rFonts w:ascii="宋体" w:hAnsi="宋体" w:cs="宋体" w:eastAsia="宋体" w:hint="default"/>
                <w:sz w:val="18"/>
                <w:szCs w:val="18"/>
              </w:rPr>
              <w:t>发明</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专利受理</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、投资状况分析</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）募集资金总体使用情况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47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102"/>
        <w:gridCol w:w="5467"/>
      </w:tblGrid>
      <w:tr>
        <w:trPr>
          <w:trHeight w:val="401"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75,600</w:t>
            </w:r>
          </w:p>
        </w:tc>
      </w:tr>
      <w:tr>
        <w:trPr>
          <w:trHeight w:val="403"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22,941.95</w:t>
            </w:r>
          </w:p>
        </w:tc>
      </w:tr>
      <w:tr>
        <w:trPr>
          <w:trHeight w:val="401"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32,902.19</w:t>
            </w:r>
          </w:p>
        </w:tc>
      </w:tr>
      <w:tr>
        <w:trPr>
          <w:trHeight w:val="403"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660"/>
        </w:sectPr>
      </w:pPr>
    </w:p>
    <w:p>
      <w:pPr>
        <w:spacing w:line="240" w:lineRule="auto" w:before="2"/>
        <w:rPr>
          <w:rFonts w:ascii="宋体" w:hAnsi="宋体" w:cs="宋体" w:eastAsia="宋体" w:hint="default"/>
          <w:sz w:val="28"/>
          <w:szCs w:val="28"/>
        </w:rPr>
      </w:pPr>
    </w:p>
    <w:p>
      <w:pPr>
        <w:spacing w:line="2690" w:lineRule="exact"/>
        <w:ind w:left="103" w:right="0" w:firstLine="0"/>
        <w:rPr>
          <w:rFonts w:ascii="宋体" w:hAnsi="宋体" w:cs="宋体" w:eastAsia="宋体" w:hint="default"/>
          <w:sz w:val="20"/>
          <w:szCs w:val="20"/>
        </w:rPr>
      </w:pPr>
      <w:r>
        <w:rPr>
          <w:rFonts w:ascii="宋体" w:hAnsi="宋体" w:cs="宋体" w:eastAsia="宋体" w:hint="default"/>
          <w:position w:val="-53"/>
          <w:sz w:val="20"/>
          <w:szCs w:val="20"/>
        </w:rPr>
        <w:pict>
          <v:group style="width:479.4pt;height:134.550pt;mso-position-horizontal-relative:char;mso-position-vertical-relative:line" coordorigin="0,0" coordsize="9588,2691">
            <v:group style="position:absolute;left:12;top:12;width:9564;height:396" coordorigin="12,12" coordsize="9564,396">
              <v:shape style="position:absolute;left:12;top:12;width:9564;height:396" coordorigin="12,12" coordsize="9564,396" path="m12,12l12,408,9576,408,9576,12,12,12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00000">
                <v:path arrowok="t"/>
              </v:shape>
            </v:group>
            <v:group style="position:absolute;left:5;top:410;width:9579;height:2" coordorigin="5,410" coordsize="9579,2">
              <v:shape style="position:absolute;left:5;top:410;width:9579;height:2" coordorigin="5,410" coordsize="9579,0" path="m5,410l9583,410e" filled="false" stroked="true" strokeweight=".48pt" strokecolor="#000000">
                <v:path arrowok="t"/>
              </v:shape>
            </v:group>
            <v:group style="position:absolute;left:5;top:2686;width:9579;height:2" coordorigin="5,2686" coordsize="9579,2">
              <v:shape style="position:absolute;left:5;top:2686;width:9579;height:2" coordorigin="5,2686" coordsize="9579,0" path="m5,2686l9583,2686e" filled="false" stroked="true" strokeweight=".48pt" strokecolor="#000000">
                <v:path arrowok="t"/>
              </v:shape>
            </v:group>
            <v:group style="position:absolute;left:10;top:5;width:2;height:2676" coordorigin="10,5" coordsize="2,2676">
              <v:shape style="position:absolute;left:10;top:5;width:2;height:2676" coordorigin="10,5" coordsize="0,2676" path="m10,5l10,2681e" filled="false" stroked="true" strokeweight=".48pt" strokecolor="#000000">
                <v:path arrowok="t"/>
              </v:shape>
            </v:group>
            <v:group style="position:absolute;left:9578;top:5;width:2;height:2676" coordorigin="9578,5" coordsize="2,2676">
              <v:shape style="position:absolute;left:9578;top:5;width:2;height:2676" coordorigin="9578,5" coordsize="0,2676" path="m9578,5l9578,2681e" filled="false" stroked="true" strokeweight=".48pt" strokecolor="#000000">
                <v:path arrowok="t"/>
              </v:shape>
              <v:shape style="position:absolute;left:10;top:10;width:9569;height:401" type="#_x0000_t202" filled="false" stroked="false">
                <v:textbox inset="0,0,0,0">
                  <w:txbxContent>
                    <w:p>
                      <w:pPr>
                        <w:spacing w:before="56"/>
                        <w:ind w:left="2" w:right="0" w:firstLine="0"/>
                        <w:jc w:val="center"/>
                        <w:rPr>
                          <w:rFonts w:ascii="宋体" w:hAnsi="宋体" w:cs="宋体" w:eastAsia="宋体" w:hint="default"/>
                          <w:sz w:val="18"/>
                          <w:szCs w:val="18"/>
                        </w:rPr>
                      </w:pPr>
                      <w:bookmarkStart w:name="（2）募集资金承诺项目情况" w:id="32"/>
                      <w:bookmarkEnd w:id="32"/>
                      <w:r>
                        <w:rPr/>
                      </w:r>
                      <w:r>
                        <w:rPr>
                          <w:rFonts w:ascii="宋体" w:hAnsi="宋体" w:cs="宋体" w:eastAsia="宋体" w:hint="default"/>
                          <w:sz w:val="18"/>
                          <w:szCs w:val="18"/>
                        </w:rPr>
                        <w:t>募集资金总体使用情况说明</w:t>
                      </w:r>
                    </w:p>
                  </w:txbxContent>
                </v:textbox>
                <w10:wrap type="none"/>
              </v:shape>
              <v:shape style="position:absolute;left:10;top:410;width:9569;height:2276"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公司上市募集资金总额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万元，根据中瑞岳华会计师事务所出具的</w:t>
                      </w:r>
                      <w:r>
                        <w:rPr>
                          <w:rFonts w:ascii="Times New Roman" w:hAnsi="Times New Roman" w:cs="Times New Roman" w:eastAsia="Times New Roman" w:hint="default"/>
                          <w:sz w:val="18"/>
                          <w:szCs w:val="18"/>
                        </w:rPr>
                        <w:t>“</w:t>
                      </w:r>
                      <w:r>
                        <w:rPr>
                          <w:rFonts w:ascii="宋体" w:hAnsi="宋体" w:cs="宋体" w:eastAsia="宋体" w:hint="default"/>
                          <w:sz w:val="18"/>
                          <w:szCs w:val="18"/>
                        </w:rPr>
                        <w:t>中瑞岳华验字【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的验资报告，</w:t>
                      </w:r>
                    </w:p>
                    <w:p>
                      <w:pPr>
                        <w:spacing w:before="63"/>
                        <w:ind w:left="28" w:right="0" w:firstLine="0"/>
                        <w:jc w:val="left"/>
                        <w:rPr>
                          <w:rFonts w:ascii="宋体" w:hAnsi="宋体" w:cs="宋体" w:eastAsia="宋体" w:hint="default"/>
                          <w:sz w:val="18"/>
                          <w:szCs w:val="18"/>
                        </w:rPr>
                      </w:pPr>
                      <w:r>
                        <w:rPr>
                          <w:rFonts w:ascii="宋体" w:hAnsi="宋体" w:cs="宋体" w:eastAsia="宋体" w:hint="default"/>
                          <w:sz w:val="18"/>
                          <w:szCs w:val="18"/>
                        </w:rPr>
                        <w:t>在扣除全部承销及保荐等费用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4,452.00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万元和其他发行费用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892.70</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万元后，实际募集资金净额为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70,255.30</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万元，超募资</w:t>
                      </w:r>
                    </w:p>
                    <w:p>
                      <w:pPr>
                        <w:spacing w:before="63"/>
                        <w:ind w:left="28" w:right="0" w:firstLine="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566,973,000.00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日，公司累计投入募集资金总额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32,902.19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w:t>
                      </w:r>
                      <w:r>
                        <w:rPr>
                          <w:rFonts w:ascii="Times New Roman" w:hAnsi="Times New Roman" w:cs="Times New Roman" w:eastAsia="Times New Roman" w:hint="default"/>
                          <w:sz w:val="18"/>
                          <w:szCs w:val="18"/>
                        </w:rPr>
                        <w:t>”</w:t>
                      </w:r>
                      <w:r>
                        <w:rPr>
                          <w:rFonts w:ascii="宋体" w:hAnsi="宋体" w:cs="宋体" w:eastAsia="宋体" w:hint="default"/>
                          <w:sz w:val="18"/>
                          <w:szCs w:val="18"/>
                        </w:rPr>
                        <w:t>数字城管系统</w:t>
                      </w:r>
                    </w:p>
                    <w:p>
                      <w:pPr>
                        <w:spacing w:line="300" w:lineRule="auto" w:before="63"/>
                        <w:ind w:left="28" w:right="25" w:firstLine="0"/>
                        <w:jc w:val="left"/>
                        <w:rPr>
                          <w:rFonts w:ascii="宋体" w:hAnsi="宋体" w:cs="宋体" w:eastAsia="宋体" w:hint="default"/>
                          <w:sz w:val="18"/>
                          <w:szCs w:val="18"/>
                        </w:rPr>
                      </w:pPr>
                      <w:r>
                        <w:rPr>
                          <w:rFonts w:ascii="宋体" w:hAnsi="宋体" w:cs="宋体" w:eastAsia="宋体" w:hint="default"/>
                          <w:sz w:val="18"/>
                          <w:szCs w:val="18"/>
                        </w:rPr>
                        <w:t>项目累计投入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3,980.59</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万元；数字社区管理与服务系统项目累计投入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2,828.01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万元；专业网格化系统项目累计投入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2,228.74</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万元；金土工程</w:t>
                      </w:r>
                      <w:r>
                        <w:rPr>
                          <w:rFonts w:ascii="Times New Roman" w:hAnsi="Times New Roman" w:cs="Times New Roman" w:eastAsia="Times New Roman" w:hint="default"/>
                          <w:sz w:val="18"/>
                          <w:szCs w:val="18"/>
                        </w:rPr>
                        <w:t>“</w:t>
                      </w:r>
                      <w:r>
                        <w:rPr>
                          <w:rFonts w:ascii="宋体" w:hAnsi="宋体" w:cs="宋体" w:eastAsia="宋体" w:hint="default"/>
                          <w:sz w:val="18"/>
                          <w:szCs w:val="18"/>
                        </w:rPr>
                        <w:t>一张图</w:t>
                      </w:r>
                      <w:r>
                        <w:rPr>
                          <w:rFonts w:ascii="Times New Roman" w:hAnsi="Times New Roman" w:cs="Times New Roman" w:eastAsia="Times New Roman" w:hint="default"/>
                          <w:sz w:val="18"/>
                          <w:szCs w:val="18"/>
                        </w:rPr>
                        <w:t>”</w:t>
                      </w:r>
                      <w:r>
                        <w:rPr>
                          <w:rFonts w:ascii="宋体" w:hAnsi="宋体" w:cs="宋体" w:eastAsia="宋体" w:hint="default"/>
                          <w:sz w:val="18"/>
                          <w:szCs w:val="18"/>
                        </w:rPr>
                        <w:t>监管系统研发项目累计投入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3,090.44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万元；超募资金投入项目中，基于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Ladybug3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的车载激光扫 描系统研制、集成和应用项目累计投入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1,066.45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万元；武汉研发中心项目累计投入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2,835.96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万元；设立北京子公司累计投</w:t>
                      </w:r>
                    </w:p>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万元；收购收购汉王智通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万元；补充流动资金累计投入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53"/>
          <w:sz w:val="20"/>
          <w:szCs w:val="20"/>
        </w:rPr>
      </w:r>
    </w:p>
    <w:p>
      <w:pPr>
        <w:spacing w:line="240" w:lineRule="auto" w:before="3"/>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）募集资金承诺项目情况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337"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7"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39"/>
              <w:ind w:left="153"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新一代</w:t>
            </w:r>
            <w:r>
              <w:rPr>
                <w:rFonts w:ascii="Times New Roman" w:hAnsi="Times New Roman" w:cs="Times New Roman" w:eastAsia="Times New Roman" w:hint="default"/>
                <w:sz w:val="18"/>
                <w:szCs w:val="18"/>
              </w:rPr>
              <w:t>”</w:t>
            </w:r>
            <w:r>
              <w:rPr>
                <w:rFonts w:ascii="宋体" w:hAnsi="宋体" w:cs="宋体" w:eastAsia="宋体" w:hint="default"/>
                <w:sz w:val="18"/>
                <w:szCs w:val="18"/>
              </w:rPr>
              <w:t>数字城管系 统项目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3,980.59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数字社区管理与服务 系统项目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1,355.13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77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专业网格化系统项目</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920.51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2,228.74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74.29%</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640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77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137"/>
              <w:jc w:val="left"/>
              <w:rPr>
                <w:rFonts w:ascii="宋体" w:hAnsi="宋体" w:cs="宋体" w:eastAsia="宋体" w:hint="default"/>
                <w:sz w:val="18"/>
                <w:szCs w:val="18"/>
              </w:rPr>
            </w:pPr>
            <w:r>
              <w:rPr>
                <w:rFonts w:ascii="宋体" w:hAnsi="宋体" w:cs="宋体" w:eastAsia="宋体" w:hint="default"/>
                <w:sz w:val="18"/>
                <w:szCs w:val="18"/>
              </w:rPr>
              <w:t>金土工程</w:t>
            </w:r>
            <w:r>
              <w:rPr>
                <w:rFonts w:ascii="Times New Roman" w:hAnsi="Times New Roman" w:cs="Times New Roman" w:eastAsia="Times New Roman" w:hint="default"/>
                <w:sz w:val="18"/>
                <w:szCs w:val="18"/>
              </w:rPr>
              <w:t>“</w:t>
            </w:r>
            <w:r>
              <w:rPr>
                <w:rFonts w:ascii="宋体" w:hAnsi="宋体" w:cs="宋体" w:eastAsia="宋体" w:hint="default"/>
                <w:sz w:val="18"/>
                <w:szCs w:val="18"/>
              </w:rPr>
              <w:t>一张图</w:t>
            </w:r>
            <w:r>
              <w:rPr>
                <w:rFonts w:ascii="Times New Roman" w:hAnsi="Times New Roman" w:cs="Times New Roman" w:eastAsia="Times New Roman" w:hint="default"/>
                <w:sz w:val="18"/>
                <w:szCs w:val="18"/>
              </w:rPr>
              <w:t>”</w:t>
            </w:r>
            <w:r>
              <w:rPr>
                <w:rFonts w:ascii="宋体" w:hAnsi="宋体" w:cs="宋体" w:eastAsia="宋体" w:hint="default"/>
                <w:sz w:val="18"/>
                <w:szCs w:val="18"/>
              </w:rPr>
              <w:t>监 管系统研发项目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3,090.44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4,377.89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12,127.78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61" w:hRule="exact"/>
        </w:trPr>
        <w:tc>
          <w:tcPr>
            <w:tcW w:w="17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Ladybug3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的车载</w:t>
            </w: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激光扫描系统研制</w:t>
            </w:r>
            <w:r>
              <w:rPr>
                <w:rFonts w:ascii="宋体" w:hAnsi="宋体" w:cs="宋体" w:eastAsia="宋体" w:hint="default"/>
                <w:spacing w:val="-87"/>
                <w:sz w:val="18"/>
                <w:szCs w:val="18"/>
              </w:rPr>
              <w:t>、</w:t>
            </w:r>
            <w:r>
              <w:rPr>
                <w:rFonts w:ascii="宋体" w:hAnsi="宋体" w:cs="宋体" w:eastAsia="宋体" w:hint="default"/>
                <w:sz w:val="18"/>
                <w:szCs w:val="18"/>
              </w:rPr>
              <w:t>集</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4,627.72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4,627.72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624.26</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1,066.45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23.04%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1,201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7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成和应用项目</w:t>
            </w: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77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武汉研发中心项目</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4,464.69</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4,464.69</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1,067.8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2,835.96</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63.52%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7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77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设立北京子公司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2,000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2,000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0.7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77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39.080002pt;margin-top:123.600021pt;width:44.9pt;height:19.8pt;mso-position-horizontal-relative:page;mso-position-vertical-relative:page;z-index:-688936"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759998pt;margin-top:736.919983pt;width:88.2pt;height:19.8pt;mso-position-horizontal-relative:page;mso-position-vertical-relative:page;z-index:-688912" type="#_x0000_t202" filled="false" stroked="false">
            <v:textbox inset="0,0,0,0">
              <w:txbxContent>
                <w:p>
                  <w:pPr>
                    <w:spacing w:line="196" w:lineRule="exact" w:before="0"/>
                    <w:ind w:left="26" w:right="0" w:firstLine="0"/>
                    <w:jc w:val="left"/>
                    <w:rPr>
                      <w:rFonts w:ascii="宋体" w:hAnsi="宋体" w:cs="宋体" w:eastAsia="宋体" w:hint="default"/>
                      <w:sz w:val="18"/>
                      <w:szCs w:val="18"/>
                    </w:rPr>
                  </w:pPr>
                  <w:r>
                    <w:rPr>
                      <w:rFonts w:ascii="宋体" w:hAnsi="宋体" w:cs="宋体" w:eastAsia="宋体" w:hint="default"/>
                      <w:sz w:val="18"/>
                      <w:szCs w:val="18"/>
                    </w:rPr>
                    <w:t>施地点变更情况</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01"/>
              <w:jc w:val="left"/>
              <w:rPr>
                <w:rFonts w:ascii="宋体" w:hAnsi="宋体" w:cs="宋体" w:eastAsia="宋体" w:hint="default"/>
                <w:sz w:val="18"/>
                <w:szCs w:val="18"/>
              </w:rPr>
            </w:pPr>
            <w:r>
              <w:rPr>
                <w:rFonts w:ascii="宋体" w:hAnsi="宋体" w:cs="宋体" w:eastAsia="宋体" w:hint="default"/>
                <w:sz w:val="18"/>
                <w:szCs w:val="18"/>
              </w:rPr>
              <w:t>收购汉王智通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股 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31,532.41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31,532.41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18,564.06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20,774.41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46,532.41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46,532.41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22,941.95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32,902.19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9,256.7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r>
      <w:tr>
        <w:trPr>
          <w:trHeight w:val="2897"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超募项目武汉研发中心建设，公司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日发布公告后，已于当月与武汉光谷联合股份有 限公司签署合同，购买金融后台服务中心基地二期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B4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栋</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10-13</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层，用于武汉研发中心的办公，但由</w:t>
            </w:r>
            <w:r>
              <w:rPr>
                <w:rFonts w:ascii="宋体" w:hAnsi="宋体" w:cs="宋体" w:eastAsia="宋体" w:hint="default"/>
                <w:sz w:val="18"/>
                <w:szCs w:val="18"/>
              </w:rPr>
              <w:t> 于开发商方面的原因，交房时间有所推迟，经过双方多次磋商，开发商承诺最晚不迟于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月前完成研发中心住房的建设和装修，并交付我公司使用。</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月，武汉市东湖生态旅游风景 区发生重大建筑施工事故，为杜绝此类事项再次发生，相关政府部门对武汉市全市的在建工程进行 了严格检查，由此导致公司研发中心的建设部分停工，交付期再一步推迟。为最大限度的减少对整 个项目实施进度的影响，公司已经租赁武汉市东湖新技术开发区关山大道</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号光谷软件园蓝域商界</w:t>
            </w:r>
          </w:p>
          <w:p>
            <w:pPr>
              <w:pStyle w:val="TableParagraph"/>
              <w:spacing w:line="240" w:lineRule="auto" w:before="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号楼三楼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房，作为武汉研发中心的临时办公用房，项目的实施工作目前正在保证安全生产的环</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境下抓紧实施，预计于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年上半年交付使用。</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3"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、公司首次公开发行所募得超募资金为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566,973,000.00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元人民币。</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日，公司第 一届董事会第十四次会议审议通过了《关于使用超募资金建设基于 </w:t>
            </w:r>
            <w:r>
              <w:rPr>
                <w:rFonts w:ascii="Times New Roman" w:hAnsi="Times New Roman" w:cs="Times New Roman" w:eastAsia="Times New Roman" w:hint="default"/>
                <w:sz w:val="18"/>
                <w:szCs w:val="18"/>
              </w:rPr>
              <w:t>Ladybug3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的车载激光扫描系统 </w:t>
            </w:r>
            <w:r>
              <w:rPr>
                <w:rFonts w:ascii="宋体" w:hAnsi="宋体" w:cs="宋体" w:eastAsia="宋体" w:hint="default"/>
                <w:spacing w:val="-5"/>
                <w:sz w:val="18"/>
                <w:szCs w:val="18"/>
              </w:rPr>
              <w:t>研制、集成和应用项目的议案》，公司使用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4,627.72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万元超募资金建设基于</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100"/>
                <w:sz w:val="18"/>
                <w:szCs w:val="18"/>
              </w:rPr>
              <w:t>Ladybug3</w:t>
            </w:r>
            <w:r>
              <w:rPr>
                <w:rFonts w:ascii="Times New Roman" w:hAnsi="Times New Roman" w:cs="Times New Roman" w:eastAsia="Times New Roman" w:hint="default"/>
                <w:spacing w:val="2"/>
                <w:w w:val="100"/>
                <w:sz w:val="18"/>
                <w:szCs w:val="18"/>
              </w:rPr>
              <w:t> </w:t>
            </w:r>
            <w:r>
              <w:rPr>
                <w:rFonts w:ascii="宋体" w:hAnsi="宋体" w:cs="宋体" w:eastAsia="宋体" w:hint="default"/>
                <w:sz w:val="18"/>
                <w:szCs w:val="18"/>
              </w:rPr>
              <w:t>的车载激光</w:t>
            </w:r>
            <w:r>
              <w:rPr>
                <w:rFonts w:ascii="宋体" w:hAnsi="宋体" w:cs="宋体" w:eastAsia="宋体" w:hint="default"/>
                <w:spacing w:val="-87"/>
                <w:sz w:val="18"/>
                <w:szCs w:val="18"/>
              </w:rPr>
              <w:t> </w:t>
            </w:r>
            <w:r>
              <w:rPr>
                <w:rFonts w:ascii="宋体" w:hAnsi="宋体" w:cs="宋体" w:eastAsia="宋体" w:hint="default"/>
                <w:sz w:val="18"/>
                <w:szCs w:val="18"/>
              </w:rPr>
              <w:t>扫描系统研制、集成和应用项目，在未来两年内生产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台基于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Ladybug3</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的车载激光扫描系统和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台便携式激光扫描系统。截止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日，该项目已投入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1,066.45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日，公司第一届董事会第二十一次会议审议通过《关于利用部分超募资金投资设立武汉研发中心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，公司拟使用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9  </w:t>
            </w:r>
            <w:r>
              <w:rPr>
                <w:rFonts w:ascii="宋体" w:hAnsi="宋体" w:cs="宋体" w:eastAsia="宋体" w:hint="default"/>
                <w:sz w:val="18"/>
                <w:szCs w:val="18"/>
              </w:rPr>
              <w:t>万元超募资金在湖北省武汉市东湖高新区光谷金融港内投资设立武</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汉研发中心。截止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日，该项目已投入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2,835.96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月审议通过了</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使用部分超募资金永久性补充流动资金的议案，使用</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万元超募资金永久补充流动资金，有利</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于缓解流动资金的需求压力，提升募集资金使用效率。截止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日，已完成超募资金</w:t>
            </w:r>
          </w:p>
          <w:p>
            <w:pPr>
              <w:pStyle w:val="TableParagraph"/>
              <w:spacing w:line="309"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补充流动资金。</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日，公司第二届董事会第五次会议审议通过《关于使用部分超募 </w:t>
            </w:r>
            <w:r>
              <w:rPr>
                <w:rFonts w:ascii="宋体" w:hAnsi="宋体" w:cs="宋体" w:eastAsia="宋体" w:hint="default"/>
                <w:spacing w:val="-5"/>
                <w:sz w:val="18"/>
                <w:szCs w:val="18"/>
              </w:rPr>
              <w:t>资金设立全资子公司的议案》。为了进一步充分利用公司的技术和市场优势，提高超募资金的使用效</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率</w:t>
            </w:r>
            <w:r>
              <w:rPr>
                <w:rFonts w:ascii="Times New Roman" w:hAnsi="Times New Roman" w:cs="Times New Roman" w:eastAsia="Times New Roman" w:hint="default"/>
                <w:sz w:val="18"/>
                <w:szCs w:val="18"/>
              </w:rPr>
              <w:t>,</w:t>
            </w:r>
            <w:r>
              <w:rPr>
                <w:rFonts w:ascii="宋体" w:hAnsi="宋体" w:cs="宋体" w:eastAsia="宋体" w:hint="default"/>
                <w:sz w:val="18"/>
                <w:szCs w:val="18"/>
              </w:rPr>
              <w:t>及为了更好地开展公司各项业务和取得与之对应的业务资质，公司使用超募资金投资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设立北京数字政通信息技术有限公司</w:t>
            </w:r>
            <w:r>
              <w:rPr>
                <w:rFonts w:ascii="宋体" w:hAnsi="宋体" w:cs="宋体" w:eastAsia="宋体" w:hint="default"/>
                <w:spacing w:val="-89"/>
                <w:sz w:val="18"/>
                <w:szCs w:val="18"/>
              </w:rPr>
              <w:t>，</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公司已完成子公司的工商登记工作</w:t>
            </w:r>
            <w:r>
              <w:rPr>
                <w:rFonts w:ascii="宋体" w:hAnsi="宋体" w:cs="宋体" w:eastAsia="宋体" w:hint="default"/>
                <w:w w:val="50"/>
                <w:sz w:val="18"/>
                <w:szCs w:val="18"/>
              </w:rPr>
              <w:t>。</w:t>
            </w:r>
            <w:r>
              <w:rPr>
                <w:rFonts w:ascii="宋体" w:hAnsi="宋体" w:cs="宋体" w:eastAsia="宋体" w:hint="default"/>
                <w:sz w:val="18"/>
                <w:szCs w:val="18"/>
              </w:rPr>
            </w:r>
          </w:p>
          <w:p>
            <w:pPr>
              <w:pStyle w:val="TableParagraph"/>
              <w:spacing w:line="312" w:lineRule="auto" w:before="63"/>
              <w:ind w:left="24" w:right="23"/>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万元收购汉王科 技股份有限公司全资子公司北京汉王智通科技有限公司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的股权，此次收购是为了加强公司在智 慧城市顶层设计领域的技术实力，并在智能交通和平安城市领域内挖掘新的业务成长点，完善和增 加公司的产品线，提升专业技术服务能力。同时可以与公司现有数字化城市管理、创新社会管理等 业务有机结合，为公司已有的二百多家城市客户提供更多的产品和服务，在智慧城市的蓝海市场提 升公司的综合竞争实力，获得更大的市场价值，为股东奉献更多的回报。截止报告期末，公司已按 合同约定支付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56.759998pt;margin-top:92.400024pt;width:88.2pt;height:19.8pt;mso-position-horizontal-relative:page;mso-position-vertical-relative:page;z-index:-688888" type="#_x0000_t202" filled="false" stroked="false">
            <v:textbox inset="0,0,0,0">
              <w:txbxContent>
                <w:p>
                  <w:pPr>
                    <w:spacing w:line="198" w:lineRule="exact" w:before="0"/>
                    <w:ind w:left="26" w:right="0" w:firstLine="0"/>
                    <w:jc w:val="left"/>
                    <w:rPr>
                      <w:rFonts w:ascii="宋体" w:hAnsi="宋体" w:cs="宋体" w:eastAsia="宋体" w:hint="default"/>
                      <w:sz w:val="18"/>
                      <w:szCs w:val="18"/>
                    </w:rPr>
                  </w:pPr>
                  <w:r>
                    <w:rPr>
                      <w:rFonts w:ascii="宋体" w:hAnsi="宋体" w:cs="宋体" w:eastAsia="宋体" w:hint="default"/>
                      <w:sz w:val="18"/>
                      <w:szCs w:val="18"/>
                    </w:rPr>
                    <w:t>期投入及置换情况</w:t>
                  </w:r>
                </w:p>
              </w:txbxContent>
            </v:textbox>
            <w10:wrap type="none"/>
          </v:shape>
        </w:pict>
      </w:r>
      <w:r>
        <w:rPr/>
        <w:pict>
          <v:shape style="position:absolute;margin-left:56.759998pt;margin-top:112.56002pt;width:88.2pt;height:117.85pt;mso-position-horizontal-relative:page;mso-position-vertical-relative:page;z-index:-688864" type="#_x0000_t202" filled="false" stroked="false">
            <v:textbox inset="0,0,0,0">
              <w:txbxContent>
                <w:p>
                  <w:pPr>
                    <w:spacing w:line="198" w:lineRule="exact" w:before="0"/>
                    <w:ind w:left="26" w:right="0" w:firstLine="0"/>
                    <w:jc w:val="left"/>
                    <w:rPr>
                      <w:rFonts w:ascii="宋体" w:hAnsi="宋体" w:cs="宋体" w:eastAsia="宋体" w:hint="default"/>
                      <w:sz w:val="18"/>
                      <w:szCs w:val="18"/>
                    </w:rPr>
                  </w:pPr>
                  <w:r>
                    <w:rPr>
                      <w:rFonts w:ascii="宋体" w:hAnsi="宋体" w:cs="宋体" w:eastAsia="宋体" w:hint="default"/>
                      <w:sz w:val="18"/>
                      <w:szCs w:val="18"/>
                    </w:rPr>
                    <w:t>补充流动资金情况</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771"/>
        <w:gridCol w:w="7798"/>
      </w:tblGrid>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1"/>
              <w:jc w:val="center"/>
              <w:rPr>
                <w:rFonts w:ascii="宋体" w:hAnsi="宋体" w:cs="宋体" w:eastAsia="宋体" w:hint="default"/>
                <w:sz w:val="18"/>
                <w:szCs w:val="18"/>
              </w:rPr>
            </w:pPr>
            <w:bookmarkStart w:name="6、主要控股参股公司分析" w:id="33"/>
            <w:bookmarkEnd w:id="33"/>
            <w:r>
              <w:rPr/>
            </w:r>
            <w:r>
              <w:rPr>
                <w:rFonts w:ascii="宋体" w:hAnsi="宋体" w:cs="宋体" w:eastAsia="宋体" w:hint="default"/>
                <w:sz w:val="18"/>
                <w:szCs w:val="18"/>
              </w:rPr>
              <w:t>募集资金投资项目先</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3"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日，公司四项承诺募投项目均已达到预定可使用状态。截止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314" w:lineRule="auto" w:before="63"/>
              <w:ind w:left="24" w:right="23"/>
              <w:jc w:val="both"/>
              <w:rPr>
                <w:rFonts w:ascii="宋体" w:hAnsi="宋体" w:cs="宋体" w:eastAsia="宋体" w:hint="default"/>
                <w:sz w:val="18"/>
                <w:szCs w:val="18"/>
              </w:rPr>
            </w:pPr>
            <w:r>
              <w:rPr>
                <w:rFonts w:ascii="宋体" w:hAnsi="宋体" w:cs="宋体" w:eastAsia="宋体" w:hint="default"/>
                <w:sz w:val="18"/>
                <w:szCs w:val="18"/>
              </w:rPr>
              <w:t>日，募集资金结余（含募集资金专户利息）共计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3,176.69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万元。出现结余的主要原因是募投项目建 设过程中，公司充分结合现有的设备配置与自身的技术优势和经验，对募投项目的研发和生产环节 进行优化，使得研发测试和生产设备的固定资产投入较计划投入大幅减少，减少了项目总开支。同 时，在项目建设过程中，公司坚持谨慎、节约的原则，对市场进行充分调研，在保证项目质量的前 提下，对部分设备进行集中采购，降低设备采购成本。</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公司及时、真实、准确、完整披露募集资金使用的相关信息；募集资金存放、使用、管理及披露不 存在违规情形。</w:t>
            </w:r>
          </w:p>
        </w:tc>
      </w:tr>
    </w:tbl>
    <w:p>
      <w:pPr>
        <w:spacing w:line="240" w:lineRule="auto" w:before="9"/>
        <w:rPr>
          <w:rFonts w:ascii="Times New Roman" w:hAnsi="Times New Roman" w:cs="Times New Roman" w:eastAsia="Times New Roman" w:hint="default"/>
          <w:sz w:val="21"/>
          <w:szCs w:val="21"/>
        </w:rPr>
      </w:pPr>
    </w:p>
    <w:p>
      <w:pPr>
        <w:spacing w:line="333" w:lineRule="exact" w:before="0"/>
        <w:ind w:left="119"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、主要控股参股公司分析</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left="595" w:right="0"/>
        <w:jc w:val="left"/>
      </w:pPr>
      <w:r>
        <w:rPr/>
        <w:t>1、上海政通信息科技有限公司 </w:t>
      </w:r>
      <w:r>
        <w:rPr>
          <w:spacing w:val="-3"/>
        </w:rPr>
        <w:t>上海政通信息科技有限公司为公司全资子公司，该公司成立于2007年6月13日，注册资本</w:t>
      </w:r>
    </w:p>
    <w:p>
      <w:pPr>
        <w:pStyle w:val="BodyText"/>
        <w:spacing w:line="357" w:lineRule="auto"/>
        <w:ind w:right="110"/>
        <w:jc w:val="both"/>
      </w:pPr>
      <w:r>
        <w:rPr>
          <w:w w:val="95"/>
        </w:rPr>
        <w:t>为200万元人民币。上海政通信息科技有限公司的经营范围为计算机软件领域内的技术开发、</w:t>
      </w:r>
      <w:r>
        <w:rPr>
          <w:spacing w:val="64"/>
          <w:w w:val="95"/>
        </w:rPr>
        <w:t> </w:t>
      </w:r>
      <w:r>
        <w:rPr>
          <w:spacing w:val="64"/>
          <w:w w:val="95"/>
        </w:rPr>
      </w:r>
      <w:r>
        <w:rPr/>
        <w:t>技术咨询、技术服务、技术转让，图文设计、制作，商务信息咨询（除经纪），计算机软硬</w:t>
      </w:r>
      <w:r>
        <w:rPr/>
        <w:t> 件销售，从事货物进出口及技术的进出口业务（涉及行政许可的，凭许可经营）。</w:t>
      </w:r>
    </w:p>
    <w:p>
      <w:pPr>
        <w:pStyle w:val="BodyText"/>
        <w:spacing w:line="357" w:lineRule="auto"/>
        <w:ind w:right="0" w:firstLine="482"/>
        <w:jc w:val="left"/>
      </w:pPr>
      <w:r>
        <w:rPr/>
        <w:t>经中瑞岳华会计师事务所审计，截至2012年12月31日，该公司总资产2,126,707.91元， 净资产2,030,707.91元，实现营业收入0.00元，实现净利润7,553.90元。</w:t>
      </w:r>
    </w:p>
    <w:p>
      <w:pPr>
        <w:pStyle w:val="BodyText"/>
        <w:spacing w:line="357" w:lineRule="auto"/>
        <w:ind w:left="595" w:right="0"/>
        <w:jc w:val="left"/>
      </w:pPr>
      <w:r>
        <w:rPr/>
        <w:t>2、武汉智慧政通科技有限公司 </w:t>
      </w:r>
      <w:r>
        <w:rPr>
          <w:spacing w:val="-3"/>
        </w:rPr>
        <w:t>武汉智慧政通科技有限公司为公司全资子公司，该公司成立于2012年8月23日，注册资本</w:t>
      </w:r>
    </w:p>
    <w:p>
      <w:pPr>
        <w:pStyle w:val="BodyText"/>
        <w:spacing w:line="357" w:lineRule="auto"/>
        <w:ind w:right="110"/>
        <w:jc w:val="both"/>
      </w:pPr>
      <w:r>
        <w:rPr>
          <w:spacing w:val="-2"/>
        </w:rPr>
        <w:t>为1,000万元人民币。武汉智慧政通科技有限公司的经营范围为计算机软件研发、转让、技术</w:t>
      </w:r>
      <w:r>
        <w:rPr>
          <w:spacing w:val="-116"/>
        </w:rPr>
        <w:t> </w:t>
      </w:r>
      <w:r>
        <w:rPr>
          <w:spacing w:val="-116"/>
        </w:rPr>
      </w:r>
      <w:r>
        <w:rPr/>
        <w:t>咨询服务；图文设计、制作；商务信息咨询；货物及技术进出口（不含国家禁止或限制进出 口的货物及技术）；计算机软件硬件销售。</w:t>
      </w:r>
    </w:p>
    <w:p>
      <w:pPr>
        <w:pStyle w:val="BodyText"/>
        <w:spacing w:line="357" w:lineRule="auto"/>
        <w:ind w:right="0" w:firstLine="482"/>
        <w:jc w:val="left"/>
      </w:pPr>
      <w:r>
        <w:rPr>
          <w:w w:val="95"/>
        </w:rPr>
        <w:t>经中瑞岳华会计师事务所审计，截至2012年12月31日，该公司总资产10,002,102.62元，</w:t>
      </w:r>
      <w:r>
        <w:rPr>
          <w:w w:val="65"/>
        </w:rPr>
        <w:t> </w:t>
      </w:r>
      <w:r>
        <w:rPr/>
        <w:t>净资产10,002,102.62元，实现营业收入0元，实现净利润2,102.62元。</w:t>
      </w:r>
    </w:p>
    <w:p>
      <w:pPr>
        <w:pStyle w:val="BodyText"/>
        <w:spacing w:line="357" w:lineRule="auto"/>
        <w:ind w:left="595" w:right="97"/>
        <w:jc w:val="left"/>
      </w:pPr>
      <w:r>
        <w:rPr/>
        <w:t>3、北京数字政通信息技术有限公司 北京数字政通信息技术有限公司为公司全资子公司，该公司成立于</w:t>
      </w:r>
      <w:r>
        <w:rPr>
          <w:spacing w:val="-86"/>
        </w:rPr>
        <w:t> </w:t>
      </w:r>
      <w:r>
        <w:rPr/>
        <w:t>2012年11月19日，注</w:t>
      </w:r>
    </w:p>
    <w:p>
      <w:pPr>
        <w:pStyle w:val="BodyText"/>
        <w:spacing w:line="240" w:lineRule="auto"/>
        <w:ind w:right="0"/>
        <w:jc w:val="both"/>
      </w:pPr>
      <w:r>
        <w:rPr>
          <w:w w:val="95"/>
        </w:rPr>
        <w:t>册资本为2,000万元人民币。北京数字政通信息技术有限公司的经营范围为计算机软件研发、</w:t>
      </w:r>
      <w:r>
        <w:rPr/>
      </w:r>
    </w:p>
    <w:p>
      <w:pPr>
        <w:spacing w:after="0" w:line="240"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10"/>
        <w:jc w:val="both"/>
      </w:pPr>
      <w:bookmarkStart w:name="三、公司未来发展的展望" w:id="34"/>
      <w:bookmarkEnd w:id="34"/>
      <w:r>
        <w:rPr/>
      </w:r>
      <w:r>
        <w:rPr>
          <w:spacing w:val="-5"/>
        </w:rPr>
        <w:t>技术转让、技术咨询、技术服务；计算机系统集成；电脑图文设计、制作；经济信息咨询（需</w:t>
      </w:r>
      <w:r>
        <w:rPr>
          <w:spacing w:val="-117"/>
        </w:rPr>
        <w:t> </w:t>
      </w:r>
      <w:r>
        <w:rPr>
          <w:spacing w:val="-117"/>
        </w:rPr>
      </w:r>
      <w:r>
        <w:rPr/>
        <w:t>行政许可项目除外）；投资及投资管理；货物进出口、技术进出口、代理进出口。</w:t>
      </w:r>
    </w:p>
    <w:p>
      <w:pPr>
        <w:pStyle w:val="BodyText"/>
        <w:spacing w:line="357" w:lineRule="auto"/>
        <w:ind w:right="112" w:firstLine="482"/>
        <w:jc w:val="both"/>
      </w:pPr>
      <w:r>
        <w:rPr>
          <w:w w:val="95"/>
        </w:rPr>
        <w:t>经中瑞岳华会计师事务所审计，截至2012年12月31日，该公司总资产20,007,000.00元，</w:t>
      </w:r>
      <w:r>
        <w:rPr>
          <w:w w:val="65"/>
        </w:rPr>
        <w:t> </w:t>
      </w:r>
      <w:r>
        <w:rPr/>
        <w:t>净资产20,007,000.00元，实现营业收入0元，实现净利润7,000元。</w:t>
      </w:r>
    </w:p>
    <w:p>
      <w:pPr>
        <w:pStyle w:val="BodyText"/>
        <w:spacing w:line="357" w:lineRule="auto"/>
        <w:ind w:left="595" w:right="0"/>
        <w:jc w:val="left"/>
      </w:pPr>
      <w:r>
        <w:rPr/>
        <w:t>4、北京汉王智通科技有限公司 </w:t>
      </w:r>
      <w:r>
        <w:rPr>
          <w:spacing w:val="3"/>
        </w:rPr>
        <w:t>北京汉王智通科技有限公司为公司控股公司，公司持有其70%股权，该公司成立于2010</w:t>
      </w:r>
    </w:p>
    <w:p>
      <w:pPr>
        <w:pStyle w:val="BodyText"/>
        <w:spacing w:line="357" w:lineRule="auto"/>
        <w:ind w:right="110"/>
        <w:jc w:val="both"/>
      </w:pPr>
      <w:r>
        <w:rPr>
          <w:spacing w:val="-2"/>
          <w:w w:val="95"/>
        </w:rPr>
        <w:t>年11月4日，注册资本为4,000万元人民币。主营业务为高速公路领域的收费系统、称重系统、</w:t>
      </w:r>
      <w:r>
        <w:rPr>
          <w:spacing w:val="38"/>
          <w:w w:val="95"/>
        </w:rPr>
        <w:t> </w:t>
      </w:r>
      <w:r>
        <w:rPr>
          <w:spacing w:val="38"/>
          <w:w w:val="95"/>
        </w:rPr>
      </w:r>
      <w:r>
        <w:rPr/>
        <w:t>超速布控系统及安防领域的城市卡口监控系统、电子警察系统、停车场车辆管理系统。</w:t>
      </w:r>
    </w:p>
    <w:p>
      <w:pPr>
        <w:pStyle w:val="BodyText"/>
        <w:spacing w:line="357" w:lineRule="auto"/>
        <w:ind w:right="110" w:firstLine="482"/>
        <w:jc w:val="both"/>
      </w:pPr>
      <w:r>
        <w:rPr>
          <w:w w:val="95"/>
        </w:rPr>
        <w:t>经中瑞岳华会计师事务所审计，截至2012年12月31日，该公司总资产81,302,122.04元，</w:t>
      </w:r>
      <w:r>
        <w:rPr>
          <w:w w:val="65"/>
        </w:rPr>
        <w:t> </w:t>
      </w:r>
      <w:r>
        <w:rPr>
          <w:spacing w:val="-2"/>
        </w:rPr>
        <w:t>净资产16,847,062.60元。因公司于2012年12月底才完成收购事项，故报告期内，北京汉王智</w:t>
      </w:r>
      <w:r>
        <w:rPr>
          <w:spacing w:val="-101"/>
        </w:rPr>
        <w:t> </w:t>
      </w:r>
      <w:r>
        <w:rPr>
          <w:spacing w:val="-101"/>
        </w:rPr>
      </w:r>
      <w:r>
        <w:rPr/>
        <w:t>通科技有限公司的损益情况不合并至公司报表中。</w:t>
      </w:r>
    </w:p>
    <w:p>
      <w:pPr>
        <w:spacing w:line="240" w:lineRule="auto" w:before="0"/>
        <w:rPr>
          <w:rFonts w:ascii="宋体" w:hAnsi="宋体" w:cs="宋体" w:eastAsia="宋体" w:hint="default"/>
          <w:sz w:val="24"/>
          <w:szCs w:val="24"/>
        </w:rPr>
      </w:pPr>
    </w:p>
    <w:p>
      <w:pPr>
        <w:pStyle w:val="Heading2"/>
        <w:spacing w:line="240" w:lineRule="auto" w:before="181"/>
        <w:ind w:right="0"/>
        <w:jc w:val="both"/>
        <w:rPr>
          <w:b w:val="0"/>
          <w:bCs w:val="0"/>
        </w:rPr>
      </w:pPr>
      <w:r>
        <w:rPr/>
        <w:t>三、公司未来发展的展望</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before="0"/>
        <w:ind w:left="595" w:right="131"/>
        <w:jc w:val="left"/>
      </w:pPr>
      <w:r>
        <w:rPr/>
        <w:t>（一）行业格局和趋势 公司所处软件与信息技术服务业，具体涉及的数字化社会管理和创新社会管理领域市场</w:t>
      </w:r>
    </w:p>
    <w:p>
      <w:pPr>
        <w:pStyle w:val="BodyText"/>
        <w:spacing w:line="357" w:lineRule="auto"/>
        <w:ind w:right="112"/>
        <w:jc w:val="both"/>
      </w:pPr>
      <w:r>
        <w:rPr/>
        <w:t>发展迅速，伴随国家“十二五”投资的陆续到位和中国城镇化进程的走向深入，各地政府在</w:t>
      </w:r>
      <w:r>
        <w:rPr>
          <w:spacing w:val="-108"/>
        </w:rPr>
        <w:t> </w:t>
      </w:r>
      <w:r>
        <w:rPr>
          <w:spacing w:val="-108"/>
        </w:rPr>
      </w:r>
      <w:r>
        <w:rPr/>
        <w:t>数字城市建设方面的步伐逐渐加快，投资力度不断加大。同时，随着</w:t>
      </w:r>
      <w:r>
        <w:rPr>
          <w:spacing w:val="-87"/>
        </w:rPr>
        <w:t> </w:t>
      </w:r>
      <w:r>
        <w:rPr/>
        <w:t>“智慧城市”概念的深</w:t>
      </w:r>
      <w:r>
        <w:rPr/>
        <w:t> 入，许多城市规划也由以前的“无线城市”、“数字城市”“智能城市”、逐渐升级到“智</w:t>
      </w:r>
      <w:r>
        <w:rPr>
          <w:spacing w:val="-86"/>
        </w:rPr>
        <w:t> </w:t>
      </w:r>
      <w:r>
        <w:rPr>
          <w:spacing w:val="-86"/>
        </w:rPr>
      </w:r>
      <w:r>
        <w:rPr/>
        <w:t>慧城市”。《国家智慧城市试点暂行管理办法》中明确了数字城市管理要建成基于国家相关</w:t>
      </w:r>
      <w:r>
        <w:rPr>
          <w:spacing w:val="-116"/>
        </w:rPr>
        <w:t> </w:t>
      </w:r>
      <w:r>
        <w:rPr>
          <w:spacing w:val="-116"/>
        </w:rPr>
      </w:r>
      <w:r>
        <w:rPr/>
        <w:t>标准的数字化城市管理系统，完善考核和激励机制，实现区域网格化管理。</w:t>
      </w:r>
      <w:r>
        <w:rPr>
          <w:spacing w:val="-86"/>
        </w:rPr>
        <w:t> </w:t>
      </w:r>
      <w:r>
        <w:rPr/>
        <w:t>2013年初国家住</w:t>
      </w:r>
      <w:r>
        <w:rPr/>
        <w:t> 建部启动国家智慧城市试点工作，全国各地纷纷启动智慧城市规划，据工信部预测，</w:t>
      </w:r>
      <w:r>
        <w:rPr>
          <w:spacing w:val="-82"/>
        </w:rPr>
        <w:t> </w:t>
      </w:r>
      <w:r>
        <w:rPr/>
        <w:t>“十二</w:t>
      </w:r>
      <w:r>
        <w:rPr/>
        <w:t> 五”期间投资总规模有望达5000亿。</w:t>
      </w:r>
    </w:p>
    <w:p>
      <w:pPr>
        <w:pStyle w:val="BodyText"/>
        <w:spacing w:line="357" w:lineRule="auto"/>
        <w:ind w:right="112" w:firstLine="482"/>
        <w:jc w:val="both"/>
      </w:pPr>
      <w:r>
        <w:rPr/>
        <w:t>移动测量技术是当前最前沿的测绘科技之一，它作为高精度、高效率及海量实景三维数 </w:t>
      </w:r>
      <w:r>
        <w:rPr>
          <w:spacing w:val="-2"/>
        </w:rPr>
        <w:t>据的采集手段，已在我国100多个数字城市信息化项目中成功应用，它既代表着未来测绘与地</w:t>
      </w:r>
      <w:r>
        <w:rPr/>
        <w:t> 理信息技术的一个重要发展方向，也是数字城市、智慧城市建设不可或缺的一项支撑技术。 在“智慧中国”的国家战略背景下，移动测量技术发展受到了政府、产业等各层面的高度关</w:t>
      </w:r>
      <w:r>
        <w:rPr>
          <w:spacing w:val="-115"/>
        </w:rPr>
        <w:t> </w:t>
      </w:r>
      <w:r>
        <w:rPr>
          <w:spacing w:val="-115"/>
        </w:rPr>
      </w:r>
      <w:r>
        <w:rPr/>
        <w:t>注。基于移动测量技术采集的可量测实景影像，是数字城管、数字公安、交通、应急、旅游 等，以及互联网、物联网、智慧城市建设的基础，移动测量技术为“物联网”与“互联网”</w:t>
      </w:r>
      <w:r>
        <w:rPr>
          <w:spacing w:val="-85"/>
        </w:rPr>
        <w:t> </w:t>
      </w:r>
      <w:r>
        <w:rPr>
          <w:spacing w:val="-85"/>
        </w:rPr>
      </w:r>
      <w:r>
        <w:rPr/>
        <w:t>的创新融合，实现可视化的管理与应用，奠定了坚实的基础。公司数据采集业务的发展在未</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left="595" w:right="251" w:hanging="483"/>
        <w:jc w:val="left"/>
      </w:pPr>
      <w:r>
        <w:rPr/>
        <w:t>来有望实现高速发展。 报告期内，公司收购的汉王智通使公司步入了智能交通领域，智能交通是智慧城市的重</w:t>
      </w:r>
    </w:p>
    <w:p>
      <w:pPr>
        <w:pStyle w:val="BodyText"/>
        <w:spacing w:line="357" w:lineRule="auto"/>
        <w:ind w:right="232"/>
        <w:jc w:val="both"/>
      </w:pPr>
      <w:r>
        <w:rPr/>
        <w:t>要组成部分，各地对智能交通的投资力度逐步加大，国家各部委陆续推出相关</w:t>
      </w:r>
      <w:r>
        <w:rPr>
          <w:spacing w:val="-84"/>
        </w:rPr>
        <w:t> </w:t>
      </w:r>
      <w:r>
        <w:rPr/>
        <w:t>“十二五”规</w:t>
      </w:r>
      <w:r>
        <w:rPr/>
        <w:t> 划，智能交通受到国家政策的大力扶持。从我国“十二五”规划新增的高速公路里程数也可</w:t>
      </w:r>
      <w:r>
        <w:rPr>
          <w:spacing w:val="-95"/>
        </w:rPr>
        <w:t> </w:t>
      </w:r>
      <w:r>
        <w:rPr>
          <w:spacing w:val="-95"/>
        </w:rPr>
      </w:r>
      <w:r>
        <w:rPr/>
        <w:t>以判断交通安防市场的广阔发展空间。汉王智通的拳头产品“汉王眼”在智能交通系统中得</w:t>
      </w:r>
      <w:r>
        <w:rPr>
          <w:spacing w:val="-90"/>
        </w:rPr>
        <w:t> </w:t>
      </w:r>
      <w:r>
        <w:rPr>
          <w:spacing w:val="-90"/>
        </w:rPr>
      </w:r>
      <w:r>
        <w:rPr>
          <w:spacing w:val="-2"/>
          <w:w w:val="95"/>
        </w:rPr>
        <w:t>到广泛应用，公司强大的识别技术是保障智能交通系统成功的必然之选。预计“十二五”末，</w:t>
      </w:r>
      <w:r>
        <w:rPr>
          <w:spacing w:val="30"/>
          <w:w w:val="95"/>
        </w:rPr>
        <w:t> </w:t>
      </w:r>
      <w:r>
        <w:rPr>
          <w:spacing w:val="30"/>
          <w:w w:val="95"/>
        </w:rPr>
      </w:r>
      <w:r>
        <w:rPr/>
        <w:t>国家高速公路总里程将超过15万公里。国家为拉动内需，加大投资力度，尤其加大高速公路</w:t>
      </w:r>
      <w:r>
        <w:rPr>
          <w:spacing w:val="-108"/>
        </w:rPr>
        <w:t> </w:t>
      </w:r>
      <w:r>
        <w:rPr>
          <w:spacing w:val="-108"/>
        </w:rPr>
      </w:r>
      <w:r>
        <w:rPr/>
        <w:t>建设投资规模，相关投资在未来5-10年内将呈递增趋势。国内城市智能交通行业整体处于幼</w:t>
      </w:r>
      <w:r>
        <w:rPr>
          <w:spacing w:val="-105"/>
        </w:rPr>
        <w:t> </w:t>
      </w:r>
      <w:r>
        <w:rPr>
          <w:spacing w:val="-105"/>
        </w:rPr>
      </w:r>
      <w:r>
        <w:rPr/>
        <w:t>稚期向成长期的过渡阶段，未来5年内将保持30%左右的高增速。行业增速快空间大，市场集</w:t>
      </w:r>
      <w:r>
        <w:rPr>
          <w:spacing w:val="-101"/>
        </w:rPr>
        <w:t> </w:t>
      </w:r>
      <w:r>
        <w:rPr>
          <w:spacing w:val="-101"/>
        </w:rPr>
      </w:r>
      <w:r>
        <w:rPr/>
        <w:t>中度有提高的趋势，行业内公司有望借助资金、技术、渠道和品牌优势进一步做大做强，通 过全国性扩展和行业并购提高市场占有率，公司未来高速增长前景可期。</w:t>
      </w:r>
    </w:p>
    <w:p>
      <w:pPr>
        <w:pStyle w:val="BodyText"/>
        <w:spacing w:line="357" w:lineRule="auto"/>
        <w:ind w:left="595" w:right="251"/>
        <w:jc w:val="left"/>
      </w:pPr>
      <w:r>
        <w:rPr/>
        <w:t>（二）公司发展战略 公司将继续加大研发力度，增强创新能力，做好各项募集资金投资项目的实施，除继续</w:t>
      </w:r>
    </w:p>
    <w:p>
      <w:pPr>
        <w:pStyle w:val="BodyText"/>
        <w:spacing w:line="357" w:lineRule="auto"/>
        <w:ind w:right="271"/>
        <w:jc w:val="both"/>
      </w:pPr>
      <w:r>
        <w:rPr/>
        <w:t>保持业务的市场份额以外，充分利用公司现有的客户资源，进一步加强市场拓展力度，提高 市场占有率，全力发展成为智慧城市管理领域内综合性的应用与信息服务提供商，提升公司 持续盈利能力。同时，继续采取内涵提升与外延扩展良性互动的发展策略，通过并购等手段 加快外延式发展，做大做强公司现有业务，不断提升公司核心竞争力。</w:t>
      </w:r>
    </w:p>
    <w:p>
      <w:pPr>
        <w:pStyle w:val="BodyText"/>
        <w:spacing w:line="357" w:lineRule="auto"/>
        <w:ind w:left="595" w:right="251"/>
        <w:jc w:val="left"/>
      </w:pPr>
      <w:r>
        <w:rPr/>
        <w:t>（三）经营计划 </w:t>
      </w:r>
      <w:r>
        <w:rPr>
          <w:spacing w:val="-3"/>
          <w:w w:val="95"/>
        </w:rPr>
        <w:t>公司将大力推进与智慧城市管理相关的业务发展，为客户提供完整的行业应用解决方案、</w:t>
      </w:r>
      <w:r>
        <w:rPr>
          <w:spacing w:val="-3"/>
        </w:rPr>
      </w:r>
    </w:p>
    <w:p>
      <w:pPr>
        <w:pStyle w:val="BodyText"/>
        <w:spacing w:line="357" w:lineRule="auto"/>
        <w:ind w:right="271"/>
        <w:jc w:val="both"/>
      </w:pPr>
      <w:r>
        <w:rPr/>
        <w:t>项目建设方案及技术支持，提供本地定制和服务的团队，配合政府保稳定、保民生、保增长 的目标，推进智慧政务、智慧民生、智慧产业的服务。加强项目横向拓展能力，打造政务信 息云概念，推广部件实时更新模式，使政府部门做到协同运作，业务流程理解深刻，把握城 市信息化整体需求，直接面向受众群众。最终达到提升政府执政形象、提高企业办公效率、 改善人民生活质量目的。</w:t>
      </w:r>
    </w:p>
    <w:p>
      <w:pPr>
        <w:pStyle w:val="BodyText"/>
        <w:spacing w:line="357" w:lineRule="auto"/>
        <w:ind w:right="96" w:firstLine="482"/>
        <w:jc w:val="left"/>
      </w:pPr>
      <w:r>
        <w:rPr/>
        <w:t>公司将进一步优化资源配置，通过加强运营管理和业务整合，将数字政通的数字城管加 社会管理的软件服务和基础数据加信息采集的数据业务，与汉王智通的智能交通加平安城市 的软件服务和智能识别高清摄像机的硬件设施相结合，通过城市部件数据、社会管理数据、 公安数据和交通数据等基础数据，结合移动设备人工采集和物联网自动采集达成信息获取， </w:t>
      </w:r>
      <w:r>
        <w:rPr>
          <w:spacing w:val="-2"/>
        </w:rPr>
        <w:t>打造智慧城市管理核心平台，最终实现一加一大于二的整合目标，提高公司的整体经营业绩。</w:t>
      </w:r>
    </w:p>
    <w:p>
      <w:pPr>
        <w:spacing w:after="0" w:line="357" w:lineRule="auto"/>
        <w:jc w:val="left"/>
        <w:sectPr>
          <w:pgSz w:w="11910" w:h="16840"/>
          <w:pgMar w:header="745" w:footer="979" w:top="1060" w:bottom="1160" w:left="1020" w:right="900"/>
        </w:sectPr>
      </w:pPr>
    </w:p>
    <w:p>
      <w:pPr>
        <w:spacing w:line="240" w:lineRule="auto" w:before="6"/>
        <w:rPr>
          <w:rFonts w:ascii="宋体" w:hAnsi="宋体" w:cs="宋体" w:eastAsia="宋体" w:hint="default"/>
          <w:sz w:val="29"/>
          <w:szCs w:val="29"/>
        </w:rPr>
      </w:pPr>
    </w:p>
    <w:p>
      <w:pPr>
        <w:pStyle w:val="BodyText"/>
        <w:spacing w:line="357" w:lineRule="auto" w:before="26"/>
        <w:ind w:right="148" w:firstLine="482"/>
        <w:jc w:val="both"/>
      </w:pPr>
      <w:r>
        <w:rPr/>
        <w:t>公司将进一步建立、健全和完善管理制度，优化系统业务流程，加大信息化管理水平， 提高公司的管理系统。完善销售、工程一体的大区管理模式和网格化研发任务管理系统。继 续推动产品研发，实现科技创新推动企业发展。注重核心人才的管理，构建公司文化理念， 通过不同方式激励员工积极性，为公司发展贡献力量。</w:t>
      </w:r>
    </w:p>
    <w:p>
      <w:pPr>
        <w:pStyle w:val="BodyText"/>
        <w:spacing w:line="357" w:lineRule="auto"/>
        <w:ind w:left="595" w:right="6851"/>
        <w:jc w:val="left"/>
      </w:pPr>
      <w:r>
        <w:rPr/>
        <w:t>（四）可能面临的风险 1、依赖政府采购风险</w:t>
      </w:r>
    </w:p>
    <w:p>
      <w:pPr>
        <w:pStyle w:val="BodyText"/>
        <w:spacing w:line="357" w:lineRule="auto"/>
        <w:ind w:right="103" w:firstLine="482"/>
        <w:jc w:val="both"/>
      </w:pPr>
      <w:r>
        <w:rPr>
          <w:spacing w:val="-3"/>
          <w:w w:val="95"/>
        </w:rPr>
        <w:t>公司产品主要是各级政府（部、省、市、区、县政府）的数字化城市管理平台以及国土、</w:t>
      </w:r>
      <w:r>
        <w:rPr>
          <w:w w:val="50"/>
        </w:rPr>
        <w:t> </w:t>
      </w:r>
      <w:r>
        <w:rPr>
          <w:spacing w:val="-2"/>
          <w:w w:val="95"/>
        </w:rPr>
        <w:t>规划等政府主管部门的专用管理信息系统。客户定位于各级政府（部、省、市、区、县政府）</w:t>
      </w:r>
      <w:r>
        <w:rPr>
          <w:spacing w:val="30"/>
          <w:w w:val="95"/>
        </w:rPr>
        <w:t> </w:t>
      </w:r>
      <w:r>
        <w:rPr>
          <w:spacing w:val="30"/>
          <w:w w:val="95"/>
        </w:rPr>
      </w:r>
      <w:r>
        <w:rPr>
          <w:spacing w:val="-2"/>
          <w:w w:val="95"/>
        </w:rPr>
        <w:t>部门，虽然街道、乡镇、城市各个专业部门（如执法、污水、供水、园林、海塘、公路等）、</w:t>
      </w:r>
      <w:r>
        <w:rPr>
          <w:spacing w:val="32"/>
          <w:w w:val="95"/>
        </w:rPr>
        <w:t> </w:t>
      </w:r>
      <w:r>
        <w:rPr>
          <w:spacing w:val="32"/>
          <w:w w:val="95"/>
        </w:rPr>
      </w:r>
      <w:r>
        <w:rPr/>
        <w:t>大型企业也是公司的目标用户群，但目前公司销售收入主要来源于政府采购，项目均通过各</w:t>
      </w:r>
      <w:r>
        <w:rPr/>
        <w:t> 级政府招投标过程获得。面对尚不明朗的宏观经济形势，地方政府和行业主管部门可能存在 财政紧缩、推迟或减少对电子政务系统的投入，未来将会对公司的经营产生一定影响。</w:t>
      </w:r>
    </w:p>
    <w:p>
      <w:pPr>
        <w:pStyle w:val="BodyText"/>
        <w:spacing w:line="357" w:lineRule="auto"/>
        <w:ind w:left="595" w:right="131"/>
        <w:jc w:val="left"/>
      </w:pPr>
      <w:r>
        <w:rPr/>
        <w:t>2、市场竞争加剧的风险 公司在数字城市管理领域有着较强的市场竞争力。但随着智慧城市领域的高速发展，从</w:t>
      </w:r>
    </w:p>
    <w:p>
      <w:pPr>
        <w:pStyle w:val="BodyText"/>
        <w:spacing w:line="357" w:lineRule="auto"/>
        <w:ind w:right="151"/>
        <w:jc w:val="both"/>
      </w:pPr>
      <w:r>
        <w:rPr/>
        <w:t>数字政通所属细分市场来看，行业的市场竞争呈逐步加剧的态势，传统竞争对手通过融资手 段，实力、技术逐步增强，如果公司在高速市场扩张情况下，不能持续保持技术领先优势以 及良好的服务能力，将有可能面临市场份额下滑，技术、服务能力被竞争对手超越的风险， 公司未来将面临更加激烈的市场竞争。同时可能会导致毛利率下降的风险。</w:t>
      </w:r>
    </w:p>
    <w:p>
      <w:pPr>
        <w:pStyle w:val="BodyText"/>
        <w:spacing w:line="357" w:lineRule="auto"/>
        <w:ind w:left="595" w:right="131"/>
        <w:jc w:val="left"/>
      </w:pPr>
      <w:r>
        <w:rPr/>
        <w:t>3、核心技术人员流失风险 软件行业属于智力密集型行业，核心技术人员对公司的产品创新、持续发展起着关键的</w:t>
      </w:r>
    </w:p>
    <w:p>
      <w:pPr>
        <w:pStyle w:val="BodyText"/>
        <w:spacing w:line="357" w:lineRule="auto"/>
        <w:ind w:right="112"/>
        <w:jc w:val="both"/>
      </w:pPr>
      <w:r>
        <w:rPr/>
        <w:t>作用，核心技术人员的稳定对公司的发展具有重要影响。经过多年发展，公司现已拥有一支 高素质的技术人员队伍，为了吸引和稳定现有核心技术团队，公司实施了股权激励计划，并 </w:t>
      </w:r>
      <w:r>
        <w:rPr>
          <w:spacing w:val="-2"/>
          <w:w w:val="95"/>
        </w:rPr>
        <w:t>投资4,464.69万元超募资金在武汉市设立了研发中心，着眼未来发展储备了大量的技术人才，</w:t>
      </w:r>
      <w:r>
        <w:rPr>
          <w:spacing w:val="38"/>
          <w:w w:val="95"/>
        </w:rPr>
        <w:t> </w:t>
      </w:r>
      <w:r>
        <w:rPr>
          <w:spacing w:val="38"/>
          <w:w w:val="95"/>
        </w:rPr>
      </w:r>
      <w:r>
        <w:rPr/>
        <w:t>上述措施为公司的长远发展奠定了良好的技术人才基础。虽然公司已建立完善的知识管理体</w:t>
      </w:r>
      <w:r>
        <w:rPr/>
        <w:t> 系，采取了一系列吸引和稳定核心技术人员的措施，包括实施股权激励计划，提高核心技术 人员福利待遇、增加培训机会、创造良好的工作和文化氛围等，但这些措施并不能保证核心 技术人员不流失。未来，如果公司不能保持一只稳定的核心技术团队，将不利于公司各项经 营目标的实现，对公司未来发展将产生不利影响。</w:t>
      </w:r>
    </w:p>
    <w:p>
      <w:pPr>
        <w:pStyle w:val="BodyText"/>
        <w:spacing w:line="240" w:lineRule="auto"/>
        <w:ind w:left="595" w:right="0"/>
        <w:jc w:val="left"/>
      </w:pPr>
      <w:r>
        <w:rPr/>
        <w:t>4、募集资金投资项目风险</w:t>
      </w:r>
    </w:p>
    <w:p>
      <w:pPr>
        <w:spacing w:after="0" w:line="240"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12" w:firstLine="482"/>
        <w:jc w:val="both"/>
      </w:pPr>
      <w:bookmarkStart w:name="四、公司利润分配及分红派息情况" w:id="35"/>
      <w:bookmarkEnd w:id="35"/>
      <w:r>
        <w:rPr/>
      </w:r>
      <w:r>
        <w:rPr/>
        <w:t>报告期内公司使用超募资金10440万元收购北京汉王智通科技有限公司90%股权，从宏观 层面分析，智能交通系统中公路、铁路相关系统建设的资金来源主要为各地的财政出资，如 </w:t>
      </w:r>
      <w:r>
        <w:rPr>
          <w:spacing w:val="-2"/>
          <w:w w:val="95"/>
        </w:rPr>
        <w:t>果国家整体经济环境发生改变，很有可能导致地方财政吃紧，政府对这部分领域的投资减少，</w:t>
      </w:r>
      <w:r>
        <w:rPr>
          <w:spacing w:val="30"/>
          <w:w w:val="95"/>
        </w:rPr>
        <w:t> </w:t>
      </w:r>
      <w:r>
        <w:rPr>
          <w:spacing w:val="30"/>
          <w:w w:val="95"/>
        </w:rPr>
      </w:r>
      <w:r>
        <w:rPr/>
        <w:t>从而影响汉王智通公司的市场前景。同时，本项目实施过程中，可能面临汉王智通被收购后</w:t>
      </w:r>
      <w:r>
        <w:rPr/>
        <w:t> 对数字政通的发展思路、公司管理、公司文化的认同风险，以及由此引发的人才流失风险。</w:t>
      </w:r>
    </w:p>
    <w:p>
      <w:pPr>
        <w:spacing w:line="240" w:lineRule="auto" w:before="0"/>
        <w:rPr>
          <w:rFonts w:ascii="宋体" w:hAnsi="宋体" w:cs="宋体" w:eastAsia="宋体" w:hint="default"/>
          <w:sz w:val="24"/>
          <w:szCs w:val="24"/>
        </w:rPr>
      </w:pPr>
    </w:p>
    <w:p>
      <w:pPr>
        <w:pStyle w:val="Heading2"/>
        <w:spacing w:line="240" w:lineRule="auto" w:before="181"/>
        <w:ind w:right="0"/>
        <w:jc w:val="left"/>
        <w:rPr>
          <w:b w:val="0"/>
          <w:bCs w:val="0"/>
        </w:rPr>
      </w:pPr>
      <w:r>
        <w:rPr/>
        <w:t>四、公司利润分配及分红派息情况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pStyle w:val="BodyText"/>
        <w:spacing w:line="357" w:lineRule="auto" w:before="145"/>
        <w:ind w:right="110" w:firstLine="482"/>
        <w:jc w:val="both"/>
      </w:pPr>
      <w:r>
        <w:rPr/>
        <w:t>公司董事会根据《中华人民共和国公司法》、中国证券监督管理委员会《关于进一步落 实上市公司现金分红有关事项的通知》（证监发[2012]37</w:t>
      </w:r>
      <w:r>
        <w:rPr>
          <w:spacing w:val="-34"/>
        </w:rPr>
        <w:t> </w:t>
      </w:r>
      <w:r>
        <w:rPr>
          <w:spacing w:val="-3"/>
        </w:rPr>
        <w:t>号）以及北京市证监局《关于进一</w:t>
      </w:r>
      <w:r>
        <w:rPr/>
        <w:t> 步完善上市公司现金分红有关事项的通知》等相关法律、法规、规范性文件的规定，于</w:t>
      </w:r>
      <w:r>
        <w:rPr>
          <w:spacing w:val="-82"/>
        </w:rPr>
        <w:t> </w:t>
      </w:r>
      <w:r>
        <w:rPr/>
        <w:t>2012</w:t>
      </w:r>
      <w:r>
        <w:rPr/>
        <w:t> </w:t>
      </w:r>
      <w:r>
        <w:rPr>
          <w:spacing w:val="-2"/>
        </w:rPr>
        <w:t>年8月24日召开第二届董事会第三次会议，对《公司章程》中的关于利润分配政策的条款进行</w:t>
      </w:r>
      <w:r>
        <w:rPr>
          <w:spacing w:val="-118"/>
        </w:rPr>
        <w:t> </w:t>
      </w:r>
      <w:r>
        <w:rPr>
          <w:spacing w:val="-118"/>
        </w:rPr>
      </w:r>
      <w:r>
        <w:rPr/>
        <w:t>修改，并与2013年2月26日召开的2013年第一次临时股东大会审议通过，具体修正如下：</w:t>
      </w:r>
    </w:p>
    <w:p>
      <w:pPr>
        <w:pStyle w:val="BodyText"/>
        <w:spacing w:line="240" w:lineRule="auto"/>
        <w:ind w:left="595" w:right="0"/>
        <w:jc w:val="left"/>
      </w:pPr>
      <w:r>
        <w:rPr/>
        <w:t>第一百五十八条 公司利润分配政策的基本原则：</w:t>
      </w:r>
    </w:p>
    <w:p>
      <w:pPr>
        <w:pStyle w:val="BodyText"/>
        <w:spacing w:line="357" w:lineRule="auto" w:before="154"/>
        <w:ind w:right="148" w:firstLine="482"/>
        <w:jc w:val="both"/>
      </w:pPr>
      <w:r>
        <w:rPr/>
        <w:t>（一）公司充分考虑对投资者的回报，每年按当年实现的母公司可供分配利润的规定比 例向股东分配股利；</w:t>
      </w:r>
    </w:p>
    <w:p>
      <w:pPr>
        <w:pStyle w:val="BodyText"/>
        <w:spacing w:line="357" w:lineRule="auto"/>
        <w:ind w:right="148" w:firstLine="482"/>
        <w:jc w:val="both"/>
      </w:pPr>
      <w:r>
        <w:rPr/>
        <w:t>（二）公司的利润分配政策保持连续性和稳定性，同时兼顾公司的长远利益、全体股东 的整体利益及公司的可持续发展；</w:t>
      </w:r>
    </w:p>
    <w:p>
      <w:pPr>
        <w:pStyle w:val="BodyText"/>
        <w:spacing w:line="357" w:lineRule="auto"/>
        <w:ind w:left="595" w:right="4211"/>
        <w:jc w:val="left"/>
      </w:pPr>
      <w:r>
        <w:rPr/>
        <w:t>（三）公司优先采用现金分红的利润分配方式。 第一百五十九条 公司利润分配具体政策如下：</w:t>
      </w:r>
    </w:p>
    <w:p>
      <w:pPr>
        <w:pStyle w:val="BodyText"/>
        <w:spacing w:line="357" w:lineRule="auto"/>
        <w:ind w:right="112" w:firstLine="482"/>
        <w:jc w:val="both"/>
      </w:pPr>
      <w:r>
        <w:rPr>
          <w:spacing w:val="-3"/>
        </w:rPr>
        <w:t>1、利润分配的形式：公司采用现金、股票或者现金与股票相结合的方式分配股利。在有</w:t>
      </w:r>
      <w:r>
        <w:rPr/>
        <w:t> 条件的情况下，公司可以进行中期利润分配。</w:t>
      </w:r>
    </w:p>
    <w:p>
      <w:pPr>
        <w:pStyle w:val="BodyText"/>
        <w:spacing w:line="357" w:lineRule="auto"/>
        <w:ind w:left="595" w:right="131"/>
        <w:jc w:val="left"/>
      </w:pPr>
      <w:r>
        <w:rPr/>
        <w:t>2、公司现金分红的具体条件和比例： 除特殊情况外，公司在当年盈利且累计未分配利润为正的情况下，采取现金方式分配股</w:t>
      </w:r>
    </w:p>
    <w:p>
      <w:pPr>
        <w:pStyle w:val="BodyText"/>
        <w:spacing w:line="357" w:lineRule="auto"/>
        <w:ind w:left="595" w:right="1454" w:hanging="483"/>
        <w:jc w:val="left"/>
      </w:pPr>
      <w:r>
        <w:rPr/>
        <w:t>利，每年以现金方式分配的利润不少于当年实现的母公司可供分配利润的10%。 特殊情况是指：</w:t>
      </w:r>
    </w:p>
    <w:p>
      <w:pPr>
        <w:pStyle w:val="BodyText"/>
        <w:spacing w:line="357" w:lineRule="auto"/>
        <w:ind w:right="112" w:firstLine="482"/>
        <w:jc w:val="both"/>
      </w:pPr>
      <w:r>
        <w:rPr>
          <w:spacing w:val="-3"/>
        </w:rPr>
        <w:t>（1）公司未来12个月内拟对外投资、收购资产或购买设备累计支出达到或超过公司最近</w:t>
      </w:r>
      <w:r>
        <w:rPr/>
        <w:t> 一期经审计净资产的50%，且超过5000</w:t>
      </w:r>
      <w:r>
        <w:rPr>
          <w:spacing w:val="1"/>
        </w:rPr>
        <w:t> </w:t>
      </w:r>
      <w:r>
        <w:rPr/>
        <w:t>万元（募集资金投资的项目除外）；</w:t>
      </w:r>
    </w:p>
    <w:p>
      <w:pPr>
        <w:pStyle w:val="BodyText"/>
        <w:spacing w:line="240" w:lineRule="auto"/>
        <w:ind w:left="595" w:right="0"/>
        <w:jc w:val="left"/>
      </w:pPr>
      <w:r>
        <w:rPr>
          <w:spacing w:val="-3"/>
        </w:rPr>
        <w:t>（2）公司未来12个月内拟对外投资、收购资产或购买设备累计支出达到或超过公司最近</w:t>
      </w:r>
    </w:p>
    <w:p>
      <w:pPr>
        <w:spacing w:after="0" w:line="240"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240" w:lineRule="auto" w:before="26"/>
        <w:ind w:right="0"/>
        <w:jc w:val="left"/>
      </w:pPr>
      <w:r>
        <w:rPr/>
        <w:t>一期经审计总资产的30%（募集资金投资的项目除外）；</w:t>
      </w:r>
    </w:p>
    <w:p>
      <w:pPr>
        <w:pStyle w:val="BodyText"/>
        <w:spacing w:line="240" w:lineRule="auto" w:before="154"/>
        <w:ind w:left="595" w:right="0"/>
        <w:jc w:val="left"/>
      </w:pPr>
      <w:r>
        <w:rPr/>
        <w:t>（3）审计机构对公司当年度财务报告出具非标准无保留意见的审计报告；</w:t>
      </w:r>
    </w:p>
    <w:p>
      <w:pPr>
        <w:pStyle w:val="BodyText"/>
        <w:spacing w:line="357" w:lineRule="auto" w:before="154"/>
        <w:ind w:left="595" w:right="131"/>
        <w:jc w:val="left"/>
      </w:pPr>
      <w:r>
        <w:rPr/>
        <w:t>（4）分红年度净现金流量为负数，且年底货币资金余额不足以支付现金分红金额的。 3、公司发放股票股利的具体条件： 公司在经营情况良好，并且董事会认为公司股票价格与公司股本规模不匹配、发放股票</w:t>
      </w:r>
    </w:p>
    <w:p>
      <w:pPr>
        <w:pStyle w:val="BodyText"/>
        <w:spacing w:line="357" w:lineRule="auto"/>
        <w:ind w:right="134"/>
        <w:jc w:val="left"/>
      </w:pPr>
      <w:r>
        <w:rPr/>
        <w:t>股利有利于公司全体股东整体利益时，可以在满足上述现金分红的条件下，提出股票股利分 配预案。</w:t>
      </w:r>
    </w:p>
    <w:p>
      <w:pPr>
        <w:pStyle w:val="BodyText"/>
        <w:spacing w:line="357" w:lineRule="auto"/>
        <w:ind w:left="595" w:right="0"/>
        <w:jc w:val="left"/>
      </w:pPr>
      <w:r>
        <w:rPr/>
        <w:t>第一百六十条 公司利润分配方案的审议程序： </w:t>
      </w:r>
      <w:r>
        <w:rPr>
          <w:spacing w:val="-3"/>
        </w:rPr>
        <w:t>1、公司的利润分配方案由公司管理层拟定后提交公司董事会、监事会审议。董事会就利</w:t>
      </w:r>
    </w:p>
    <w:p>
      <w:pPr>
        <w:pStyle w:val="BodyText"/>
        <w:spacing w:line="357" w:lineRule="auto"/>
        <w:ind w:left="595" w:right="0" w:hanging="483"/>
        <w:jc w:val="left"/>
      </w:pPr>
      <w:r>
        <w:rPr/>
        <w:t>润分配方案的合理性进行充分讨论，形成专项决议后提交股东大会审议。 </w:t>
      </w:r>
      <w:r>
        <w:rPr>
          <w:spacing w:val="-3"/>
        </w:rPr>
        <w:t>2、公司因前述第一百五十九条规定的特殊情况而不进行现金分红时，董事会就不进行现</w:t>
      </w:r>
    </w:p>
    <w:p>
      <w:pPr>
        <w:pStyle w:val="BodyText"/>
        <w:spacing w:line="357" w:lineRule="auto"/>
        <w:ind w:right="134"/>
        <w:jc w:val="left"/>
      </w:pPr>
      <w:r>
        <w:rPr/>
        <w:t>金分红的具体原因、公司留存收益的确切用途及预计投资收益等事项进行专项说明，经独立 董事发表意见后提交股东大会审议，并在公司指定媒体上予以披露。</w:t>
      </w:r>
    </w:p>
    <w:p>
      <w:pPr>
        <w:pStyle w:val="BodyText"/>
        <w:spacing w:line="357" w:lineRule="auto"/>
        <w:ind w:left="595" w:right="131"/>
        <w:jc w:val="left"/>
      </w:pPr>
      <w:r>
        <w:rPr/>
        <w:t>第一百六十二条 公司利润分配政策的变更： 如遇到战争、自然灾害等不可抗力、或者公司外部经营环境变化并对公司生产经营造成</w:t>
      </w:r>
    </w:p>
    <w:p>
      <w:pPr>
        <w:pStyle w:val="BodyText"/>
        <w:spacing w:line="357" w:lineRule="auto"/>
        <w:ind w:left="595" w:right="131" w:hanging="483"/>
        <w:jc w:val="left"/>
      </w:pPr>
      <w:r>
        <w:rPr/>
        <w:t>重大影响，或公司自身经营状况发生较大变化时，公司可对利润分配政策进行调整。 公司调整利润分配政策应由董事会做出专题论述，详细论证调整理由，形成书面论证报</w:t>
      </w:r>
    </w:p>
    <w:p>
      <w:pPr>
        <w:pStyle w:val="BodyText"/>
        <w:spacing w:line="357" w:lineRule="auto"/>
        <w:ind w:right="134"/>
        <w:jc w:val="left"/>
      </w:pPr>
      <w:r>
        <w:rPr/>
        <w:t>告并经独立董事审议后提交股东大会特别决议通过。审议利润分配政策变更事项时，公司为 股东提供网络投票方式。</w:t>
      </w:r>
    </w:p>
    <w:p>
      <w:pPr>
        <w:spacing w:before="46"/>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12" w:right="3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718"/>
        <w:gridCol w:w="5851"/>
      </w:tblGrid>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154,117,839.58</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bl>
    <w:p>
      <w:pPr>
        <w:spacing w:before="48"/>
        <w:ind w:left="11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BodyText"/>
        <w:spacing w:line="240" w:lineRule="auto" w:before="134"/>
        <w:ind w:left="595" w:right="0"/>
        <w:jc w:val="left"/>
      </w:pPr>
      <w:r>
        <w:rPr/>
        <w:t>1、2011年5月10日，公司召开2010年度股东大会，审议通过了2010年度利润分配方案：</w:t>
      </w:r>
    </w:p>
    <w:p>
      <w:pPr>
        <w:spacing w:after="0" w:line="240" w:lineRule="auto"/>
        <w:jc w:val="left"/>
        <w:sectPr>
          <w:footerReference w:type="default" r:id="rId17"/>
          <w:pgSz w:w="11910" w:h="16840"/>
          <w:pgMar w:footer="979" w:header="745" w:top="1060" w:bottom="1160" w:left="1020" w:right="1020"/>
          <w:pgNumType w:start="30"/>
        </w:sectPr>
      </w:pPr>
    </w:p>
    <w:p>
      <w:pPr>
        <w:spacing w:line="240" w:lineRule="auto" w:before="6"/>
        <w:rPr>
          <w:rFonts w:ascii="宋体" w:hAnsi="宋体" w:cs="宋体" w:eastAsia="宋体" w:hint="default"/>
          <w:sz w:val="29"/>
          <w:szCs w:val="29"/>
        </w:rPr>
      </w:pPr>
    </w:p>
    <w:p>
      <w:pPr>
        <w:pStyle w:val="BodyText"/>
        <w:spacing w:line="357" w:lineRule="auto" w:before="26"/>
        <w:ind w:right="110"/>
        <w:jc w:val="both"/>
      </w:pPr>
      <w:bookmarkStart w:name="五、内幕信息知情人管理制度的建立和执行情况" w:id="36"/>
      <w:bookmarkEnd w:id="36"/>
      <w:r>
        <w:rPr/>
      </w:r>
      <w:r>
        <w:rPr>
          <w:spacing w:val="-2"/>
        </w:rPr>
        <w:t>公司以总股本5,600万股为基数，向全体股东以每10股派发人民币2.00元现金（含税）的股利</w:t>
      </w:r>
      <w:r>
        <w:rPr>
          <w:spacing w:val="-110"/>
        </w:rPr>
        <w:t> </w:t>
      </w:r>
      <w:r>
        <w:rPr>
          <w:spacing w:val="-110"/>
        </w:rPr>
      </w:r>
      <w:r>
        <w:rPr/>
        <w:t>分红，合计派发现金红利人民币11,200,000.00元。同时，以2010年末总股本5,600万股为基</w:t>
      </w:r>
      <w:r>
        <w:rPr>
          <w:spacing w:val="-87"/>
        </w:rPr>
        <w:t> </w:t>
      </w:r>
      <w:r>
        <w:rPr>
          <w:spacing w:val="-87"/>
        </w:rPr>
      </w:r>
      <w:r>
        <w:rPr/>
        <w:t>数，以资本公积金每10股转增5股，共计28,000,000股。</w:t>
      </w:r>
    </w:p>
    <w:p>
      <w:pPr>
        <w:pStyle w:val="BodyText"/>
        <w:spacing w:line="357" w:lineRule="auto"/>
        <w:ind w:right="112" w:firstLine="482"/>
        <w:jc w:val="both"/>
      </w:pPr>
      <w:r>
        <w:rPr>
          <w:spacing w:val="-2"/>
        </w:rPr>
        <w:t>2、2012年5月7日，公司召开2011年度股东大会，审议通过了2011年度利润分配方案：公</w:t>
      </w:r>
      <w:r>
        <w:rPr/>
        <w:t> 司以总股本84,000,000股为基数，向全体股东每10股派发现金红利2.00元（含税），共计派</w:t>
      </w:r>
      <w:r>
        <w:rPr>
          <w:spacing w:val="-91"/>
        </w:rPr>
        <w:t> </w:t>
      </w:r>
      <w:r>
        <w:rPr>
          <w:spacing w:val="-91"/>
        </w:rPr>
      </w:r>
      <w:r>
        <w:rPr/>
        <w:t>发现金红利16,800,000元。</w:t>
      </w:r>
    </w:p>
    <w:p>
      <w:pPr>
        <w:pStyle w:val="BodyText"/>
        <w:spacing w:line="357" w:lineRule="auto"/>
        <w:ind w:right="115" w:firstLine="482"/>
        <w:jc w:val="both"/>
      </w:pPr>
      <w:r>
        <w:rPr/>
        <w:t>3、2013年4月16日，公司召开第二届董事会第八次会议，审议通过了</w:t>
      </w:r>
      <w:r>
        <w:rPr>
          <w:spacing w:val="-92"/>
        </w:rPr>
        <w:t> </w:t>
      </w:r>
      <w:r>
        <w:rPr/>
        <w:t>2012年度利润分配</w:t>
      </w:r>
      <w:r>
        <w:rPr/>
        <w:t> 方案：经中瑞岳华会计师事务所有限公司审计确认，公司</w:t>
      </w:r>
      <w:r>
        <w:rPr>
          <w:spacing w:val="-94"/>
        </w:rPr>
        <w:t> </w:t>
      </w:r>
      <w:r>
        <w:rPr/>
        <w:t>2012年实现归属母公司股东净利润</w:t>
      </w:r>
      <w:r>
        <w:rPr/>
        <w:t> 72,229,938.08</w:t>
      </w:r>
      <w:r>
        <w:rPr>
          <w:spacing w:val="-84"/>
        </w:rPr>
        <w:t> </w:t>
      </w:r>
      <w:r>
        <w:rPr/>
        <w:t>元</w:t>
      </w:r>
      <w:r>
        <w:rPr>
          <w:spacing w:val="-84"/>
        </w:rPr>
        <w:t> </w:t>
      </w:r>
      <w:r>
        <w:rPr/>
        <w:t>，</w:t>
      </w:r>
      <w:r>
        <w:rPr>
          <w:spacing w:val="-87"/>
        </w:rPr>
        <w:t> </w:t>
      </w:r>
      <w:r>
        <w:rPr/>
        <w:t>按</w:t>
      </w:r>
      <w:r>
        <w:rPr>
          <w:spacing w:val="-84"/>
        </w:rPr>
        <w:t> </w:t>
      </w:r>
      <w:r>
        <w:rPr/>
        <w:t>10</w:t>
      </w:r>
      <w:r>
        <w:rPr>
          <w:spacing w:val="-87"/>
        </w:rPr>
        <w:t> </w:t>
      </w:r>
      <w:r>
        <w:rPr/>
        <w:t>％</w:t>
      </w:r>
      <w:r>
        <w:rPr>
          <w:spacing w:val="-84"/>
        </w:rPr>
        <w:t> </w:t>
      </w:r>
      <w:r>
        <w:rPr/>
        <w:t>计</w:t>
      </w:r>
      <w:r>
        <w:rPr>
          <w:spacing w:val="-87"/>
        </w:rPr>
        <w:t> </w:t>
      </w:r>
      <w:r>
        <w:rPr/>
        <w:t>提</w:t>
      </w:r>
      <w:r>
        <w:rPr>
          <w:spacing w:val="-84"/>
        </w:rPr>
        <w:t> </w:t>
      </w:r>
      <w:r>
        <w:rPr/>
        <w:t>法</w:t>
      </w:r>
      <w:r>
        <w:rPr>
          <w:spacing w:val="-87"/>
        </w:rPr>
        <w:t> </w:t>
      </w:r>
      <w:r>
        <w:rPr/>
        <w:t>定</w:t>
      </w:r>
      <w:r>
        <w:rPr>
          <w:spacing w:val="-84"/>
        </w:rPr>
        <w:t> </w:t>
      </w:r>
      <w:r>
        <w:rPr/>
        <w:t>公</w:t>
      </w:r>
      <w:r>
        <w:rPr>
          <w:spacing w:val="-87"/>
        </w:rPr>
        <w:t> </w:t>
      </w:r>
      <w:r>
        <w:rPr/>
        <w:t>积</w:t>
      </w:r>
      <w:r>
        <w:rPr>
          <w:spacing w:val="-84"/>
        </w:rPr>
        <w:t> </w:t>
      </w:r>
      <w:r>
        <w:rPr/>
        <w:t>金</w:t>
      </w:r>
      <w:r>
        <w:rPr>
          <w:spacing w:val="-82"/>
        </w:rPr>
        <w:t> </w:t>
      </w:r>
      <w:r>
        <w:rPr/>
        <w:t>7,221,328.16</w:t>
      </w:r>
      <w:r>
        <w:rPr>
          <w:spacing w:val="-87"/>
        </w:rPr>
        <w:t> </w:t>
      </w:r>
      <w:r>
        <w:rPr/>
        <w:t>元</w:t>
      </w:r>
      <w:r>
        <w:rPr>
          <w:spacing w:val="-84"/>
        </w:rPr>
        <w:t> </w:t>
      </w:r>
      <w:r>
        <w:rPr/>
        <w:t>，</w:t>
      </w:r>
      <w:r>
        <w:rPr>
          <w:spacing w:val="-87"/>
        </w:rPr>
        <w:t> </w:t>
      </w:r>
      <w:r>
        <w:rPr/>
        <w:t>加</w:t>
      </w:r>
      <w:r>
        <w:rPr>
          <w:spacing w:val="-84"/>
        </w:rPr>
        <w:t> </w:t>
      </w:r>
      <w:r>
        <w:rPr/>
        <w:t>上</w:t>
      </w:r>
      <w:r>
        <w:rPr>
          <w:spacing w:val="-87"/>
        </w:rPr>
        <w:t> </w:t>
      </w:r>
      <w:r>
        <w:rPr/>
        <w:t>上</w:t>
      </w:r>
      <w:r>
        <w:rPr>
          <w:spacing w:val="-84"/>
        </w:rPr>
        <w:t> </w:t>
      </w:r>
      <w:r>
        <w:rPr/>
        <w:t>年</w:t>
      </w:r>
      <w:r>
        <w:rPr>
          <w:spacing w:val="-87"/>
        </w:rPr>
        <w:t> </w:t>
      </w:r>
      <w:r>
        <w:rPr/>
        <w:t>初</w:t>
      </w:r>
      <w:r>
        <w:rPr>
          <w:spacing w:val="-84"/>
        </w:rPr>
        <w:t> </w:t>
      </w:r>
      <w:r>
        <w:rPr/>
        <w:t>未</w:t>
      </w:r>
      <w:r>
        <w:rPr>
          <w:spacing w:val="-87"/>
        </w:rPr>
        <w:t> </w:t>
      </w:r>
      <w:r>
        <w:rPr/>
        <w:t>分</w:t>
      </w:r>
      <w:r>
        <w:rPr>
          <w:spacing w:val="-84"/>
        </w:rPr>
        <w:t> </w:t>
      </w:r>
      <w:r>
        <w:rPr/>
        <w:t>配</w:t>
      </w:r>
      <w:r>
        <w:rPr>
          <w:spacing w:val="-87"/>
        </w:rPr>
        <w:t> </w:t>
      </w:r>
      <w:r>
        <w:rPr/>
        <w:t>利</w:t>
      </w:r>
      <w:r>
        <w:rPr>
          <w:spacing w:val="-84"/>
        </w:rPr>
        <w:t> </w:t>
      </w:r>
      <w:r>
        <w:rPr/>
        <w:t>润</w:t>
      </w:r>
    </w:p>
    <w:p>
      <w:pPr>
        <w:pStyle w:val="BodyText"/>
        <w:spacing w:line="357" w:lineRule="auto"/>
        <w:ind w:right="110"/>
        <w:jc w:val="both"/>
      </w:pPr>
      <w:r>
        <w:rPr>
          <w:spacing w:val="-2"/>
        </w:rPr>
        <w:t>105,909,229.66元，并扣除2011年度股东股利16,800,000.00元，截至2012年12月31日，可供</w:t>
      </w:r>
      <w:r>
        <w:rPr>
          <w:spacing w:val="-81"/>
        </w:rPr>
        <w:t> </w:t>
      </w:r>
      <w:r>
        <w:rPr>
          <w:spacing w:val="-81"/>
        </w:rPr>
      </w:r>
      <w:r>
        <w:rPr/>
        <w:t>股东分配的利润为154,117,839.58元。</w:t>
      </w:r>
    </w:p>
    <w:p>
      <w:pPr>
        <w:pStyle w:val="BodyText"/>
        <w:spacing w:line="357" w:lineRule="auto"/>
        <w:ind w:right="112" w:firstLine="482"/>
        <w:jc w:val="both"/>
      </w:pPr>
      <w:r>
        <w:rPr>
          <w:w w:val="95"/>
        </w:rPr>
        <w:t>公司拟定以总股本84,000,000股为基数，向全体股东每10股派发现金红利2元（含税），</w:t>
      </w:r>
      <w:r>
        <w:rPr>
          <w:w w:val="65"/>
        </w:rPr>
        <w:t> </w:t>
      </w:r>
      <w:r>
        <w:rPr/>
        <w:t>共计派发现金红利16,800,000元，剩余未分配利润结转以后年度分配。同时以资本公积向全</w:t>
      </w:r>
      <w:r>
        <w:rPr>
          <w:spacing w:val="-111"/>
        </w:rPr>
        <w:t> </w:t>
      </w:r>
      <w:r>
        <w:rPr>
          <w:spacing w:val="-111"/>
        </w:rPr>
      </w:r>
      <w:r>
        <w:rPr>
          <w:spacing w:val="6"/>
        </w:rPr>
        <w:t>体股东每10股转增5股，合计转增股本42,000,000.00</w:t>
      </w:r>
      <w:r>
        <w:rPr>
          <w:spacing w:val="35"/>
        </w:rPr>
        <w:t> </w:t>
      </w:r>
      <w:r>
        <w:rPr>
          <w:spacing w:val="11"/>
        </w:rPr>
        <w:t>股。转增股本后公司总股本变更为</w:t>
      </w:r>
      <w:r>
        <w:rPr>
          <w:spacing w:val="-118"/>
        </w:rPr>
        <w:t> </w:t>
      </w:r>
      <w:r>
        <w:rPr>
          <w:spacing w:val="-118"/>
        </w:rPr>
      </w:r>
      <w:r>
        <w:rPr/>
        <w:t>126,000,000.00</w:t>
      </w:r>
      <w:r>
        <w:rPr>
          <w:spacing w:val="2"/>
        </w:rPr>
        <w:t> </w:t>
      </w:r>
      <w:r>
        <w:rPr/>
        <w:t>股。</w:t>
      </w:r>
    </w:p>
    <w:p>
      <w:pPr>
        <w:spacing w:before="46"/>
        <w:ind w:left="112"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393"/>
        <w:gridCol w:w="2393"/>
        <w:gridCol w:w="2390"/>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90" w:right="108"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 w:right="35"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72,229,938.08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23.26%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51,931,011.79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32.35%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50,053,094.10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22.38%</w:t>
            </w:r>
          </w:p>
        </w:tc>
      </w:tr>
    </w:tbl>
    <w:p>
      <w:pPr>
        <w:spacing w:before="51"/>
        <w:ind w:left="112" w:right="0" w:firstLine="0"/>
        <w:jc w:val="both"/>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五、内幕信息知情人管理制度的建立和执行情况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before="0"/>
        <w:ind w:left="595" w:right="131"/>
        <w:jc w:val="left"/>
      </w:pPr>
      <w:r>
        <w:rPr/>
        <w:t>（一）内幕信息知情人管理制度的制定 为了规范公司的内幕信息管理，加强内幕信息保密工作，维护信息披露公开、公平、公</w:t>
      </w:r>
    </w:p>
    <w:p>
      <w:pPr>
        <w:pStyle w:val="BodyText"/>
        <w:spacing w:line="357" w:lineRule="auto"/>
        <w:ind w:right="151"/>
        <w:jc w:val="both"/>
      </w:pPr>
      <w:r>
        <w:rPr/>
        <w:t>正原则，根据《中华人民共和国公司法》、《中华人民共和国证券法》、《深圳证券交易所 创业板股票上市规则》等有关法律、法规、规范性文件及《上市公司建立内幕信息知情人登 记管理制度的规定》、《公司章程》等有关规定，公司制定了《内幕信息知情人备案登记制</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51"/>
        <w:jc w:val="both"/>
      </w:pPr>
      <w:r>
        <w:rPr/>
        <w:t>度》、《重大信息内部报告制度》、《董事、监事和高级管理人员持有和买卖本公司股票管 理制度》。</w:t>
      </w:r>
    </w:p>
    <w:p>
      <w:pPr>
        <w:pStyle w:val="BodyText"/>
        <w:spacing w:line="357" w:lineRule="auto"/>
        <w:ind w:right="110" w:firstLine="482"/>
        <w:jc w:val="both"/>
      </w:pPr>
      <w:r>
        <w:rPr/>
        <w:t>为了进一步完善内幕信息管理制度，公司于2012年4月8日召开第一届董事会第二十四次 会议，根据中国证监会《关于上市公司建立内幕信息知情人登记管理制度的规定》（证监会 公告[2011]30号）的文件要求，公司对照文件对《内幕信息知情人登记管理制度》进行了梳</w:t>
      </w:r>
      <w:r>
        <w:rPr>
          <w:spacing w:val="-116"/>
        </w:rPr>
        <w:t> </w:t>
      </w:r>
      <w:r>
        <w:rPr>
          <w:spacing w:val="-116"/>
        </w:rPr>
      </w:r>
      <w:r>
        <w:rPr>
          <w:spacing w:val="12"/>
        </w:rPr>
        <w:t>理、</w:t>
      </w:r>
      <w:r>
        <w:rPr>
          <w:spacing w:val="-93"/>
        </w:rPr>
        <w:t> </w:t>
      </w:r>
      <w:r>
        <w:rPr>
          <w:spacing w:val="16"/>
        </w:rPr>
        <w:t>自查，</w:t>
      </w:r>
      <w:r>
        <w:rPr>
          <w:spacing w:val="-95"/>
        </w:rPr>
        <w:t> </w:t>
      </w:r>
      <w:r>
        <w:rPr>
          <w:spacing w:val="22"/>
        </w:rPr>
        <w:t>并对制度进行了修订、</w:t>
      </w:r>
      <w:r>
        <w:rPr>
          <w:spacing w:val="-95"/>
        </w:rPr>
        <w:t> </w:t>
      </w:r>
      <w:r>
        <w:rPr>
          <w:spacing w:val="16"/>
        </w:rPr>
        <w:t>完善。</w:t>
      </w:r>
      <w:r>
        <w:rPr>
          <w:spacing w:val="-93"/>
        </w:rPr>
        <w:t> </w:t>
      </w:r>
      <w:r>
        <w:rPr>
          <w:spacing w:val="18"/>
        </w:rPr>
        <w:t>制度详见</w:t>
      </w:r>
      <w:r>
        <w:rPr>
          <w:spacing w:val="-95"/>
        </w:rPr>
        <w:t> </w:t>
      </w:r>
      <w:r>
        <w:rPr/>
        <w:t>2012</w:t>
      </w:r>
      <w:r>
        <w:rPr>
          <w:spacing w:val="-95"/>
        </w:rPr>
        <w:t> </w:t>
      </w:r>
      <w:r>
        <w:rPr/>
        <w:t>年</w:t>
      </w:r>
      <w:r>
        <w:rPr>
          <w:spacing w:val="-93"/>
        </w:rPr>
        <w:t> </w:t>
      </w:r>
      <w:r>
        <w:rPr/>
        <w:t>4</w:t>
      </w:r>
      <w:r>
        <w:rPr>
          <w:spacing w:val="-93"/>
        </w:rPr>
        <w:t> </w:t>
      </w:r>
      <w:r>
        <w:rPr/>
        <w:t>月</w:t>
      </w:r>
      <w:r>
        <w:rPr>
          <w:spacing w:val="-95"/>
        </w:rPr>
        <w:t> </w:t>
      </w:r>
      <w:r>
        <w:rPr/>
        <w:t>10</w:t>
      </w:r>
      <w:r>
        <w:rPr>
          <w:spacing w:val="-93"/>
        </w:rPr>
        <w:t> </w:t>
      </w:r>
      <w:r>
        <w:rPr>
          <w:spacing w:val="22"/>
        </w:rPr>
        <w:t>日刊登在巨潮资讯网</w:t>
      </w:r>
    </w:p>
    <w:p>
      <w:pPr>
        <w:pStyle w:val="BodyText"/>
        <w:spacing w:line="357" w:lineRule="auto"/>
        <w:ind w:left="595" w:right="131" w:hanging="483"/>
        <w:jc w:val="left"/>
      </w:pPr>
      <w:r>
        <w:rPr/>
        <w:t>（</w:t>
      </w:r>
      <w:hyperlink r:id="rId12">
        <w:r>
          <w:rPr/>
          <w:t>http://www.cninfo.com.cn</w:t>
        </w:r>
      </w:hyperlink>
      <w:r>
        <w:rPr/>
        <w:t>）上的《内幕信息知情人登记管理制度》。</w:t>
      </w:r>
      <w:r>
        <w:rPr/>
        <w:t> 为了进一步提高公司的规范治理水平，健全、完善适应公司管理需要的内部控制制度，</w:t>
      </w:r>
    </w:p>
    <w:p>
      <w:pPr>
        <w:pStyle w:val="BodyText"/>
        <w:spacing w:line="357" w:lineRule="auto"/>
        <w:ind w:right="112"/>
        <w:jc w:val="both"/>
      </w:pPr>
      <w:r>
        <w:rPr>
          <w:spacing w:val="-2"/>
        </w:rPr>
        <w:t>更加全面地覆盖公司业务活动和内部管理的各个方面和环节。公司于2012年8月24日召开第二</w:t>
      </w:r>
      <w:r>
        <w:rPr>
          <w:spacing w:val="-114"/>
        </w:rPr>
        <w:t> </w:t>
      </w:r>
      <w:r>
        <w:rPr>
          <w:spacing w:val="-114"/>
        </w:rPr>
      </w:r>
      <w:r>
        <w:rPr/>
        <w:t>届董事会第三次会议，审议通过《投资者接待工作管理制度》，制度详见</w:t>
      </w:r>
      <w:r>
        <w:rPr>
          <w:spacing w:val="-87"/>
        </w:rPr>
        <w:t> </w:t>
      </w:r>
      <w:r>
        <w:rPr/>
        <w:t>2012</w:t>
      </w:r>
      <w:r>
        <w:rPr>
          <w:spacing w:val="2"/>
        </w:rPr>
        <w:t> </w:t>
      </w:r>
      <w:r>
        <w:rPr/>
        <w:t>年8月25日中</w:t>
      </w:r>
      <w:r>
        <w:rPr/>
        <w:t> 国证监会指定的创业板信息披露网站（</w:t>
      </w:r>
      <w:hyperlink r:id="rId12">
        <w:r>
          <w:rPr/>
          <w:t>www.cninfo.com.cn</w:t>
        </w:r>
      </w:hyperlink>
      <w:r>
        <w:rPr/>
        <w:t>）。</w:t>
      </w:r>
    </w:p>
    <w:p>
      <w:pPr>
        <w:pStyle w:val="BodyText"/>
        <w:spacing w:line="357" w:lineRule="auto"/>
        <w:ind w:left="595" w:right="131"/>
        <w:jc w:val="left"/>
      </w:pPr>
      <w:r>
        <w:rPr/>
        <w:t>（二）内幕信息知情人管理制度的执行情况 报告期内，公司严格遵守内幕信息保密制度，严格规范信息传递流程，在定期报告披露</w:t>
      </w:r>
    </w:p>
    <w:p>
      <w:pPr>
        <w:pStyle w:val="BodyText"/>
        <w:spacing w:line="357" w:lineRule="auto"/>
        <w:ind w:right="151"/>
        <w:jc w:val="both"/>
      </w:pPr>
      <w:r>
        <w:rPr/>
        <w:t>期间，对于未公开信息，公司董事会办公室都会严格控制知情人范围并组织相关内幕信息知 情人填写《内幕信息知情人登记表》，如实、完整记录上述信息在公开前的所有内幕信息知 情人名单，以及知情人知悉内幕信息的时间。经公司董事会办公室核实无误后，按照相关法 规规定在向深交所和证监局报送定期报告相关资料的同时报备内幕信息知情人登记情况。</w:t>
      </w:r>
    </w:p>
    <w:p>
      <w:pPr>
        <w:pStyle w:val="BodyText"/>
        <w:spacing w:line="357" w:lineRule="auto"/>
        <w:ind w:right="148" w:firstLine="482"/>
        <w:jc w:val="both"/>
      </w:pPr>
      <w:r>
        <w:rPr/>
        <w:t>在定期报告及重大事项披露期间，公司尽量避免接待投资者的调研，努力做好定期报告 及重大事项披露期间的信息保密工作。在日常接待投资者调研时，根据公司《投资者接待工 作管理制度》，证券事务部负责履行相关的信息保密工作程序。在进行调研前，先对调研人 员的个人信息进行备案，同时要求签署投资者（机构）承诺书，并承诺在对外出具报告前需 经上市公司董事会办公室认可。在调研过程中，证券事务部人员认真做好相关会议记录，按 照相关规定填制投资者关系活动记录表，并将投资者关系活动记录表在深交所指定的网站、 公司网站进行公布。</w:t>
      </w:r>
    </w:p>
    <w:p>
      <w:pPr>
        <w:pStyle w:val="BodyText"/>
        <w:spacing w:line="357" w:lineRule="auto"/>
        <w:ind w:right="148" w:firstLine="482"/>
        <w:jc w:val="both"/>
      </w:pPr>
      <w:r>
        <w:rPr/>
        <w:t>在其他重大事项未披露前，公司及相关信息披露义务人采取保密措施，签订相关保密协 议，以保证信息处于可控范围。</w:t>
      </w:r>
    </w:p>
    <w:p>
      <w:pPr>
        <w:pStyle w:val="BodyText"/>
        <w:spacing w:line="357" w:lineRule="auto"/>
        <w:ind w:left="595" w:right="131"/>
        <w:jc w:val="left"/>
      </w:pPr>
      <w:r>
        <w:rPr/>
        <w:t>（三）报告期内自查内幕信息知情人涉嫌内幕交易以及监管部门的查处和整改情况 报告期公司严格执行了上述制度，未发生内幕信息知情人买卖本公司股票及其衍生品种</w:t>
      </w:r>
    </w:p>
    <w:p>
      <w:pPr>
        <w:pStyle w:val="BodyText"/>
        <w:spacing w:line="240" w:lineRule="auto"/>
        <w:ind w:right="0"/>
        <w:jc w:val="both"/>
      </w:pPr>
      <w:r>
        <w:rPr/>
        <w:t>的情况；公司及相关人员未发生因内幕信息知情人登记管理制度执行或涉嫌内幕交易被监管</w:t>
      </w:r>
    </w:p>
    <w:p>
      <w:pPr>
        <w:spacing w:after="0" w:line="240"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spacing w:line="708" w:lineRule="auto" w:before="26"/>
        <w:ind w:left="112" w:right="4454" w:firstLine="0"/>
        <w:jc w:val="left"/>
        <w:rPr>
          <w:rFonts w:ascii="Microsoft JhengHei" w:hAnsi="Microsoft JhengHei" w:cs="Microsoft JhengHei" w:eastAsia="Microsoft JhengHei" w:hint="default"/>
          <w:sz w:val="24"/>
          <w:szCs w:val="24"/>
        </w:rPr>
      </w:pPr>
      <w:r>
        <w:rPr/>
        <w:pict>
          <v:shape style="position:absolute;margin-left:56.399998pt;margin-top:83.955627pt;width:479.2pt;height:346.1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715" w:hRule="exact"/>
                    </w:trPr>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55"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民生证券、诺安基</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0"/>
                          <w:jc w:val="left"/>
                          <w:rPr>
                            <w:rFonts w:ascii="宋体" w:hAnsi="宋体" w:cs="宋体" w:eastAsia="宋体" w:hint="default"/>
                            <w:sz w:val="18"/>
                            <w:szCs w:val="18"/>
                          </w:rPr>
                        </w:pPr>
                        <w:r>
                          <w:rPr>
                            <w:rFonts w:ascii="宋体" w:hAnsi="宋体" w:cs="宋体" w:eastAsia="宋体" w:hint="default"/>
                            <w:spacing w:val="-10"/>
                            <w:w w:val="94"/>
                            <w:sz w:val="18"/>
                            <w:szCs w:val="18"/>
                          </w:rPr>
                          <w:t>金、华泰联合证券、</w:t>
                        </w:r>
                        <w:r>
                          <w:rPr>
                            <w:rFonts w:ascii="宋体" w:hAnsi="宋体" w:cs="宋体" w:eastAsia="宋体" w:hint="default"/>
                            <w:w w:val="50"/>
                            <w:sz w:val="18"/>
                            <w:szCs w:val="18"/>
                          </w:rPr>
                          <w:t> </w:t>
                        </w:r>
                        <w:r>
                          <w:rPr>
                            <w:rFonts w:ascii="宋体" w:hAnsi="宋体" w:cs="宋体" w:eastAsia="宋体" w:hint="default"/>
                            <w:sz w:val="18"/>
                            <w:szCs w:val="18"/>
                          </w:rPr>
                          <w:t>中邮基金、工银瑞</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left"/>
                          <w:rPr>
                            <w:rFonts w:ascii="宋体" w:hAnsi="宋体" w:cs="宋体" w:eastAsia="宋体" w:hint="default"/>
                            <w:sz w:val="18"/>
                            <w:szCs w:val="18"/>
                          </w:rPr>
                        </w:pPr>
                        <w:r>
                          <w:rPr>
                            <w:rFonts w:ascii="宋体" w:hAnsi="宋体" w:cs="宋体" w:eastAsia="宋体" w:hint="default"/>
                            <w:sz w:val="18"/>
                            <w:szCs w:val="18"/>
                          </w:rPr>
                          <w:t>公司主营业务发展情况、 市场展望和产品演示等</w:t>
                        </w:r>
                      </w:p>
                    </w:tc>
                  </w:tr>
                  <w:tr>
                    <w:trPr>
                      <w:trHeight w:val="35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金、益民基金</w:t>
                        </w:r>
                      </w:p>
                    </w:tc>
                    <w:tc>
                      <w:tcPr>
                        <w:tcW w:w="208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华夏基金、光大保</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0"/>
                          <w:jc w:val="both"/>
                          <w:rPr>
                            <w:rFonts w:ascii="宋体" w:hAnsi="宋体" w:cs="宋体" w:eastAsia="宋体" w:hint="default"/>
                            <w:sz w:val="18"/>
                            <w:szCs w:val="18"/>
                          </w:rPr>
                        </w:pPr>
                        <w:r>
                          <w:rPr>
                            <w:rFonts w:ascii="宋体" w:hAnsi="宋体" w:cs="宋体" w:eastAsia="宋体" w:hint="default"/>
                            <w:sz w:val="18"/>
                            <w:szCs w:val="18"/>
                          </w:rPr>
                          <w:t>德信基金、农银汇 </w:t>
                        </w:r>
                        <w:r>
                          <w:rPr>
                            <w:rFonts w:ascii="宋体" w:hAnsi="宋体" w:cs="宋体" w:eastAsia="宋体" w:hint="default"/>
                            <w:spacing w:val="-10"/>
                            <w:w w:val="94"/>
                            <w:sz w:val="18"/>
                            <w:szCs w:val="18"/>
                          </w:rPr>
                          <w:t>理基金、国信证券、</w:t>
                        </w:r>
                        <w:r>
                          <w:rPr>
                            <w:rFonts w:ascii="宋体" w:hAnsi="宋体" w:cs="宋体" w:eastAsia="宋体" w:hint="default"/>
                            <w:w w:val="50"/>
                            <w:sz w:val="18"/>
                            <w:szCs w:val="18"/>
                          </w:rPr>
                          <w:t> </w:t>
                        </w:r>
                        <w:r>
                          <w:rPr>
                            <w:rFonts w:ascii="宋体" w:hAnsi="宋体" w:cs="宋体" w:eastAsia="宋体" w:hint="default"/>
                            <w:sz w:val="18"/>
                            <w:szCs w:val="18"/>
                          </w:rPr>
                          <w:t>中信证券、国信证</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316" w:lineRule="auto"/>
                          <w:ind w:left="24" w:right="71"/>
                          <w:jc w:val="left"/>
                          <w:rPr>
                            <w:rFonts w:ascii="宋体" w:hAnsi="宋体" w:cs="宋体" w:eastAsia="宋体" w:hint="default"/>
                            <w:sz w:val="18"/>
                            <w:szCs w:val="18"/>
                          </w:rPr>
                        </w:pPr>
                        <w:r>
                          <w:rPr>
                            <w:rFonts w:ascii="宋体" w:hAnsi="宋体" w:cs="宋体" w:eastAsia="宋体" w:hint="default"/>
                            <w:sz w:val="18"/>
                            <w:szCs w:val="18"/>
                          </w:rPr>
                          <w:t>公司主营业务发展情况、 市场展望和产品演示等</w:t>
                        </w:r>
                      </w:p>
                    </w:tc>
                  </w:tr>
                  <w:tr>
                    <w:trPr>
                      <w:trHeight w:val="35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w:t>
                        </w:r>
                      </w:p>
                    </w:tc>
                    <w:tc>
                      <w:tcPr>
                        <w:tcW w:w="208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东方证券、中投证</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w:t>
                        </w:r>
                        <w:r>
                          <w:rPr>
                            <w:rFonts w:ascii="宋体" w:hAnsi="宋体" w:cs="宋体" w:eastAsia="宋体" w:hint="default"/>
                            <w:spacing w:val="-89"/>
                            <w:sz w:val="18"/>
                            <w:szCs w:val="18"/>
                          </w:rPr>
                          <w:t>、</w:t>
                        </w:r>
                        <w:r>
                          <w:rPr>
                            <w:rFonts w:ascii="宋体" w:hAnsi="宋体" w:cs="宋体" w:eastAsia="宋体" w:hint="default"/>
                            <w:sz w:val="18"/>
                            <w:szCs w:val="18"/>
                          </w:rPr>
                          <w:t>申银万国证券</w:t>
                        </w:r>
                        <w:r>
                          <w:rPr>
                            <w:rFonts w:ascii="宋体" w:hAnsi="宋体" w:cs="宋体" w:eastAsia="宋体" w:hint="default"/>
                            <w:w w:val="50"/>
                            <w:sz w:val="18"/>
                            <w:szCs w:val="18"/>
                          </w:rPr>
                          <w:t>、</w:t>
                        </w:r>
                        <w:r>
                          <w:rPr>
                            <w:rFonts w:ascii="宋体" w:hAnsi="宋体" w:cs="宋体" w:eastAsia="宋体" w:hint="default"/>
                            <w:sz w:val="18"/>
                            <w:szCs w:val="18"/>
                          </w:rPr>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中信证券、中信建</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设、国海证券、国</w:t>
                        </w:r>
                      </w:p>
                    </w:tc>
                    <w:tc>
                      <w:tcPr>
                        <w:tcW w:w="208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0"/>
                          <w:jc w:val="left"/>
                          <w:rPr>
                            <w:rFonts w:ascii="宋体" w:hAnsi="宋体" w:cs="宋体" w:eastAsia="宋体" w:hint="default"/>
                            <w:sz w:val="18"/>
                            <w:szCs w:val="18"/>
                          </w:rPr>
                        </w:pPr>
                        <w:r>
                          <w:rPr>
                            <w:rFonts w:ascii="宋体" w:hAnsi="宋体" w:cs="宋体" w:eastAsia="宋体" w:hint="default"/>
                            <w:spacing w:val="-10"/>
                            <w:w w:val="94"/>
                            <w:sz w:val="18"/>
                            <w:szCs w:val="18"/>
                          </w:rPr>
                          <w:t>都证券、国联证券、</w:t>
                        </w:r>
                        <w:r>
                          <w:rPr>
                            <w:rFonts w:ascii="宋体" w:hAnsi="宋体" w:cs="宋体" w:eastAsia="宋体" w:hint="default"/>
                            <w:w w:val="50"/>
                            <w:sz w:val="18"/>
                            <w:szCs w:val="18"/>
                          </w:rPr>
                          <w:t> </w:t>
                        </w:r>
                        <w:r>
                          <w:rPr>
                            <w:rFonts w:ascii="宋体" w:hAnsi="宋体" w:cs="宋体" w:eastAsia="宋体" w:hint="default"/>
                            <w:sz w:val="18"/>
                            <w:szCs w:val="18"/>
                          </w:rPr>
                          <w:t>东兴证券、民族证</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left"/>
                          <w:rPr>
                            <w:rFonts w:ascii="宋体" w:hAnsi="宋体" w:cs="宋体" w:eastAsia="宋体" w:hint="default"/>
                            <w:sz w:val="18"/>
                            <w:szCs w:val="18"/>
                          </w:rPr>
                        </w:pPr>
                        <w:r>
                          <w:rPr>
                            <w:rFonts w:ascii="宋体" w:hAnsi="宋体" w:cs="宋体" w:eastAsia="宋体" w:hint="default"/>
                            <w:sz w:val="18"/>
                            <w:szCs w:val="18"/>
                          </w:rPr>
                          <w:t>公司主营业务发展情况、 市场展望和产品演示等</w:t>
                        </w: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券、融通基金、华</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商基金</w:t>
                        </w:r>
                        <w:r>
                          <w:rPr>
                            <w:rFonts w:ascii="宋体" w:hAnsi="宋体" w:cs="宋体" w:eastAsia="宋体" w:hint="default"/>
                            <w:spacing w:val="-89"/>
                            <w:sz w:val="18"/>
                            <w:szCs w:val="18"/>
                          </w:rPr>
                          <w:t>、</w:t>
                        </w:r>
                        <w:r>
                          <w:rPr>
                            <w:rFonts w:ascii="宋体" w:hAnsi="宋体" w:cs="宋体" w:eastAsia="宋体" w:hint="default"/>
                            <w:sz w:val="18"/>
                            <w:szCs w:val="18"/>
                          </w:rPr>
                          <w:t>京富融源</w:t>
                        </w:r>
                        <w:r>
                          <w:rPr>
                            <w:rFonts w:ascii="宋体" w:hAnsi="宋体" w:cs="宋体" w:eastAsia="宋体" w:hint="default"/>
                            <w:w w:val="50"/>
                            <w:sz w:val="18"/>
                            <w:szCs w:val="18"/>
                          </w:rPr>
                          <w:t>、</w:t>
                        </w:r>
                        <w:r>
                          <w:rPr>
                            <w:rFonts w:ascii="宋体" w:hAnsi="宋体" w:cs="宋体" w:eastAsia="宋体" w:hint="default"/>
                            <w:sz w:val="18"/>
                            <w:szCs w:val="18"/>
                          </w:rPr>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太和投资、宏铭投</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资、新华信托</w:t>
                        </w:r>
                      </w:p>
                    </w:tc>
                    <w:tc>
                      <w:tcPr>
                        <w:tcW w:w="2086"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bookmarkStart w:name="六、报告期内接待调研、沟通、采访等活动登记表" w:id="37"/>
      <w:bookmarkEnd w:id="37"/>
      <w:r>
        <w:rPr/>
      </w:r>
      <w:r>
        <w:rPr>
          <w:rFonts w:ascii="宋体" w:hAnsi="宋体" w:cs="宋体" w:eastAsia="宋体" w:hint="default"/>
          <w:sz w:val="24"/>
          <w:szCs w:val="24"/>
        </w:rPr>
        <w:t>部门采取监管措施及行政处罚的情况。 </w:t>
      </w:r>
      <w:r>
        <w:rPr>
          <w:rFonts w:ascii="Microsoft JhengHei" w:hAnsi="Microsoft JhengHei" w:cs="Microsoft JhengHei" w:eastAsia="Microsoft JhengHei" w:hint="default"/>
          <w:b/>
          <w:bCs/>
          <w:sz w:val="24"/>
          <w:szCs w:val="24"/>
        </w:rPr>
        <w:t>六、报告期内接待调研、沟通、采访等活动登记表</w:t>
      </w:r>
      <w:r>
        <w:rPr>
          <w:rFonts w:ascii="Microsoft JhengHei" w:hAnsi="Microsoft JhengHei" w:cs="Microsoft JhengHei" w:eastAsia="Microsoft JhengHei" w:hint="default"/>
          <w:sz w:val="24"/>
          <w:szCs w:val="24"/>
        </w:rPr>
      </w:r>
    </w:p>
    <w:p>
      <w:pPr>
        <w:spacing w:after="0" w:line="708" w:lineRule="auto"/>
        <w:jc w:val="left"/>
        <w:rPr>
          <w:rFonts w:ascii="Microsoft JhengHei" w:hAnsi="Microsoft JhengHei" w:cs="Microsoft JhengHei" w:eastAsia="Microsoft JhengHei" w:hint="default"/>
          <w:sz w:val="24"/>
          <w:szCs w:val="24"/>
        </w:rPr>
        <w:sectPr>
          <w:pgSz w:w="11910" w:h="16840"/>
          <w:pgMar w:header="745" w:footer="979" w:top="1060" w:bottom="1160" w:left="1020" w:right="10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5"/>
          <w:szCs w:val="25"/>
        </w:rPr>
      </w:pPr>
    </w:p>
    <w:p>
      <w:pPr>
        <w:pStyle w:val="Heading1"/>
        <w:spacing w:line="456" w:lineRule="exact"/>
        <w:ind w:right="2390"/>
        <w:jc w:val="center"/>
        <w:rPr>
          <w:b w:val="0"/>
          <w:bCs w:val="0"/>
        </w:rPr>
      </w:pPr>
      <w:bookmarkStart w:name="第五节重要事项" w:id="38"/>
      <w:bookmarkEnd w:id="38"/>
      <w:r>
        <w:rPr>
          <w:b w:val="0"/>
          <w:bCs w:val="0"/>
        </w:rPr>
      </w:r>
      <w:bookmarkStart w:name="一、重大诉讼仲裁事项" w:id="39"/>
      <w:bookmarkEnd w:id="39"/>
      <w:r>
        <w:rPr>
          <w:b w:val="0"/>
          <w:bCs w:val="0"/>
        </w:rPr>
      </w:r>
      <w:bookmarkStart w:name="二、上市公司发生控股股东及其关联方非经营性占用资金情况" w:id="40"/>
      <w:bookmarkEnd w:id="40"/>
      <w:r>
        <w:rPr>
          <w:b w:val="0"/>
          <w:bCs w:val="0"/>
        </w:rPr>
      </w:r>
      <w:bookmarkStart w:name="三、资产交易事项" w:id="41"/>
      <w:bookmarkEnd w:id="41"/>
      <w:r>
        <w:rPr>
          <w:b w:val="0"/>
          <w:bCs w:val="0"/>
        </w:rPr>
      </w:r>
      <w:bookmarkStart w:name="1、收购资产情况" w:id="42"/>
      <w:bookmarkEnd w:id="42"/>
      <w:r>
        <w:rPr>
          <w:b w:val="0"/>
          <w:bCs w:val="0"/>
        </w:rPr>
      </w:r>
      <w:bookmarkStart w:name="_bookmark4" w:id="43"/>
      <w:bookmarkEnd w:id="43"/>
      <w:r>
        <w:rPr>
          <w:b w:val="0"/>
          <w:bCs w:val="0"/>
        </w:rPr>
      </w:r>
      <w:r>
        <w:rPr/>
        <w:t>第五节 </w:t>
      </w:r>
      <w:r>
        <w:rPr>
          <w:spacing w:val="4"/>
        </w:rPr>
        <w:t> </w:t>
      </w:r>
      <w:r>
        <w:rPr/>
        <w:t>重要事项</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一、重大诉讼仲裁事项</w:t>
      </w:r>
      <w:r>
        <w:rPr>
          <w:b w:val="0"/>
          <w:bCs w:val="0"/>
        </w:rPr>
      </w:r>
    </w:p>
    <w:p>
      <w:pPr>
        <w:spacing w:line="240" w:lineRule="auto" w:before="8"/>
        <w:rPr>
          <w:rFonts w:ascii="Microsoft JhengHei" w:hAnsi="Microsoft JhengHei" w:cs="Microsoft JhengHei" w:eastAsia="Microsoft JhengHei" w:hint="default"/>
          <w:b/>
          <w:bCs/>
          <w:sz w:val="18"/>
          <w:szCs w:val="18"/>
        </w:rPr>
      </w:pPr>
    </w:p>
    <w:p>
      <w:pPr>
        <w:spacing w:line="338" w:lineRule="auto" w:before="0"/>
        <w:ind w:left="112" w:right="6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8"/>
        <w:rPr>
          <w:rFonts w:ascii="宋体" w:hAnsi="宋体" w:cs="宋体" w:eastAsia="宋体" w:hint="default"/>
          <w:sz w:val="13"/>
          <w:szCs w:val="13"/>
        </w:rPr>
      </w:pPr>
    </w:p>
    <w:p>
      <w:pPr>
        <w:pStyle w:val="Heading2"/>
        <w:spacing w:line="240" w:lineRule="auto"/>
        <w:ind w:right="0"/>
        <w:jc w:val="both"/>
        <w:rPr>
          <w:b w:val="0"/>
          <w:bCs w:val="0"/>
        </w:rPr>
      </w:pPr>
      <w:r>
        <w:rPr/>
        <w:t>二、上市公司发生控股股东及其关联方非经营性占用资金情况</w:t>
      </w:r>
      <w:r>
        <w:rPr>
          <w:b w:val="0"/>
          <w:bCs w:val="0"/>
        </w:rPr>
      </w:r>
    </w:p>
    <w:p>
      <w:pPr>
        <w:spacing w:line="240" w:lineRule="auto" w:before="8"/>
        <w:rPr>
          <w:rFonts w:ascii="Microsoft JhengHei" w:hAnsi="Microsoft JhengHei" w:cs="Microsoft JhengHei" w:eastAsia="Microsoft JhengHei" w:hint="default"/>
          <w:b/>
          <w:bCs/>
          <w:sz w:val="18"/>
          <w:szCs w:val="18"/>
        </w:rPr>
      </w:pPr>
    </w:p>
    <w:p>
      <w:pPr>
        <w:spacing w:line="340" w:lineRule="auto" w:before="0"/>
        <w:ind w:left="112" w:right="6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会计师事务所对资金占用的专项审核意见</w:t>
      </w:r>
    </w:p>
    <w:p>
      <w:pPr>
        <w:pStyle w:val="BodyText"/>
        <w:spacing w:line="357" w:lineRule="auto" w:before="70"/>
        <w:ind w:left="595" w:right="131"/>
        <w:jc w:val="left"/>
      </w:pPr>
      <w:r>
        <w:rPr/>
        <w:t>公司控股股东及其关联方不存在非经营性占用资金情况。 中瑞岳华会计师事务所（特殊普通合伙）对控股股东及其关联方非经营性占用资金的核</w:t>
      </w:r>
    </w:p>
    <w:p>
      <w:pPr>
        <w:pStyle w:val="BodyText"/>
        <w:spacing w:line="357" w:lineRule="auto"/>
        <w:ind w:right="151"/>
        <w:jc w:val="both"/>
      </w:pPr>
      <w:r>
        <w:rPr/>
        <w:t>查意见：我们按照中国注册会计师审计准则的相关规定执行了审核工作。中国注册会计师审 计准则要求我们遵守中国注册会计师职业道德守则，计划和执行审核工作以对汇总表是否不 存在重大错报获取合理保证。在审核过程中，我们实施了包括检查会计记录、重新计算相关 项目金额等我们认为必要的程序。我们相信，我们的审核工作为发表审核意见提供了合理的 基础。</w:t>
      </w:r>
    </w:p>
    <w:p>
      <w:pPr>
        <w:pStyle w:val="Heading2"/>
        <w:spacing w:line="240" w:lineRule="auto" w:before="180"/>
        <w:ind w:right="0"/>
        <w:jc w:val="both"/>
        <w:rPr>
          <w:b w:val="0"/>
          <w:bCs w:val="0"/>
        </w:rPr>
      </w:pPr>
      <w:r>
        <w:rPr/>
        <w:t>三、资产交易事项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、收购资产情况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734"/>
        <w:gridCol w:w="737"/>
        <w:gridCol w:w="737"/>
        <w:gridCol w:w="737"/>
        <w:gridCol w:w="737"/>
        <w:gridCol w:w="734"/>
        <w:gridCol w:w="734"/>
        <w:gridCol w:w="737"/>
        <w:gridCol w:w="734"/>
        <w:gridCol w:w="737"/>
        <w:gridCol w:w="734"/>
        <w:gridCol w:w="737"/>
        <w:gridCol w:w="734"/>
      </w:tblGrid>
      <w:tr>
        <w:trPr>
          <w:trHeight w:val="4147" w:hRule="exact"/>
        </w:trPr>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316" w:lineRule="auto"/>
              <w:ind w:left="96" w:right="89"/>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自购买 日起至 报告期 末为上 市公司 贡献的 净利润</w:t>
            </w:r>
          </w:p>
          <w:p>
            <w:pPr>
              <w:pStyle w:val="TableParagraph"/>
              <w:spacing w:line="240" w:lineRule="auto" w:before="19"/>
              <w:ind w:left="48" w:right="0"/>
              <w:jc w:val="both"/>
              <w:rPr>
                <w:rFonts w:ascii="宋体" w:hAnsi="宋体" w:cs="宋体" w:eastAsia="宋体" w:hint="default"/>
                <w:sz w:val="18"/>
                <w:szCs w:val="18"/>
              </w:rPr>
            </w:pPr>
            <w:r>
              <w:rPr>
                <w:rFonts w:ascii="宋体" w:hAnsi="宋体" w:cs="宋体" w:eastAsia="宋体" w:hint="default"/>
                <w:w w:val="90"/>
                <w:sz w:val="18"/>
                <w:szCs w:val="18"/>
              </w:rPr>
              <w:t>（万元）</w:t>
            </w:r>
            <w:r>
              <w:rPr>
                <w:rFonts w:ascii="宋体" w:hAnsi="宋体" w:cs="宋体" w:eastAsia="宋体" w:hint="default"/>
                <w:sz w:val="18"/>
                <w:szCs w:val="18"/>
              </w:rPr>
            </w:r>
          </w:p>
          <w:p>
            <w:pPr>
              <w:pStyle w:val="TableParagraph"/>
              <w:spacing w:line="316" w:lineRule="auto" w:before="76"/>
              <w:ind w:left="24" w:right="-17" w:firstLine="69"/>
              <w:jc w:val="both"/>
              <w:rPr>
                <w:rFonts w:ascii="宋体" w:hAnsi="宋体" w:cs="宋体" w:eastAsia="宋体" w:hint="default"/>
                <w:sz w:val="18"/>
                <w:szCs w:val="18"/>
              </w:rPr>
            </w:pPr>
            <w:r>
              <w:rPr>
                <w:rFonts w:ascii="宋体" w:hAnsi="宋体" w:cs="宋体" w:eastAsia="宋体" w:hint="default"/>
                <w:sz w:val="18"/>
                <w:szCs w:val="18"/>
              </w:rPr>
              <w:t>（适用 于非同 一控制 下的企 业合并）</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1" w:right="-20" w:hanging="44"/>
              <w:jc w:val="center"/>
              <w:rPr>
                <w:rFonts w:ascii="宋体" w:hAnsi="宋体" w:cs="宋体" w:eastAsia="宋体" w:hint="default"/>
                <w:sz w:val="18"/>
                <w:szCs w:val="18"/>
              </w:rPr>
            </w:pPr>
            <w:r>
              <w:rPr>
                <w:rFonts w:ascii="宋体" w:hAnsi="宋体" w:cs="宋体" w:eastAsia="宋体" w:hint="default"/>
                <w:sz w:val="18"/>
                <w:szCs w:val="18"/>
              </w:rPr>
              <w:t>自本期 初至报 告期末 为上市 公司贡 献的净 </w:t>
            </w:r>
            <w:r>
              <w:rPr>
                <w:rFonts w:ascii="宋体" w:hAnsi="宋体" w:cs="宋体" w:eastAsia="宋体" w:hint="default"/>
                <w:spacing w:val="-11"/>
                <w:sz w:val="18"/>
                <w:szCs w:val="18"/>
              </w:rPr>
              <w:t>利润（万</w:t>
            </w:r>
            <w:r>
              <w:rPr>
                <w:rFonts w:ascii="宋体" w:hAnsi="宋体" w:cs="宋体" w:eastAsia="宋体" w:hint="default"/>
                <w:sz w:val="18"/>
                <w:szCs w:val="18"/>
              </w:rPr>
              <w:t> </w:t>
            </w:r>
            <w:r>
              <w:rPr>
                <w:rFonts w:ascii="宋体" w:hAnsi="宋体" w:cs="宋体" w:eastAsia="宋体" w:hint="default"/>
                <w:spacing w:val="-23"/>
                <w:sz w:val="18"/>
                <w:szCs w:val="18"/>
              </w:rPr>
              <w:t>元）（适</w:t>
            </w:r>
            <w:r>
              <w:rPr>
                <w:rFonts w:ascii="宋体" w:hAnsi="宋体" w:cs="宋体" w:eastAsia="宋体" w:hint="default"/>
                <w:sz w:val="18"/>
                <w:szCs w:val="18"/>
              </w:rPr>
              <w:t> 用于同 一控制 下的企 业合并）</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16" w:lineRule="auto"/>
              <w:ind w:left="93"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例</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7"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r>
        <w:trPr>
          <w:trHeight w:val="68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汉王科 技股份</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北京汉 王智通</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10,440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收益法 评估确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734"/>
        <w:gridCol w:w="737"/>
        <w:gridCol w:w="737"/>
        <w:gridCol w:w="737"/>
        <w:gridCol w:w="734"/>
        <w:gridCol w:w="737"/>
        <w:gridCol w:w="734"/>
        <w:gridCol w:w="737"/>
        <w:gridCol w:w="734"/>
        <w:gridCol w:w="737"/>
        <w:gridCol w:w="734"/>
        <w:gridCol w:w="737"/>
        <w:gridCol w:w="734"/>
      </w:tblGrid>
      <w:tr>
        <w:trPr>
          <w:trHeight w:val="317"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bookmarkStart w:name="四、公司股权激励的实施情况及其影响" w:id="44"/>
            <w:bookmarkEnd w:id="44"/>
            <w:r>
              <w:rPr/>
            </w:r>
            <w:r>
              <w:rPr>
                <w:rFonts w:ascii="宋体" w:hAnsi="宋体" w:cs="宋体" w:eastAsia="宋体" w:hint="default"/>
                <w:sz w:val="18"/>
                <w:szCs w:val="18"/>
              </w:rPr>
              <w:t>有限公</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认交易</w:t>
            </w: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12"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价格</w:t>
            </w: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宋体" w:hAnsi="宋体" w:cs="宋体" w:eastAsia="宋体" w:hint="default"/>
                <w:sz w:val="18"/>
                <w:szCs w:val="18"/>
              </w:rPr>
              <w:t>股</w:t>
            </w: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收购资产情况说明</w:t>
      </w:r>
    </w:p>
    <w:p>
      <w:pPr>
        <w:pStyle w:val="BodyText"/>
        <w:spacing w:line="357" w:lineRule="auto" w:before="148"/>
        <w:ind w:right="103" w:firstLine="482"/>
        <w:jc w:val="both"/>
      </w:pPr>
      <w:r>
        <w:rPr>
          <w:spacing w:val="3"/>
        </w:rPr>
        <w:t>公司本次使用超募资金10440万元收购汉王科技股份有限公司全资子公司北京汉王智通</w:t>
      </w:r>
      <w:r>
        <w:rPr/>
        <w:t> </w:t>
      </w:r>
      <w:r>
        <w:rPr>
          <w:spacing w:val="-2"/>
        </w:rPr>
        <w:t>科技有限公司90%的股权，是为了加强公司在智慧城市领域的技术实力，并在智能交通和平安</w:t>
      </w:r>
      <w:r>
        <w:rPr/>
        <w:t> 城市领域内挖掘新的业务成长点，完善和增加公司的产品线，提升专业技术服务能力。同时 可以与公司现有数字化城市管理、创新社会管理等业务有机结合，为公司已有的二百多家城 市客户提供更多的产品和服务，在智慧城市的蓝海市场提升公司的综合竞争实力，获得更大 的市场价值，为股东奉献更多的回报。</w:t>
      </w:r>
    </w:p>
    <w:p>
      <w:pPr>
        <w:pStyle w:val="BodyText"/>
        <w:spacing w:line="357" w:lineRule="auto"/>
        <w:ind w:right="112" w:firstLine="482"/>
        <w:jc w:val="both"/>
      </w:pPr>
      <w:r>
        <w:rPr>
          <w:spacing w:val="-2"/>
        </w:rPr>
        <w:t>具体内容详见2012年12月8日公告的《北京数字政通科技股份有限公司关于使用超募资金</w:t>
      </w:r>
      <w:r>
        <w:rPr/>
        <w:t> 收购北京汉王智通科技有限公司90%</w:t>
      </w:r>
      <w:r>
        <w:rPr>
          <w:spacing w:val="13"/>
        </w:rPr>
        <w:t> </w:t>
      </w:r>
      <w:r>
        <w:rPr/>
        <w:t>股权的公告》、《北京数字政通科技股份有限公司关于</w:t>
      </w:r>
      <w:r>
        <w:rPr>
          <w:spacing w:val="-118"/>
        </w:rPr>
        <w:t> </w:t>
      </w:r>
      <w:r>
        <w:rPr>
          <w:spacing w:val="-118"/>
        </w:rPr>
      </w:r>
      <w:r>
        <w:rPr/>
        <w:t>使用超募资金收购北京汉王智通科技有限公司90%股权的可行性研究报告》。</w:t>
      </w:r>
    </w:p>
    <w:p>
      <w:pPr>
        <w:spacing w:line="240" w:lineRule="auto" w:before="0"/>
        <w:rPr>
          <w:rFonts w:ascii="宋体" w:hAnsi="宋体" w:cs="宋体" w:eastAsia="宋体" w:hint="default"/>
          <w:sz w:val="24"/>
          <w:szCs w:val="24"/>
        </w:rPr>
      </w:pPr>
    </w:p>
    <w:p>
      <w:pPr>
        <w:pStyle w:val="Heading2"/>
        <w:spacing w:line="240" w:lineRule="auto" w:before="178"/>
        <w:ind w:right="0"/>
        <w:jc w:val="left"/>
        <w:rPr>
          <w:b w:val="0"/>
          <w:bCs w:val="0"/>
        </w:rPr>
      </w:pPr>
      <w:r>
        <w:rPr/>
        <w:t>四、公司股权激励的实施情况及其影响</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before="0"/>
        <w:ind w:left="595" w:right="0"/>
        <w:jc w:val="left"/>
      </w:pPr>
      <w:r>
        <w:rPr/>
        <w:t>（一）公司股权激励的基本情况</w:t>
      </w:r>
    </w:p>
    <w:p>
      <w:pPr>
        <w:pStyle w:val="BodyText"/>
        <w:spacing w:line="357" w:lineRule="auto" w:before="154"/>
        <w:ind w:right="112" w:firstLine="482"/>
        <w:jc w:val="both"/>
      </w:pPr>
      <w:r>
        <w:rPr>
          <w:spacing w:val="-5"/>
        </w:rPr>
        <w:t>1、2011 </w:t>
      </w:r>
      <w:r>
        <w:rPr/>
        <w:t>年7 月12</w:t>
      </w:r>
      <w:r>
        <w:rPr>
          <w:spacing w:val="-49"/>
        </w:rPr>
        <w:t> </w:t>
      </w:r>
      <w:r>
        <w:rPr/>
        <w:t>日，公司第一届董事会第十九次会议审议通过的《北京数字政通科技</w:t>
      </w:r>
      <w:r>
        <w:rPr/>
        <w:t> 股份有限公司股票期权激励计划（草案）》，公司独立董事对此发表了独立意见；</w:t>
      </w:r>
    </w:p>
    <w:p>
      <w:pPr>
        <w:pStyle w:val="BodyText"/>
        <w:spacing w:line="357" w:lineRule="auto"/>
        <w:ind w:right="112" w:firstLine="482"/>
        <w:jc w:val="both"/>
      </w:pPr>
      <w:r>
        <w:rPr>
          <w:spacing w:val="-5"/>
        </w:rPr>
        <w:t>2、2011 </w:t>
      </w:r>
      <w:r>
        <w:rPr/>
        <w:t>年7 月12</w:t>
      </w:r>
      <w:r>
        <w:rPr>
          <w:spacing w:val="-49"/>
        </w:rPr>
        <w:t> </w:t>
      </w:r>
      <w:r>
        <w:rPr/>
        <w:t>日，公司第一届监事会第十次会议审议通过了《北京数字政通科技股</w:t>
      </w:r>
      <w:r>
        <w:rPr/>
        <w:t> 份有限公司股票期权激励计划（草案）》，并认为激励对象名单符合公司股票期权激励计划</w:t>
      </w:r>
    </w:p>
    <w:p>
      <w:pPr>
        <w:pStyle w:val="BodyText"/>
        <w:spacing w:line="357" w:lineRule="auto"/>
        <w:ind w:right="134"/>
        <w:jc w:val="left"/>
      </w:pPr>
      <w:r>
        <w:rPr/>
        <w:t>（草案）规定的激励对象范围，其作为公司股票期权激励计划激励对象的主体资格合法、有 效；</w:t>
      </w:r>
    </w:p>
    <w:p>
      <w:pPr>
        <w:pStyle w:val="BodyText"/>
        <w:spacing w:line="357" w:lineRule="auto"/>
        <w:ind w:right="112" w:firstLine="482"/>
        <w:jc w:val="both"/>
      </w:pPr>
      <w:r>
        <w:rPr>
          <w:spacing w:val="-5"/>
        </w:rPr>
        <w:t>3、2011 </w:t>
      </w:r>
      <w:r>
        <w:rPr/>
        <w:t>年12 月20 </w:t>
      </w:r>
      <w:r>
        <w:rPr>
          <w:spacing w:val="-3"/>
        </w:rPr>
        <w:t>日，公司第一届董事会2011</w:t>
      </w:r>
      <w:r>
        <w:rPr>
          <w:spacing w:val="-8"/>
        </w:rPr>
        <w:t> </w:t>
      </w:r>
      <w:r>
        <w:rPr/>
        <w:t>年第一次临时会议审议通过了《北京数</w:t>
      </w:r>
      <w:r>
        <w:rPr/>
        <w:t> 字政通科技股份有限公司股票期权激励计划（草案修订稿）》，并已报中国证监会审核无异 议。公司独立董事对此修订稿发表了独立意见；</w:t>
      </w:r>
    </w:p>
    <w:p>
      <w:pPr>
        <w:pStyle w:val="BodyText"/>
        <w:spacing w:line="357" w:lineRule="auto"/>
        <w:ind w:right="109" w:firstLine="482"/>
        <w:jc w:val="both"/>
      </w:pPr>
      <w:r>
        <w:rPr>
          <w:spacing w:val="-5"/>
        </w:rPr>
        <w:t>4、2011 </w:t>
      </w:r>
      <w:r>
        <w:rPr/>
        <w:t>年12 月20 </w:t>
      </w:r>
      <w:r>
        <w:rPr>
          <w:spacing w:val="-3"/>
        </w:rPr>
        <w:t>日，公司第一届监事会2011</w:t>
      </w:r>
      <w:r>
        <w:rPr>
          <w:spacing w:val="-8"/>
        </w:rPr>
        <w:t> </w:t>
      </w:r>
      <w:r>
        <w:rPr/>
        <w:t>年第一次临时会议审议通过了《北京数</w:t>
      </w:r>
      <w:r>
        <w:rPr/>
        <w:t> </w:t>
      </w:r>
      <w:r>
        <w:rPr>
          <w:spacing w:val="-5"/>
        </w:rPr>
        <w:t>字政通科技股份有限公司股票期权激励计划（草案修订稿）》，且认为激励对象名单符合《股</w:t>
      </w:r>
      <w:r>
        <w:rPr>
          <w:spacing w:val="-115"/>
        </w:rPr>
        <w:t> </w:t>
      </w:r>
      <w:r>
        <w:rPr>
          <w:spacing w:val="-115"/>
        </w:rPr>
      </w:r>
      <w:r>
        <w:rPr/>
        <w:t>票期权激励计划》规定的激励对象范围，其作为公司股票期权激励计划激励对象的主体资格 合法、有效；</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12" w:firstLine="482"/>
        <w:jc w:val="both"/>
      </w:pPr>
      <w:r>
        <w:rPr>
          <w:spacing w:val="-5"/>
        </w:rPr>
        <w:t>5、2012 </w:t>
      </w:r>
      <w:r>
        <w:rPr/>
        <w:t>年1 月5 </w:t>
      </w:r>
      <w:r>
        <w:rPr>
          <w:spacing w:val="-4"/>
        </w:rPr>
        <w:t>日，公司2012</w:t>
      </w:r>
      <w:r>
        <w:rPr>
          <w:spacing w:val="-18"/>
        </w:rPr>
        <w:t> </w:t>
      </w:r>
      <w:r>
        <w:rPr/>
        <w:t>年第一次临时股东大会逐项审议通过了《北京数字政通</w:t>
      </w:r>
      <w:r>
        <w:rPr/>
        <w:t> 科技股份有限公司股票期权激励计划（草案修订稿）》；</w:t>
      </w:r>
    </w:p>
    <w:p>
      <w:pPr>
        <w:pStyle w:val="BodyText"/>
        <w:spacing w:line="357" w:lineRule="auto"/>
        <w:ind w:right="112" w:firstLine="482"/>
        <w:jc w:val="both"/>
      </w:pPr>
      <w:r>
        <w:rPr>
          <w:spacing w:val="-5"/>
        </w:rPr>
        <w:t>6、2012 </w:t>
      </w:r>
      <w:r>
        <w:rPr/>
        <w:t>年1 月9 </w:t>
      </w:r>
      <w:r>
        <w:rPr>
          <w:spacing w:val="-3"/>
        </w:rPr>
        <w:t>日，公司第一届董事会2012</w:t>
      </w:r>
      <w:r>
        <w:rPr>
          <w:spacing w:val="-8"/>
        </w:rPr>
        <w:t> </w:t>
      </w:r>
      <w:r>
        <w:rPr/>
        <w:t>年第一次临时会议审议通过了《关于公司</w:t>
      </w:r>
      <w:r>
        <w:rPr/>
        <w:t> 股权激励计划所涉股票期权首期授予的议案》，独立董事关于公司股票期权激励计划所涉首 次期权授予相关事项发表了独立意见。</w:t>
      </w:r>
    </w:p>
    <w:p>
      <w:pPr>
        <w:pStyle w:val="BodyText"/>
        <w:spacing w:line="357" w:lineRule="auto"/>
        <w:ind w:right="110" w:firstLine="482"/>
        <w:jc w:val="both"/>
      </w:pPr>
      <w:r>
        <w:rPr>
          <w:spacing w:val="-5"/>
        </w:rPr>
        <w:t>7、2012 </w:t>
      </w:r>
      <w:r>
        <w:rPr/>
        <w:t>年1 月9 </w:t>
      </w:r>
      <w:r>
        <w:rPr>
          <w:spacing w:val="-3"/>
        </w:rPr>
        <w:t>日，公司第一届监事会2012</w:t>
      </w:r>
      <w:r>
        <w:rPr>
          <w:spacing w:val="-8"/>
        </w:rPr>
        <w:t> </w:t>
      </w:r>
      <w:r>
        <w:rPr/>
        <w:t>年第一次临时会议审议通过了《关于公司</w:t>
      </w:r>
      <w:r>
        <w:rPr/>
        <w:t> 股权激励计划所涉股票期权首期授予的议案》，认为首次获授股票期权的激励对象作为公司 </w:t>
      </w:r>
      <w:r>
        <w:rPr>
          <w:spacing w:val="-2"/>
          <w:w w:val="95"/>
        </w:rPr>
        <w:t>股票期权激励计划激励对象的主体资格合法、有效，同意激励对象按照《股票期权激励计划》</w:t>
      </w:r>
      <w:r>
        <w:rPr>
          <w:spacing w:val="31"/>
          <w:w w:val="95"/>
        </w:rPr>
        <w:t> </w:t>
      </w:r>
      <w:r>
        <w:rPr>
          <w:spacing w:val="31"/>
          <w:w w:val="95"/>
        </w:rPr>
      </w:r>
      <w:r>
        <w:rPr/>
        <w:t>有关规定获授股票期权。</w:t>
      </w:r>
    </w:p>
    <w:p>
      <w:pPr>
        <w:pStyle w:val="BodyText"/>
        <w:spacing w:line="357" w:lineRule="auto"/>
        <w:ind w:right="110" w:firstLine="482"/>
        <w:jc w:val="both"/>
      </w:pPr>
      <w:r>
        <w:rPr/>
        <w:t>8、公司于2012 年11 月22</w:t>
      </w:r>
      <w:r>
        <w:rPr>
          <w:spacing w:val="7"/>
        </w:rPr>
        <w:t> </w:t>
      </w:r>
      <w:r>
        <w:rPr/>
        <w:t>日分别召开第二届董事会第六次会议、第二届监事会第五次</w:t>
      </w:r>
      <w:r>
        <w:rPr/>
        <w:t> </w:t>
      </w:r>
      <w:r>
        <w:rPr>
          <w:spacing w:val="-5"/>
        </w:rPr>
        <w:t>会议审议通过《关于公司首期股票期权激励计划预留期权授予相关事项的议案》。计划于2012</w:t>
      </w:r>
      <w:r>
        <w:rPr>
          <w:spacing w:val="-106"/>
        </w:rPr>
        <w:t> </w:t>
      </w:r>
      <w:r>
        <w:rPr>
          <w:spacing w:val="-106"/>
        </w:rPr>
      </w:r>
      <w:r>
        <w:rPr/>
        <w:t>年11 月22 日向18 名激励对象授出18.00 万份预留期权，行权价格为25.42</w:t>
      </w:r>
      <w:r>
        <w:rPr>
          <w:spacing w:val="-3"/>
        </w:rPr>
        <w:t> </w:t>
      </w:r>
      <w:r>
        <w:rPr/>
        <w:t>元。</w:t>
      </w:r>
    </w:p>
    <w:p>
      <w:pPr>
        <w:pStyle w:val="BodyText"/>
        <w:spacing w:line="357" w:lineRule="auto"/>
        <w:ind w:left="595" w:right="2651"/>
        <w:jc w:val="left"/>
      </w:pPr>
      <w:r>
        <w:rPr/>
        <w:t>（二）公司股权激励的行权情况 1、报告期内，公司股权激励计划尚处于等待期，未进行行权。</w:t>
      </w:r>
    </w:p>
    <w:p>
      <w:pPr>
        <w:pStyle w:val="BodyText"/>
        <w:spacing w:line="357" w:lineRule="auto"/>
        <w:ind w:right="110" w:firstLine="482"/>
        <w:jc w:val="both"/>
      </w:pPr>
      <w:r>
        <w:rPr>
          <w:spacing w:val="-3"/>
        </w:rPr>
        <w:t>2、公司《股票期权激励计划》的规定，获授股票期权的行权条件：本计划首次授予（包</w:t>
      </w:r>
      <w:r>
        <w:rPr/>
        <w:t> </w:t>
      </w:r>
      <w:r>
        <w:rPr>
          <w:spacing w:val="-2"/>
        </w:rPr>
        <w:t>括预留股份）在2012—2014年的3个会计年度中，分年度进行绩效考核并行权，每个会计年度</w:t>
      </w:r>
      <w:r>
        <w:rPr>
          <w:spacing w:val="-111"/>
        </w:rPr>
        <w:t> </w:t>
      </w:r>
      <w:r>
        <w:rPr>
          <w:spacing w:val="-111"/>
        </w:rPr>
      </w:r>
      <w:r>
        <w:rPr/>
        <w:t>考核一次，以达到绩效考核目标作为激励对象的行权条件。各年度绩效考核目标如表所示：</w:t>
      </w:r>
    </w:p>
    <w:tbl>
      <w:tblPr>
        <w:tblW w:w="0" w:type="auto"/>
        <w:jc w:val="left"/>
        <w:tblInd w:w="105" w:type="dxa"/>
        <w:tblLayout w:type="fixed"/>
        <w:tblCellMar>
          <w:top w:w="0" w:type="dxa"/>
          <w:left w:w="0" w:type="dxa"/>
          <w:bottom w:w="0" w:type="dxa"/>
          <w:right w:w="0" w:type="dxa"/>
        </w:tblCellMar>
        <w:tblLook w:val="01E0"/>
      </w:tblPr>
      <w:tblGrid>
        <w:gridCol w:w="2093"/>
        <w:gridCol w:w="6430"/>
      </w:tblGrid>
      <w:tr>
        <w:trPr>
          <w:trHeight w:val="346"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行权期</w:t>
            </w:r>
            <w:r>
              <w:rPr>
                <w:rFonts w:ascii="Microsoft JhengHei" w:hAnsi="Microsoft JhengHei" w:cs="Microsoft JhengHei" w:eastAsia="Microsoft JhengHei" w:hint="default"/>
                <w:sz w:val="21"/>
                <w:szCs w:val="21"/>
              </w:rPr>
            </w:r>
          </w:p>
        </w:tc>
        <w:tc>
          <w:tcPr>
            <w:tcW w:w="643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业绩考核目标</w:t>
            </w:r>
            <w:r>
              <w:rPr>
                <w:rFonts w:ascii="Microsoft JhengHei" w:hAnsi="Microsoft JhengHei" w:cs="Microsoft JhengHei" w:eastAsia="Microsoft JhengHei" w:hint="default"/>
                <w:sz w:val="21"/>
                <w:szCs w:val="21"/>
              </w:rPr>
            </w:r>
          </w:p>
        </w:tc>
      </w:tr>
      <w:tr>
        <w:trPr>
          <w:trHeight w:val="66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第一个行权期</w:t>
            </w:r>
          </w:p>
        </w:tc>
        <w:tc>
          <w:tcPr>
            <w:tcW w:w="643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相比</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年度净利润增长率不低于</w:t>
            </w:r>
            <w:r>
              <w:rPr>
                <w:rFonts w:ascii="Times New Roman" w:hAnsi="Times New Roman" w:cs="Times New Roman" w:eastAsia="Times New Roman" w:hint="default"/>
                <w:spacing w:val="-2"/>
                <w:sz w:val="21"/>
                <w:szCs w:val="21"/>
              </w:rPr>
              <w:t>44%</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年加权平均净资</w:t>
            </w:r>
            <w:r>
              <w:rPr>
                <w:rFonts w:ascii="宋体" w:hAnsi="宋体" w:cs="宋体" w:eastAsia="宋体" w:hint="default"/>
                <w:w w:val="99"/>
                <w:sz w:val="21"/>
                <w:szCs w:val="21"/>
              </w:rPr>
              <w:t> </w:t>
            </w:r>
            <w:r>
              <w:rPr>
                <w:rFonts w:ascii="宋体" w:hAnsi="宋体" w:cs="宋体" w:eastAsia="宋体" w:hint="default"/>
                <w:sz w:val="21"/>
                <w:szCs w:val="21"/>
              </w:rPr>
              <w:t>产收益率不低于</w:t>
            </w:r>
            <w:r>
              <w:rPr>
                <w:rFonts w:ascii="Times New Roman" w:hAnsi="Times New Roman" w:cs="Times New Roman" w:eastAsia="Times New Roman" w:hint="default"/>
                <w:sz w:val="21"/>
                <w:szCs w:val="21"/>
              </w:rPr>
              <w:t>6.0%</w:t>
            </w:r>
          </w:p>
        </w:tc>
      </w:tr>
      <w:tr>
        <w:trPr>
          <w:trHeight w:val="65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第二个行权期</w:t>
            </w:r>
          </w:p>
        </w:tc>
        <w:tc>
          <w:tcPr>
            <w:tcW w:w="643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相比</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年度净利润增长率不低于</w:t>
            </w:r>
            <w:r>
              <w:rPr>
                <w:rFonts w:ascii="Times New Roman" w:hAnsi="Times New Roman" w:cs="Times New Roman" w:eastAsia="Times New Roman" w:hint="default"/>
                <w:spacing w:val="-2"/>
                <w:sz w:val="21"/>
                <w:szCs w:val="21"/>
              </w:rPr>
              <w:t>72%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年加权平均净资</w:t>
            </w:r>
            <w:r>
              <w:rPr>
                <w:rFonts w:ascii="宋体" w:hAnsi="宋体" w:cs="宋体" w:eastAsia="宋体" w:hint="default"/>
                <w:w w:val="99"/>
                <w:sz w:val="21"/>
                <w:szCs w:val="21"/>
              </w:rPr>
              <w:t> </w:t>
            </w:r>
            <w:r>
              <w:rPr>
                <w:rFonts w:ascii="宋体" w:hAnsi="宋体" w:cs="宋体" w:eastAsia="宋体" w:hint="default"/>
                <w:sz w:val="21"/>
                <w:szCs w:val="21"/>
              </w:rPr>
              <w:t>产收益率不低于</w:t>
            </w:r>
            <w:r>
              <w:rPr>
                <w:rFonts w:ascii="Times New Roman" w:hAnsi="Times New Roman" w:cs="Times New Roman" w:eastAsia="Times New Roman" w:hint="default"/>
                <w:sz w:val="21"/>
                <w:szCs w:val="21"/>
              </w:rPr>
              <w:t>6.5%</w:t>
            </w:r>
          </w:p>
        </w:tc>
      </w:tr>
      <w:tr>
        <w:trPr>
          <w:trHeight w:val="66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第三个行权期</w:t>
            </w:r>
          </w:p>
        </w:tc>
        <w:tc>
          <w:tcPr>
            <w:tcW w:w="643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2"/>
              <w:jc w:val="left"/>
              <w:rPr>
                <w:rFonts w:ascii="Times New Roman" w:hAnsi="Times New Roman" w:cs="Times New Roman" w:eastAsia="Times New Roman" w:hint="default"/>
                <w:sz w:val="21"/>
                <w:szCs w:val="21"/>
              </w:rPr>
            </w:pPr>
            <w:r>
              <w:rPr>
                <w:rFonts w:ascii="宋体" w:hAnsi="宋体" w:cs="宋体" w:eastAsia="宋体" w:hint="default"/>
                <w:sz w:val="21"/>
                <w:szCs w:val="21"/>
              </w:rPr>
              <w:t>相比</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年度净利润增长率不低于</w:t>
            </w:r>
            <w:r>
              <w:rPr>
                <w:rFonts w:ascii="Times New Roman" w:hAnsi="Times New Roman" w:cs="Times New Roman" w:eastAsia="Times New Roman" w:hint="default"/>
                <w:sz w:val="21"/>
                <w:szCs w:val="21"/>
              </w:rPr>
              <w:t>107%</w:t>
            </w: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年加权平均净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资产收益率不低于</w:t>
            </w:r>
            <w:r>
              <w:rPr>
                <w:rFonts w:ascii="Times New Roman" w:hAnsi="Times New Roman" w:cs="Times New Roman" w:eastAsia="Times New Roman" w:hint="default"/>
                <w:sz w:val="21"/>
                <w:szCs w:val="21"/>
              </w:rPr>
              <w:t>7.0%</w:t>
            </w:r>
          </w:p>
        </w:tc>
      </w:tr>
    </w:tbl>
    <w:p>
      <w:pPr>
        <w:spacing w:before="61"/>
        <w:ind w:left="595" w:right="0" w:firstLine="0"/>
        <w:jc w:val="left"/>
        <w:rPr>
          <w:rFonts w:ascii="宋体" w:hAnsi="宋体" w:cs="宋体" w:eastAsia="宋体" w:hint="default"/>
          <w:sz w:val="21"/>
          <w:szCs w:val="21"/>
        </w:rPr>
      </w:pPr>
      <w:r>
        <w:rPr>
          <w:rFonts w:ascii="宋体" w:hAnsi="宋体" w:cs="宋体" w:eastAsia="宋体" w:hint="default"/>
          <w:spacing w:val="2"/>
          <w:sz w:val="21"/>
          <w:szCs w:val="21"/>
        </w:rPr>
        <w:t>注：本业绩考核目标中的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净利润</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是指归属于上市公司股东的扣除非经常性损益的净利润；</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加权平</w:t>
      </w:r>
    </w:p>
    <w:p>
      <w:pPr>
        <w:pStyle w:val="BodyText"/>
        <w:spacing w:line="357" w:lineRule="auto" w:before="154"/>
        <w:ind w:left="595" w:right="131" w:hanging="483"/>
        <w:jc w:val="left"/>
      </w:pPr>
      <w:r>
        <w:rPr/>
        <w:t>均净资产收益率”是指扣除非经常性损益后的加权平均净资产收益率。 以上假设行权时对应年报已出，如行权时对应年报未出，则激励对象须等待对应年报出</w:t>
      </w:r>
    </w:p>
    <w:p>
      <w:pPr>
        <w:pStyle w:val="BodyText"/>
        <w:spacing w:line="357" w:lineRule="auto"/>
        <w:ind w:left="595" w:right="131" w:hanging="483"/>
        <w:jc w:val="left"/>
      </w:pPr>
      <w:r>
        <w:rPr/>
        <w:t>具时方可行权。 若公司发生再融资行为，“净资产”为再融资当年扣除该次再融资数额后的净资产值，</w:t>
      </w:r>
    </w:p>
    <w:p>
      <w:pPr>
        <w:pStyle w:val="BodyText"/>
        <w:spacing w:line="357" w:lineRule="auto"/>
        <w:ind w:right="134"/>
        <w:jc w:val="left"/>
      </w:pPr>
      <w:r>
        <w:rPr/>
        <w:t>“净利润”为归属于上市公司股东的扣除非经常性损益的净利润，因再融资募投项目所产生</w:t>
      </w:r>
      <w:r>
        <w:rPr>
          <w:spacing w:val="-116"/>
        </w:rPr>
        <w:t> </w:t>
      </w:r>
      <w:r>
        <w:rPr>
          <w:spacing w:val="-116"/>
        </w:rPr>
      </w:r>
      <w:r>
        <w:rPr/>
        <w:t>的净利润将从融资当年净利润中扣除。</w:t>
      </w:r>
    </w:p>
    <w:p>
      <w:pPr>
        <w:spacing w:after="0" w:line="357"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48" w:firstLine="482"/>
        <w:jc w:val="both"/>
      </w:pPr>
      <w:bookmarkStart w:name="五、承诺事项履行情况" w:id="45"/>
      <w:bookmarkEnd w:id="45"/>
      <w:r>
        <w:rPr/>
      </w:r>
      <w:bookmarkStart w:name="1、公司或持股5%以上股东在报告期内或持续到报告期内的承诺事项" w:id="46"/>
      <w:bookmarkEnd w:id="46"/>
      <w:r>
        <w:rPr/>
      </w:r>
      <w:r>
        <w:rPr/>
        <w:t>由本次股权激励产生的期权成本将在经常性损益中列支。如公司业绩考核达不到上述条 件，则激励对象相对应行权期所获授的可行权数量由公司注销。</w:t>
      </w:r>
    </w:p>
    <w:p>
      <w:pPr>
        <w:pStyle w:val="BodyText"/>
        <w:spacing w:line="357" w:lineRule="auto"/>
        <w:ind w:right="148" w:firstLine="482"/>
        <w:jc w:val="both"/>
      </w:pPr>
      <w:r>
        <w:rPr/>
        <w:t>除此之外，股票期权等待期内，各年度归属于上市公司股东的净利润及归属于上市公司 股东的扣除非经常性损益的净利润均不得低于授权日前最近三个会计年度的平均水平且不得 为负。</w:t>
      </w:r>
    </w:p>
    <w:p>
      <w:pPr>
        <w:pStyle w:val="BodyText"/>
        <w:spacing w:line="357" w:lineRule="auto"/>
        <w:ind w:right="148" w:firstLine="482"/>
        <w:jc w:val="both"/>
      </w:pPr>
      <w:r>
        <w:rPr/>
        <w:t>若根据《北京数字政通科技股份有限公司股票期权激励计划实施考核办法》，激励对象 考核不合格，则其相对应行权期所获授的但尚未行权的股票期权即被取消。</w:t>
      </w:r>
    </w:p>
    <w:p>
      <w:pPr>
        <w:pStyle w:val="BodyText"/>
        <w:spacing w:line="357" w:lineRule="auto"/>
        <w:ind w:right="112" w:firstLine="482"/>
        <w:jc w:val="both"/>
      </w:pPr>
      <w:r>
        <w:rPr>
          <w:spacing w:val="-2"/>
        </w:rPr>
        <w:t>3、根据公司2012年年度报告中披露的数据，2012年相对于2010年的扣除非经常性损益后</w:t>
      </w:r>
      <w:r>
        <w:rPr/>
        <w:t> </w:t>
      </w:r>
      <w:r>
        <w:rPr>
          <w:spacing w:val="-2"/>
        </w:rPr>
        <w:t>的净利润增长率为45.14%。2012度扣除非经常性损益后的加权平均净资产收益率为7.47%。公</w:t>
      </w:r>
      <w:r>
        <w:rPr>
          <w:spacing w:val="-107"/>
        </w:rPr>
        <w:t> </w:t>
      </w:r>
      <w:r>
        <w:rPr>
          <w:spacing w:val="-107"/>
        </w:rPr>
      </w:r>
      <w:r>
        <w:rPr/>
        <w:t>司第一期股票期权行权条件满足，激励对象将等到授予日起</w:t>
      </w:r>
      <w:r>
        <w:rPr>
          <w:spacing w:val="-94"/>
        </w:rPr>
        <w:t> </w:t>
      </w:r>
      <w:r>
        <w:rPr/>
        <w:t>24个月后的首个交易日，根据相</w:t>
      </w:r>
      <w:r>
        <w:rPr/>
        <w:t> 关规定择期安排行权，相关事项经相关程序进行行权。</w:t>
      </w:r>
    </w:p>
    <w:p>
      <w:pPr>
        <w:pStyle w:val="BodyText"/>
        <w:spacing w:line="357" w:lineRule="auto"/>
        <w:ind w:left="595" w:right="2051"/>
        <w:jc w:val="left"/>
      </w:pPr>
      <w:r>
        <w:rPr/>
        <w:t>（三）公司股权激励计划实施的影响 报告期内，公司期权成本3,145,030.00元已摊销计入相关成本费用。</w:t>
      </w:r>
    </w:p>
    <w:p>
      <w:pPr>
        <w:spacing w:before="46"/>
        <w:ind w:left="112" w:right="0" w:firstLine="0"/>
        <w:jc w:val="left"/>
        <w:rPr>
          <w:rFonts w:ascii="宋体" w:hAnsi="宋体" w:cs="宋体" w:eastAsia="宋体" w:hint="default"/>
          <w:sz w:val="18"/>
          <w:szCs w:val="18"/>
        </w:rPr>
      </w:pPr>
      <w:r>
        <w:rPr>
          <w:rFonts w:ascii="宋体" w:hAnsi="宋体" w:cs="宋体" w:eastAsia="宋体" w:hint="default"/>
          <w:sz w:val="18"/>
          <w:szCs w:val="18"/>
        </w:rPr>
        <w:t>股权激励事项临时报告披露网站查询</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关于公司股权激励计划首期股票期权授 予相关事项的公告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关于首期股票期权激励计划预留期权授 予的公告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五、承诺事项履行情况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、公司或持股</w:t>
      </w:r>
      <w:r>
        <w:rPr>
          <w:rFonts w:ascii="Microsoft JhengHei" w:hAnsi="Microsoft JhengHei" w:cs="Microsoft JhengHei" w:eastAsia="Microsoft JhengHei" w:hint="default"/>
          <w:b/>
          <w:bCs/>
          <w:spacing w:val="-10"/>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以上股东在报告期内或持续到报告期内的承诺事项</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92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本公司董事长 及实际控制人 吴强华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让、抵押、质押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或在该股份上 设定任何其他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自公司股票上 市之日起三十 六个月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7"/>
                <w:sz w:val="18"/>
                <w:szCs w:val="18"/>
              </w:rPr>
              <w:t>正常履行，未出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现任何违反该 承诺的情况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7" w:hRule="exact"/>
        </w:trPr>
        <w:tc>
          <w:tcPr>
            <w:tcW w:w="3194"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形式的限制或</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他项权利，不委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托他人管理本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人本次发行前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已持有的公司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股份，也不由公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司回购该部分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股份；本人在任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职期间每年转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让的股份不得</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超过本人所持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有公司股份总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数的百分之二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十五；本人离职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后半年内，不转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让本人所持有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的公司股份。严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格遵守《公司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《公司章</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2"/>
                <w:sz w:val="18"/>
                <w:szCs w:val="18"/>
              </w:rPr>
              <w:t>》</w:t>
            </w:r>
            <w:r>
              <w:rPr>
                <w:rFonts w:ascii="宋体" w:hAnsi="宋体" w:cs="宋体" w:eastAsia="宋体" w:hint="default"/>
                <w:spacing w:val="-128"/>
                <w:sz w:val="18"/>
                <w:szCs w:val="18"/>
              </w:rPr>
              <w:t>、</w:t>
            </w:r>
            <w:r>
              <w:rPr>
                <w:rFonts w:ascii="宋体" w:hAnsi="宋体" w:cs="宋体" w:eastAsia="宋体" w:hint="default"/>
                <w:sz w:val="18"/>
                <w:szCs w:val="18"/>
              </w:rPr>
              <w:t>《关联交易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制度</w:t>
            </w:r>
            <w:r>
              <w:rPr>
                <w:rFonts w:ascii="宋体" w:hAnsi="宋体" w:cs="宋体" w:eastAsia="宋体" w:hint="default"/>
                <w:spacing w:val="-92"/>
                <w:sz w:val="18"/>
                <w:szCs w:val="18"/>
              </w:rPr>
              <w:t>》</w:t>
            </w:r>
            <w:r>
              <w:rPr>
                <w:rFonts w:ascii="宋体" w:hAnsi="宋体" w:cs="宋体" w:eastAsia="宋体" w:hint="default"/>
                <w:spacing w:val="-128"/>
                <w:sz w:val="18"/>
                <w:szCs w:val="18"/>
              </w:rPr>
              <w:t>、</w:t>
            </w:r>
            <w:r>
              <w:rPr>
                <w:rFonts w:ascii="宋体" w:hAnsi="宋体" w:cs="宋体" w:eastAsia="宋体" w:hint="default"/>
                <w:sz w:val="18"/>
                <w:szCs w:val="18"/>
              </w:rPr>
              <w:t>《股东大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会议事规则</w:t>
            </w:r>
            <w:r>
              <w:rPr>
                <w:rFonts w:ascii="宋体" w:hAnsi="宋体" w:cs="宋体" w:eastAsia="宋体" w:hint="default"/>
                <w:spacing w:val="-92"/>
                <w:sz w:val="18"/>
                <w:szCs w:val="18"/>
              </w:rPr>
              <w:t>》</w:t>
            </w:r>
            <w:r>
              <w:rPr>
                <w:rFonts w:ascii="宋体" w:hAnsi="宋体" w:cs="宋体" w:eastAsia="宋体" w:hint="default"/>
                <w:w w:val="50"/>
                <w:sz w:val="18"/>
                <w:szCs w:val="18"/>
              </w:rPr>
              <w:t>、</w:t>
            </w:r>
            <w:r>
              <w:rPr>
                <w:rFonts w:ascii="宋体" w:hAnsi="宋体" w:cs="宋体" w:eastAsia="宋体" w:hint="default"/>
                <w:sz w:val="18"/>
                <w:szCs w:val="18"/>
              </w:rPr>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《董事会议事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95"/>
                <w:sz w:val="18"/>
                <w:szCs w:val="18"/>
              </w:rPr>
              <w:t>规则》等规定，</w:t>
            </w:r>
            <w:r>
              <w:rPr>
                <w:rFonts w:ascii="宋体" w:hAnsi="宋体" w:cs="宋体" w:eastAsia="宋体" w:hint="default"/>
                <w:sz w:val="18"/>
                <w:szCs w:val="18"/>
              </w:rPr>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避免和减少关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联交易，自觉维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护发行人及全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95"/>
                <w:sz w:val="18"/>
                <w:szCs w:val="18"/>
              </w:rPr>
              <w:t>体股东的利益，</w:t>
            </w:r>
            <w:r>
              <w:rPr>
                <w:rFonts w:ascii="宋体" w:hAnsi="宋体" w:cs="宋体" w:eastAsia="宋体" w:hint="default"/>
                <w:sz w:val="18"/>
                <w:szCs w:val="18"/>
              </w:rPr>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将不利用本人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在发行人中的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股东地位在关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联交易中谋取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不正当利益。如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发行人必须与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本人控制的企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业进行关联交</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易，均严格履行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95"/>
                <w:sz w:val="18"/>
                <w:szCs w:val="18"/>
              </w:rPr>
              <w:t>相关法律程序，</w:t>
            </w:r>
            <w:r>
              <w:rPr>
                <w:rFonts w:ascii="宋体" w:hAnsi="宋体" w:cs="宋体" w:eastAsia="宋体" w:hint="default"/>
                <w:sz w:val="18"/>
                <w:szCs w:val="18"/>
              </w:rPr>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遵照市场公平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交易的原则进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行，将促使交易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的价格、相关协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议条款和交易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95"/>
                <w:sz w:val="18"/>
                <w:szCs w:val="18"/>
              </w:rPr>
              <w:t>条件公平合理，</w:t>
            </w:r>
            <w:r>
              <w:rPr>
                <w:rFonts w:ascii="宋体" w:hAnsi="宋体" w:cs="宋体" w:eastAsia="宋体" w:hint="default"/>
                <w:sz w:val="18"/>
                <w:szCs w:val="18"/>
              </w:rPr>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1298"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7"/>
              <w:jc w:val="left"/>
              <w:rPr>
                <w:rFonts w:ascii="宋体" w:hAnsi="宋体" w:cs="宋体" w:eastAsia="宋体" w:hint="default"/>
                <w:sz w:val="18"/>
                <w:szCs w:val="18"/>
              </w:rPr>
            </w:pPr>
            <w:bookmarkStart w:name="六、聘任、解聘会计师事务所情况" w:id="47"/>
            <w:bookmarkEnd w:id="47"/>
            <w:r>
              <w:rPr/>
            </w:r>
            <w:r>
              <w:rPr>
                <w:rFonts w:ascii="宋体" w:hAnsi="宋体" w:cs="宋体" w:eastAsia="宋体" w:hint="default"/>
                <w:sz w:val="18"/>
                <w:szCs w:val="18"/>
              </w:rPr>
              <w:t>不会要求发行 人给予与第三 人的条件相比 更优惠的条件。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265"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09" w:lineRule="auto"/>
              <w:ind w:left="24" w:right="19"/>
              <w:jc w:val="both"/>
              <w:rPr>
                <w:rFonts w:ascii="宋体" w:hAnsi="宋体" w:cs="宋体" w:eastAsia="宋体" w:hint="default"/>
                <w:sz w:val="18"/>
                <w:szCs w:val="18"/>
              </w:rPr>
            </w:pPr>
            <w:r>
              <w:rPr>
                <w:rFonts w:ascii="宋体" w:hAnsi="宋体" w:cs="宋体" w:eastAsia="宋体" w:hint="default"/>
                <w:spacing w:val="-6"/>
                <w:sz w:val="18"/>
                <w:szCs w:val="18"/>
              </w:rPr>
              <w:t>董事、总裁、持</w:t>
            </w:r>
            <w:r>
              <w:rPr>
                <w:rFonts w:ascii="宋体" w:hAnsi="宋体" w:cs="宋体" w:eastAsia="宋体" w:hint="default"/>
                <w:sz w:val="18"/>
                <w:szCs w:val="18"/>
              </w:rPr>
              <w:t> 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 许欣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让、抵押、质押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或在该股份上 设定任何其他 形式的限制或 </w:t>
            </w:r>
            <w:r>
              <w:rPr>
                <w:rFonts w:ascii="宋体" w:hAnsi="宋体" w:cs="宋体" w:eastAsia="宋体" w:hint="default"/>
                <w:spacing w:val="-6"/>
                <w:sz w:val="18"/>
                <w:szCs w:val="18"/>
              </w:rPr>
              <w:t>他项权利，不委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托他人管理本 人本次发行前 已持有的公司 </w:t>
            </w:r>
            <w:r>
              <w:rPr>
                <w:rFonts w:ascii="宋体" w:hAnsi="宋体" w:cs="宋体" w:eastAsia="宋体" w:hint="default"/>
                <w:spacing w:val="-6"/>
                <w:sz w:val="18"/>
                <w:szCs w:val="18"/>
              </w:rPr>
              <w:t>股份，也不由公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司回购该部分 </w:t>
            </w:r>
            <w:r>
              <w:rPr>
                <w:rFonts w:ascii="宋体" w:hAnsi="宋体" w:cs="宋体" w:eastAsia="宋体" w:hint="default"/>
                <w:spacing w:val="-6"/>
                <w:sz w:val="18"/>
                <w:szCs w:val="18"/>
              </w:rPr>
              <w:t>股份；本人在任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职期间每年转 让的股份不得 超过本人所持 有公司股份总 数的百分之二 </w:t>
            </w:r>
            <w:r>
              <w:rPr>
                <w:rFonts w:ascii="宋体" w:hAnsi="宋体" w:cs="宋体" w:eastAsia="宋体" w:hint="default"/>
                <w:spacing w:val="-6"/>
                <w:sz w:val="18"/>
                <w:szCs w:val="18"/>
              </w:rPr>
              <w:t>十五；本人离职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后半年内，不转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让本人所持有 的公司股份。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自公司股票上 市之日起三十 六个月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7"/>
                <w:sz w:val="18"/>
                <w:szCs w:val="18"/>
              </w:rPr>
              <w:t>正常履行，未出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现任何违反该 承诺的情况</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报告期内，公司上述股东均遵守以上承诺，未有违反上述承诺的情况。</w:t>
            </w:r>
          </w:p>
        </w:tc>
      </w:tr>
    </w:tbl>
    <w:p>
      <w:pPr>
        <w:spacing w:line="240" w:lineRule="auto" w:before="6"/>
        <w:rPr>
          <w:rFonts w:ascii="Times New Roman" w:hAnsi="Times New Roman" w:cs="Times New Roman" w:eastAsia="Times New Roman" w:hint="default"/>
          <w:sz w:val="20"/>
          <w:szCs w:val="20"/>
        </w:rPr>
      </w:pPr>
    </w:p>
    <w:p>
      <w:pPr>
        <w:pStyle w:val="Heading2"/>
        <w:spacing w:line="367" w:lineRule="exact"/>
        <w:ind w:right="0"/>
        <w:jc w:val="left"/>
        <w:rPr>
          <w:b w:val="0"/>
          <w:bCs w:val="0"/>
        </w:rPr>
      </w:pPr>
      <w:r>
        <w:rPr/>
        <w:t>六、聘任、解聘会计师事务所情况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886"/>
        <w:gridCol w:w="5683"/>
      </w:tblGrid>
      <w:tr>
        <w:trPr>
          <w:trHeight w:val="401"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3886"/>
        <w:gridCol w:w="5683"/>
      </w:tblGrid>
      <w:tr>
        <w:trPr>
          <w:trHeight w:val="401"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七、上市公司及其董事、监事、高级管理人员、公司股东、实际控制人和收购人处罚及整改" w:id="48"/>
            <w:bookmarkEnd w:id="48"/>
            <w:r>
              <w:rPr/>
            </w: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金朝、齐桂华</w:t>
            </w:r>
          </w:p>
        </w:tc>
      </w:tr>
      <w:tr>
        <w:trPr>
          <w:trHeight w:val="401"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5"/>
          <w:szCs w:val="25"/>
        </w:rPr>
      </w:pPr>
    </w:p>
    <w:p>
      <w:pPr>
        <w:pStyle w:val="Heading2"/>
        <w:spacing w:line="180" w:lineRule="auto"/>
        <w:ind w:right="134"/>
        <w:jc w:val="left"/>
        <w:rPr>
          <w:b w:val="0"/>
          <w:bCs w:val="0"/>
        </w:rPr>
      </w:pPr>
      <w:r>
        <w:rPr/>
        <w:t>七、上市公司及其董事、监事、高级管理人员、公司股东、实际控制人和收购人处罚及整改 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line="340" w:lineRule="auto" w:before="0"/>
        <w:ind w:left="112" w:right="4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40" w:lineRule="auto" w:before="39"/>
        <w:ind w:left="11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上市公司及其子公司是否存在其他重大社会安全问题</w:t>
      </w:r>
    </w:p>
    <w:p>
      <w:pPr>
        <w:spacing w:line="338" w:lineRule="auto" w:before="41"/>
        <w:ind w:left="112" w:right="7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报告期内是否被行政处罚</w:t>
      </w:r>
    </w:p>
    <w:p>
      <w:pPr>
        <w:spacing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footerReference w:type="default" r:id="rId18"/>
          <w:pgSz w:w="11910" w:h="16840"/>
          <w:pgMar w:footer="979" w:header="745" w:top="1060" w:bottom="1160" w:left="1020" w:right="1020"/>
          <w:pgNumType w:start="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456" w:lineRule="exact"/>
        <w:ind w:left="2928" w:right="0"/>
        <w:jc w:val="left"/>
        <w:rPr>
          <w:b w:val="0"/>
          <w:bCs w:val="0"/>
        </w:rPr>
      </w:pPr>
      <w:bookmarkStart w:name="第六节股份变动及股东情况" w:id="49"/>
      <w:bookmarkEnd w:id="49"/>
      <w:r>
        <w:rPr>
          <w:b w:val="0"/>
          <w:bCs w:val="0"/>
        </w:rPr>
      </w:r>
      <w:bookmarkStart w:name="一、股份变动情况" w:id="50"/>
      <w:bookmarkEnd w:id="50"/>
      <w:r>
        <w:rPr>
          <w:b w:val="0"/>
          <w:bCs w:val="0"/>
        </w:rPr>
      </w:r>
      <w:bookmarkStart w:name="1、股份变动情况" w:id="51"/>
      <w:bookmarkEnd w:id="51"/>
      <w:r>
        <w:rPr>
          <w:b w:val="0"/>
          <w:bCs w:val="0"/>
        </w:rPr>
      </w:r>
      <w:bookmarkStart w:name="_bookmark5" w:id="52"/>
      <w:bookmarkEnd w:id="52"/>
      <w:r>
        <w:rPr>
          <w:b w:val="0"/>
          <w:bCs w:val="0"/>
        </w:rPr>
      </w:r>
      <w:r>
        <w:rPr/>
        <w:t>第六节 </w:t>
      </w:r>
      <w:r>
        <w:rPr>
          <w:spacing w:val="10"/>
        </w:rPr>
        <w:t> </w:t>
      </w:r>
      <w:r>
        <w:rPr/>
        <w:t>股份变动及股东情况</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、股份变动情况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033"/>
        <w:gridCol w:w="845"/>
        <w:gridCol w:w="842"/>
        <w:gridCol w:w="845"/>
        <w:gridCol w:w="842"/>
        <w:gridCol w:w="842"/>
        <w:gridCol w:w="845"/>
        <w:gridCol w:w="842"/>
        <w:gridCol w:w="814"/>
        <w:gridCol w:w="814"/>
      </w:tblGrid>
      <w:tr>
        <w:trPr>
          <w:trHeight w:val="403" w:hRule="exact"/>
        </w:trPr>
        <w:tc>
          <w:tcPr>
            <w:tcW w:w="2033" w:type="dxa"/>
            <w:vMerge w:val="restart"/>
            <w:tcBorders>
              <w:top w:val="single" w:sz="4" w:space="0" w:color="000000"/>
              <w:left w:val="single" w:sz="4" w:space="0" w:color="000000"/>
              <w:right w:val="single" w:sz="4" w:space="0" w:color="000000"/>
            </w:tcBorders>
            <w:shd w:val="clear" w:color="auto" w:fill="D3D3D3"/>
          </w:tcPr>
          <w:p>
            <w:pPr/>
          </w:p>
        </w:tc>
        <w:tc>
          <w:tcPr>
            <w:tcW w:w="16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033"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54,339,03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64.69%</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-2,099,979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-2,099,979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52,239,05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62.19%</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54,339,03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64.69%</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-2,099,979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-2,099,979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52,239,05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62.19%</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3,262,543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3.88%</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-2,099,979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-2,099,979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1,162,564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51,076,49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60.81%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51,076,49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60.81%</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29,660,96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35.31%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2,099,979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2,099,979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31,760,94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37.81%</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35.31%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2,099,979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2,099,979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31,760,94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37.81%</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pStyle w:val="BodyText"/>
        <w:spacing w:line="357" w:lineRule="auto" w:before="145"/>
        <w:ind w:right="134" w:firstLine="482"/>
        <w:jc w:val="left"/>
      </w:pPr>
      <w:r>
        <w:rPr/>
        <w:t>北京数字政通科技股份有限公司股东深圳市创新投资集团有限公司于2012年5月16日解 除限售2,099,979股，占公司总股本的2.50%。本次解除限售后，该股东不再持有公司有限售 条件流通股。</w:t>
      </w:r>
    </w:p>
    <w:p>
      <w:pPr>
        <w:spacing w:before="46"/>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12" w:right="8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pStyle w:val="BodyText"/>
        <w:spacing w:line="240" w:lineRule="auto" w:before="74"/>
        <w:ind w:left="595" w:right="0"/>
        <w:jc w:val="left"/>
      </w:pPr>
      <w:r>
        <w:rPr/>
        <w:t>以上变动情况均已办理完毕相关手续</w:t>
      </w:r>
    </w:p>
    <w:p>
      <w:pPr>
        <w:spacing w:before="164"/>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40" w:lineRule="auto" w:before="115"/>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pStyle w:val="BodyText"/>
        <w:spacing w:line="240" w:lineRule="auto" w:before="70"/>
        <w:ind w:left="595" w:right="0"/>
        <w:jc w:val="left"/>
      </w:pPr>
      <w:r>
        <w:rPr/>
        <w:t>不适用</w:t>
      </w:r>
    </w:p>
    <w:p>
      <w:pPr>
        <w:spacing w:after="0" w:line="24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9" w:right="0" w:firstLine="0"/>
        <w:jc w:val="left"/>
        <w:rPr>
          <w:rFonts w:ascii="Microsoft JhengHei" w:hAnsi="Microsoft JhengHei" w:cs="Microsoft JhengHei" w:eastAsia="Microsoft JhengHei" w:hint="default"/>
          <w:sz w:val="21"/>
          <w:szCs w:val="21"/>
        </w:rPr>
      </w:pPr>
      <w:bookmarkStart w:name="2、限售股份变动情况" w:id="53"/>
      <w:bookmarkEnd w:id="53"/>
      <w:r>
        <w:rPr/>
      </w:r>
      <w:bookmarkStart w:name="二、股东和实际控制人情况" w:id="54"/>
      <w:bookmarkEnd w:id="54"/>
      <w:r>
        <w:rPr/>
      </w:r>
      <w:bookmarkStart w:name="1、公司股东数量及持股情况" w:id="55"/>
      <w:bookmarkEnd w:id="55"/>
      <w:r>
        <w:rPr/>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、限售股份变动情况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314"/>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2,099,979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2,099,979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2,099,979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二、股东和实际控制人情况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、公司股东数量及持股情况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363"/>
        <w:gridCol w:w="1368"/>
        <w:gridCol w:w="1368"/>
        <w:gridCol w:w="1368"/>
        <w:gridCol w:w="1368"/>
        <w:gridCol w:w="1368"/>
        <w:gridCol w:w="1368"/>
      </w:tblGrid>
      <w:tr>
        <w:trPr>
          <w:trHeight w:val="401" w:hRule="exact"/>
        </w:trPr>
        <w:tc>
          <w:tcPr>
            <w:tcW w:w="27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5,240</w:t>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4,724</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3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3" w:hRule="exact"/>
        </w:trPr>
        <w:tc>
          <w:tcPr>
            <w:tcW w:w="1363"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7"/>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27,566,847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27,566,847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6,305,733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6,305,733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2,878,407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 </w:t>
            </w:r>
            <w:r>
              <w:rPr>
                <w:rFonts w:ascii="宋体" w:hAnsi="宋体" w:cs="宋体" w:eastAsia="宋体" w:hint="default"/>
                <w:sz w:val="18"/>
                <w:szCs w:val="18"/>
              </w:rPr>
              <w:t>银河行业优选股 票型证券投资基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2,569,455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2,467,458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2,467,458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2,323,566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2,274,741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2,274,741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邵献军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2,170,287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肖家铨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2,127,864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3" w:hRule="exact"/>
        </w:trPr>
        <w:tc>
          <w:tcPr>
            <w:tcW w:w="273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105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731" w:type="dxa"/>
            <w:gridSpan w:val="2"/>
            <w:vMerge/>
            <w:tcBorders>
              <w:left w:val="single" w:sz="4" w:space="0" w:color="000000"/>
              <w:bottom w:val="single" w:sz="4" w:space="0" w:color="000000"/>
              <w:right w:val="single" w:sz="4" w:space="0" w:color="000000"/>
            </w:tcBorders>
            <w:shd w:val="clear" w:color="auto" w:fill="D3D3D3"/>
          </w:tcPr>
          <w:p>
            <w:pPr/>
          </w:p>
        </w:tc>
        <w:tc>
          <w:tcPr>
            <w:tcW w:w="4104" w:type="dxa"/>
            <w:gridSpan w:val="3"/>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银河行业优选股票 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2,700,096</w:t>
            </w:r>
          </w:p>
        </w:tc>
      </w:tr>
      <w:tr>
        <w:trPr>
          <w:trHeight w:val="401"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肖家铨</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2,127,864</w:t>
            </w:r>
          </w:p>
        </w:tc>
      </w:tr>
      <w:tr>
        <w:trPr>
          <w:trHeight w:val="715"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left"/>
              <w:rPr>
                <w:rFonts w:ascii="宋体" w:hAnsi="宋体" w:cs="宋体" w:eastAsia="宋体" w:hint="default"/>
                <w:sz w:val="18"/>
                <w:szCs w:val="18"/>
              </w:rPr>
            </w:pPr>
            <w:r>
              <w:rPr>
                <w:rFonts w:ascii="宋体" w:hAnsi="宋体" w:cs="宋体" w:eastAsia="宋体" w:hint="default"/>
                <w:sz w:val="18"/>
                <w:szCs w:val="18"/>
              </w:rPr>
              <w:t>中国农业银行－益民创新优势混 合型证券投资基金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1,704,742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2731"/>
        <w:gridCol w:w="4104"/>
        <w:gridCol w:w="1368"/>
        <w:gridCol w:w="1368"/>
      </w:tblGrid>
      <w:tr>
        <w:trPr>
          <w:trHeight w:val="713"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5"/>
              <w:jc w:val="left"/>
              <w:rPr>
                <w:rFonts w:ascii="Times New Roman" w:hAnsi="Times New Roman" w:cs="Times New Roman" w:eastAsia="Times New Roman" w:hint="default"/>
                <w:sz w:val="18"/>
                <w:szCs w:val="18"/>
              </w:rPr>
            </w:pPr>
            <w:bookmarkStart w:name="2、公司控股股东情况" w:id="56"/>
            <w:bookmarkEnd w:id="56"/>
            <w:r>
              <w:rPr/>
            </w:r>
            <w:bookmarkStart w:name="3、公司实际控制人情况" w:id="57"/>
            <w:bookmarkEnd w:id="57"/>
            <w:r>
              <w:rPr/>
            </w:r>
            <w:r>
              <w:rPr>
                <w:rFonts w:ascii="宋体" w:hAnsi="宋体" w:cs="宋体" w:eastAsia="宋体" w:hint="default"/>
                <w:sz w:val="18"/>
                <w:szCs w:val="18"/>
              </w:rPr>
              <w:t>中国银行－华夏行业精选股票型 证券投资基金</w:t>
            </w:r>
            <w:r>
              <w:rPr>
                <w:rFonts w:ascii="Times New Roman" w:hAnsi="Times New Roman" w:cs="Times New Roman" w:eastAsia="Times New Roman" w:hint="default"/>
                <w:sz w:val="18"/>
                <w:szCs w:val="18"/>
              </w:rPr>
              <w:t>(LOF)</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1,486,577</w:t>
            </w:r>
          </w:p>
        </w:tc>
      </w:tr>
      <w:tr>
        <w:trPr>
          <w:trHeight w:val="715"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left"/>
              <w:rPr>
                <w:rFonts w:ascii="宋体" w:hAnsi="宋体" w:cs="宋体" w:eastAsia="宋体" w:hint="default"/>
                <w:sz w:val="18"/>
                <w:szCs w:val="18"/>
              </w:rPr>
            </w:pPr>
            <w:r>
              <w:rPr>
                <w:rFonts w:ascii="宋体" w:hAnsi="宋体" w:cs="宋体" w:eastAsia="宋体" w:hint="default"/>
                <w:sz w:val="18"/>
                <w:szCs w:val="18"/>
              </w:rPr>
              <w:t>中国建设银行－华宝兴业多策略 增长证券投资基金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1,075,924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1,075,924</w:t>
            </w:r>
          </w:p>
        </w:tc>
      </w:tr>
      <w:tr>
        <w:trPr>
          <w:trHeight w:val="713"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left"/>
              <w:rPr>
                <w:rFonts w:ascii="宋体" w:hAnsi="宋体" w:cs="宋体" w:eastAsia="宋体" w:hint="default"/>
                <w:sz w:val="18"/>
                <w:szCs w:val="18"/>
              </w:rPr>
            </w:pPr>
            <w:r>
              <w:rPr>
                <w:rFonts w:ascii="宋体" w:hAnsi="宋体" w:cs="宋体" w:eastAsia="宋体" w:hint="default"/>
                <w:sz w:val="18"/>
                <w:szCs w:val="18"/>
              </w:rPr>
              <w:t>中国银行－华宝兴业动力组合股 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w:t>
            </w:r>
          </w:p>
        </w:tc>
      </w:tr>
      <w:tr>
        <w:trPr>
          <w:trHeight w:val="403"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858,870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858,870</w:t>
            </w:r>
          </w:p>
        </w:tc>
      </w:tr>
      <w:tr>
        <w:trPr>
          <w:trHeight w:val="713"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广发证券－交行－广发集合资产 管理计划</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750,420</w:t>
            </w:r>
          </w:p>
        </w:tc>
      </w:tr>
      <w:tr>
        <w:trPr>
          <w:trHeight w:val="715"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left"/>
              <w:rPr>
                <w:rFonts w:ascii="宋体" w:hAnsi="宋体" w:cs="宋体" w:eastAsia="宋体" w:hint="default"/>
                <w:sz w:val="18"/>
                <w:szCs w:val="18"/>
              </w:rPr>
            </w:pPr>
            <w:r>
              <w:rPr>
                <w:rFonts w:ascii="宋体" w:hAnsi="宋体" w:cs="宋体" w:eastAsia="宋体" w:hint="default"/>
                <w:sz w:val="18"/>
                <w:szCs w:val="18"/>
              </w:rPr>
              <w:t>中国建设银行－华夏优势增长股 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413,633</w:t>
            </w:r>
          </w:p>
        </w:tc>
      </w:tr>
      <w:tr>
        <w:trPr>
          <w:trHeight w:val="713"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left"/>
              <w:rPr>
                <w:rFonts w:ascii="宋体" w:hAnsi="宋体" w:cs="宋体" w:eastAsia="宋体" w:hint="default"/>
                <w:sz w:val="18"/>
                <w:szCs w:val="18"/>
              </w:rPr>
            </w:pPr>
            <w:r>
              <w:rPr>
                <w:rFonts w:ascii="宋体" w:hAnsi="宋体" w:cs="宋体" w:eastAsia="宋体" w:hint="default"/>
                <w:sz w:val="18"/>
                <w:szCs w:val="18"/>
              </w:rPr>
              <w:t>中国光大银行股份有限公司－泰 信先行策略开放式证券投资基金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385,879</w:t>
            </w:r>
          </w:p>
        </w:tc>
      </w:tr>
      <w:tr>
        <w:trPr>
          <w:trHeight w:val="715" w:hRule="exact"/>
        </w:trPr>
        <w:tc>
          <w:tcPr>
            <w:tcW w:w="27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7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2"/>
                <w:sz w:val="18"/>
                <w:szCs w:val="18"/>
              </w:rPr>
              <w:t>未知前十名无限售条件股东间是否存在关联关系，也未知是否属于《上市公司持股变动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信息披露管理办法》中规定的一致行动人。</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、公司控股股东情况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12" w:firstLine="482"/>
        <w:jc w:val="both"/>
      </w:pPr>
      <w:r>
        <w:rPr/>
        <w:t>公司的控股股东为吴强华先生。截至报告期末，吴强华先生持有本公司股份27,566,847 股，占公司总股本的32.82%。吴强华先生，男，43岁，中国国籍，无境外居留权，1994</w:t>
      </w:r>
      <w:r>
        <w:rPr>
          <w:spacing w:val="-78"/>
        </w:rPr>
        <w:t> </w:t>
      </w:r>
      <w:r>
        <w:rPr/>
        <w:t>年毕</w:t>
      </w:r>
      <w:r>
        <w:rPr/>
        <w:t> </w:t>
      </w:r>
      <w:r>
        <w:rPr>
          <w:spacing w:val="-3"/>
        </w:rPr>
        <w:t>业于北京林业大学，研究生学历，地理信息和测绘专业高级工程师。1994</w:t>
      </w:r>
      <w:r>
        <w:rPr>
          <w:spacing w:val="17"/>
        </w:rPr>
        <w:t> </w:t>
      </w:r>
      <w:r>
        <w:rPr/>
        <w:t>年至2002年担任北</w:t>
      </w:r>
      <w:r>
        <w:rPr/>
        <w:t> 京建设电子信息工程公司研发工程师、技术部经理，2003年加入有限公司，历任执行总裁、 董事长，现任本公司董事长。</w:t>
      </w:r>
    </w:p>
    <w:p>
      <w:pPr>
        <w:spacing w:before="215"/>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、公司实际控制人情况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12" w:firstLine="482"/>
        <w:jc w:val="both"/>
      </w:pPr>
      <w:r>
        <w:rPr>
          <w:spacing w:val="-5"/>
        </w:rPr>
        <w:t>公司的实际控制人为吴强华先生。截至报告期末，吴强华先生持有本公司股份27,566,847</w:t>
      </w:r>
      <w:r>
        <w:rPr/>
        <w:t> 股，占公司总股本的32.82%。吴强华先生，男，43岁，中国国籍，无境外居留权，1994</w:t>
      </w:r>
      <w:r>
        <w:rPr>
          <w:spacing w:val="-78"/>
        </w:rPr>
        <w:t> </w:t>
      </w:r>
      <w:r>
        <w:rPr/>
        <w:t>年毕</w:t>
      </w:r>
      <w:r>
        <w:rPr/>
        <w:t> </w:t>
      </w:r>
      <w:r>
        <w:rPr>
          <w:spacing w:val="-3"/>
        </w:rPr>
        <w:t>业于北京林业大学，研究生学历，地理信息和测绘专业高级工程师。1994</w:t>
      </w:r>
      <w:r>
        <w:rPr>
          <w:spacing w:val="17"/>
        </w:rPr>
        <w:t> </w:t>
      </w:r>
      <w:r>
        <w:rPr/>
        <w:t>年至2002年担任北</w:t>
      </w:r>
      <w:r>
        <w:rPr/>
        <w:t> 京建设电子信息工程公司研发工程师、技术部经理，2003年加入有限公司，历任执行总裁、 董事长，现任本公司董事长。</w:t>
      </w:r>
    </w:p>
    <w:p>
      <w:pPr>
        <w:spacing w:before="46"/>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after="0"/>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3960" w:lineRule="exact"/>
        <w:ind w:left="2548"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3031549" cy="251460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9" cstate="print"/>
                    <a:stretch>
                      <a:fillRect/>
                    </a:stretch>
                  </pic:blipFill>
                  <pic:spPr>
                    <a:xfrm>
                      <a:off x="0" y="0"/>
                      <a:ext cx="3031549" cy="2514600"/>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11"/>
        <w:rPr>
          <w:rFonts w:ascii="宋体" w:hAnsi="宋体" w:cs="宋体" w:eastAsia="宋体" w:hint="default"/>
          <w:sz w:val="13"/>
          <w:szCs w:val="13"/>
        </w:rPr>
      </w:pPr>
    </w:p>
    <w:p>
      <w:pPr>
        <w:pStyle w:val="BodyText"/>
        <w:spacing w:line="240" w:lineRule="auto" w:before="26"/>
        <w:ind w:right="0"/>
        <w:jc w:val="left"/>
      </w:pPr>
      <w:bookmarkStart w:name="4、前10名有限售条件股东持股数量及限售条件" w:id="58"/>
      <w:bookmarkEnd w:id="58"/>
      <w:r>
        <w:rPr/>
      </w: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、前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12"/>
          <w:sz w:val="21"/>
          <w:szCs w:val="21"/>
        </w:rPr>
        <w:t> </w:t>
      </w:r>
      <w:r>
        <w:rPr>
          <w:rFonts w:ascii="Microsoft JhengHei" w:hAnsi="Microsoft JhengHei" w:cs="Microsoft JhengHei" w:eastAsia="Microsoft JhengHei" w:hint="default"/>
          <w:b/>
          <w:bCs/>
          <w:sz w:val="21"/>
          <w:szCs w:val="21"/>
        </w:rPr>
        <w:t>名有限售条件股东持股数量及限售条件</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4" w:right="50"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27,566,847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6,305,733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2,878,407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2,569,455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2,467,458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2,323,566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2,274,741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邵献军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2,170,287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陈睿</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上海顶势投资有限公司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1,162,564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5"/>
          <w:szCs w:val="25"/>
        </w:rPr>
      </w:pPr>
    </w:p>
    <w:p>
      <w:pPr>
        <w:pStyle w:val="Heading1"/>
        <w:spacing w:line="456" w:lineRule="exact"/>
        <w:ind w:left="1643" w:right="0"/>
        <w:jc w:val="left"/>
        <w:rPr>
          <w:b w:val="0"/>
          <w:bCs w:val="0"/>
        </w:rPr>
      </w:pPr>
      <w:bookmarkStart w:name="第七节董事、监事、高级管理人员和员工情况" w:id="59"/>
      <w:bookmarkEnd w:id="59"/>
      <w:r>
        <w:rPr>
          <w:b w:val="0"/>
          <w:bCs w:val="0"/>
        </w:rPr>
      </w:r>
      <w:bookmarkStart w:name="一、董事、监事和高级管理人员持股变动" w:id="60"/>
      <w:bookmarkEnd w:id="60"/>
      <w:r>
        <w:rPr>
          <w:b w:val="0"/>
          <w:bCs w:val="0"/>
        </w:rPr>
      </w:r>
      <w:bookmarkStart w:name="_bookmark6" w:id="61"/>
      <w:bookmarkEnd w:id="61"/>
      <w:r>
        <w:rPr>
          <w:b w:val="0"/>
          <w:bCs w:val="0"/>
        </w:rPr>
      </w:r>
      <w:r>
        <w:rPr/>
        <w:t>第七节 </w:t>
      </w:r>
      <w:r>
        <w:rPr>
          <w:spacing w:val="17"/>
        </w:rPr>
        <w:t> </w:t>
      </w:r>
      <w:r>
        <w:rPr/>
        <w:t>董事、监事、高级管理人员和员工情况</w:t>
      </w:r>
      <w:r>
        <w:rPr>
          <w:b w:val="0"/>
          <w:bCs w:val="0"/>
        </w:rPr>
      </w:r>
    </w:p>
    <w:p>
      <w:pPr>
        <w:spacing w:line="240" w:lineRule="auto" w:before="12"/>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pict>
          <v:shape style="position:absolute;margin-left:426.480011pt;margin-top:36.793674pt;width:39.85pt;height:97.8pt;mso-position-horizontal-relative:page;mso-position-vertical-relative:paragraph;z-index:-688816"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11"/>
                    <w:rPr>
                      <w:rFonts w:ascii="Microsoft JhengHei" w:hAnsi="Microsoft JhengHei" w:cs="Microsoft JhengHei" w:eastAsia="Microsoft JhengHei" w:hint="default"/>
                      <w:b/>
                      <w:bCs/>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94.880005pt;margin-top:36.793674pt;width:39.85pt;height:97.8pt;mso-position-horizontal-relative:page;mso-position-vertical-relative:paragraph;z-index:-688792"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11"/>
                    <w:rPr>
                      <w:rFonts w:ascii="Microsoft JhengHei" w:hAnsi="Microsoft JhengHei" w:cs="Microsoft JhengHei" w:eastAsia="Microsoft JhengHei" w:hint="default"/>
                      <w:b/>
                      <w:bCs/>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一、董事、监事和高级管理人员持股变动</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684"/>
        <w:gridCol w:w="682"/>
        <w:gridCol w:w="684"/>
        <w:gridCol w:w="682"/>
        <w:gridCol w:w="684"/>
        <w:gridCol w:w="684"/>
        <w:gridCol w:w="682"/>
        <w:gridCol w:w="684"/>
        <w:gridCol w:w="684"/>
        <w:gridCol w:w="682"/>
        <w:gridCol w:w="684"/>
        <w:gridCol w:w="684"/>
        <w:gridCol w:w="684"/>
        <w:gridCol w:w="682"/>
      </w:tblGrid>
      <w:tr>
        <w:trPr>
          <w:trHeight w:val="1961" w:hRule="exact"/>
        </w:trPr>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16" w:lineRule="auto"/>
              <w:ind w:left="156"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16" w:lineRule="auto"/>
              <w:ind w:left="156" w:right="62"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24"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24" w:right="65"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量（股</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27,566,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27,566,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847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董事； 总裁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2,878,4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2,878,4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王洪深</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2,467,4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2,467,4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邵建平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秦其明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高文荣</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684"/>
        <w:gridCol w:w="682"/>
        <w:gridCol w:w="684"/>
        <w:gridCol w:w="682"/>
        <w:gridCol w:w="684"/>
        <w:gridCol w:w="684"/>
        <w:gridCol w:w="682"/>
        <w:gridCol w:w="684"/>
        <w:gridCol w:w="684"/>
        <w:gridCol w:w="682"/>
        <w:gridCol w:w="684"/>
        <w:gridCol w:w="684"/>
        <w:gridCol w:w="684"/>
        <w:gridCol w:w="682"/>
      </w:tblGrid>
      <w:tr>
        <w:trPr>
          <w:trHeight w:val="362"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bookmarkStart w:name="二、任职情况" w:id="62"/>
            <w:bookmarkEnd w:id="62"/>
            <w:r>
              <w:rPr/>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幸帮艳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7"/>
              <w:jc w:val="both"/>
              <w:rPr>
                <w:rFonts w:ascii="宋体" w:hAnsi="宋体" w:cs="宋体" w:eastAsia="宋体" w:hint="default"/>
                <w:sz w:val="18"/>
                <w:szCs w:val="18"/>
              </w:rPr>
            </w:pPr>
            <w:r>
              <w:rPr>
                <w:rFonts w:ascii="宋体" w:hAnsi="宋体" w:cs="宋体" w:eastAsia="宋体" w:hint="default"/>
                <w:sz w:val="18"/>
                <w:szCs w:val="18"/>
              </w:rPr>
              <w:t>董事会 秘书； 副总裁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刘纲</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戴敏云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吴天宝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原董事 会秘书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46,631,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466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46,631,</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466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二、任职情况</w:t>
      </w:r>
      <w:r>
        <w:rPr>
          <w:b w:val="0"/>
          <w:bCs w:val="0"/>
        </w:rPr>
      </w:r>
    </w:p>
    <w:p>
      <w:pPr>
        <w:spacing w:line="240" w:lineRule="auto" w:before="8"/>
        <w:rPr>
          <w:rFonts w:ascii="Microsoft JhengHei" w:hAnsi="Microsoft JhengHei" w:cs="Microsoft JhengHei" w:eastAsia="Microsoft JhengHei" w:hint="default"/>
          <w:b/>
          <w:bCs/>
          <w:sz w:val="18"/>
          <w:szCs w:val="1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40" w:lineRule="auto" w:before="132"/>
        <w:ind w:left="595" w:right="0"/>
        <w:jc w:val="left"/>
      </w:pPr>
      <w:r>
        <w:rPr/>
        <w:t>1、公司现任董事</w:t>
      </w:r>
    </w:p>
    <w:p>
      <w:pPr>
        <w:pStyle w:val="BodyText"/>
        <w:spacing w:line="357" w:lineRule="auto" w:before="154"/>
        <w:ind w:right="100" w:firstLine="482"/>
        <w:jc w:val="left"/>
      </w:pPr>
      <w:r>
        <w:rPr>
          <w:spacing w:val="-3"/>
        </w:rPr>
        <w:t>吴强华先生，男，43 岁，中国国籍，无境外居留权，1994 </w:t>
      </w:r>
      <w:r>
        <w:rPr/>
        <w:t>年毕业于北京林业大学，</w:t>
      </w:r>
      <w:r>
        <w:rPr>
          <w:spacing w:val="2"/>
        </w:rPr>
        <w:t> </w:t>
      </w:r>
      <w:r>
        <w:rPr/>
        <w:t>研</w:t>
      </w:r>
      <w:r>
        <w:rPr/>
        <w:t> 究生学历，地理信息和测绘专业高级工程师。1994 年至2002</w:t>
      </w:r>
      <w:r>
        <w:rPr>
          <w:spacing w:val="-1"/>
        </w:rPr>
        <w:t> </w:t>
      </w:r>
      <w:r>
        <w:rPr/>
        <w:t>年担任北京建设电子信息工程</w:t>
      </w:r>
    </w:p>
    <w:p>
      <w:pPr>
        <w:spacing w:after="0" w:line="357"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35"/>
        <w:jc w:val="left"/>
      </w:pPr>
      <w:r>
        <w:rPr/>
        <w:t>公司研发工程师、技术部经理，2003 年加入有限公司，历任执行总裁、董事长，</w:t>
      </w:r>
      <w:r>
        <w:rPr>
          <w:spacing w:val="-1"/>
        </w:rPr>
        <w:t> </w:t>
      </w:r>
      <w:r>
        <w:rPr/>
        <w:t>现任本公</w:t>
      </w:r>
      <w:r>
        <w:rPr/>
        <w:t> 司董事长。</w:t>
      </w:r>
    </w:p>
    <w:p>
      <w:pPr>
        <w:pStyle w:val="BodyText"/>
        <w:spacing w:line="357" w:lineRule="auto"/>
        <w:ind w:right="112" w:firstLine="482"/>
        <w:jc w:val="both"/>
      </w:pPr>
      <w:r>
        <w:rPr/>
        <w:t>许欣，男，46 岁，中国国籍，无境外居留权，1989 年毕业于北京工业大学，大学本科 学历。1989 年至1993 年担任建设部信息中心工程师；1993 年至2002</w:t>
      </w:r>
      <w:r>
        <w:rPr>
          <w:spacing w:val="-2"/>
        </w:rPr>
        <w:t> </w:t>
      </w:r>
      <w:r>
        <w:rPr/>
        <w:t>年担任北京建设电子</w:t>
      </w:r>
      <w:r>
        <w:rPr/>
        <w:t> 信息工程公司市场部经理和规管事业部副经理；2003</w:t>
      </w:r>
      <w:r>
        <w:rPr>
          <w:spacing w:val="-14"/>
        </w:rPr>
        <w:t> </w:t>
      </w:r>
      <w:r>
        <w:rPr>
          <w:spacing w:val="-4"/>
        </w:rPr>
        <w:t>年加入有限公司，历任销售总监、副董</w:t>
      </w:r>
      <w:r>
        <w:rPr/>
        <w:t> 事长，现任本公司总裁。</w:t>
      </w:r>
    </w:p>
    <w:p>
      <w:pPr>
        <w:pStyle w:val="BodyText"/>
        <w:spacing w:line="357" w:lineRule="auto"/>
        <w:ind w:right="112" w:firstLine="482"/>
        <w:jc w:val="both"/>
      </w:pPr>
      <w:r>
        <w:rPr/>
        <w:t>朱华，男，38 岁，中国国籍，无境外居留权，2000 年毕业于北京理工大学，研究生学 </w:t>
      </w:r>
      <w:r>
        <w:rPr>
          <w:spacing w:val="-17"/>
        </w:rPr>
        <w:t>历。2000</w:t>
      </w:r>
      <w:r>
        <w:rPr/>
        <w:t> 年至2002 </w:t>
      </w:r>
      <w:r>
        <w:rPr>
          <w:spacing w:val="-4"/>
        </w:rPr>
        <w:t>年担任北京建设数字科技有限责任公司项目经理；2002</w:t>
      </w:r>
      <w:r>
        <w:rPr>
          <w:spacing w:val="2"/>
        </w:rPr>
        <w:t> </w:t>
      </w:r>
      <w:r>
        <w:rPr>
          <w:w w:val="93"/>
        </w:rPr>
        <w:t>年加入有限公司，</w:t>
      </w:r>
      <w:r>
        <w:rPr>
          <w:w w:val="50"/>
        </w:rPr>
        <w:t> </w:t>
      </w:r>
      <w:r>
        <w:rPr/>
        <w:t>历任工程部经理、规划和国土事业部副总经理、规划和国土事业部总经理。现任公司董事、</w:t>
      </w:r>
      <w:r>
        <w:rPr/>
        <w:t> 副总裁。</w:t>
      </w:r>
    </w:p>
    <w:p>
      <w:pPr>
        <w:pStyle w:val="BodyText"/>
        <w:spacing w:line="357" w:lineRule="auto"/>
        <w:ind w:right="112" w:firstLine="482"/>
        <w:jc w:val="both"/>
      </w:pPr>
      <w:r>
        <w:rPr/>
        <w:t>李国忠，男，38 岁，中国国籍，无境外居留权，1999 年毕业于北京工业大学半导体器 件与微电子学专业，硕士学历。1999 年至2002</w:t>
      </w:r>
      <w:r>
        <w:rPr>
          <w:spacing w:val="2"/>
        </w:rPr>
        <w:t> </w:t>
      </w:r>
      <w:r>
        <w:rPr/>
        <w:t>年担任北京建设数字科技有限责任公司研发</w:t>
      </w:r>
      <w:r>
        <w:rPr/>
        <w:t> </w:t>
      </w:r>
      <w:r>
        <w:rPr>
          <w:spacing w:val="-6"/>
        </w:rPr>
        <w:t>工程师，2002 </w:t>
      </w:r>
      <w:r>
        <w:rPr/>
        <w:t>年至2004 </w:t>
      </w:r>
      <w:r>
        <w:rPr>
          <w:spacing w:val="-3"/>
        </w:rPr>
        <w:t>年担任公司高级研发工程师，2004</w:t>
      </w:r>
      <w:r>
        <w:rPr>
          <w:spacing w:val="22"/>
        </w:rPr>
        <w:t> </w:t>
      </w:r>
      <w:r>
        <w:rPr/>
        <w:t>年至今担任公司规划和国土事业</w:t>
      </w:r>
      <w:r>
        <w:rPr/>
        <w:t> 部规划业务研发经理。现任公司董事、规划和国土事业部规划业务研发经理。</w:t>
      </w:r>
    </w:p>
    <w:p>
      <w:pPr>
        <w:pStyle w:val="BodyText"/>
        <w:spacing w:line="357" w:lineRule="auto"/>
        <w:ind w:right="112" w:firstLine="482"/>
        <w:jc w:val="both"/>
      </w:pPr>
      <w:r>
        <w:rPr>
          <w:spacing w:val="-4"/>
        </w:rPr>
        <w:t>王洪深，男，36</w:t>
      </w:r>
      <w:r>
        <w:rPr>
          <w:spacing w:val="-58"/>
        </w:rPr>
        <w:t> </w:t>
      </w:r>
      <w:r>
        <w:rPr>
          <w:spacing w:val="-3"/>
        </w:rPr>
        <w:t>岁，中国国籍，无境外居留权，2002</w:t>
      </w:r>
      <w:r>
        <w:rPr>
          <w:spacing w:val="-58"/>
        </w:rPr>
        <w:t> </w:t>
      </w:r>
      <w:r>
        <w:rPr/>
        <w:t>年毕业于清华大学，研究生学历。</w:t>
      </w:r>
      <w:r>
        <w:rPr>
          <w:w w:val="50"/>
        </w:rPr>
        <w:t> </w:t>
      </w:r>
      <w:r>
        <w:rPr>
          <w:w w:val="95"/>
        </w:rPr>
        <w:t>2002 </w:t>
      </w:r>
      <w:r>
        <w:rPr>
          <w:spacing w:val="-6"/>
          <w:w w:val="95"/>
        </w:rPr>
        <w:t>年加入有限公司，历任研发组组长、研发部经理、数字城管事业部副总经理、技术总监。</w:t>
      </w:r>
      <w:r>
        <w:rPr>
          <w:spacing w:val="-48"/>
          <w:w w:val="95"/>
        </w:rPr>
        <w:t> </w:t>
      </w:r>
      <w:r>
        <w:rPr>
          <w:spacing w:val="-48"/>
          <w:w w:val="95"/>
        </w:rPr>
      </w:r>
      <w:r>
        <w:rPr/>
        <w:t>现任公司副总裁、技术总监。</w:t>
      </w:r>
    </w:p>
    <w:p>
      <w:pPr>
        <w:pStyle w:val="BodyText"/>
        <w:spacing w:line="357" w:lineRule="auto"/>
        <w:ind w:right="112" w:firstLine="482"/>
        <w:jc w:val="both"/>
      </w:pPr>
      <w:r>
        <w:rPr/>
        <w:t>胡环宇，男，34 岁，中国国籍，无境外居留权，2004 年毕业于北京科技大学，研究生 </w:t>
      </w:r>
      <w:r>
        <w:rPr>
          <w:spacing w:val="-4"/>
        </w:rPr>
        <w:t>学历。2004</w:t>
      </w:r>
      <w:r>
        <w:rPr>
          <w:spacing w:val="-52"/>
        </w:rPr>
        <w:t> </w:t>
      </w:r>
      <w:r>
        <w:rPr/>
        <w:t>年加入有限公司，历任数字城管事业部工程部项目经理、数字城管事业部工程部</w:t>
      </w:r>
      <w:r>
        <w:rPr/>
        <w:t> 经理、数字城管事业部副总经理、数字城管事业部总经理。现任公司副总裁、数字城管事业 部总经理。</w:t>
      </w:r>
    </w:p>
    <w:p>
      <w:pPr>
        <w:pStyle w:val="BodyText"/>
        <w:spacing w:line="357" w:lineRule="auto"/>
        <w:ind w:right="98" w:firstLine="482"/>
        <w:jc w:val="left"/>
      </w:pPr>
      <w:r>
        <w:rPr/>
        <w:t>邵建平，男，59 岁，中国国籍，无境外居留权，1977 年毕业于清华大学电子工程系计 算机专业，大学本科学历。1977 年至1985 年担任北京计算机三厂厂长助理职务； 1985</w:t>
      </w:r>
      <w:r>
        <w:rPr>
          <w:spacing w:val="1"/>
        </w:rPr>
        <w:t> </w:t>
      </w:r>
      <w:r>
        <w:rPr/>
        <w:t>年</w:t>
      </w:r>
      <w:r>
        <w:rPr/>
        <w:t> 至1988 年担任日本DCL </w:t>
      </w:r>
      <w:r>
        <w:rPr>
          <w:spacing w:val="-5"/>
        </w:rPr>
        <w:t>株式会社软件开发研修生职务；1988 </w:t>
      </w:r>
      <w:r>
        <w:rPr/>
        <w:t>年至1989</w:t>
      </w:r>
      <w:r>
        <w:rPr>
          <w:spacing w:val="11"/>
        </w:rPr>
        <w:t> </w:t>
      </w:r>
      <w:r>
        <w:rPr/>
        <w:t>年担任北京计算机三</w:t>
      </w:r>
      <w:r>
        <w:rPr/>
        <w:t> 厂厂长助理职务；1989 年至1990 年任职于京电香港有限公司；1990 年至2001</w:t>
      </w:r>
      <w:r>
        <w:rPr>
          <w:spacing w:val="-1"/>
        </w:rPr>
        <w:t> </w:t>
      </w:r>
      <w:r>
        <w:rPr/>
        <w:t>年担任北京</w:t>
      </w:r>
      <w:r>
        <w:rPr/>
        <w:t> 计算机三厂厂长助理职务；2001 年至2006</w:t>
      </w:r>
      <w:r>
        <w:rPr>
          <w:spacing w:val="-53"/>
        </w:rPr>
        <w:t> </w:t>
      </w:r>
      <w:r>
        <w:rPr/>
        <w:t>年担任首都信息发展股份有限公司副总裁职务；</w:t>
      </w:r>
      <w:r>
        <w:rPr>
          <w:w w:val="66"/>
        </w:rPr>
        <w:t> </w:t>
      </w:r>
      <w:r>
        <w:rPr/>
        <w:t>2006</w:t>
      </w:r>
      <w:r>
        <w:rPr>
          <w:spacing w:val="2"/>
        </w:rPr>
        <w:t> </w:t>
      </w:r>
      <w:r>
        <w:rPr/>
        <w:t>年至今担任首都信息发展股份有限公司顾问职务。现任公司独立董事。</w:t>
      </w:r>
    </w:p>
    <w:p>
      <w:pPr>
        <w:pStyle w:val="BodyText"/>
        <w:spacing w:line="357" w:lineRule="auto"/>
        <w:ind w:right="112" w:firstLine="482"/>
        <w:jc w:val="both"/>
      </w:pPr>
      <w:r>
        <w:rPr>
          <w:spacing w:val="-5"/>
        </w:rPr>
        <w:t>秦其明，男，57</w:t>
      </w:r>
      <w:r>
        <w:rPr>
          <w:spacing w:val="-54"/>
        </w:rPr>
        <w:t> </w:t>
      </w:r>
      <w:r>
        <w:rPr>
          <w:spacing w:val="-3"/>
        </w:rPr>
        <w:t>岁，中国国籍，无境外居留权，1990</w:t>
      </w:r>
      <w:r>
        <w:rPr>
          <w:spacing w:val="-54"/>
        </w:rPr>
        <w:t> </w:t>
      </w:r>
      <w:r>
        <w:rPr/>
        <w:t>年毕业于北京大学自然地理专业，</w:t>
      </w:r>
      <w:r>
        <w:rPr>
          <w:w w:val="50"/>
        </w:rPr>
        <w:t> </w:t>
      </w:r>
      <w:r>
        <w:rPr>
          <w:spacing w:val="-5"/>
        </w:rPr>
        <w:t>博士学历。1997 </w:t>
      </w:r>
      <w:r>
        <w:rPr/>
        <w:t>年至2001 年担任北京大学遥感研究所副所长职务；2001</w:t>
      </w:r>
      <w:r>
        <w:rPr>
          <w:spacing w:val="-32"/>
        </w:rPr>
        <w:t> </w:t>
      </w:r>
      <w:r>
        <w:rPr/>
        <w:t>年至今担任北京大</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240" w:lineRule="auto" w:before="26"/>
        <w:ind w:right="251"/>
        <w:jc w:val="left"/>
      </w:pPr>
      <w:r>
        <w:rPr/>
        <w:t>学地球与空间学院副院长职务。现任公司独立董事。</w:t>
      </w:r>
    </w:p>
    <w:p>
      <w:pPr>
        <w:pStyle w:val="BodyText"/>
        <w:spacing w:line="357" w:lineRule="auto" w:before="154"/>
        <w:ind w:right="96" w:firstLine="482"/>
        <w:jc w:val="left"/>
      </w:pPr>
      <w:r>
        <w:rPr/>
        <w:t>高文荣，女，39 岁，中国国籍，无境外居留权，1996 年毕业于山西财经大学计划统计 专业，本科学历，注册会计师、注册评估师、注册税务师，1999 年1 月至2007 年1</w:t>
      </w:r>
      <w:r>
        <w:rPr>
          <w:spacing w:val="2"/>
        </w:rPr>
        <w:t> </w:t>
      </w:r>
      <w:r>
        <w:rPr/>
        <w:t>月，历</w:t>
      </w:r>
      <w:r>
        <w:rPr/>
        <w:t> 任山西煤炭气化公司统计员、山西华岳会计师事务所有限公司项目经理、中审会计师事务所 </w:t>
      </w:r>
      <w:r>
        <w:rPr>
          <w:spacing w:val="-3"/>
        </w:rPr>
        <w:t>有限公司高级项目经理，现任中磊会计师事务所有限责任公司高级经理。现任公司独立董事。</w:t>
      </w:r>
    </w:p>
    <w:p>
      <w:pPr>
        <w:pStyle w:val="BodyText"/>
        <w:spacing w:line="240" w:lineRule="auto"/>
        <w:ind w:left="595" w:right="251"/>
        <w:jc w:val="left"/>
      </w:pPr>
      <w:r>
        <w:rPr/>
        <w:t>2、公司现任监事</w:t>
      </w:r>
    </w:p>
    <w:p>
      <w:pPr>
        <w:pStyle w:val="BodyText"/>
        <w:spacing w:line="357" w:lineRule="auto" w:before="154"/>
        <w:ind w:right="230" w:firstLine="482"/>
        <w:jc w:val="both"/>
      </w:pPr>
      <w:r>
        <w:rPr>
          <w:spacing w:val="-4"/>
        </w:rPr>
        <w:t>张蕾，女，38 </w:t>
      </w:r>
      <w:r>
        <w:rPr>
          <w:spacing w:val="-3"/>
        </w:rPr>
        <w:t>岁，中国国籍，无境外居留权，1998 </w:t>
      </w:r>
      <w:r>
        <w:rPr/>
        <w:t>年毕业于西安交通大学， 研究生学</w:t>
      </w:r>
      <w:r>
        <w:rPr/>
        <w:t> 历。1998 年至2002 年担任北京建设电子信息工程公司研发工程师，2002</w:t>
      </w:r>
      <w:r>
        <w:rPr>
          <w:spacing w:val="-80"/>
        </w:rPr>
        <w:t> </w:t>
      </w:r>
      <w:r>
        <w:rPr/>
        <w:t>年加入有限公司，</w:t>
      </w:r>
      <w:r>
        <w:rPr>
          <w:w w:val="66"/>
        </w:rPr>
        <w:t> </w:t>
      </w:r>
      <w:r>
        <w:rPr/>
        <w:t>历任研发组长、研发经理。现任公司监事会主席、规划和国土事业部国土业务研发经理。</w:t>
      </w:r>
    </w:p>
    <w:p>
      <w:pPr>
        <w:pStyle w:val="BodyText"/>
        <w:spacing w:line="357" w:lineRule="auto"/>
        <w:ind w:right="232" w:firstLine="482"/>
        <w:jc w:val="both"/>
      </w:pPr>
      <w:r>
        <w:rPr>
          <w:spacing w:val="-4"/>
        </w:rPr>
        <w:t>幸帮艳，女，39岁，中国国籍，无境外居留权，2003</w:t>
      </w:r>
      <w:r>
        <w:rPr>
          <w:spacing w:val="17"/>
        </w:rPr>
        <w:t> </w:t>
      </w:r>
      <w:r>
        <w:rPr/>
        <w:t>年至今在北京数字政通科技股份有</w:t>
      </w:r>
      <w:r>
        <w:rPr/>
        <w:t> 限公司任职财务工作。现任公司监事。</w:t>
      </w:r>
    </w:p>
    <w:p>
      <w:pPr>
        <w:pStyle w:val="BodyText"/>
        <w:spacing w:line="357" w:lineRule="auto"/>
        <w:ind w:right="232" w:firstLine="482"/>
        <w:jc w:val="both"/>
      </w:pPr>
      <w:r>
        <w:rPr/>
        <w:t>冯立，女，40岁，中国国籍，无境外居留权，1995年毕业于辽宁大学，本科学历。1995 年10 月至1998 年2 月在上海新昌公司担任总经理助理；1998 年2 月至2000 年6</w:t>
      </w:r>
      <w:r>
        <w:rPr>
          <w:spacing w:val="-2"/>
        </w:rPr>
        <w:t> </w:t>
      </w:r>
      <w:r>
        <w:rPr/>
        <w:t>月在中国</w:t>
      </w:r>
      <w:r>
        <w:rPr/>
        <w:t> </w:t>
      </w:r>
      <w:r>
        <w:rPr>
          <w:spacing w:val="-4"/>
        </w:rPr>
        <w:t>水产(集团)总公司担任总经办助理；2000 </w:t>
      </w:r>
      <w:r>
        <w:rPr/>
        <w:t>年7 月至2005 年10</w:t>
      </w:r>
      <w:r>
        <w:rPr>
          <w:spacing w:val="5"/>
        </w:rPr>
        <w:t> </w:t>
      </w:r>
      <w:r>
        <w:rPr/>
        <w:t>月在神州卫视台担任节目后期</w:t>
      </w:r>
      <w:r>
        <w:rPr/>
        <w:t> 制作总经理；2005年10月至2007年4月在北京京奇信装饰工程公司担任办公室主任；2007年4 月加入有限公司，历任人事行政经理。现任公司监事、人事行政经理。</w:t>
      </w:r>
    </w:p>
    <w:p>
      <w:pPr>
        <w:pStyle w:val="BodyText"/>
        <w:spacing w:line="357" w:lineRule="auto"/>
        <w:ind w:left="595" w:right="4331" w:firstLine="120"/>
        <w:jc w:val="left"/>
      </w:pPr>
      <w:r>
        <w:rPr/>
        <w:t>3、公司现任高级管理人员 许欣，男，现任公司总裁，详见董事简历。 朱华，男，现任公司副总裁，详见董事简历。 胡环宇，男，现任公司副总裁，详见董事简历。 王洪深，男，现任公司副总裁，详见董事简历。</w:t>
      </w:r>
    </w:p>
    <w:p>
      <w:pPr>
        <w:pStyle w:val="BodyText"/>
        <w:spacing w:line="357" w:lineRule="auto"/>
        <w:ind w:right="232" w:firstLine="482"/>
        <w:jc w:val="both"/>
      </w:pPr>
      <w:r>
        <w:rPr>
          <w:spacing w:val="-5"/>
        </w:rPr>
        <w:t>王东，男，42</w:t>
      </w:r>
      <w:r>
        <w:rPr>
          <w:spacing w:val="-47"/>
        </w:rPr>
        <w:t> </w:t>
      </w:r>
      <w:r>
        <w:rPr/>
        <w:t>岁，中国国籍，硕士学位。曾任立得空间信息技术股份有限公司北京公司</w:t>
      </w:r>
      <w:r>
        <w:rPr/>
        <w:t> 总经理，2010 年11</w:t>
      </w:r>
      <w:r>
        <w:rPr>
          <w:spacing w:val="2"/>
        </w:rPr>
        <w:t> </w:t>
      </w:r>
      <w:r>
        <w:rPr/>
        <w:t>月加入本公司，现任公司副总裁。</w:t>
      </w:r>
    </w:p>
    <w:p>
      <w:pPr>
        <w:pStyle w:val="BodyText"/>
        <w:spacing w:line="357" w:lineRule="auto"/>
        <w:ind w:right="232" w:firstLine="482"/>
        <w:jc w:val="both"/>
      </w:pPr>
      <w:r>
        <w:rPr/>
        <w:t>邱鲁闽，36岁，中国国籍，无境外居留权，2002 年毕业于清华大学经济管理学院， 研 </w:t>
      </w:r>
      <w:r>
        <w:rPr>
          <w:spacing w:val="-3"/>
        </w:rPr>
        <w:t>究生学历，曾任北京华胜天成科技股份有限公司投资总监及董事会秘书，2012 </w:t>
      </w:r>
      <w:r>
        <w:rPr/>
        <w:t>年2</w:t>
      </w:r>
      <w:r>
        <w:rPr>
          <w:spacing w:val="28"/>
        </w:rPr>
        <w:t> </w:t>
      </w:r>
      <w:r>
        <w:rPr/>
        <w:t>月加入本</w:t>
      </w:r>
      <w:r>
        <w:rPr/>
        <w:t> 公司，现任公司副总裁及董事会秘书。</w:t>
      </w:r>
    </w:p>
    <w:p>
      <w:pPr>
        <w:pStyle w:val="BodyText"/>
        <w:spacing w:line="357" w:lineRule="auto"/>
        <w:ind w:right="232" w:firstLine="482"/>
        <w:jc w:val="both"/>
      </w:pPr>
      <w:r>
        <w:rPr/>
        <w:t>殷小敏，女，56岁，中国国籍，无境外居留权，1986 年毕业于北京广播电视大学， 专 </w:t>
      </w:r>
      <w:r>
        <w:rPr>
          <w:spacing w:val="-3"/>
        </w:rPr>
        <w:t>科学历。1981 </w:t>
      </w:r>
      <w:r>
        <w:rPr/>
        <w:t>年至2006 </w:t>
      </w:r>
      <w:r>
        <w:rPr>
          <w:spacing w:val="-3"/>
        </w:rPr>
        <w:t>年担任北京友谊宾馆出纳、会计、总账主管、财务经理；2006</w:t>
      </w:r>
      <w:r>
        <w:rPr>
          <w:spacing w:val="30"/>
        </w:rPr>
        <w:t> </w:t>
      </w:r>
      <w:r>
        <w:rPr/>
        <w:t>年至</w:t>
      </w:r>
      <w:r>
        <w:rPr/>
        <w:t> 2007 年担任中国清洁发展机制基金管理中心财务主管；2007</w:t>
      </w:r>
      <w:r>
        <w:rPr>
          <w:spacing w:val="-1"/>
        </w:rPr>
        <w:t> </w:t>
      </w:r>
      <w:r>
        <w:rPr/>
        <w:t>年加入有限公司，任财务负责</w:t>
      </w:r>
    </w:p>
    <w:p>
      <w:pPr>
        <w:spacing w:after="0" w:line="357" w:lineRule="auto"/>
        <w:jc w:val="both"/>
        <w:sectPr>
          <w:pgSz w:w="11910" w:h="16840"/>
          <w:pgMar w:header="745" w:footer="979" w:top="1060" w:bottom="1160" w:left="1020" w:right="900"/>
        </w:sectPr>
      </w:pPr>
    </w:p>
    <w:p>
      <w:pPr>
        <w:spacing w:line="240" w:lineRule="auto" w:before="6"/>
        <w:rPr>
          <w:rFonts w:ascii="宋体" w:hAnsi="宋体" w:cs="宋体" w:eastAsia="宋体" w:hint="default"/>
          <w:sz w:val="29"/>
          <w:szCs w:val="29"/>
        </w:rPr>
      </w:pPr>
    </w:p>
    <w:p>
      <w:pPr>
        <w:pStyle w:val="BodyText"/>
        <w:spacing w:line="240" w:lineRule="auto" w:before="26"/>
        <w:ind w:right="0"/>
        <w:jc w:val="left"/>
      </w:pPr>
      <w:bookmarkStart w:name="三、董事、监事、高级管理人员报酬情况" w:id="63"/>
      <w:bookmarkEnd w:id="63"/>
      <w:r>
        <w:rPr/>
      </w:r>
      <w:r>
        <w:rPr/>
        <w:t>人。现任公司财务总监。</w:t>
      </w:r>
    </w:p>
    <w:p>
      <w:pPr>
        <w:spacing w:before="164"/>
        <w:ind w:left="11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7"/>
        <w:ind w:left="112" w:right="8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202"/>
        <w:gridCol w:w="3190"/>
        <w:gridCol w:w="1063"/>
        <w:gridCol w:w="1195"/>
        <w:gridCol w:w="1325"/>
        <w:gridCol w:w="1594"/>
      </w:tblGrid>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邵建平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秦其明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北京大学地球与空间学院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高文荣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高级经理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三、董事、监事、高级管理人员报酬情况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3595"/>
        <w:gridCol w:w="5974"/>
      </w:tblGrid>
      <w:tr>
        <w:trPr>
          <w:trHeight w:val="1025"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1"/>
                <w:sz w:val="18"/>
                <w:szCs w:val="18"/>
              </w:rPr>
              <w:t>公司董事报酬或津贴由股东大会决定，高级管理人员报酬由董事会决定，独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立董事津贴由股东大会决定，董事、监事、高级管理人员薪酬由董事会薪酬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与考核委员会组织并考核。</w:t>
            </w:r>
          </w:p>
        </w:tc>
      </w:tr>
      <w:tr>
        <w:trPr>
          <w:trHeight w:val="715"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1"/>
                <w:sz w:val="18"/>
                <w:szCs w:val="18"/>
              </w:rPr>
              <w:t>根据公司经营业绩，高级管理人员的报酬根据公司薪酬分配政策，结合其经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营绩效、工作能力、岗位职责等考核确定并发放。</w:t>
            </w:r>
          </w:p>
        </w:tc>
      </w:tr>
      <w:tr>
        <w:trPr>
          <w:trHeight w:val="71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工资、津贴次月发放；奖金延后发放</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198"/>
        <w:gridCol w:w="1195"/>
        <w:gridCol w:w="1195"/>
        <w:gridCol w:w="1198"/>
        <w:gridCol w:w="1195"/>
        <w:gridCol w:w="1195"/>
        <w:gridCol w:w="1198"/>
        <w:gridCol w:w="1195"/>
      </w:tblGrid>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5"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43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24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39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王洪深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邵建平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秦其明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高文荣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幸帮艳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362" w:hRule="exact"/>
        </w:trPr>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bookmarkStart w:name="四、公司董事、监事、高级管理人员变动情况" w:id="64"/>
            <w:bookmarkEnd w:id="64"/>
            <w:r>
              <w:rPr/>
            </w:r>
            <w:bookmarkStart w:name="五、报告期核心技术团队或关键技术人员变动情况（非董事、监事、高级管理人员）" w:id="65"/>
            <w:bookmarkEnd w:id="65"/>
            <w:r>
              <w:rPr/>
            </w: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刘纲</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戴敏云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吴天宝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原董事会秘书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329.36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337"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9"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19"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4" w:right="23"/>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88"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四、公司董事、监事、高级管理人员变动情况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戴敏云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吴天宝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换届</w:t>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报告期内，公司不存在核心技术团队或关键人员发生变动的情况。</w:t>
      </w:r>
    </w:p>
    <w:p>
      <w:pPr>
        <w:spacing w:after="0"/>
        <w:jc w:val="left"/>
        <w:rPr>
          <w:rFonts w:ascii="宋体" w:hAnsi="宋体" w:cs="宋体" w:eastAsia="宋体" w:hint="default"/>
          <w:sz w:val="18"/>
          <w:szCs w:val="18"/>
        </w:rPr>
        <w:sectPr>
          <w:footerReference w:type="default" r:id="rId20"/>
          <w:pgSz w:w="11910" w:h="16840"/>
          <w:pgMar w:footer="979" w:header="745" w:top="1060" w:bottom="1160" w:left="1020" w:right="1020"/>
          <w:pgNumType w:start="5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bookmarkStart w:name="六、公司员工情况" w:id="66"/>
      <w:bookmarkEnd w:id="66"/>
      <w:r>
        <w:rPr>
          <w:b w:val="0"/>
          <w:bCs w:val="0"/>
        </w:rPr>
      </w:r>
      <w:r>
        <w:rPr/>
        <w:t>六、公司员工情况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before="0"/>
        <w:ind w:right="0" w:firstLine="482"/>
        <w:jc w:val="left"/>
      </w:pPr>
      <w:r>
        <w:rPr>
          <w:w w:val="95"/>
        </w:rPr>
        <w:t>截止2012年12月31日，公司员工人数为578人（含2012年底收购的汉王智通公司员工），</w:t>
      </w:r>
      <w:r>
        <w:rPr>
          <w:w w:val="65"/>
        </w:rPr>
        <w:t> </w:t>
      </w:r>
      <w:r>
        <w:rPr/>
        <w:t>公司员工按专业结构、受教育程度、年龄结构划分的构成情况如下：</w:t>
      </w:r>
    </w:p>
    <w:p>
      <w:pPr>
        <w:pStyle w:val="BodyText"/>
        <w:spacing w:line="240" w:lineRule="auto"/>
        <w:ind w:left="595" w:right="0"/>
        <w:jc w:val="left"/>
      </w:pPr>
      <w:r>
        <w:rPr/>
        <w:t>（一）按专业构成划分：</w:t>
      </w:r>
    </w:p>
    <w:p>
      <w:pPr>
        <w:spacing w:line="240" w:lineRule="auto" w:before="8"/>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418"/>
        <w:gridCol w:w="1843"/>
        <w:gridCol w:w="2268"/>
      </w:tblGrid>
      <w:tr>
        <w:trPr>
          <w:trHeight w:val="338" w:hRule="exact"/>
        </w:trPr>
        <w:tc>
          <w:tcPr>
            <w:tcW w:w="3418" w:type="dxa"/>
            <w:tcBorders>
              <w:top w:val="nil" w:sz="6" w:space="0" w:color="auto"/>
              <w:left w:val="nil" w:sz="6" w:space="0" w:color="auto"/>
              <w:bottom w:val="single" w:sz="6" w:space="0" w:color="000000"/>
              <w:right w:val="single" w:sz="6" w:space="0" w:color="000000"/>
            </w:tcBorders>
          </w:tcPr>
          <w:p>
            <w:pPr>
              <w:pStyle w:val="TableParagraph"/>
              <w:spacing w:line="276" w:lineRule="exact"/>
              <w:ind w:left="12" w:right="0"/>
              <w:jc w:val="center"/>
              <w:rPr>
                <w:rFonts w:ascii="宋体" w:hAnsi="宋体" w:cs="宋体" w:eastAsia="宋体" w:hint="default"/>
                <w:sz w:val="22"/>
                <w:szCs w:val="22"/>
              </w:rPr>
            </w:pPr>
            <w:r>
              <w:rPr>
                <w:rFonts w:ascii="宋体" w:hAnsi="宋体" w:cs="宋体" w:eastAsia="宋体" w:hint="default"/>
                <w:sz w:val="22"/>
                <w:szCs w:val="22"/>
              </w:rPr>
              <w:t>专业</w:t>
            </w:r>
          </w:p>
        </w:tc>
        <w:tc>
          <w:tcPr>
            <w:tcW w:w="1843"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人数</w:t>
            </w:r>
          </w:p>
        </w:tc>
        <w:tc>
          <w:tcPr>
            <w:tcW w:w="2268"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7" w:right="0"/>
              <w:jc w:val="center"/>
              <w:rPr>
                <w:rFonts w:ascii="宋体" w:hAnsi="宋体" w:cs="宋体" w:eastAsia="宋体" w:hint="default"/>
                <w:sz w:val="22"/>
                <w:szCs w:val="22"/>
              </w:rPr>
            </w:pPr>
            <w:r>
              <w:rPr>
                <w:rFonts w:ascii="宋体" w:hAnsi="宋体" w:cs="宋体" w:eastAsia="宋体" w:hint="default"/>
                <w:sz w:val="22"/>
                <w:szCs w:val="22"/>
              </w:rPr>
              <w:t>占总人数比例</w:t>
            </w:r>
          </w:p>
        </w:tc>
      </w:tr>
      <w:tr>
        <w:trPr>
          <w:trHeight w:val="348"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 w:right="0"/>
              <w:jc w:val="center"/>
              <w:rPr>
                <w:rFonts w:ascii="宋体" w:hAnsi="宋体" w:cs="宋体" w:eastAsia="宋体" w:hint="default"/>
                <w:sz w:val="22"/>
                <w:szCs w:val="22"/>
              </w:rPr>
            </w:pPr>
            <w:r>
              <w:rPr>
                <w:rFonts w:ascii="宋体" w:hAnsi="宋体" w:cs="宋体" w:eastAsia="宋体" w:hint="default"/>
                <w:sz w:val="22"/>
                <w:szCs w:val="22"/>
              </w:rPr>
              <w:t>技术人员</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444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76.82%</w:t>
            </w:r>
          </w:p>
        </w:tc>
      </w:tr>
      <w:tr>
        <w:trPr>
          <w:trHeight w:val="348"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 w:right="0"/>
              <w:jc w:val="center"/>
              <w:rPr>
                <w:rFonts w:ascii="宋体" w:hAnsi="宋体" w:cs="宋体" w:eastAsia="宋体" w:hint="default"/>
                <w:sz w:val="22"/>
                <w:szCs w:val="22"/>
              </w:rPr>
            </w:pPr>
            <w:r>
              <w:rPr>
                <w:rFonts w:ascii="宋体" w:hAnsi="宋体" w:cs="宋体" w:eastAsia="宋体" w:hint="default"/>
                <w:sz w:val="22"/>
                <w:szCs w:val="22"/>
              </w:rPr>
              <w:t>销售人员</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74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12.80%</w:t>
            </w:r>
          </w:p>
        </w:tc>
      </w:tr>
      <w:tr>
        <w:trPr>
          <w:trHeight w:val="346"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2" w:right="0"/>
              <w:jc w:val="center"/>
              <w:rPr>
                <w:rFonts w:ascii="宋体" w:hAnsi="宋体" w:cs="宋体" w:eastAsia="宋体" w:hint="default"/>
                <w:sz w:val="22"/>
                <w:szCs w:val="22"/>
              </w:rPr>
            </w:pPr>
            <w:r>
              <w:rPr>
                <w:rFonts w:ascii="宋体" w:hAnsi="宋体" w:cs="宋体" w:eastAsia="宋体" w:hint="default"/>
                <w:sz w:val="22"/>
                <w:szCs w:val="22"/>
              </w:rPr>
              <w:t>管理及财务人员</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sz w:val="22"/>
              </w:rPr>
              <w:t>56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 w:right="0"/>
              <w:jc w:val="center"/>
              <w:rPr>
                <w:rFonts w:ascii="Times New Roman" w:hAnsi="Times New Roman" w:cs="Times New Roman" w:eastAsia="Times New Roman" w:hint="default"/>
                <w:sz w:val="22"/>
                <w:szCs w:val="22"/>
              </w:rPr>
            </w:pPr>
            <w:r>
              <w:rPr>
                <w:rFonts w:ascii="Times New Roman"/>
                <w:sz w:val="22"/>
              </w:rPr>
              <w:t>9.69%</w:t>
            </w:r>
          </w:p>
        </w:tc>
      </w:tr>
      <w:tr>
        <w:trPr>
          <w:trHeight w:val="348"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 w:right="0"/>
              <w:jc w:val="center"/>
              <w:rPr>
                <w:rFonts w:ascii="宋体" w:hAnsi="宋体" w:cs="宋体" w:eastAsia="宋体" w:hint="default"/>
                <w:sz w:val="22"/>
                <w:szCs w:val="22"/>
              </w:rPr>
            </w:pPr>
            <w:r>
              <w:rPr>
                <w:rFonts w:ascii="宋体" w:hAnsi="宋体" w:cs="宋体" w:eastAsia="宋体" w:hint="default"/>
                <w:sz w:val="22"/>
                <w:szCs w:val="22"/>
              </w:rPr>
              <w:t>其他人员</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w w:val="100"/>
                <w:sz w:val="22"/>
              </w:rPr>
              <w:t>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0.69%</w:t>
            </w:r>
          </w:p>
        </w:tc>
      </w:tr>
      <w:tr>
        <w:trPr>
          <w:trHeight w:val="346"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578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2"/>
                <w:szCs w:val="22"/>
              </w:rPr>
            </w:pPr>
            <w:r>
              <w:rPr>
                <w:rFonts w:ascii="Times New Roman"/>
                <w:sz w:val="22"/>
              </w:rPr>
              <w:t>100.00%</w:t>
            </w:r>
          </w:p>
        </w:tc>
      </w:tr>
    </w:tbl>
    <w:p>
      <w:pPr>
        <w:spacing w:line="240" w:lineRule="auto" w:before="0"/>
        <w:rPr>
          <w:rFonts w:ascii="宋体" w:hAnsi="宋体" w:cs="宋体" w:eastAsia="宋体" w:hint="default"/>
          <w:sz w:val="25"/>
          <w:szCs w:val="25"/>
        </w:rPr>
      </w:pPr>
    </w:p>
    <w:p>
      <w:pPr>
        <w:pStyle w:val="BodyText"/>
        <w:spacing w:line="240" w:lineRule="auto" w:before="26"/>
        <w:ind w:left="595" w:right="0"/>
        <w:jc w:val="left"/>
      </w:pPr>
      <w:r>
        <w:rPr/>
        <w:t>（二）按受教育程度划分：</w:t>
      </w:r>
    </w:p>
    <w:p>
      <w:pPr>
        <w:spacing w:line="240" w:lineRule="auto" w:before="1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418"/>
        <w:gridCol w:w="1843"/>
        <w:gridCol w:w="2268"/>
      </w:tblGrid>
      <w:tr>
        <w:trPr>
          <w:trHeight w:val="338" w:hRule="exact"/>
        </w:trPr>
        <w:tc>
          <w:tcPr>
            <w:tcW w:w="3418" w:type="dxa"/>
            <w:tcBorders>
              <w:top w:val="nil" w:sz="6" w:space="0" w:color="auto"/>
              <w:left w:val="nil" w:sz="6" w:space="0" w:color="auto"/>
              <w:bottom w:val="single" w:sz="6" w:space="0" w:color="000000"/>
              <w:right w:val="single" w:sz="6" w:space="0" w:color="000000"/>
            </w:tcBorders>
          </w:tcPr>
          <w:p>
            <w:pPr>
              <w:pStyle w:val="TableParagraph"/>
              <w:spacing w:line="276" w:lineRule="exact"/>
              <w:ind w:left="12" w:right="0"/>
              <w:jc w:val="center"/>
              <w:rPr>
                <w:rFonts w:ascii="宋体" w:hAnsi="宋体" w:cs="宋体" w:eastAsia="宋体" w:hint="default"/>
                <w:sz w:val="22"/>
                <w:szCs w:val="22"/>
              </w:rPr>
            </w:pPr>
            <w:r>
              <w:rPr>
                <w:rFonts w:ascii="宋体" w:hAnsi="宋体" w:cs="宋体" w:eastAsia="宋体" w:hint="default"/>
                <w:sz w:val="22"/>
                <w:szCs w:val="22"/>
              </w:rPr>
              <w:t>学历</w:t>
            </w:r>
          </w:p>
        </w:tc>
        <w:tc>
          <w:tcPr>
            <w:tcW w:w="1843"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人数</w:t>
            </w:r>
          </w:p>
        </w:tc>
        <w:tc>
          <w:tcPr>
            <w:tcW w:w="2268"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7" w:right="0"/>
              <w:jc w:val="center"/>
              <w:rPr>
                <w:rFonts w:ascii="宋体" w:hAnsi="宋体" w:cs="宋体" w:eastAsia="宋体" w:hint="default"/>
                <w:sz w:val="22"/>
                <w:szCs w:val="22"/>
              </w:rPr>
            </w:pPr>
            <w:r>
              <w:rPr>
                <w:rFonts w:ascii="宋体" w:hAnsi="宋体" w:cs="宋体" w:eastAsia="宋体" w:hint="default"/>
                <w:sz w:val="22"/>
                <w:szCs w:val="22"/>
              </w:rPr>
              <w:t>占总人数比例</w:t>
            </w:r>
          </w:p>
        </w:tc>
      </w:tr>
      <w:tr>
        <w:trPr>
          <w:trHeight w:val="346"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6" w:right="0"/>
              <w:jc w:val="center"/>
              <w:rPr>
                <w:rFonts w:ascii="宋体" w:hAnsi="宋体" w:cs="宋体" w:eastAsia="宋体" w:hint="default"/>
                <w:sz w:val="22"/>
                <w:szCs w:val="22"/>
              </w:rPr>
            </w:pPr>
            <w:r>
              <w:rPr>
                <w:rFonts w:ascii="宋体" w:hAnsi="宋体" w:cs="宋体" w:eastAsia="宋体" w:hint="default"/>
                <w:sz w:val="22"/>
                <w:szCs w:val="22"/>
              </w:rPr>
              <w:t>硕士研究生及以上学历人数</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125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21.63%</w:t>
            </w:r>
          </w:p>
        </w:tc>
      </w:tr>
      <w:tr>
        <w:trPr>
          <w:trHeight w:val="348"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 w:right="0"/>
              <w:jc w:val="center"/>
              <w:rPr>
                <w:rFonts w:ascii="宋体" w:hAnsi="宋体" w:cs="宋体" w:eastAsia="宋体" w:hint="default"/>
                <w:sz w:val="22"/>
                <w:szCs w:val="22"/>
              </w:rPr>
            </w:pPr>
            <w:r>
              <w:rPr>
                <w:rFonts w:ascii="宋体" w:hAnsi="宋体" w:cs="宋体" w:eastAsia="宋体" w:hint="default"/>
                <w:sz w:val="22"/>
                <w:szCs w:val="22"/>
              </w:rPr>
              <w:t>大学本科学历</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387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66.96%</w:t>
            </w:r>
          </w:p>
        </w:tc>
      </w:tr>
      <w:tr>
        <w:trPr>
          <w:trHeight w:val="348"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 w:right="0"/>
              <w:jc w:val="center"/>
              <w:rPr>
                <w:rFonts w:ascii="宋体" w:hAnsi="宋体" w:cs="宋体" w:eastAsia="宋体" w:hint="default"/>
                <w:sz w:val="22"/>
                <w:szCs w:val="22"/>
              </w:rPr>
            </w:pPr>
            <w:r>
              <w:rPr>
                <w:rFonts w:ascii="宋体" w:hAnsi="宋体" w:cs="宋体" w:eastAsia="宋体" w:hint="default"/>
                <w:sz w:val="22"/>
                <w:szCs w:val="22"/>
              </w:rPr>
              <w:t>大专学历</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53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9.17%</w:t>
            </w:r>
          </w:p>
        </w:tc>
      </w:tr>
      <w:tr>
        <w:trPr>
          <w:trHeight w:val="346"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2" w:right="0"/>
              <w:jc w:val="center"/>
              <w:rPr>
                <w:rFonts w:ascii="宋体" w:hAnsi="宋体" w:cs="宋体" w:eastAsia="宋体" w:hint="default"/>
                <w:sz w:val="22"/>
                <w:szCs w:val="22"/>
              </w:rPr>
            </w:pPr>
            <w:r>
              <w:rPr>
                <w:rFonts w:ascii="宋体" w:hAnsi="宋体" w:cs="宋体" w:eastAsia="宋体" w:hint="default"/>
                <w:sz w:val="22"/>
                <w:szCs w:val="22"/>
              </w:rPr>
              <w:t>大专以下学历</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sz w:val="22"/>
              </w:rPr>
              <w:t>13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 w:right="0"/>
              <w:jc w:val="center"/>
              <w:rPr>
                <w:rFonts w:ascii="Times New Roman" w:hAnsi="Times New Roman" w:cs="Times New Roman" w:eastAsia="Times New Roman" w:hint="default"/>
                <w:sz w:val="22"/>
                <w:szCs w:val="22"/>
              </w:rPr>
            </w:pPr>
            <w:r>
              <w:rPr>
                <w:rFonts w:ascii="Times New Roman"/>
                <w:sz w:val="22"/>
              </w:rPr>
              <w:t>2.25%</w:t>
            </w:r>
          </w:p>
        </w:tc>
      </w:tr>
      <w:tr>
        <w:trPr>
          <w:trHeight w:val="348"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578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2"/>
                <w:szCs w:val="22"/>
              </w:rPr>
            </w:pPr>
            <w:r>
              <w:rPr>
                <w:rFonts w:ascii="Times New Roman"/>
                <w:sz w:val="22"/>
              </w:rPr>
              <w:t>100.00%</w:t>
            </w:r>
          </w:p>
        </w:tc>
      </w:tr>
    </w:tbl>
    <w:p>
      <w:pPr>
        <w:spacing w:line="240" w:lineRule="auto" w:before="0"/>
        <w:rPr>
          <w:rFonts w:ascii="宋体" w:hAnsi="宋体" w:cs="宋体" w:eastAsia="宋体" w:hint="default"/>
          <w:sz w:val="25"/>
          <w:szCs w:val="25"/>
        </w:rPr>
      </w:pPr>
    </w:p>
    <w:p>
      <w:pPr>
        <w:pStyle w:val="BodyText"/>
        <w:spacing w:line="240" w:lineRule="auto" w:before="26"/>
        <w:ind w:left="595" w:right="0"/>
        <w:jc w:val="left"/>
      </w:pPr>
      <w:r>
        <w:rPr/>
        <w:t>（三）按年龄构成划分：</w:t>
      </w:r>
    </w:p>
    <w:p>
      <w:pPr>
        <w:spacing w:line="240" w:lineRule="auto" w:before="8"/>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418"/>
        <w:gridCol w:w="1843"/>
        <w:gridCol w:w="2268"/>
      </w:tblGrid>
      <w:tr>
        <w:trPr>
          <w:trHeight w:val="338" w:hRule="exact"/>
        </w:trPr>
        <w:tc>
          <w:tcPr>
            <w:tcW w:w="3418" w:type="dxa"/>
            <w:tcBorders>
              <w:top w:val="nil" w:sz="6" w:space="0" w:color="auto"/>
              <w:left w:val="nil" w:sz="6" w:space="0" w:color="auto"/>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843" w:type="dxa"/>
            <w:tcBorders>
              <w:top w:val="nil" w:sz="6" w:space="0" w:color="auto"/>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268" w:type="dxa"/>
            <w:tcBorders>
              <w:top w:val="nil" w:sz="6" w:space="0" w:color="auto"/>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占总人数比例</w:t>
            </w:r>
          </w:p>
        </w:tc>
      </w:tr>
      <w:tr>
        <w:trPr>
          <w:trHeight w:val="348"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岁及以上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1.04%</w:t>
            </w:r>
          </w:p>
        </w:tc>
      </w:tr>
      <w:tr>
        <w:trPr>
          <w:trHeight w:val="348"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40-49</w:t>
            </w:r>
            <w:r>
              <w:rPr>
                <w:rFonts w:ascii="宋体" w:hAnsi="宋体" w:cs="宋体" w:eastAsia="宋体" w:hint="default"/>
                <w:sz w:val="21"/>
                <w:szCs w:val="21"/>
              </w:rPr>
              <w:t>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17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2.94%</w:t>
            </w:r>
          </w:p>
        </w:tc>
      </w:tr>
      <w:tr>
        <w:trPr>
          <w:trHeight w:val="346"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85"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30-39</w:t>
            </w:r>
            <w:r>
              <w:rPr>
                <w:rFonts w:ascii="宋体" w:hAnsi="宋体" w:cs="宋体" w:eastAsia="宋体" w:hint="default"/>
                <w:sz w:val="21"/>
                <w:szCs w:val="21"/>
              </w:rPr>
              <w:t>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179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30.97%</w:t>
            </w:r>
          </w:p>
        </w:tc>
      </w:tr>
      <w:tr>
        <w:trPr>
          <w:trHeight w:val="348"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宋体" w:hAnsi="宋体" w:cs="宋体" w:eastAsia="宋体" w:hint="default"/>
                <w:sz w:val="21"/>
                <w:szCs w:val="21"/>
              </w:rPr>
              <w:t>岁及以下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376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65.05%</w:t>
            </w:r>
          </w:p>
        </w:tc>
      </w:tr>
      <w:tr>
        <w:trPr>
          <w:trHeight w:val="346" w:hRule="exact"/>
        </w:trPr>
        <w:tc>
          <w:tcPr>
            <w:tcW w:w="341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578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456" w:lineRule="exact"/>
        <w:ind w:right="2390"/>
        <w:jc w:val="center"/>
        <w:rPr>
          <w:b w:val="0"/>
          <w:bCs w:val="0"/>
        </w:rPr>
      </w:pPr>
      <w:bookmarkStart w:name="第八节公司治理" w:id="67"/>
      <w:bookmarkEnd w:id="67"/>
      <w:r>
        <w:rPr>
          <w:b w:val="0"/>
          <w:bCs w:val="0"/>
        </w:rPr>
      </w:r>
      <w:bookmarkStart w:name="一、公司治理的基本状况" w:id="68"/>
      <w:bookmarkEnd w:id="68"/>
      <w:r>
        <w:rPr>
          <w:b w:val="0"/>
          <w:bCs w:val="0"/>
        </w:rPr>
      </w:r>
      <w:bookmarkStart w:name="二、报告期内召开的年度股东大会和临时股东大会的有关情况" w:id="69"/>
      <w:bookmarkEnd w:id="69"/>
      <w:r>
        <w:rPr>
          <w:b w:val="0"/>
          <w:bCs w:val="0"/>
        </w:rPr>
      </w:r>
      <w:bookmarkStart w:name="1、本报告期年度股东大会情况" w:id="70"/>
      <w:bookmarkEnd w:id="70"/>
      <w:r>
        <w:rPr>
          <w:b w:val="0"/>
          <w:bCs w:val="0"/>
        </w:rPr>
      </w:r>
      <w:bookmarkStart w:name="2、本报告期临时股东大会情况" w:id="71"/>
      <w:bookmarkEnd w:id="71"/>
      <w:r>
        <w:rPr>
          <w:b w:val="0"/>
          <w:bCs w:val="0"/>
        </w:rPr>
      </w:r>
      <w:bookmarkStart w:name="_bookmark7" w:id="72"/>
      <w:bookmarkEnd w:id="72"/>
      <w:r>
        <w:rPr>
          <w:b w:val="0"/>
          <w:bCs w:val="0"/>
        </w:rPr>
      </w:r>
      <w:r>
        <w:rPr/>
        <w:t>第八节 </w:t>
      </w:r>
      <w:r>
        <w:rPr>
          <w:spacing w:val="4"/>
        </w:rPr>
        <w:t> </w:t>
      </w:r>
      <w:r>
        <w:rPr/>
        <w:t>公司治理</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一、公司治理的基本状况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before="0"/>
        <w:ind w:right="148" w:firstLine="482"/>
        <w:jc w:val="both"/>
      </w:pPr>
      <w:r>
        <w:rPr/>
        <w:t>报告期内，公司根据《公司法》、《证券法》、《上市公司治理准则》、《深圳证券交 易所创业板股票上市规则》、《深圳证券交易所创业板上市公司规范运作指引》等法律法规 的要求，结合本公司的具体情况健全和完善了《公司章程》和各内部控制制度，发挥了董事 会各专门委员会的职能和作用，完善了董事会的职能和专业化程度，保障了董事会决策的科 学性和程序性，不断完善本公司法人治理结构和内控制度，进一步规范公司运作，提高公司 治理水平。截至报告期末，本公司治理实际情况基本符合中国证监会发布的有关上市公司治 理的规范性文件的要求。</w:t>
      </w:r>
    </w:p>
    <w:p>
      <w:pPr>
        <w:spacing w:line="240" w:lineRule="auto" w:before="5"/>
        <w:rPr>
          <w:rFonts w:ascii="宋体" w:hAnsi="宋体" w:cs="宋体" w:eastAsia="宋体" w:hint="default"/>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、本报告期年度股东大会情况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393"/>
        <w:gridCol w:w="2393"/>
        <w:gridCol w:w="2390"/>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1" w:right="108"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1" w:right="108" w:hanging="989"/>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、本报告期临时股东大会情况</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393"/>
        <w:gridCol w:w="2393"/>
        <w:gridCol w:w="2390"/>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1" w:right="108"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1" w:right="108" w:hanging="989"/>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13"/>
        <w:rPr>
          <w:rFonts w:ascii="Microsoft JhengHei" w:hAnsi="Microsoft JhengHei" w:cs="Microsoft JhengHei" w:eastAsia="Microsoft JhengHei" w:hint="default"/>
          <w:b/>
          <w:bCs/>
          <w:sz w:val="17"/>
          <w:szCs w:val="17"/>
        </w:rPr>
      </w:pPr>
    </w:p>
    <w:p>
      <w:pPr>
        <w:pStyle w:val="Heading2"/>
        <w:spacing w:line="367" w:lineRule="exact"/>
        <w:ind w:right="0"/>
        <w:jc w:val="left"/>
        <w:rPr>
          <w:b w:val="0"/>
          <w:bCs w:val="0"/>
        </w:rPr>
      </w:pPr>
      <w:bookmarkStart w:name="三、报告期董事会召开情况" w:id="73"/>
      <w:bookmarkEnd w:id="73"/>
      <w:r>
        <w:rPr>
          <w:b w:val="0"/>
          <w:bCs w:val="0"/>
        </w:rPr>
      </w:r>
      <w:bookmarkStart w:name="四、年度报告重大差错责任追究制度的建立与执行情况" w:id="74"/>
      <w:bookmarkEnd w:id="74"/>
      <w:r>
        <w:rPr>
          <w:b w:val="0"/>
          <w:bCs w:val="0"/>
        </w:rPr>
      </w:r>
      <w:bookmarkStart w:name="五、监事会工作情况" w:id="75"/>
      <w:bookmarkEnd w:id="75"/>
      <w:r>
        <w:rPr>
          <w:b w:val="0"/>
          <w:bCs w:val="0"/>
        </w:rPr>
      </w:r>
      <w:r>
        <w:rPr/>
        <w:t>三、报告期董事会召开情况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2393"/>
        <w:gridCol w:w="2393"/>
        <w:gridCol w:w="2390"/>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1" w:right="108"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1" w:right="108" w:hanging="989"/>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第一届董事会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第一届董事会第二十四次会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第一届董事会第二十五次会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第一届董事会第二十六次会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78"/>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78"/>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四、年度报告重大差错责任追究制度的建立与执行情况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before="0"/>
        <w:ind w:right="148" w:firstLine="482"/>
        <w:jc w:val="both"/>
      </w:pPr>
      <w:r>
        <w:rPr/>
        <w:t>为了进一步完善信息披露管理制度，强化信息披露责任意识，建立内部责任追究机制， 促进董事、监事和高级管理人员勤勉尽责，公司第一届董事会第十三次会议审议通过了《年 报信息披露重大差错责任追究制度》。报告期内，公司严格执行制度的相关规定，公司未发 生重大会计差错更正、重大遗漏信息补充以及业绩预告修正等情况。</w:t>
      </w:r>
    </w:p>
    <w:p>
      <w:pPr>
        <w:pStyle w:val="Heading2"/>
        <w:spacing w:line="240" w:lineRule="auto" w:before="183"/>
        <w:ind w:right="0"/>
        <w:jc w:val="left"/>
        <w:rPr>
          <w:b w:val="0"/>
          <w:bCs w:val="0"/>
        </w:rPr>
      </w:pPr>
      <w:r>
        <w:rPr/>
        <w:t>五、监事会工作情况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38" w:lineRule="auto" w:before="117"/>
        <w:ind w:left="112" w:right="6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after="0" w:line="338"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456" w:lineRule="exact"/>
        <w:ind w:right="2390"/>
        <w:jc w:val="center"/>
        <w:rPr>
          <w:b w:val="0"/>
          <w:bCs w:val="0"/>
        </w:rPr>
      </w:pPr>
      <w:bookmarkStart w:name="第九节财务报告" w:id="76"/>
      <w:bookmarkEnd w:id="76"/>
      <w:r>
        <w:rPr>
          <w:b w:val="0"/>
          <w:bCs w:val="0"/>
        </w:rPr>
      </w:r>
      <w:bookmarkStart w:name="一、审计报告" w:id="77"/>
      <w:bookmarkEnd w:id="77"/>
      <w:r>
        <w:rPr>
          <w:b w:val="0"/>
          <w:bCs w:val="0"/>
        </w:rPr>
      </w:r>
      <w:bookmarkStart w:name="_bookmark8" w:id="78"/>
      <w:bookmarkEnd w:id="78"/>
      <w:r>
        <w:rPr>
          <w:b w:val="0"/>
          <w:bCs w:val="0"/>
        </w:rPr>
      </w:r>
      <w:r>
        <w:rPr/>
        <w:t>第九节 </w:t>
      </w:r>
      <w:r>
        <w:rPr>
          <w:spacing w:val="4"/>
        </w:rPr>
        <w:t> </w:t>
      </w:r>
      <w:r>
        <w:rPr/>
        <w:t>财务报告</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中瑞岳华审字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15"/>
        <w:rPr>
          <w:rFonts w:ascii="Microsoft JhengHei" w:hAnsi="Microsoft JhengHei" w:cs="Microsoft JhengHei" w:eastAsia="Microsoft JhengHei" w:hint="default"/>
          <w:b/>
          <w:bCs/>
          <w:sz w:val="24"/>
          <w:szCs w:val="24"/>
        </w:rPr>
      </w:pPr>
    </w:p>
    <w:p>
      <w:pPr>
        <w:pStyle w:val="BodyText"/>
        <w:spacing w:line="240" w:lineRule="auto" w:before="0"/>
        <w:ind w:left="595" w:right="-20"/>
        <w:jc w:val="left"/>
      </w:pPr>
      <w:r>
        <w:rPr/>
        <w:t>北京数字政通科技股份有限公司：</w:t>
      </w:r>
    </w:p>
    <w:p>
      <w:pPr>
        <w:spacing w:before="49"/>
        <w:ind w:left="15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196" w:space="40"/>
            <w:col w:w="5634"/>
          </w:cols>
        </w:sectPr>
      </w:pPr>
    </w:p>
    <w:p>
      <w:pPr>
        <w:spacing w:line="240" w:lineRule="auto" w:before="10"/>
        <w:rPr>
          <w:rFonts w:ascii="宋体" w:hAnsi="宋体" w:cs="宋体" w:eastAsia="宋体" w:hint="default"/>
          <w:sz w:val="9"/>
          <w:szCs w:val="9"/>
        </w:rPr>
      </w:pPr>
    </w:p>
    <w:p>
      <w:pPr>
        <w:pStyle w:val="BodyText"/>
        <w:spacing w:line="240" w:lineRule="auto" w:before="26"/>
        <w:ind w:left="595" w:right="0"/>
        <w:jc w:val="left"/>
      </w:pPr>
      <w:r>
        <w:rPr/>
        <w:t>我们审计了后附的北京数字政通科技股份有限公司(以下简称“贵公司”)及其子公司</w:t>
      </w:r>
    </w:p>
    <w:p>
      <w:pPr>
        <w:pStyle w:val="BodyText"/>
        <w:spacing w:line="357" w:lineRule="auto" w:before="154"/>
        <w:ind w:right="148"/>
        <w:jc w:val="both"/>
      </w:pPr>
      <w:r>
        <w:rPr/>
        <w:t>（以下统称“贵集团”）财务报表，包括2012年12月31日的合并及公司的资产负债表，2012 年度合并及公司的利润表、合并及公司的现金流量表和合并及公司的所有者权益变动表以及 财务报表附注。</w:t>
      </w:r>
    </w:p>
    <w:p>
      <w:pPr>
        <w:pStyle w:val="BodyText"/>
        <w:spacing w:line="357" w:lineRule="auto"/>
        <w:ind w:left="595" w:right="0"/>
        <w:jc w:val="left"/>
      </w:pPr>
      <w:r>
        <w:rPr/>
        <w:t>一、管理层对财务报表的责任 </w:t>
      </w:r>
      <w:r>
        <w:rPr>
          <w:spacing w:val="-3"/>
        </w:rPr>
        <w:t>编制和公允列报财务报表是贵公司管理层的责任。这种责任包括：（1）按照企业会计准</w:t>
      </w:r>
    </w:p>
    <w:p>
      <w:pPr>
        <w:pStyle w:val="BodyText"/>
        <w:spacing w:line="357" w:lineRule="auto"/>
        <w:ind w:right="112"/>
        <w:jc w:val="both"/>
      </w:pPr>
      <w:r>
        <w:rPr>
          <w:spacing w:val="-2"/>
        </w:rPr>
        <w:t>则的规定编制财务报表，并使其实现公允反映；（2）设计、执行和维护必要的内部控制，以</w:t>
      </w:r>
      <w:r>
        <w:rPr/>
        <w:t> 使财务报表不存在由于舞弊或错误导致的重大错报。</w:t>
      </w:r>
    </w:p>
    <w:p>
      <w:pPr>
        <w:pStyle w:val="BodyText"/>
        <w:spacing w:line="357" w:lineRule="auto"/>
        <w:ind w:left="595" w:right="131"/>
        <w:jc w:val="left"/>
      </w:pPr>
      <w:r>
        <w:rPr/>
        <w:t>二、注册会计师的责任 我们的责任是在执行审计工作的基础上对财务报表发表审计意见。我们按照中国注册会</w:t>
      </w:r>
    </w:p>
    <w:p>
      <w:pPr>
        <w:pStyle w:val="BodyText"/>
        <w:spacing w:line="357" w:lineRule="auto"/>
        <w:ind w:right="151"/>
        <w:jc w:val="both"/>
      </w:pPr>
      <w:r>
        <w:rPr/>
        <w:t>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357" w:lineRule="auto"/>
        <w:ind w:right="112" w:firstLine="482"/>
        <w:jc w:val="both"/>
      </w:pPr>
      <w:r>
        <w:rPr/>
        <w:t>审计工作涉及实施审计程序，以获取有关财务报表金额和披露的审计证据。选择的审计 </w:t>
      </w:r>
      <w:r>
        <w:rPr>
          <w:spacing w:val="-2"/>
          <w:w w:val="95"/>
        </w:rPr>
        <w:t>程序取决于注册会计师的判断，包括对由于舞弊或错误导致的财务报表重大错报风险的评估。</w:t>
      </w:r>
      <w:r>
        <w:rPr>
          <w:spacing w:val="30"/>
          <w:w w:val="95"/>
        </w:rPr>
        <w:t> </w:t>
      </w:r>
      <w:r>
        <w:rPr>
          <w:spacing w:val="30"/>
          <w:w w:val="95"/>
        </w:rPr>
      </w:r>
      <w:r>
        <w:rPr/>
        <w:t>在进行风险评估时，注册会计师考虑与财务报表编制和公允列报相关的内部控制，以设计恰</w:t>
      </w:r>
      <w:r>
        <w:rPr/>
        <w:t> 当的审计程序，但目的并非对内部控制的有效性发表意见。审计工作还包括评价管理层选用 会计政策的恰当性和作出会计估计的合理性，以及评价财务报表的总体列报。</w:t>
      </w:r>
    </w:p>
    <w:p>
      <w:pPr>
        <w:pStyle w:val="BodyText"/>
        <w:spacing w:line="357" w:lineRule="auto"/>
        <w:ind w:left="595" w:right="131"/>
        <w:jc w:val="left"/>
      </w:pPr>
      <w:r>
        <w:rPr/>
        <w:t>我们相信，我们获取的审计证据是充分、适当的，为发表审计意见提供了基础。 三、审计意见 我们认为，上述财务报表在所有重大方面按照企业会计准则的规定编制，公允反映了北</w:t>
      </w:r>
    </w:p>
    <w:p>
      <w:pPr>
        <w:spacing w:after="0" w:line="357" w:lineRule="auto"/>
        <w:jc w:val="left"/>
        <w:sectPr>
          <w:type w:val="continuous"/>
          <w:pgSz w:w="11910" w:h="16840"/>
          <w:pgMar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51"/>
        <w:jc w:val="both"/>
      </w:pPr>
      <w:bookmarkStart w:name="二、财务报表" w:id="79"/>
      <w:bookmarkEnd w:id="79"/>
      <w:r>
        <w:rPr/>
      </w:r>
      <w:bookmarkStart w:name="1、合并资产负债表" w:id="80"/>
      <w:bookmarkEnd w:id="80"/>
      <w:r>
        <w:rPr/>
      </w:r>
      <w:r>
        <w:rPr/>
        <w:t>京数字政通科技股份有限公司及其子公司2012年12月31日的合并财务状况以及2012年度的合 并经营成果和合并现金流量，以及北京数字政通科技股份有限公司2012年12月31日的财务状 况以及2012年度的经营成果和现金流量。</w:t>
      </w:r>
    </w:p>
    <w:p>
      <w:pPr>
        <w:pStyle w:val="Heading2"/>
        <w:spacing w:line="240" w:lineRule="auto" w:before="183"/>
        <w:ind w:right="0"/>
        <w:jc w:val="both"/>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2"/>
        <w:rPr>
          <w:rFonts w:ascii="宋体" w:hAnsi="宋体" w:cs="宋体" w:eastAsia="宋体" w:hint="default"/>
          <w:sz w:val="21"/>
          <w:szCs w:val="21"/>
        </w:rPr>
      </w:pPr>
    </w:p>
    <w:p>
      <w:pPr>
        <w:spacing w:before="0"/>
        <w:ind w:left="119"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、合并资产负债表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编制单位：北京数字政通科技股份有限公司</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666,714,686.65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736,117,964.85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1,016,400.00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153,805,820.12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74,393,220.36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1,344,500.00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1,940,400.00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36,739,890.15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9,283,748.94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51,379,637.45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1,864,275.39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911,000,934.37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825,182,609.54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44,565,921.76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44,879,766.67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28,395,592.47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17,372,313.56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101,502,987.73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3,070,300.00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11,157,706.50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26,744,837.73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27,283,004.88</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4,778,279.00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819,325.41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217,683,492.34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92,886,543.37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1,128,684,426.71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918,069,152.91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5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41,400,062.05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1,142,251.85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5,179,440.79</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5,601,541.27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3,601,021.44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11,077,440.46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10,704,684.86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62,528,907.72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904,472.10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bookmarkStart w:name="2、母公司资产负债表" w:id="81"/>
            <w:bookmarkEnd w:id="81"/>
            <w:r>
              <w:rPr/>
            </w: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125,787,392.29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16,352,430.25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197,612.00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341,000.00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20,059,072.05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2,269,900.00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3,070,300.00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22,765,972.05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3,267,912.00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148,553,364.34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19,620,342.25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697,228,339.68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694,083,309.68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21,677,599.48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14,456,271.32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154,117,839.58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105,909,229.66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957,023,778.74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898,448,810.66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23,107,283.63</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980,131,062.37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898,448,810.66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1,128,684,426.71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918,069,152.91</w:t>
            </w:r>
          </w:p>
        </w:tc>
      </w:tr>
    </w:tbl>
    <w:p>
      <w:pPr>
        <w:spacing w:line="240" w:lineRule="auto" w:before="2"/>
        <w:rPr>
          <w:rFonts w:ascii="Times New Roman" w:hAnsi="Times New Roman" w:cs="Times New Roman" w:eastAsia="Times New Roman" w:hint="default"/>
          <w:sz w:val="23"/>
          <w:szCs w:val="23"/>
        </w:rPr>
      </w:pPr>
    </w:p>
    <w:p>
      <w:pPr>
        <w:tabs>
          <w:tab w:pos="3623" w:val="left" w:leader="none"/>
          <w:tab w:pos="785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法定代表人：吴强华</w:t>
        <w:tab/>
        <w:t>主管会计工作负责人：殷小敏</w:t>
        <w:tab/>
        <w:t>会计机构负责人：向华</w:t>
      </w:r>
    </w:p>
    <w:p>
      <w:pPr>
        <w:spacing w:line="240" w:lineRule="auto" w:before="12"/>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、母公司资产负债表</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编制单位：北京数字政通科技股份有限公司</w:t>
      </w:r>
    </w:p>
    <w:p>
      <w:pPr>
        <w:spacing w:after="0"/>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644,266,979.59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733,927,198.84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1,583,000.00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130,942,705.75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74,393,220.36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1,344,500.00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1,940,400.00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29,220,072.61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9,283,748.94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2,282,728.87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1,864,275.39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808,056,986.82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822,991,843.53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113,200,000.00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44,026,842.76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44,879,766.67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28,395,592.47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17,372,313.56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25,002,987.73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3,070,300.00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11,157,706.50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26,744,837.73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1,317,651.37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819,325.41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223,100,780.83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94,886,543.37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1,031,157,767.65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917,878,386.90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11,562,123.36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1,142,251.85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4,299,659.25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3,601,021.44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11,595,191.52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10,704,684.86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44,105,925.31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934,472.10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71,562,899.44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16,382,430.25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341,000.00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2,269,900.00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3,070,300.00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2,610,900.00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3,070,300.00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74,173,799.44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19,452,730.25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697,227,973.46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694,082,943.46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21,677,599.48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14,456,271.32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154,078,395.27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105,886,441.87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4"/>
        <w:gridCol w:w="3302"/>
        <w:gridCol w:w="3302"/>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3、合并利润表" w:id="82"/>
            <w:bookmarkEnd w:id="82"/>
            <w:r>
              <w:rPr/>
            </w:r>
            <w:r>
              <w:rPr>
                <w:rFonts w:ascii="宋体" w:hAnsi="宋体" w:cs="宋体" w:eastAsia="宋体" w:hint="default"/>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956,983,968.21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898,425,656.65</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1,031,157,767.65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917,878,386.90</w:t>
            </w:r>
          </w:p>
        </w:tc>
      </w:tr>
    </w:tbl>
    <w:p>
      <w:pPr>
        <w:spacing w:line="240" w:lineRule="auto" w:before="2"/>
        <w:rPr>
          <w:rFonts w:ascii="Times New Roman" w:hAnsi="Times New Roman" w:cs="Times New Roman" w:eastAsia="Times New Roman" w:hint="default"/>
          <w:sz w:val="23"/>
          <w:szCs w:val="23"/>
        </w:rPr>
      </w:pPr>
    </w:p>
    <w:p>
      <w:pPr>
        <w:tabs>
          <w:tab w:pos="3623" w:val="left" w:leader="none"/>
          <w:tab w:pos="785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法定代表人：吴强华</w:t>
        <w:tab/>
        <w:t>主管会计工作负责人：殷小敏</w:t>
        <w:tab/>
        <w:t>会计机构负责人：向华</w:t>
      </w:r>
    </w:p>
    <w:p>
      <w:pPr>
        <w:spacing w:line="240" w:lineRule="auto" w:before="9"/>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、合并利润表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编制单位：北京数字政通科技股份有限公司</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221,977,115.51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121,076,146.62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221,977,115.51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121,076,146.62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153,034,544.25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77,575,039.09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97,765,107.24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45,781,495.89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3,092,747.46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2,840,135.39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18,453,471.92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17,831,415.44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48,608,503.61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25,541,536.48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-19,852,555.24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-17,252,725.97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4,967,269.26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2,833,181.86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9" w:header="745" w:top="1060" w:bottom="1160" w:left="1020" w:right="1020"/>
          <w:pgNumType w:start="6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18"/>
                <w:szCs w:val="18"/>
              </w:rPr>
            </w:pPr>
            <w:bookmarkStart w:name="4、母公司利润表" w:id="83"/>
            <w:bookmarkEnd w:id="83"/>
            <w:r>
              <w:rPr/>
            </w: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68,942,571.26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43,501,107.53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11,143,122.95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17,277,547.06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4,241.24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2,564.25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4,241.24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2,564.25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80,081,452.97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60,776,090.34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7,851,514.89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8,845,078.55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72,229,938.08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51,931,011.79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72,229,938.08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51,931,011.79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72,229,938.08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51,931,011.79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72,229,938.08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51,931,011.79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623" w:val="left" w:leader="none"/>
          <w:tab w:pos="7852" w:val="left" w:leader="none"/>
        </w:tabs>
        <w:spacing w:before="141"/>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法定代表人：吴强华</w:t>
        <w:tab/>
        <w:t>主管会计工作负责人：殷小敏</w:t>
        <w:tab/>
        <w:t>会计机构负责人：向华</w:t>
      </w:r>
    </w:p>
    <w:p>
      <w:pPr>
        <w:spacing w:line="240" w:lineRule="auto" w:before="9"/>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、母公司利润表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编制单位：北京数字政通科技股份有限公司</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221,977,115.51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121,076,146.62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97,765,107.24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45,781,495.89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3,092,747.46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2,840,135.39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18,453,471.92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17,831,415.44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48,608,503.61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25,541,536.48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-19,835,898.72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-17,244,271.36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bookmarkStart w:name="5、合并现金流量表" w:id="84"/>
            <w:bookmarkEnd w:id="84"/>
            <w:r>
              <w:rPr/>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4,967,269.26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2,833,181.86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68,925,914.74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43,492,652.92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11,143,122.95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17,277,547.06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4,241.24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4,241.24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2,564.25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80,064,796.45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60,767,635.73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7,851,514.89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8,845,078.55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72,213,281.56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51,922,557.18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0.62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72,213,281.56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51,922,557.18</w:t>
            </w:r>
          </w:p>
        </w:tc>
      </w:tr>
    </w:tbl>
    <w:p>
      <w:pPr>
        <w:spacing w:line="240" w:lineRule="auto" w:before="4"/>
        <w:rPr>
          <w:rFonts w:ascii="宋体" w:hAnsi="宋体" w:cs="宋体" w:eastAsia="宋体" w:hint="default"/>
          <w:sz w:val="20"/>
          <w:szCs w:val="20"/>
        </w:rPr>
      </w:pPr>
    </w:p>
    <w:p>
      <w:pPr>
        <w:tabs>
          <w:tab w:pos="3623" w:val="left" w:leader="none"/>
          <w:tab w:pos="785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法定代表人：吴强华</w:t>
        <w:tab/>
        <w:t>主管会计工作负责人：殷小敏</w:t>
        <w:tab/>
        <w:t>会计机构负责人：向华</w:t>
      </w:r>
    </w:p>
    <w:p>
      <w:pPr>
        <w:spacing w:line="240" w:lineRule="auto" w:before="9"/>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、合并现金流量表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编制单位：北京数字政通科技股份有限公司</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184,451,120.76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96,914,714.65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7,630,342.95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11,774,546.60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30,320,444.11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25,130,373.96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222,401,907.82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133,819,635.21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67,475,078.45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24,129,684.95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46,912,929.91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35,835,609.04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29,529,551.47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26,401,771.70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57,287,130.96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33,229,695.81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201,204,690.79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119,596,761.50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21,197,217.03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14,222,873.71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18,780.00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18,780.00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25,394,491.76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41,494,395.45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48,408,103.47</w:t>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bookmarkStart w:name="6、母公司现金流量表" w:id="85"/>
            <w:bookmarkEnd w:id="85"/>
            <w:r>
              <w:rPr/>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73,802,595.23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41,494,395.45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-73,800,495.23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-41,475,615.45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-69,403,278.20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-38,452,741.74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736,117,964.85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774,570,706.59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666,714,686.65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736,117,964.85</w:t>
            </w:r>
          </w:p>
        </w:tc>
      </w:tr>
    </w:tbl>
    <w:p>
      <w:pPr>
        <w:spacing w:line="240" w:lineRule="auto" w:before="2"/>
        <w:rPr>
          <w:rFonts w:ascii="Times New Roman" w:hAnsi="Times New Roman" w:cs="Times New Roman" w:eastAsia="Times New Roman" w:hint="default"/>
          <w:sz w:val="23"/>
          <w:szCs w:val="23"/>
        </w:rPr>
      </w:pPr>
    </w:p>
    <w:p>
      <w:pPr>
        <w:tabs>
          <w:tab w:pos="3623" w:val="left" w:leader="none"/>
          <w:tab w:pos="785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法定代表人：吴强华</w:t>
        <w:tab/>
        <w:t>主管会计工作负责人：殷小敏</w:t>
        <w:tab/>
        <w:t>会计机构负责人：向华</w:t>
      </w:r>
    </w:p>
    <w:p>
      <w:pPr>
        <w:spacing w:line="240" w:lineRule="auto" w:before="9"/>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、母公司现金流量表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编制单位：北京数字政通科技股份有限公司</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184,451,120.76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96,914,714.65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7,630,342.95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11,774,546.60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40,301,849.15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25,151,919.35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232,383,312.86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133,841,180.60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67,475,078.45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24,129,684.95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46,912,929.91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35,835,609.04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29,529,551.47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26,401,771.70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57,213,580.52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33,229,695.81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201,131,140.35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119,596,761.50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31,252,172.51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14,244,419.10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18,780.00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25,394,491.76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41,494,395.45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78,720,000.00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104,114,491.76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41,494,395.45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-104,112,391.76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-41,475,615.45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jc w:val="left"/>
              <w:rPr>
                <w:rFonts w:ascii="宋体" w:hAnsi="宋体" w:cs="宋体" w:eastAsia="宋体" w:hint="default"/>
                <w:sz w:val="18"/>
                <w:szCs w:val="18"/>
              </w:rPr>
            </w:pPr>
            <w:bookmarkStart w:name="7、合并所有者权益变动表" w:id="86"/>
            <w:bookmarkEnd w:id="86"/>
            <w:r>
              <w:rPr/>
            </w: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-89,660,219.25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-38,431,196.35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733,927,198.84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772,358,395.19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644,266,979.59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733,927,198.84</w:t>
            </w:r>
          </w:p>
        </w:tc>
      </w:tr>
    </w:tbl>
    <w:p>
      <w:pPr>
        <w:spacing w:line="240" w:lineRule="auto" w:before="2"/>
        <w:rPr>
          <w:rFonts w:ascii="Times New Roman" w:hAnsi="Times New Roman" w:cs="Times New Roman" w:eastAsia="Times New Roman" w:hint="default"/>
          <w:sz w:val="23"/>
          <w:szCs w:val="23"/>
        </w:rPr>
      </w:pPr>
    </w:p>
    <w:p>
      <w:pPr>
        <w:tabs>
          <w:tab w:pos="3623" w:val="left" w:leader="none"/>
          <w:tab w:pos="785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法定代表人：吴强华</w:t>
        <w:tab/>
        <w:t>主管会计工作负责人：殷小敏</w:t>
        <w:tab/>
        <w:t>会计机构负责人：向华</w:t>
      </w:r>
    </w:p>
    <w:p>
      <w:pPr>
        <w:spacing w:line="240" w:lineRule="auto" w:before="9"/>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、合并所有者权益变动表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1020" w:right="102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编制单位：北京数字政通科技股份有限公司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3533" w:space="5385"/>
            <w:col w:w="952"/>
          </w:cols>
        </w:sectPr>
      </w:pP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366"/>
        <w:gridCol w:w="686"/>
        <w:gridCol w:w="686"/>
        <w:gridCol w:w="686"/>
        <w:gridCol w:w="686"/>
        <w:gridCol w:w="684"/>
        <w:gridCol w:w="686"/>
        <w:gridCol w:w="684"/>
        <w:gridCol w:w="686"/>
        <w:gridCol w:w="818"/>
        <w:gridCol w:w="893"/>
      </w:tblGrid>
      <w:tr>
        <w:trPr>
          <w:trHeight w:val="403" w:hRule="exact"/>
        </w:trPr>
        <w:tc>
          <w:tcPr>
            <w:tcW w:w="2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9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1" w:hRule="exact"/>
        </w:trPr>
        <w:tc>
          <w:tcPr>
            <w:tcW w:w="2366" w:type="dxa"/>
            <w:vMerge/>
            <w:tcBorders>
              <w:left w:val="single" w:sz="4" w:space="0" w:color="000000"/>
              <w:right w:val="single" w:sz="4" w:space="0" w:color="000000"/>
            </w:tcBorders>
            <w:shd w:val="clear" w:color="auto" w:fill="D3D3D3"/>
          </w:tcPr>
          <w:p>
            <w:pPr/>
          </w:p>
        </w:tc>
        <w:tc>
          <w:tcPr>
            <w:tcW w:w="548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7" w:hRule="exact"/>
        </w:trPr>
        <w:tc>
          <w:tcPr>
            <w:tcW w:w="2366" w:type="dxa"/>
            <w:vMerge/>
            <w:tcBorders>
              <w:left w:val="single" w:sz="4" w:space="0" w:color="000000"/>
              <w:bottom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19"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694,083,</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309.68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14,456,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271.32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105,909,</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229.66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898,448,81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0.66</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694,083,</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309.68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14,456,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271.32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105,909,</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229.66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898,448,81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0.66</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3,145,03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7,221,3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28.16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48,208,6</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09.92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23,107,28</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3.63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81,682,251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72,229,9</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38.08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72,229,938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72,229,9</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38.08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72,229,938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3,145,03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23,107,28</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3.63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26,252,313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3,145,03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3,145,030.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4" w:right="0"/>
              <w:jc w:val="left"/>
              <w:rPr>
                <w:rFonts w:ascii="Times New Roman" w:hAnsi="Times New Roman" w:cs="Times New Roman" w:eastAsia="Times New Roman" w:hint="default"/>
                <w:sz w:val="18"/>
                <w:szCs w:val="18"/>
              </w:rPr>
            </w:pPr>
            <w:r>
              <w:rPr>
                <w:rFonts w:ascii="Times New Roman"/>
                <w:sz w:val="18"/>
              </w:rPr>
              <w:t>23,107,28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23,107,283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366"/>
        <w:gridCol w:w="686"/>
        <w:gridCol w:w="686"/>
        <w:gridCol w:w="686"/>
        <w:gridCol w:w="686"/>
        <w:gridCol w:w="684"/>
        <w:gridCol w:w="686"/>
        <w:gridCol w:w="684"/>
        <w:gridCol w:w="686"/>
        <w:gridCol w:w="818"/>
        <w:gridCol w:w="893"/>
      </w:tblGrid>
      <w:tr>
        <w:trPr>
          <w:trHeight w:val="36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70" w:right="0"/>
              <w:jc w:val="left"/>
              <w:rPr>
                <w:rFonts w:ascii="Times New Roman" w:hAnsi="Times New Roman" w:cs="Times New Roman" w:eastAsia="Times New Roman" w:hint="default"/>
                <w:sz w:val="18"/>
                <w:szCs w:val="18"/>
              </w:rPr>
            </w:pPr>
            <w:r>
              <w:rPr>
                <w:rFonts w:ascii="Times New Roman"/>
                <w:sz w:val="18"/>
              </w:rPr>
              <w:t>3.63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z w:val="18"/>
              </w:rPr>
              <w:t>.63</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7,221,3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28.16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-24,021,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328.16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7,221,3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28.16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-7,221,3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28.16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-16,800,</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697,228,</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339.68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21,677,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599.48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154,117,</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839.58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23,107,28</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3.63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980,131,06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2.37</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366"/>
        <w:gridCol w:w="686"/>
        <w:gridCol w:w="686"/>
        <w:gridCol w:w="686"/>
        <w:gridCol w:w="686"/>
        <w:gridCol w:w="684"/>
        <w:gridCol w:w="686"/>
        <w:gridCol w:w="684"/>
        <w:gridCol w:w="686"/>
        <w:gridCol w:w="818"/>
        <w:gridCol w:w="893"/>
      </w:tblGrid>
      <w:tr>
        <w:trPr>
          <w:trHeight w:val="403" w:hRule="exact"/>
        </w:trPr>
        <w:tc>
          <w:tcPr>
            <w:tcW w:w="2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9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1" w:hRule="exact"/>
        </w:trPr>
        <w:tc>
          <w:tcPr>
            <w:tcW w:w="2366" w:type="dxa"/>
            <w:vMerge/>
            <w:tcBorders>
              <w:left w:val="single" w:sz="4" w:space="0" w:color="000000"/>
              <w:right w:val="single" w:sz="4" w:space="0" w:color="000000"/>
            </w:tcBorders>
            <w:shd w:val="clear" w:color="auto" w:fill="D3D3D3"/>
          </w:tcPr>
          <w:p>
            <w:pPr/>
          </w:p>
        </w:tc>
        <w:tc>
          <w:tcPr>
            <w:tcW w:w="548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7" w:hRule="exact"/>
        </w:trPr>
        <w:tc>
          <w:tcPr>
            <w:tcW w:w="2366" w:type="dxa"/>
            <w:vMerge/>
            <w:tcBorders>
              <w:left w:val="single" w:sz="4" w:space="0" w:color="000000"/>
              <w:bottom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19"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722,083,</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309.68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9,264,0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15.60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70,370,4</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73.59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857,717,79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8.87</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5" w:right="0"/>
              <w:jc w:val="left"/>
              <w:rPr>
                <w:rFonts w:ascii="Times New Roman" w:hAnsi="Times New Roman" w:cs="Times New Roman" w:eastAsia="Times New Roman" w:hint="default"/>
                <w:sz w:val="18"/>
                <w:szCs w:val="18"/>
              </w:rPr>
            </w:pPr>
            <w:r>
              <w:rPr>
                <w:rFonts w:ascii="Times New Roman"/>
                <w:sz w:val="18"/>
              </w:rPr>
              <w:t>56,000,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722,083,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0" w:right="0"/>
              <w:jc w:val="left"/>
              <w:rPr>
                <w:rFonts w:ascii="Times New Roman" w:hAnsi="Times New Roman" w:cs="Times New Roman" w:eastAsia="Times New Roman" w:hint="default"/>
                <w:sz w:val="18"/>
                <w:szCs w:val="18"/>
              </w:rPr>
            </w:pPr>
            <w:r>
              <w:rPr>
                <w:rFonts w:ascii="Times New Roman"/>
                <w:sz w:val="18"/>
              </w:rPr>
              <w:t>9,264,0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70,370,4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857,717,79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366"/>
        <w:gridCol w:w="686"/>
        <w:gridCol w:w="686"/>
        <w:gridCol w:w="686"/>
        <w:gridCol w:w="686"/>
        <w:gridCol w:w="684"/>
        <w:gridCol w:w="686"/>
        <w:gridCol w:w="684"/>
        <w:gridCol w:w="686"/>
        <w:gridCol w:w="818"/>
        <w:gridCol w:w="893"/>
      </w:tblGrid>
      <w:tr>
        <w:trPr>
          <w:trHeight w:val="36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58" w:right="0"/>
              <w:jc w:val="left"/>
              <w:rPr>
                <w:rFonts w:ascii="Times New Roman" w:hAnsi="Times New Roman" w:cs="Times New Roman" w:eastAsia="Times New Roman" w:hint="default"/>
                <w:sz w:val="18"/>
                <w:szCs w:val="18"/>
              </w:rPr>
            </w:pPr>
            <w:r>
              <w:rPr>
                <w:rFonts w:ascii="Times New Roman"/>
                <w:sz w:val="18"/>
              </w:rPr>
              <w:t>309.68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47" w:right="0"/>
              <w:jc w:val="left"/>
              <w:rPr>
                <w:rFonts w:ascii="Times New Roman" w:hAnsi="Times New Roman" w:cs="Times New Roman" w:eastAsia="Times New Roman" w:hint="default"/>
                <w:sz w:val="18"/>
                <w:szCs w:val="18"/>
              </w:rPr>
            </w:pPr>
            <w:r>
              <w:rPr>
                <w:rFonts w:ascii="Times New Roman"/>
                <w:sz w:val="18"/>
              </w:rPr>
              <w:t>15.60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47" w:right="0"/>
              <w:jc w:val="left"/>
              <w:rPr>
                <w:rFonts w:ascii="Times New Roman" w:hAnsi="Times New Roman" w:cs="Times New Roman" w:eastAsia="Times New Roman" w:hint="default"/>
                <w:sz w:val="18"/>
                <w:szCs w:val="18"/>
              </w:rPr>
            </w:pPr>
            <w:r>
              <w:rPr>
                <w:rFonts w:ascii="Times New Roman"/>
                <w:sz w:val="18"/>
              </w:rPr>
              <w:t>73.59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47" w:right="0"/>
              <w:jc w:val="left"/>
              <w:rPr>
                <w:rFonts w:ascii="Times New Roman" w:hAnsi="Times New Roman" w:cs="Times New Roman" w:eastAsia="Times New Roman" w:hint="default"/>
                <w:sz w:val="18"/>
                <w:szCs w:val="18"/>
              </w:rPr>
            </w:pPr>
            <w:r>
              <w:rPr>
                <w:rFonts w:ascii="Times New Roman"/>
                <w:sz w:val="18"/>
              </w:rPr>
              <w:t>8.87</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5,192,2</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55.72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35,538,7</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56.07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40,731,011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51,931,0</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11.79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51,931,011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51,931,0</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11.79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51,931,011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5,192,2</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55.72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-16,392,</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255.72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5,192,2</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55.72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-5,192,2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55.72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694,083,</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309.68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14,456,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271.32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105,909,</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229.66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898,448,81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0.66</w:t>
            </w:r>
          </w:p>
        </w:tc>
      </w:tr>
    </w:tbl>
    <w:p>
      <w:pPr>
        <w:spacing w:line="240" w:lineRule="auto" w:before="4"/>
        <w:rPr>
          <w:rFonts w:ascii="宋体" w:hAnsi="宋体" w:cs="宋体" w:eastAsia="宋体" w:hint="default"/>
          <w:sz w:val="20"/>
          <w:szCs w:val="20"/>
        </w:rPr>
      </w:pPr>
    </w:p>
    <w:p>
      <w:pPr>
        <w:tabs>
          <w:tab w:pos="3623" w:val="left" w:leader="none"/>
          <w:tab w:pos="785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法定代表人：吴强华</w:t>
        <w:tab/>
        <w:t>主管会计工作负责人：殷小敏</w:t>
        <w:tab/>
        <w:t>会计机构负责人：向华</w:t>
      </w:r>
    </w:p>
    <w:p>
      <w:pPr>
        <w:spacing w:after="0"/>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9" w:right="0" w:firstLine="0"/>
        <w:jc w:val="left"/>
        <w:rPr>
          <w:rFonts w:ascii="Microsoft JhengHei" w:hAnsi="Microsoft JhengHei" w:cs="Microsoft JhengHei" w:eastAsia="Microsoft JhengHei" w:hint="default"/>
          <w:sz w:val="21"/>
          <w:szCs w:val="21"/>
        </w:rPr>
      </w:pPr>
      <w:bookmarkStart w:name="8、母公司所有者权益变动表" w:id="87"/>
      <w:bookmarkEnd w:id="87"/>
      <w:r>
        <w:rPr/>
      </w: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、母公司所有者权益变动表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1020" w:right="102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编制单位：北京数字政通科技股份有限公司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3533" w:space="5385"/>
            <w:col w:w="952"/>
          </w:cols>
        </w:sectPr>
      </w:pPr>
    </w:p>
    <w:p>
      <w:pPr>
        <w:spacing w:line="240" w:lineRule="auto" w:before="2"/>
        <w:rPr>
          <w:rFonts w:ascii="宋体" w:hAnsi="宋体" w:cs="宋体" w:eastAsia="宋体" w:hint="default"/>
          <w:sz w:val="8"/>
          <w:szCs w:val="8"/>
        </w:rPr>
      </w:pPr>
      <w:r>
        <w:rPr/>
        <w:pict>
          <v:shape style="position:absolute;margin-left:174.600006pt;margin-top:749.52002pt;width:49.95pt;height:19.8pt;mso-position-horizontal-relative:page;mso-position-vertical-relative:page;z-index:-68874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2477"/>
        <w:gridCol w:w="886"/>
        <w:gridCol w:w="883"/>
        <w:gridCol w:w="886"/>
        <w:gridCol w:w="886"/>
        <w:gridCol w:w="886"/>
        <w:gridCol w:w="888"/>
        <w:gridCol w:w="886"/>
        <w:gridCol w:w="890"/>
      </w:tblGrid>
      <w:tr>
        <w:trPr>
          <w:trHeight w:val="403" w:hRule="exact"/>
        </w:trPr>
        <w:tc>
          <w:tcPr>
            <w:tcW w:w="24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9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3" w:hRule="exact"/>
        </w:trPr>
        <w:tc>
          <w:tcPr>
            <w:tcW w:w="2477" w:type="dxa"/>
            <w:vMerge/>
            <w:tcBorders>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4"/>
                <w:sz w:val="18"/>
                <w:szCs w:val="18"/>
              </w:rPr>
              <w:t>减：库存股</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8" w:right="77"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694,082,94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14,456,271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.32</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105,886,44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1.87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898,425,65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6.65</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694,082,94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14,456,271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.32</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105,886,44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1.87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898,425,65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6.65</w:t>
            </w: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3,145,030.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7,221,328.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48,191,953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58,558,311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72,213,281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72,213,281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72,213,281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72,213,281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3,145,030.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3,145,030.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3,145,030.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3,145,030.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7,221,328.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-24,021,32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8.16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7,221,328.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-7,221,328.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96" w:lineRule="exact"/>
              <w:ind w:left="-3" w:right="-51"/>
              <w:jc w:val="left"/>
              <w:rPr>
                <w:rFonts w:ascii="宋体" w:hAnsi="宋体" w:cs="宋体" w:eastAsia="宋体" w:hint="default"/>
                <w:sz w:val="20"/>
                <w:szCs w:val="20"/>
              </w:rPr>
            </w:pPr>
            <w:r>
              <w:rPr>
                <w:rFonts w:ascii="宋体" w:hAnsi="宋体" w:cs="宋体" w:eastAsia="宋体" w:hint="default"/>
                <w:position w:val="-7"/>
                <w:sz w:val="20"/>
                <w:szCs w:val="20"/>
              </w:rPr>
              <w:pict>
                <v:group style="width:43.95pt;height:19.8pt;mso-position-horizontal-relative:char;mso-position-vertical-relative:line" coordorigin="0,0" coordsize="879,396">
                  <v:group style="position:absolute;left:0;top:0;width:879;height:396" coordorigin="0,0" coordsize="879,396">
                    <v:shape style="position:absolute;left:0;top:0;width:879;height:396" coordorigin="0,0" coordsize="879,396" path="m0,0l0,396,878,396,878,0,0,0xe" filled="true" fillcolor="#ffffff" stroked="false">
                      <v:path arrowok="t"/>
                      <v:fill type="solid"/>
                    </v:shape>
                  </v:group>
                </v:group>
              </w:pict>
            </w:r>
            <w:r>
              <w:rPr>
                <w:rFonts w:ascii="宋体" w:hAnsi="宋体" w:cs="宋体" w:eastAsia="宋体" w:hint="default"/>
                <w:position w:val="-7"/>
                <w:sz w:val="20"/>
                <w:szCs w:val="20"/>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1020"/>
        </w:sectPr>
      </w:pPr>
    </w:p>
    <w:p>
      <w:pPr>
        <w:spacing w:line="240" w:lineRule="auto" w:before="6"/>
        <w:rPr>
          <w:rFonts w:ascii="宋体" w:hAnsi="宋体" w:cs="宋体" w:eastAsia="宋体" w:hint="default"/>
          <w:sz w:val="28"/>
          <w:szCs w:val="28"/>
        </w:rPr>
      </w:pPr>
      <w:r>
        <w:rPr/>
        <w:pict>
          <v:shape style="position:absolute;margin-left:174.600006pt;margin-top:72.360023pt;width:49.95pt;height:19.8pt;mso-position-horizontal-relative:page;mso-position-vertical-relative:page;z-index:-688696"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2477"/>
        <w:gridCol w:w="886"/>
        <w:gridCol w:w="883"/>
        <w:gridCol w:w="886"/>
        <w:gridCol w:w="886"/>
        <w:gridCol w:w="886"/>
        <w:gridCol w:w="888"/>
        <w:gridCol w:w="886"/>
        <w:gridCol w:w="890"/>
      </w:tblGrid>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96" w:lineRule="exact"/>
              <w:ind w:left="-3" w:right="-51"/>
              <w:jc w:val="left"/>
              <w:rPr>
                <w:rFonts w:ascii="宋体" w:hAnsi="宋体" w:cs="宋体" w:eastAsia="宋体" w:hint="default"/>
                <w:sz w:val="20"/>
                <w:szCs w:val="20"/>
              </w:rPr>
            </w:pPr>
            <w:r>
              <w:rPr>
                <w:rFonts w:ascii="宋体" w:hAnsi="宋体" w:cs="宋体" w:eastAsia="宋体" w:hint="default"/>
                <w:position w:val="-7"/>
                <w:sz w:val="20"/>
                <w:szCs w:val="20"/>
              </w:rPr>
              <w:pict>
                <v:group style="width:43.95pt;height:19.8pt;mso-position-horizontal-relative:char;mso-position-vertical-relative:line" coordorigin="0,0" coordsize="879,396">
                  <v:group style="position:absolute;left:0;top:0;width:879;height:396" coordorigin="0,0" coordsize="879,396">
                    <v:shape style="position:absolute;left:0;top:0;width:879;height:396" coordorigin="0,0" coordsize="879,396" path="m0,0l0,396,878,396,878,0,0,0xe" filled="true" fillcolor="#ffffff" stroked="false">
                      <v:path arrowok="t"/>
                      <v:fill type="solid"/>
                    </v:shape>
                  </v:group>
                </v:group>
              </w:pict>
            </w:r>
            <w:r>
              <w:rPr>
                <w:rFonts w:ascii="宋体" w:hAnsi="宋体" w:cs="宋体" w:eastAsia="宋体" w:hint="default"/>
                <w:position w:val="-7"/>
                <w:sz w:val="20"/>
                <w:szCs w:val="20"/>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697,227,97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21,677,599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154,078,39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5.27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956,983,96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8.21</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496"/>
        <w:gridCol w:w="886"/>
        <w:gridCol w:w="883"/>
        <w:gridCol w:w="886"/>
        <w:gridCol w:w="883"/>
        <w:gridCol w:w="886"/>
        <w:gridCol w:w="883"/>
        <w:gridCol w:w="883"/>
        <w:gridCol w:w="883"/>
      </w:tblGrid>
      <w:tr>
        <w:trPr>
          <w:trHeight w:val="401" w:hRule="exact"/>
        </w:trPr>
        <w:tc>
          <w:tcPr>
            <w:tcW w:w="24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715" w:hRule="exact"/>
        </w:trPr>
        <w:tc>
          <w:tcPr>
            <w:tcW w:w="2496" w:type="dxa"/>
            <w:vMerge/>
            <w:tcBorders>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4"/>
                <w:sz w:val="18"/>
                <w:szCs w:val="18"/>
              </w:rPr>
              <w:t>减：库存股</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6"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8"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8" w:right="74"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722,082,94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9,264,015.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70,356,140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857,703,09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9.47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722,082,94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9,264,015.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70,356,140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857,703,09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9.47</w:t>
            </w: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5,192,255.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35,530,301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40,722,557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.18</w:t>
            </w: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51,922,557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51,922,557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51,922,557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51,922,557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5,192,255.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-16,392,25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5.72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-5,192,255.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72</w:t>
            </w: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79" w:header="745" w:top="1060" w:bottom="1160" w:left="1020" w:right="1020"/>
          <w:pgNumType w:start="70"/>
        </w:sectPr>
      </w:pPr>
    </w:p>
    <w:p>
      <w:pPr>
        <w:spacing w:line="240" w:lineRule="auto" w:before="6"/>
        <w:rPr>
          <w:rFonts w:ascii="宋体" w:hAnsi="宋体" w:cs="宋体" w:eastAsia="宋体" w:hint="default"/>
          <w:sz w:val="28"/>
          <w:szCs w:val="28"/>
        </w:rPr>
      </w:pPr>
      <w:r>
        <w:rPr/>
        <w:pict>
          <v:shape style="position:absolute;margin-left:175.559998pt;margin-top:183.960022pt;width:49.95pt;height:35.4pt;mso-position-horizontal-relative:page;mso-position-vertical-relative:page;z-index:-688672" type="#_x0000_t202" filled="false" stroked="false">
            <v:textbox inset="0,0,0,0">
              <w:txbxContent>
                <w:p>
                  <w:pPr>
                    <w:spacing w:line="240" w:lineRule="auto" w:before="11"/>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75.559998pt;margin-top:219.600021pt;width:49.95pt;height:19.8pt;mso-position-horizontal-relative:page;mso-position-vertical-relative:page;z-index:-688648"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81.559998pt;margin-top:183.960022pt;width:43.95pt;height:55.45pt;mso-position-horizontal-relative:page;mso-position-vertical-relative:page;z-index:-688624" coordorigin="3631,3679" coordsize="879,1109">
            <v:group style="position:absolute;left:3631;top:3679;width:879;height:708" coordorigin="3631,3679" coordsize="879,708">
              <v:shape style="position:absolute;left:3631;top:3679;width:879;height:708" coordorigin="3631,3679" coordsize="879,708" path="m3631,3679l3631,4387,4510,4387,4510,3679,3631,3679xe" filled="true" fillcolor="#ffffff" stroked="false">
                <v:path arrowok="t"/>
                <v:fill type="solid"/>
              </v:shape>
            </v:group>
            <v:group style="position:absolute;left:3631;top:4392;width:879;height:396" coordorigin="3631,4392" coordsize="879,396">
              <v:shape style="position:absolute;left:3631;top:4392;width:879;height:396" coordorigin="3631,4392" coordsize="879,396" path="m3631,4392l3631,4788,4510,4788,4510,4392,3631,4392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2496"/>
        <w:gridCol w:w="883"/>
        <w:gridCol w:w="886"/>
        <w:gridCol w:w="886"/>
        <w:gridCol w:w="883"/>
        <w:gridCol w:w="886"/>
        <w:gridCol w:w="883"/>
        <w:gridCol w:w="883"/>
        <w:gridCol w:w="883"/>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三、公司基本情况" w:id="88"/>
            <w:bookmarkEnd w:id="88"/>
            <w:r>
              <w:rPr/>
            </w: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694,082,94</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3.46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14,456,271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.32</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105,886,44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1.87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898,425,65</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6.65</w:t>
            </w:r>
          </w:p>
        </w:tc>
      </w:tr>
    </w:tbl>
    <w:p>
      <w:pPr>
        <w:spacing w:line="240" w:lineRule="auto" w:before="4"/>
        <w:rPr>
          <w:rFonts w:ascii="宋体" w:hAnsi="宋体" w:cs="宋体" w:eastAsia="宋体" w:hint="default"/>
          <w:sz w:val="20"/>
          <w:szCs w:val="20"/>
        </w:rPr>
      </w:pPr>
    </w:p>
    <w:p>
      <w:pPr>
        <w:tabs>
          <w:tab w:pos="3623" w:val="left" w:leader="none"/>
          <w:tab w:pos="7852" w:val="left" w:leader="none"/>
        </w:tabs>
        <w:spacing w:before="44"/>
        <w:ind w:left="112" w:right="0" w:firstLine="0"/>
        <w:jc w:val="both"/>
        <w:rPr>
          <w:rFonts w:ascii="宋体" w:hAnsi="宋体" w:cs="宋体" w:eastAsia="宋体" w:hint="default"/>
          <w:sz w:val="18"/>
          <w:szCs w:val="18"/>
        </w:rPr>
      </w:pPr>
      <w:r>
        <w:rPr>
          <w:rFonts w:ascii="宋体" w:hAnsi="宋体" w:cs="宋体" w:eastAsia="宋体" w:hint="default"/>
          <w:sz w:val="18"/>
          <w:szCs w:val="18"/>
        </w:rPr>
        <w:t>法定代表人：吴强华</w:t>
        <w:tab/>
        <w:t>主管会计工作负责人：殷小敏</w:t>
        <w:tab/>
        <w:t>会计机构负责人：向华</w:t>
      </w:r>
    </w:p>
    <w:p>
      <w:pPr>
        <w:spacing w:line="240" w:lineRule="auto" w:before="3"/>
        <w:rPr>
          <w:rFonts w:ascii="宋体" w:hAnsi="宋体" w:cs="宋体" w:eastAsia="宋体" w:hint="default"/>
          <w:sz w:val="19"/>
          <w:szCs w:val="19"/>
        </w:rPr>
      </w:pPr>
    </w:p>
    <w:p>
      <w:pPr>
        <w:pStyle w:val="BodyText"/>
        <w:spacing w:line="441" w:lineRule="auto" w:before="0"/>
        <w:ind w:left="595" w:right="131" w:hanging="483"/>
        <w:jc w:val="left"/>
      </w:pPr>
      <w:r>
        <w:rPr>
          <w:rFonts w:ascii="Microsoft JhengHei" w:hAnsi="Microsoft JhengHei" w:cs="Microsoft JhengHei" w:eastAsia="Microsoft JhengHei" w:hint="default"/>
          <w:b/>
          <w:bCs/>
        </w:rPr>
        <w:t>三、公司基本情况 </w:t>
      </w:r>
      <w:r>
        <w:rPr/>
        <w:t>北京数字政通科技股份有限公司（以下简称“本公司”）系由北京数字政通科技有限公</w:t>
      </w:r>
    </w:p>
    <w:p>
      <w:pPr>
        <w:pStyle w:val="BodyText"/>
        <w:spacing w:line="266" w:lineRule="exact" w:before="0"/>
        <w:ind w:right="0"/>
        <w:jc w:val="both"/>
      </w:pPr>
      <w:r>
        <w:rPr/>
        <w:t>司改制变更设立。本公司是由9位自然人股东出资30万元，于2001年11月6日经北京市工商行</w:t>
      </w:r>
    </w:p>
    <w:p>
      <w:pPr>
        <w:pStyle w:val="BodyText"/>
        <w:spacing w:line="357" w:lineRule="auto" w:before="154"/>
        <w:ind w:right="112"/>
        <w:jc w:val="both"/>
      </w:pPr>
      <w:r>
        <w:rPr/>
        <w:t>政管理局批准登记成立的有限责任公司。本公司成立时注册名称为北京数字通图科技有限公 </w:t>
      </w:r>
      <w:r>
        <w:rPr>
          <w:spacing w:val="-2"/>
        </w:rPr>
        <w:t>司，于2003年3月7日更名为北京数字政通科技有限公司。根据本公司2009年5月25日股东会决</w:t>
      </w:r>
      <w:r>
        <w:rPr>
          <w:spacing w:val="-109"/>
        </w:rPr>
        <w:t> </w:t>
      </w:r>
      <w:r>
        <w:rPr>
          <w:spacing w:val="-109"/>
        </w:rPr>
      </w:r>
      <w:r>
        <w:rPr/>
        <w:t>议，以2009年5月31日为基准日经审计后的净资产71,109,943.46元为基数，按1:0.5906的比</w:t>
      </w:r>
      <w:r>
        <w:rPr/>
        <w:t> 例折为4,200</w:t>
      </w:r>
      <w:r>
        <w:rPr>
          <w:spacing w:val="2"/>
        </w:rPr>
        <w:t> </w:t>
      </w:r>
      <w:r>
        <w:rPr/>
        <w:t>万股，并整体变更设立股份有限公司。</w:t>
      </w:r>
    </w:p>
    <w:p>
      <w:pPr>
        <w:pStyle w:val="BodyText"/>
        <w:spacing w:line="357" w:lineRule="auto"/>
        <w:ind w:right="112" w:firstLine="482"/>
        <w:jc w:val="both"/>
      </w:pPr>
      <w:r>
        <w:rPr/>
        <w:t>本公司经中国证券监督管理委员会《关于核准北京数字政通科技股份有限公司首次公开 </w:t>
      </w:r>
      <w:r>
        <w:rPr>
          <w:spacing w:val="-5"/>
          <w:w w:val="98"/>
        </w:rPr>
        <w:t>发行股票并在创业板上市的批复》（证监许可[2010]403号）核准，并经深圳证券交易所同意，</w:t>
      </w:r>
      <w:r>
        <w:rPr>
          <w:spacing w:val="-104"/>
          <w:w w:val="98"/>
        </w:rPr>
        <w:t> </w:t>
      </w:r>
      <w:r>
        <w:rPr>
          <w:spacing w:val="-104"/>
          <w:w w:val="98"/>
        </w:rPr>
      </w:r>
      <w:r>
        <w:rPr/>
        <w:t>本公司由主承销商招商证券股份有限公司首次公开发行1,400万股人民币普通股(A股)，发行</w:t>
      </w:r>
      <w:r>
        <w:rPr/>
        <w:t> 价格为54.00元/股，募集资金总额人民币75,600万元。以上募集资金已由中瑞岳华会计师事 务所有限公司于2010年4月19日出具的中瑞岳华验字[2010]第093号《验资报告》验证确认。 </w:t>
      </w:r>
      <w:r>
        <w:rPr>
          <w:spacing w:val="-2"/>
        </w:rPr>
        <w:t>根据2011年5月10日股东大会决议，以2010年12月31日股本5600万股为基数，按每10股由资本</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34"/>
        <w:jc w:val="left"/>
      </w:pPr>
      <w:bookmarkStart w:name="四、公司主要会计政策、会计估计和前期差错" w:id="89"/>
      <w:bookmarkEnd w:id="89"/>
      <w:r>
        <w:rPr/>
      </w:r>
      <w:bookmarkStart w:name="1、财务报表的编制基础" w:id="90"/>
      <w:bookmarkEnd w:id="90"/>
      <w:r>
        <w:rPr/>
      </w:r>
      <w:bookmarkStart w:name="2、遵循企业会计准则的声明" w:id="91"/>
      <w:bookmarkEnd w:id="91"/>
      <w:r>
        <w:rPr/>
      </w:r>
      <w:bookmarkStart w:name="3、会计期间" w:id="92"/>
      <w:bookmarkEnd w:id="92"/>
      <w:r>
        <w:rPr/>
      </w:r>
      <w:r>
        <w:rPr/>
        <w:t>公积转增5股，共计转增2800万股，注册资本增至人民币8,400万元，并由中瑞岳华会计师事 务所2011年6月16日出具的中瑞岳华验字[2011]第128号《验字报告》验证确认。</w:t>
      </w:r>
    </w:p>
    <w:p>
      <w:pPr>
        <w:pStyle w:val="BodyText"/>
        <w:spacing w:line="357" w:lineRule="auto"/>
        <w:ind w:left="595" w:right="131"/>
        <w:jc w:val="left"/>
      </w:pPr>
      <w:r>
        <w:rPr/>
        <w:t>企业法人营业执照注册号：110108003382370；法定代表人：吴强华。 本公司经营范围为：一般经营项目，规划管理；法律、行政法规，国务院决定禁止的，</w:t>
      </w:r>
    </w:p>
    <w:p>
      <w:pPr>
        <w:pStyle w:val="BodyText"/>
        <w:spacing w:line="357" w:lineRule="auto"/>
        <w:ind w:right="134"/>
        <w:jc w:val="left"/>
      </w:pPr>
      <w:r>
        <w:rPr/>
        <w:t>不得经营；经审批机关批准并经工商行政管理机关注册登记后方可经营；法律、行政法规、 国务院决定未规定许可的，自主选择经营项目开展经营活动。</w:t>
      </w:r>
    </w:p>
    <w:p>
      <w:pPr>
        <w:pStyle w:val="Heading2"/>
        <w:spacing w:line="240" w:lineRule="auto" w:before="183"/>
        <w:ind w:right="0"/>
        <w:jc w:val="left"/>
        <w:rPr>
          <w:b w:val="0"/>
          <w:bCs w:val="0"/>
        </w:rPr>
      </w:pPr>
      <w:r>
        <w:rPr/>
        <w:t>四、公司主要会计政策、会计估计和前期差错</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12" w:firstLine="482"/>
        <w:jc w:val="both"/>
      </w:pPr>
      <w:r>
        <w:rPr/>
        <w:t>本集团财务报表以持续经营假设为基础编制，根据实际发生的交易和事项，按照财政部 </w:t>
      </w:r>
      <w:r>
        <w:rPr>
          <w:spacing w:val="-2"/>
        </w:rPr>
        <w:t>于2006年2月15日颁布的《企业会计准则——基本准则》和38项具体会计准则、其后颁布的企</w:t>
      </w:r>
      <w:r>
        <w:rPr>
          <w:spacing w:val="-114"/>
        </w:rPr>
        <w:t> </w:t>
      </w:r>
      <w:r>
        <w:rPr>
          <w:spacing w:val="-114"/>
        </w:rPr>
      </w:r>
      <w:r>
        <w:rPr/>
        <w:t>业会计准则应用指南、企业会计准则解释及其他相关规定（以下合称“企业会计准则”）、</w:t>
      </w:r>
      <w:r>
        <w:rPr/>
        <w:t> 以及中国证券监督管理委员会《公开发行证券的公司信息披露编报规则第15号——财务报告 的一般规定》（2010年修订）的披露规定编制。</w:t>
      </w:r>
    </w:p>
    <w:p>
      <w:pPr>
        <w:pStyle w:val="BodyText"/>
        <w:spacing w:line="357" w:lineRule="auto"/>
        <w:ind w:right="148" w:firstLine="482"/>
        <w:jc w:val="both"/>
      </w:pPr>
      <w:r>
        <w:rPr/>
        <w:t>根据企业会计准则的相关规定，本集团会计核算以权责发生制为基础。除某些金融工具 外，本财务报表均以历史成本为计量基础。资产如果发生减值，则按照相关规定计提相应的 减值准备。</w:t>
      </w:r>
    </w:p>
    <w:p>
      <w:pPr>
        <w:spacing w:before="215"/>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本集团编制的财务报表符合企业会计准则的要求，真实、完整地反映了本集团2012年12 月31日的财务状况及2012年度的经营成果和现金流量等有关信息。此外，本集团的财务报表 在所有重大方面符合中国证券监督管理委员会2010年修订的《公开发行证券的公司信息披露 编报规则第15号－财务报告的一般规定》有关财务报表及其附注的披露要求。</w:t>
      </w:r>
    </w:p>
    <w:p>
      <w:pPr>
        <w:spacing w:before="215"/>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本集团的会计期间分为年度和中期，会计中期指短于一个完整的会计年度的报告期间。 本集团会计年度采用公历年度，即每年自1月1日起至12月31日止。</w:t>
      </w:r>
    </w:p>
    <w:p>
      <w:pPr>
        <w:spacing w:after="0" w:line="357" w:lineRule="auto"/>
        <w:jc w:val="both"/>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9" w:right="0" w:firstLine="0"/>
        <w:jc w:val="left"/>
        <w:rPr>
          <w:rFonts w:ascii="Microsoft JhengHei" w:hAnsi="Microsoft JhengHei" w:cs="Microsoft JhengHei" w:eastAsia="Microsoft JhengHei" w:hint="default"/>
          <w:sz w:val="21"/>
          <w:szCs w:val="21"/>
        </w:rPr>
      </w:pPr>
      <w:bookmarkStart w:name="4、记账本位币" w:id="93"/>
      <w:bookmarkEnd w:id="93"/>
      <w:r>
        <w:rPr/>
      </w:r>
      <w:bookmarkStart w:name="5、同一控制下和非同一控制下企业合并的会计处理方法" w:id="94"/>
      <w:bookmarkEnd w:id="94"/>
      <w:r>
        <w:rPr/>
      </w:r>
      <w:bookmarkStart w:name="（1）同一控制下企业合并" w:id="95"/>
      <w:bookmarkEnd w:id="95"/>
      <w:r>
        <w:rPr/>
      </w:r>
      <w:bookmarkStart w:name="（2）非同一控制下的企业合并" w:id="96"/>
      <w:bookmarkEnd w:id="96"/>
      <w:r>
        <w:rPr/>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人民币为本集团及境内子公司经营所处的主要经济环境中的货币，本集团及境内子公司 以人民币为记账本位币。本集团编制本财务报表时所采用的货币为人民币。</w:t>
      </w:r>
    </w:p>
    <w:p>
      <w:pPr>
        <w:spacing w:before="215"/>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）同一控制下企业合并</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12" w:firstLine="482"/>
        <w:jc w:val="both"/>
      </w:pPr>
      <w:r>
        <w:rPr>
          <w:spacing w:val="-3"/>
          <w:w w:val="95"/>
        </w:rPr>
        <w:t>参与合并的企业在合并前后均受同一方或相同的多方最终控制，且该控制并非暂时性的，</w:t>
      </w:r>
      <w:r>
        <w:rPr>
          <w:w w:val="50"/>
        </w:rPr>
        <w:t> </w:t>
      </w:r>
      <w:r>
        <w:rPr/>
        <w:t>为同一控制下的企业合并。同一控制下的企业合并，在合并日取得对其他参与合并企业控制</w:t>
      </w:r>
      <w:r>
        <w:rPr/>
        <w:t> 权的一方为合并方，参与合并的其他企业为被合并方。合并日，是指合并方实际取得对被合 并方控制权的日期。</w:t>
      </w:r>
    </w:p>
    <w:p>
      <w:pPr>
        <w:pStyle w:val="BodyText"/>
        <w:spacing w:line="357" w:lineRule="auto"/>
        <w:ind w:right="148" w:firstLine="482"/>
        <w:jc w:val="both"/>
      </w:pPr>
      <w:r>
        <w:rPr/>
        <w:t>合并方取得的资产和负债均按合并日在被合并方的账面价值计量。合并方取得的净资产 账面价值与支付的合并对价账面价值（或发行股份面值总额）的差额，调整资本公积（股本 溢价）；资本公积（股本溢价）不足以冲减的，调整留存收益。</w:t>
      </w:r>
    </w:p>
    <w:p>
      <w:pPr>
        <w:pStyle w:val="BodyText"/>
        <w:spacing w:line="240" w:lineRule="auto"/>
        <w:ind w:left="595" w:right="0"/>
        <w:jc w:val="left"/>
      </w:pPr>
      <w:r>
        <w:rPr/>
        <w:t>合并方为进行企业合并发生的各项直接费用，于发生时计入当期损益。</w:t>
      </w:r>
    </w:p>
    <w:p>
      <w:pPr>
        <w:spacing w:line="240" w:lineRule="auto" w:before="4"/>
        <w:rPr>
          <w:rFonts w:ascii="宋体" w:hAnsi="宋体" w:cs="宋体" w:eastAsia="宋体" w:hint="default"/>
          <w:sz w:val="25"/>
          <w:szCs w:val="25"/>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）非同一控制下的企业合并</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参与合并的企业在合并前后不受同一方或相同的多方最终控制的，为非同一控制下的企 业合并。非同一控制下的企业合并，在购买日取得对其他参与合并企业控制权的一方为购买 方，参与合并的其他企业为被购买方。购买日，是指为购买方实际取得对被购买方控制权的 日期。</w:t>
      </w:r>
    </w:p>
    <w:p>
      <w:pPr>
        <w:pStyle w:val="BodyText"/>
        <w:spacing w:line="357" w:lineRule="auto"/>
        <w:ind w:right="148" w:firstLine="482"/>
        <w:jc w:val="both"/>
      </w:pPr>
      <w:r>
        <w:rPr/>
        <w:t>对于非同一控制下的企业合并，合并成本包含购买日购买方为取得对被购买方的控制权 而付出的资产、发生或承担的负债以及发行的权益性证券的公允价值，为企业合并发生的审 计、法律服务、评估咨询等中介费用以及其他管理费用于发生时计入当期损益。购买方作为 合并对价发行的权益性证券或债务性证券的交易费用，计入权益性证券或债务性证券的初始 确认金额。所涉及的或有对价按其在购买日的公允价值计入合并成本，购买日后12个月内出 现对购买日已存在情况的新的或进一步证据而需要调整或有对价的，相应调整合并商誉。通 过多次交换交易分步实现的企业合并，在本集团合并财务报表中，对于购买日之前持有的被 购买方的股权，按照该股权在购买日的公允价值进行重新计量，公允价值与其账面价值的差 额计入购买日所属当期投资收益，同时将与购买日之前持有的被购买方的股权相关的其他综</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51"/>
        <w:jc w:val="both"/>
      </w:pPr>
      <w:bookmarkStart w:name="6、合并财务报表的编制方法" w:id="97"/>
      <w:bookmarkEnd w:id="97"/>
      <w:r>
        <w:rPr/>
      </w:r>
      <w:bookmarkStart w:name="（1）合并财务报表的编制方法" w:id="98"/>
      <w:bookmarkEnd w:id="98"/>
      <w:r>
        <w:rPr/>
      </w:r>
      <w:r>
        <w:rPr/>
        <w:t>合收益转为当期投资收益，合并成本为购买日之前持有的被购买方的股权在购买日的公允价 值与购买日增持的被购买方股权在购买日的公允价值之和。</w:t>
      </w:r>
    </w:p>
    <w:p>
      <w:pPr>
        <w:pStyle w:val="BodyText"/>
        <w:spacing w:line="357" w:lineRule="auto"/>
        <w:ind w:right="148" w:firstLine="482"/>
        <w:jc w:val="both"/>
      </w:pPr>
      <w:r>
        <w:rPr/>
        <w:t>购买方发生的合并成本及在合并中取得的可辨认净资产按购买日的公允价值计量。合并 成本大于合并中取得的被购买方于购买日可辨认净资产公允价值份额的差额，确认为商誉。 合并成本小于合并中取得的被购买方可辨认净资产公允价值份额的，首先对取得的被购买方 各项可辨认资产、负债及或有负债的公允价值以及合并成本的计量进行复核，复核后合并成 本仍小于合并中取得的被购买方可辨认净资产公允价值份额的，其差额计入当期损益。</w:t>
      </w:r>
    </w:p>
    <w:p>
      <w:pPr>
        <w:pStyle w:val="BodyText"/>
        <w:spacing w:line="357" w:lineRule="auto"/>
        <w:ind w:right="148" w:firstLine="482"/>
        <w:jc w:val="both"/>
      </w:pPr>
      <w:r>
        <w:rPr/>
        <w:t>购买方取得被购买方的可抵扣暂时性差异，在购买日因不符合递延所得税资产确认条件 而未予确认的，在购买日后12个月内，如取得新的或进一步的信息表明购买日的相关情况已 经存在，预期被购买方在购买日可抵扣暂时性差异带来的经济利益能够实现的，则确认相关 的递延所得税资产，同时减少商誉，商誉不足冲减的，差额部分确认为当期损益；除上述情 况以外，确认与企业合并相关的递延所得税资产的，计入当期损益。</w:t>
      </w:r>
    </w:p>
    <w:p>
      <w:pPr>
        <w:spacing w:before="215"/>
        <w:ind w:left="119"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、合并财务报表的编制方法</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）合并财务报表的编制方法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left="595" w:right="131"/>
        <w:jc w:val="left"/>
      </w:pPr>
      <w:r>
        <w:rPr/>
        <w:t>（1）合并财务报表范围的确定原则 合并财务报表的合并范围以控制为基础予以确定。控制是指本集团能够决定被投资单位</w:t>
      </w:r>
    </w:p>
    <w:p>
      <w:pPr>
        <w:pStyle w:val="BodyText"/>
        <w:spacing w:line="357" w:lineRule="auto"/>
        <w:ind w:right="112"/>
        <w:jc w:val="both"/>
      </w:pPr>
      <w:r>
        <w:rPr>
          <w:spacing w:val="-3"/>
        </w:rPr>
        <w:t>的财务和经营政策,并能据以从被投资单位的经营活动中获取利益的权力。合并范围包括本集</w:t>
      </w:r>
      <w:r>
        <w:rPr>
          <w:spacing w:val="-80"/>
        </w:rPr>
        <w:t> </w:t>
      </w:r>
      <w:r>
        <w:rPr>
          <w:spacing w:val="-80"/>
        </w:rPr>
      </w:r>
      <w:r>
        <w:rPr/>
        <w:t>团及全部子公司。子公司，是指被本集团控制的企业或主体。</w:t>
      </w:r>
    </w:p>
    <w:p>
      <w:pPr>
        <w:pStyle w:val="BodyText"/>
        <w:spacing w:line="357" w:lineRule="auto"/>
        <w:ind w:left="595" w:right="131"/>
        <w:jc w:val="left"/>
      </w:pPr>
      <w:r>
        <w:rPr/>
        <w:t>（2）合并财务报表编制的方法 从取得子公司的净资产和生产经营决策的实际控制权之日起，本集团开始将其纳入合并</w:t>
      </w:r>
    </w:p>
    <w:p>
      <w:pPr>
        <w:pStyle w:val="BodyText"/>
        <w:spacing w:line="357" w:lineRule="auto"/>
        <w:ind w:right="151"/>
        <w:jc w:val="both"/>
      </w:pPr>
      <w:r>
        <w:rPr/>
        <w:t>范围；从丧失实际控制权之日起停止纳入合并范围。对于处置的子公司，处置日前的经营成 果和现金流量已经适当地包括在合并利润表和合并现金流量表中；当期处置的子公司，不调 整合并资产负债表的期初数。非同一控制下企业合并增加的子公司，其购买日后的经营成果 及现金流量已经适当地包括在合并利润表和合并现金流量表中，且不调整合并财务报表的期 初数和对比数。同一控制下企业合并增加的子公司及吸收合并下的被合并方，其自合并当期 期初至合并日的经营成果和现金流量已经适当地包括在合并利润表和合并现金流量表中，并 且同时调整合并财务报表的对比数。</w:t>
      </w:r>
    </w:p>
    <w:p>
      <w:pPr>
        <w:pStyle w:val="BodyText"/>
        <w:spacing w:line="240" w:lineRule="auto"/>
        <w:ind w:left="595" w:right="0"/>
        <w:jc w:val="left"/>
      </w:pPr>
      <w:r>
        <w:rPr/>
        <w:t>在编制合并财务报表时，子公司与本集团采用的会计政策或会计期间不一致的，按照本</w:t>
      </w:r>
    </w:p>
    <w:p>
      <w:pPr>
        <w:spacing w:after="0" w:line="240"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51"/>
        <w:jc w:val="both"/>
      </w:pPr>
      <w:bookmarkStart w:name="7、现金及现金等价物的确定标准" w:id="99"/>
      <w:bookmarkEnd w:id="99"/>
      <w:r>
        <w:rPr/>
      </w:r>
      <w:bookmarkStart w:name="8、金融工具" w:id="100"/>
      <w:bookmarkEnd w:id="100"/>
      <w:r>
        <w:rPr/>
      </w:r>
      <w:bookmarkStart w:name="（1）金融工具的确认依据和计量方法" w:id="101"/>
      <w:bookmarkEnd w:id="101"/>
      <w:r>
        <w:rPr/>
      </w:r>
      <w:r>
        <w:rPr/>
        <w:t>集团的会计政策和会计期间对子公司财务报表进行必要的调整。对于非同一控制下企业合并 取得的子公司，以购买日可辨认净资产公允价值为基础对其财务报表进行调整。</w:t>
      </w:r>
    </w:p>
    <w:p>
      <w:pPr>
        <w:pStyle w:val="BodyText"/>
        <w:spacing w:line="357" w:lineRule="auto"/>
        <w:ind w:left="595" w:right="131"/>
        <w:jc w:val="left"/>
      </w:pPr>
      <w:r>
        <w:rPr/>
        <w:t>集团内所有重大往来余额、交易及未实现利润在合并财务报表编制时予以抵销。 子公司的股东权益及当期净损益中不属于本集团所拥有的部分分别作为少数股东权益及</w:t>
      </w:r>
    </w:p>
    <w:p>
      <w:pPr>
        <w:pStyle w:val="BodyText"/>
        <w:spacing w:line="357" w:lineRule="auto"/>
        <w:ind w:right="151"/>
        <w:jc w:val="both"/>
      </w:pPr>
      <w:r>
        <w:rPr/>
        <w:t>少数股东损益在合并财务报表中股东权益及净利润项下单独列示。子公司当期净损益中属于 少数股东权益的份额，在合并利润表中净利润项目下以“少数股东损益”项目列示。少数股 东分担的子公司的亏损超过了少数股东在该子公司期初所有者权益中所享有的份额，冲减少 数股东权益。</w:t>
      </w:r>
    </w:p>
    <w:p>
      <w:pPr>
        <w:spacing w:before="215"/>
        <w:ind w:left="119"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本集团现金及现金等价物包括库存现金、可以随时用于支付的存款以及本集团持有的期 限短（一般为从购买日起，三个月内到期）、流动性强、易于转换为已知金额的现金、价值 变动风险很小的投资。</w:t>
      </w:r>
    </w:p>
    <w:p>
      <w:pPr>
        <w:spacing w:before="215"/>
        <w:ind w:left="119"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、金融工具</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）金融工具的确认依据和计量方法</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以常规方式买卖金融资产，按交易日进行会计确认和终止确认。金融资产在初始确认时 划分为以公允价值计量且其变动计入当期损益的金融资产、持有至到期投资、贷款和应收款 项以及可供出售金融资产。初始确认金融资产，以公允价值计量。对于以公允价值计量且其 变动计入当期损益的金融资产，相关的交易费用直接计入当期损益，对于其他类别的金融资 产，相关交易费用计入初始确认金额。</w:t>
      </w:r>
    </w:p>
    <w:p>
      <w:pPr>
        <w:pStyle w:val="BodyText"/>
        <w:spacing w:line="357" w:lineRule="auto"/>
        <w:ind w:left="595" w:right="131"/>
        <w:jc w:val="left"/>
      </w:pPr>
      <w:r>
        <w:rPr/>
        <w:t>① 以公允价值计量且其变动计入当期损益的金融资产 包括交易性金融资产和指定为以公允价值计量且其变动计入当期损益的金融资产。 交易性金融资产是指满足下列条件之一的金融资产：A.取得该金融资产的目的，主要是</w:t>
      </w:r>
    </w:p>
    <w:p>
      <w:pPr>
        <w:pStyle w:val="BodyText"/>
        <w:spacing w:line="357" w:lineRule="auto"/>
        <w:ind w:right="148"/>
        <w:jc w:val="both"/>
      </w:pPr>
      <w:r>
        <w:rPr/>
        <w:t>为了近期内出售；B.属于进行集中管理的可辨认金融工具组合的一部分，且有客观证据表明 本集团近期采用短期获利方式对该组合进行管理；C.属于衍生工具，但是，被指定且为有效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BodyText"/>
        <w:spacing w:line="240" w:lineRule="auto"/>
        <w:ind w:left="595" w:right="0"/>
        <w:jc w:val="left"/>
      </w:pPr>
      <w:r>
        <w:rPr/>
        <w:t>符合下述条件之一的金融资产，在初始确认时可指定为以公允价值计量且其变动计入当</w:t>
      </w:r>
    </w:p>
    <w:p>
      <w:pPr>
        <w:spacing w:after="0" w:line="240"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48"/>
        <w:jc w:val="both"/>
      </w:pPr>
      <w:r>
        <w:rPr/>
        <w:t>期损益的金融资产：A.该指定可以消除或明显减少由于该金融资产的计量基础不同所导致的 相关利得或损失在确认或计量方面不一致的情况；B.本集团风险管理或投资策略的正式书面 文件已载明，对该金融资产所在的金融资产组合或金融资产和金融负债组合以公允价值为基 础进行管理、评价并向关键管理人员报告。</w:t>
      </w:r>
    </w:p>
    <w:p>
      <w:pPr>
        <w:pStyle w:val="BodyText"/>
        <w:spacing w:line="357" w:lineRule="auto"/>
        <w:ind w:right="148" w:firstLine="482"/>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57" w:lineRule="auto"/>
        <w:ind w:left="595" w:right="131"/>
        <w:jc w:val="left"/>
      </w:pPr>
      <w:r>
        <w:rPr/>
        <w:t>② 持有至到期投资 是指到期日固定、回收金额固定或可确定，且本集团有明确意图和能力持有至到期的非</w:t>
      </w:r>
    </w:p>
    <w:p>
      <w:pPr>
        <w:pStyle w:val="BodyText"/>
        <w:spacing w:line="357" w:lineRule="auto"/>
        <w:ind w:left="595" w:right="131" w:hanging="483"/>
        <w:jc w:val="left"/>
      </w:pPr>
      <w:r>
        <w:rPr/>
        <w:t>衍生金融资产。 持有至到期投资采用实际利率法，按摊余成本进行后续计量，在终止确认、发生减值或</w:t>
      </w:r>
    </w:p>
    <w:p>
      <w:pPr>
        <w:pStyle w:val="BodyText"/>
        <w:spacing w:line="357" w:lineRule="auto"/>
        <w:ind w:left="595" w:right="131" w:hanging="483"/>
        <w:jc w:val="left"/>
      </w:pPr>
      <w:r>
        <w:rPr/>
        <w:t>摊销时产生的利得或损失，计入当期损益。 实际利率法是指按照金融资产或金融负债（含一组金融资产或金融负债）的实际利率计</w:t>
      </w:r>
    </w:p>
    <w:p>
      <w:pPr>
        <w:pStyle w:val="BodyText"/>
        <w:spacing w:line="357" w:lineRule="auto"/>
        <w:ind w:right="151"/>
        <w:jc w:val="both"/>
      </w:pPr>
      <w:r>
        <w:rPr/>
        <w:t>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BodyText"/>
        <w:spacing w:line="357" w:lineRule="auto"/>
        <w:ind w:right="148" w:firstLine="482"/>
        <w:jc w:val="both"/>
      </w:pPr>
      <w:r>
        <w:rPr/>
        <w:t>在计算实际利率时，本集团将在考虑金融资产或金融负债所有合同条款的基础上预计未 来现金流量（不考虑未来的信用损失），同时还将考虑金融资产或金融负债合同各方之间支 付或收取的、属于实际利率组成部分的各项收费、交易费用及折价或溢价等。</w:t>
      </w:r>
    </w:p>
    <w:p>
      <w:pPr>
        <w:pStyle w:val="BodyText"/>
        <w:spacing w:line="357" w:lineRule="auto"/>
        <w:ind w:left="595" w:right="131"/>
        <w:jc w:val="left"/>
      </w:pPr>
      <w:r>
        <w:rPr/>
        <w:t>③ 贷款和应收款项 是指在活跃市场中没有报价、回收金额固定或可确定的非衍生金融资产。本集团划分为</w:t>
      </w:r>
    </w:p>
    <w:p>
      <w:pPr>
        <w:pStyle w:val="BodyText"/>
        <w:spacing w:line="357" w:lineRule="auto"/>
        <w:ind w:left="595" w:right="131" w:hanging="483"/>
        <w:jc w:val="left"/>
      </w:pPr>
      <w:r>
        <w:rPr/>
        <w:t>贷款和应收款的金融资产包括应收票据、应收账款、应收利息、应收股利及其他应收款等。 贷款和应收款项采用实际利率法，按摊余成本进行后续计量，在终止确认、发生减值或</w:t>
      </w:r>
    </w:p>
    <w:p>
      <w:pPr>
        <w:pStyle w:val="BodyText"/>
        <w:spacing w:line="240" w:lineRule="auto"/>
        <w:ind w:right="0"/>
        <w:jc w:val="both"/>
      </w:pPr>
      <w:r>
        <w:rPr/>
        <w:t>摊销时产生的利得或损失，计入当期损益。</w:t>
      </w:r>
    </w:p>
    <w:p>
      <w:pPr>
        <w:pStyle w:val="BodyText"/>
        <w:spacing w:line="357" w:lineRule="auto" w:before="154"/>
        <w:ind w:left="595" w:right="131"/>
        <w:jc w:val="left"/>
      </w:pPr>
      <w:r>
        <w:rPr/>
        <w:t>④ 可供出售金融资产 包括初始确认时即被指定为可供出售的非衍生金融资产，以及除了以公允价值计量且其</w:t>
      </w:r>
    </w:p>
    <w:p>
      <w:pPr>
        <w:pStyle w:val="BodyText"/>
        <w:spacing w:line="357" w:lineRule="auto"/>
        <w:ind w:left="595" w:right="131" w:hanging="483"/>
        <w:jc w:val="left"/>
      </w:pPr>
      <w:r>
        <w:rPr/>
        <w:t>变动计入当期损益的金融资产、贷款和应收款项、持有至到期投资以外的金融资产。 可供出售金融资产采用公允价值进行后续计量，公允价值变动形成的利得或损失，除减</w:t>
      </w:r>
    </w:p>
    <w:p>
      <w:pPr>
        <w:pStyle w:val="BodyText"/>
        <w:spacing w:line="357" w:lineRule="auto"/>
        <w:ind w:right="151"/>
        <w:jc w:val="both"/>
      </w:pPr>
      <w:r>
        <w:rPr/>
        <w:t>值损失和外币货币性金融资产与摊余成本相关的汇兑差额计入当期损益外，确认为其他综合 收益并计入资本公积，在该金融资产终止确认时转出，计入当期损益。</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240" w:lineRule="auto" w:before="26"/>
        <w:ind w:left="595" w:right="0"/>
        <w:jc w:val="left"/>
      </w:pPr>
      <w:bookmarkStart w:name="（2）金融资产转移的确认依据和计量方法" w:id="102"/>
      <w:bookmarkEnd w:id="102"/>
      <w:r>
        <w:rPr/>
      </w:r>
      <w:bookmarkStart w:name="（3）金融负债终止确认条件" w:id="103"/>
      <w:bookmarkEnd w:id="103"/>
      <w:r>
        <w:rPr/>
      </w:r>
      <w:bookmarkStart w:name="（4）金融资产和金融负债公允价值的确定方法" w:id="104"/>
      <w:bookmarkEnd w:id="104"/>
      <w:r>
        <w:rPr/>
      </w:r>
      <w:r>
        <w:rPr/>
        <w:t>可供出售金融资产持有期间取得的利息及被投资单位宣告发放的现金股利，计入投资收</w:t>
      </w:r>
    </w:p>
    <w:p>
      <w:pPr>
        <w:pStyle w:val="BodyText"/>
        <w:spacing w:line="240" w:lineRule="auto" w:before="154"/>
        <w:ind w:right="0"/>
        <w:jc w:val="left"/>
      </w:pPr>
      <w:r>
        <w:rPr/>
        <w:t>益。</w:t>
      </w:r>
    </w:p>
    <w:p>
      <w:pPr>
        <w:spacing w:line="240" w:lineRule="auto" w:before="13"/>
        <w:rPr>
          <w:rFonts w:ascii="宋体" w:hAnsi="宋体" w:cs="宋体" w:eastAsia="宋体" w:hint="default"/>
          <w:sz w:val="27"/>
          <w:szCs w:val="27"/>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）金融资产转移的确认依据和计量方法</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10" w:firstLine="482"/>
        <w:jc w:val="both"/>
      </w:pPr>
      <w:r>
        <w:rPr>
          <w:spacing w:val="-4"/>
        </w:rPr>
        <w:t>满足下列条件之一的金融资产，予以终止确认：①</w:t>
      </w:r>
      <w:r>
        <w:rPr>
          <w:spacing w:val="2"/>
        </w:rPr>
        <w:t> </w:t>
      </w:r>
      <w:r>
        <w:rPr/>
        <w:t>收取该金融资产现金流量的合同权利</w:t>
      </w:r>
      <w:r>
        <w:rPr/>
        <w:t> 终止；②</w:t>
      </w:r>
      <w:r>
        <w:rPr>
          <w:spacing w:val="-80"/>
        </w:rPr>
        <w:t> </w:t>
      </w:r>
      <w:r>
        <w:rPr/>
        <w:t>该金融资产已转移，且将金融资产所有权上几乎所有的风险和报酬转移给转入方；</w:t>
      </w:r>
    </w:p>
    <w:p>
      <w:pPr>
        <w:pStyle w:val="BodyText"/>
        <w:spacing w:line="357" w:lineRule="auto"/>
        <w:ind w:right="134"/>
        <w:jc w:val="left"/>
      </w:pPr>
      <w:r>
        <w:rPr/>
        <w:t>③该金融资产已转移，虽然企业既没有转移也没有保留金融资产所有权上几乎所有的风险和 报酬，但是放弃了对该金融资产控制。</w:t>
      </w:r>
    </w:p>
    <w:p>
      <w:pPr>
        <w:pStyle w:val="BodyText"/>
        <w:spacing w:line="357" w:lineRule="auto"/>
        <w:ind w:right="148" w:firstLine="482"/>
        <w:jc w:val="both"/>
      </w:pPr>
      <w:r>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BodyText"/>
        <w:spacing w:line="357" w:lineRule="auto"/>
        <w:ind w:right="148" w:firstLine="482"/>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57" w:lineRule="auto"/>
        <w:ind w:right="148" w:firstLine="482"/>
        <w:jc w:val="both"/>
      </w:pPr>
      <w:r>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spacing w:before="215"/>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）金融负债终止确认条件</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金融负债的现时义务全部或部分已经解除的，才能终止确认该金融负债或其一部分。本 集团（债务人）与债权人之间签订协议，以承担新金融负债方式替换现存金融负债，且新金 融负债与现存金融负债的合同条款实质上不同的，终止确认现存金融负债，并同时确认新金 融负债。</w:t>
      </w:r>
    </w:p>
    <w:p>
      <w:pPr>
        <w:pStyle w:val="BodyText"/>
        <w:spacing w:line="357" w:lineRule="auto"/>
        <w:ind w:right="148" w:firstLine="482"/>
        <w:jc w:val="both"/>
      </w:pPr>
      <w:r>
        <w:rPr/>
        <w:t>金融负债全部或部分终止确认的，将终止确认部分的账面价值与支付的对价（包括转出 的非现金资产或承担的新金融负债）之间的差额，计入当期损益。</w:t>
      </w:r>
    </w:p>
    <w:p>
      <w:pPr>
        <w:spacing w:before="215"/>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）金融资产和金融负债公允价值的确定方法</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12" w:firstLine="482"/>
        <w:jc w:val="both"/>
      </w:pPr>
      <w:r>
        <w:rPr>
          <w:spacing w:val="-3"/>
          <w:w w:val="95"/>
        </w:rPr>
        <w:t>公允价值，指在公平交易中，熟悉情况的交易双方自愿进行资产交换或债务清偿的金额。</w:t>
      </w:r>
      <w:r>
        <w:rPr>
          <w:w w:val="50"/>
        </w:rPr>
        <w:t> </w:t>
      </w:r>
      <w:r>
        <w:rPr/>
        <w:t>金融工具存在活跃市场的，本集团采用活跃市场中的报价确定其公允价值。活跃市场中的报</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96"/>
        <w:jc w:val="left"/>
      </w:pPr>
      <w:bookmarkStart w:name="（5）金融资产（不含应收款项）减值测试方法、减值准备计提方法" w:id="105"/>
      <w:bookmarkEnd w:id="105"/>
      <w:r>
        <w:rPr/>
      </w:r>
      <w:r>
        <w:rPr/>
        <w:t>价是指易于定期从交易所、经纪商、行业协会、定价服务机构等获得的价格，且代表了在公 平交易中实际发生的市场交易的价格。金融工具不存在活跃市场的，本集团采用估值技术确 定其公允价值。估值技术包括参考熟悉情况并自愿交易的各方最近进行的市场交易中使用的 </w:t>
      </w:r>
      <w:r>
        <w:rPr>
          <w:spacing w:val="-3"/>
        </w:rPr>
        <w:t>价格、参照实质上相同的其他金融工具当前的公允价值、现金流量折现法和期权定价模型等。</w:t>
      </w:r>
    </w:p>
    <w:p>
      <w:pPr>
        <w:spacing w:before="215"/>
        <w:ind w:left="112" w:right="25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）金融资产（不含应收款项）减值测试方法、减值准备计提方法</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96" w:firstLine="482"/>
        <w:jc w:val="left"/>
      </w:pPr>
      <w:r>
        <w:rPr/>
        <w:t>除了以公允价值计量且其变动计入当期损益的金融资产外，本集团在每个资产负债表日 </w:t>
      </w:r>
      <w:r>
        <w:rPr>
          <w:spacing w:val="-3"/>
        </w:rPr>
        <w:t>对其他金融资产的账面价值进行检查，有客观证据表明金融资产发生减值的，计提减值准备。</w:t>
      </w:r>
    </w:p>
    <w:p>
      <w:pPr>
        <w:pStyle w:val="BodyText"/>
        <w:spacing w:line="357" w:lineRule="auto"/>
        <w:ind w:right="268" w:firstLine="482"/>
        <w:jc w:val="both"/>
      </w:pPr>
      <w:r>
        <w:rPr/>
        <w:t>本集团对单项金额重大的金融资产单独进行减值测试；对单项金额不重大的金融资产， 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 有类似信用风险特征的金融资产组合中进行减值测试。</w:t>
      </w:r>
    </w:p>
    <w:p>
      <w:pPr>
        <w:pStyle w:val="BodyText"/>
        <w:spacing w:line="357" w:lineRule="auto"/>
        <w:ind w:left="595" w:right="251"/>
        <w:jc w:val="left"/>
      </w:pPr>
      <w:r>
        <w:rPr/>
        <w:t>① 持有至到期投资、贷款和应收款项减值 以成本或摊余成本计量的金融资产将其账面价值减记至预计未来现金流量现值，减记金</w:t>
      </w:r>
    </w:p>
    <w:p>
      <w:pPr>
        <w:pStyle w:val="BodyText"/>
        <w:spacing w:line="357" w:lineRule="auto"/>
        <w:ind w:right="271"/>
        <w:jc w:val="both"/>
      </w:pPr>
      <w:r>
        <w:rPr/>
        <w:t>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 的摊余成本。</w:t>
      </w:r>
    </w:p>
    <w:p>
      <w:pPr>
        <w:pStyle w:val="BodyText"/>
        <w:spacing w:line="357" w:lineRule="auto"/>
        <w:ind w:left="595" w:right="251"/>
        <w:jc w:val="left"/>
      </w:pPr>
      <w:r>
        <w:rPr/>
        <w:t>② 可供出售金融资产减值 当综合相关因素判断可供出售权益工具投资公允价值下跌是严重或非暂时性下跌时，表</w:t>
      </w:r>
    </w:p>
    <w:p>
      <w:pPr>
        <w:pStyle w:val="BodyText"/>
        <w:spacing w:line="357" w:lineRule="auto"/>
        <w:ind w:right="494"/>
        <w:jc w:val="left"/>
      </w:pPr>
      <w:r>
        <w:rPr/>
        <w:t>明该可供出售权益工具投资发生减值。其中“严重下跌”是指公允价值下跌幅度累计超过 20%；“非暂时性下跌”是指公允价值连续下跌时间超过12个月。</w:t>
      </w:r>
    </w:p>
    <w:p>
      <w:pPr>
        <w:pStyle w:val="BodyText"/>
        <w:spacing w:line="357" w:lineRule="auto"/>
        <w:ind w:right="268" w:firstLine="482"/>
        <w:jc w:val="both"/>
      </w:pPr>
      <w:r>
        <w:rPr/>
        <w:t>可供出售金融资产发生减值时，将原计入资本公积的因公允价值下降形成的累计损失予 以转出并计入当期损益，该转出的累计损失为该资产初始取得成本扣除已收回本金和已摊销 金额、当前公允价值和原已计入损益的减值损失后的余额。</w:t>
      </w:r>
    </w:p>
    <w:p>
      <w:pPr>
        <w:pStyle w:val="BodyText"/>
        <w:spacing w:line="357" w:lineRule="auto"/>
        <w:ind w:right="268" w:firstLine="482"/>
        <w:jc w:val="both"/>
      </w:pPr>
      <w:r>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BodyText"/>
        <w:spacing w:line="240" w:lineRule="auto"/>
        <w:ind w:left="595" w:right="96"/>
        <w:jc w:val="left"/>
      </w:pPr>
      <w:r>
        <w:rPr/>
        <w:t>在活跃市场中没有报价且其公允价值不能可靠计量的权益工具投资，或与该权益工具挂</w:t>
      </w:r>
    </w:p>
    <w:p>
      <w:pPr>
        <w:spacing w:after="0" w:line="240" w:lineRule="auto"/>
        <w:jc w:val="left"/>
        <w:sectPr>
          <w:footerReference w:type="default" r:id="rId23"/>
          <w:pgSz w:w="11910" w:h="16840"/>
          <w:pgMar w:footer="979" w:header="745" w:top="1060" w:bottom="1160" w:left="1020" w:right="900"/>
          <w:pgNumType w:start="78"/>
        </w:sectPr>
      </w:pPr>
    </w:p>
    <w:p>
      <w:pPr>
        <w:spacing w:line="240" w:lineRule="auto" w:before="6"/>
        <w:rPr>
          <w:rFonts w:ascii="宋体" w:hAnsi="宋体" w:cs="宋体" w:eastAsia="宋体" w:hint="default"/>
          <w:sz w:val="29"/>
          <w:szCs w:val="29"/>
        </w:rPr>
      </w:pPr>
    </w:p>
    <w:p>
      <w:pPr>
        <w:pStyle w:val="BodyText"/>
        <w:spacing w:line="240" w:lineRule="auto" w:before="26"/>
        <w:ind w:right="0"/>
        <w:jc w:val="both"/>
      </w:pPr>
      <w:bookmarkStart w:name="9、应收款项坏账准备的确认标准和计提方法" w:id="106"/>
      <w:bookmarkEnd w:id="106"/>
      <w:r>
        <w:rPr/>
      </w:r>
      <w:r>
        <w:rPr/>
        <w:t>钩并须通过交付该权益工具结算的衍生金融资产的减值损失，不予转回。</w:t>
      </w:r>
    </w:p>
    <w:p>
      <w:pPr>
        <w:spacing w:line="240" w:lineRule="auto" w:before="6"/>
        <w:rPr>
          <w:rFonts w:ascii="宋体" w:hAnsi="宋体" w:cs="宋体" w:eastAsia="宋体" w:hint="default"/>
          <w:sz w:val="25"/>
          <w:szCs w:val="25"/>
        </w:rPr>
      </w:pPr>
    </w:p>
    <w:p>
      <w:pPr>
        <w:spacing w:before="0"/>
        <w:ind w:left="119"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、应收款项坏账准备的确认标准和计提方法</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left="595" w:right="131"/>
        <w:jc w:val="left"/>
      </w:pPr>
      <w:r>
        <w:rPr/>
        <w:t>（1）坏账准备的确认标准 本集团在资产负债表日对应收款项账面价值进行检查，对存在下列客观证据表明应收款</w:t>
      </w:r>
    </w:p>
    <w:p>
      <w:pPr>
        <w:pStyle w:val="BodyText"/>
        <w:spacing w:line="357" w:lineRule="auto"/>
        <w:ind w:right="148"/>
        <w:jc w:val="both"/>
      </w:pPr>
      <w:r>
        <w:rPr/>
        <w:t>项发生减值的，计提减值准备：①债务人发生严重的财务困难；②债务人违反合同条款（如 偿付利息或本金发生违约或逾期等）； ③债务人很可能倒闭或进行其他财务重组；</w:t>
      </w:r>
      <w:r>
        <w:rPr>
          <w:spacing w:val="2"/>
        </w:rPr>
        <w:t> </w:t>
      </w:r>
      <w:r>
        <w:rPr/>
        <w:t>④其他</w:t>
      </w:r>
      <w:r>
        <w:rPr/>
        <w:t> 表明应收款项发生减值的客观依据。</w:t>
      </w:r>
    </w:p>
    <w:p>
      <w:pPr>
        <w:pStyle w:val="BodyText"/>
        <w:spacing w:line="240" w:lineRule="auto"/>
        <w:ind w:left="595" w:right="0"/>
        <w:jc w:val="left"/>
      </w:pPr>
      <w:r>
        <w:rPr/>
        <w:t>（2）坏账准备的计提方法</w:t>
      </w:r>
    </w:p>
    <w:p>
      <w:pPr>
        <w:pStyle w:val="BodyText"/>
        <w:spacing w:line="357" w:lineRule="auto" w:before="154"/>
        <w:ind w:left="595" w:right="0"/>
        <w:jc w:val="left"/>
      </w:pPr>
      <w:r>
        <w:rPr/>
        <w:t>① 单项金额重大并单项计提坏账准备的应收款项坏账准备的确认标准、计提方法 本集团将金额为人民币50万元以上的应收款项确认为单项金额重大的应收款项。 </w:t>
      </w:r>
      <w:r>
        <w:rPr>
          <w:spacing w:val="-3"/>
          <w:w w:val="95"/>
        </w:rPr>
        <w:t>本集团对单项金额重大的应收款项单独进行减值测试，单独测试未发生减值的金融资产，</w:t>
      </w:r>
      <w:r>
        <w:rPr>
          <w:spacing w:val="-3"/>
        </w:rPr>
      </w:r>
    </w:p>
    <w:p>
      <w:pPr>
        <w:pStyle w:val="BodyText"/>
        <w:spacing w:line="357" w:lineRule="auto"/>
        <w:ind w:right="151"/>
        <w:jc w:val="both"/>
      </w:pPr>
      <w:r>
        <w:rPr/>
        <w:t>包括在具有类似信用风险特征的金融资产组合中进行减值测试。单项测试已确认减值损失的 应收款项，不再包括在具有类似信用风险特征的应收款项组合中进行减值测试。</w:t>
      </w:r>
    </w:p>
    <w:p>
      <w:pPr>
        <w:pStyle w:val="BodyText"/>
        <w:spacing w:line="357" w:lineRule="auto"/>
        <w:ind w:left="595" w:right="131"/>
        <w:jc w:val="left"/>
      </w:pPr>
      <w:r>
        <w:rPr/>
        <w:t>② 按信用风险组合计提坏账准备的应收款项的确定依据、坏账准备计提方法 A．信用风险特征组合的确定依据 本集团对单项金额不重大以及金额重大但单项测试未发生减值的应收款项，按信用风险</w:t>
      </w:r>
    </w:p>
    <w:p>
      <w:pPr>
        <w:pStyle w:val="BodyText"/>
        <w:spacing w:line="357" w:lineRule="auto"/>
        <w:ind w:right="151"/>
        <w:jc w:val="both"/>
      </w:pPr>
      <w:r>
        <w:rPr/>
        <w:t>特征的相似性和相关性对金融资产进行分组。这些信用风险通常反映债务人按照该等资产的 合同条款偿还所有到期金额的能力，并且与被检查资产的未来现金流量测算相关。</w:t>
      </w:r>
    </w:p>
    <w:p>
      <w:pPr>
        <w:pStyle w:val="BodyText"/>
        <w:spacing w:line="240" w:lineRule="auto"/>
        <w:ind w:left="595" w:right="0"/>
        <w:jc w:val="left"/>
      </w:pPr>
      <w:r>
        <w:rPr/>
        <w:t>不同组合的确定依据：</w:t>
      </w:r>
    </w:p>
    <w:p>
      <w:pPr>
        <w:spacing w:line="240" w:lineRule="auto" w:before="8"/>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058"/>
        <w:gridCol w:w="6014"/>
      </w:tblGrid>
      <w:tr>
        <w:trPr>
          <w:trHeight w:val="355" w:hRule="exact"/>
        </w:trPr>
        <w:tc>
          <w:tcPr>
            <w:tcW w:w="3058"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014"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62" w:hRule="exact"/>
        </w:trPr>
        <w:tc>
          <w:tcPr>
            <w:tcW w:w="305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6014"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应收款项账龄</w:t>
            </w:r>
          </w:p>
        </w:tc>
      </w:tr>
      <w:tr>
        <w:trPr>
          <w:trHeight w:val="360" w:hRule="exact"/>
        </w:trPr>
        <w:tc>
          <w:tcPr>
            <w:tcW w:w="3058"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备用金、押金及保证金组合</w:t>
            </w:r>
          </w:p>
        </w:tc>
        <w:tc>
          <w:tcPr>
            <w:tcW w:w="6014" w:type="dxa"/>
            <w:tcBorders>
              <w:top w:val="single" w:sz="12" w:space="0" w:color="000000"/>
              <w:left w:val="single" w:sz="6" w:space="0" w:color="000000"/>
              <w:bottom w:val="single" w:sz="12"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款项性质</w:t>
            </w:r>
          </w:p>
        </w:tc>
      </w:tr>
    </w:tbl>
    <w:p>
      <w:pPr>
        <w:pStyle w:val="BodyText"/>
        <w:spacing w:line="357" w:lineRule="auto" w:before="43"/>
        <w:ind w:left="595" w:right="131"/>
        <w:jc w:val="left"/>
      </w:pPr>
      <w:r>
        <w:rPr/>
        <w:t>B．根据信用风险特征组合确定的坏账准备计提方法 按组合方式实施减值测试时，坏账准备金额系根据应收款项组合结构及类似信用风险特</w:t>
      </w:r>
    </w:p>
    <w:p>
      <w:pPr>
        <w:pStyle w:val="BodyText"/>
        <w:spacing w:line="357" w:lineRule="auto"/>
        <w:ind w:right="134"/>
        <w:jc w:val="left"/>
      </w:pPr>
      <w:r>
        <w:rPr/>
        <w:t>征（债务人根据合同条款偿还欠款的能力）按历史损失经验及目前经济状况与预计应收款项 组合中已经存在的损失评估确定。</w:t>
      </w:r>
    </w:p>
    <w:p>
      <w:pPr>
        <w:pStyle w:val="BodyText"/>
        <w:spacing w:line="240" w:lineRule="auto"/>
        <w:ind w:left="595" w:right="0"/>
        <w:jc w:val="left"/>
      </w:pPr>
      <w:r>
        <w:rPr/>
        <w:t>不同组合计提坏账准备的计提方法：</w:t>
      </w:r>
    </w:p>
    <w:p>
      <w:pPr>
        <w:spacing w:line="240" w:lineRule="auto" w:before="8"/>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058"/>
        <w:gridCol w:w="6014"/>
      </w:tblGrid>
      <w:tr>
        <w:trPr>
          <w:trHeight w:val="353" w:hRule="exact"/>
        </w:trPr>
        <w:tc>
          <w:tcPr>
            <w:tcW w:w="3058" w:type="dxa"/>
            <w:tcBorders>
              <w:top w:val="single" w:sz="6" w:space="0" w:color="000000"/>
              <w:left w:val="single" w:sz="6" w:space="0" w:color="000000"/>
              <w:bottom w:val="single" w:sz="12" w:space="0" w:color="000000"/>
              <w:right w:val="single" w:sz="6" w:space="0" w:color="000000"/>
            </w:tcBorders>
          </w:tcPr>
          <w:p>
            <w:pPr>
              <w:pStyle w:val="TableParagraph"/>
              <w:tabs>
                <w:tab w:pos="631" w:val="left" w:leader="none"/>
              </w:tabs>
              <w:spacing w:line="270" w:lineRule="exact"/>
              <w:ind w:left="2"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6014"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362" w:hRule="exact"/>
        </w:trPr>
        <w:tc>
          <w:tcPr>
            <w:tcW w:w="305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60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7"/>
              <w:jc w:val="center"/>
              <w:rPr>
                <w:rFonts w:ascii="宋体" w:hAnsi="宋体" w:cs="宋体" w:eastAsia="宋体" w:hint="default"/>
                <w:sz w:val="20"/>
                <w:szCs w:val="20"/>
              </w:rPr>
            </w:pPr>
            <w:r>
              <w:rPr>
                <w:rFonts w:ascii="宋体" w:hAnsi="宋体" w:cs="宋体" w:eastAsia="宋体" w:hint="default"/>
                <w:sz w:val="20"/>
                <w:szCs w:val="20"/>
              </w:rPr>
              <w:t>账龄分析法</w:t>
            </w:r>
          </w:p>
        </w:tc>
      </w:tr>
      <w:tr>
        <w:trPr>
          <w:trHeight w:val="362" w:hRule="exact"/>
        </w:trPr>
        <w:tc>
          <w:tcPr>
            <w:tcW w:w="305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备用金、押金及保证金组合</w:t>
            </w:r>
          </w:p>
        </w:tc>
        <w:tc>
          <w:tcPr>
            <w:tcW w:w="60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7"/>
              <w:jc w:val="center"/>
              <w:rPr>
                <w:rFonts w:ascii="宋体" w:hAnsi="宋体" w:cs="宋体" w:eastAsia="宋体" w:hint="default"/>
                <w:sz w:val="20"/>
                <w:szCs w:val="20"/>
              </w:rPr>
            </w:pPr>
            <w:r>
              <w:rPr>
                <w:rFonts w:ascii="宋体" w:hAnsi="宋体" w:cs="宋体" w:eastAsia="宋体" w:hint="default"/>
                <w:sz w:val="20"/>
                <w:szCs w:val="20"/>
              </w:rPr>
              <w:t>不计提坏账准备</w:t>
            </w:r>
          </w:p>
        </w:tc>
      </w:tr>
    </w:tbl>
    <w:p>
      <w:pPr>
        <w:spacing w:after="0" w:line="240" w:lineRule="auto"/>
        <w:jc w:val="center"/>
        <w:rPr>
          <w:rFonts w:ascii="宋体" w:hAnsi="宋体" w:cs="宋体" w:eastAsia="宋体" w:hint="default"/>
          <w:sz w:val="20"/>
          <w:szCs w:val="20"/>
        </w:rPr>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240" w:lineRule="auto" w:before="26"/>
        <w:ind w:left="595" w:right="0"/>
        <w:jc w:val="left"/>
      </w:pPr>
      <w:bookmarkStart w:name="（1）单项金额重大的应收款项坏账准备" w:id="107"/>
      <w:bookmarkEnd w:id="107"/>
      <w:r>
        <w:rPr/>
      </w:r>
      <w:bookmarkStart w:name="（2）按组合计提坏账准备的应收款项" w:id="108"/>
      <w:bookmarkEnd w:id="108"/>
      <w:r>
        <w:rPr/>
      </w:r>
      <w:r>
        <w:rPr/>
        <w:t>组合中，采用账龄分析法计提坏账准备的组合计提方法</w:t>
      </w:r>
    </w:p>
    <w:p>
      <w:pPr>
        <w:spacing w:line="240" w:lineRule="auto" w:before="1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206"/>
        <w:gridCol w:w="3031"/>
        <w:gridCol w:w="2815"/>
      </w:tblGrid>
      <w:tr>
        <w:trPr>
          <w:trHeight w:val="353" w:hRule="exact"/>
        </w:trPr>
        <w:tc>
          <w:tcPr>
            <w:tcW w:w="3206" w:type="dxa"/>
            <w:tcBorders>
              <w:top w:val="single" w:sz="6" w:space="0" w:color="000000"/>
              <w:left w:val="single" w:sz="6" w:space="0" w:color="000000"/>
              <w:bottom w:val="single" w:sz="12" w:space="0" w:color="000000"/>
              <w:right w:val="single" w:sz="6" w:space="0" w:color="000000"/>
            </w:tcBorders>
          </w:tcPr>
          <w:p>
            <w:pPr>
              <w:pStyle w:val="TableParagraph"/>
              <w:tabs>
                <w:tab w:pos="525"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w w:val="95"/>
                <w:sz w:val="21"/>
                <w:szCs w:val="21"/>
              </w:rPr>
              <w:t>账</w:t>
              <w:tab/>
            </w:r>
            <w:r>
              <w:rPr>
                <w:rFonts w:ascii="宋体" w:hAnsi="宋体" w:cs="宋体" w:eastAsia="宋体" w:hint="default"/>
                <w:sz w:val="21"/>
                <w:szCs w:val="21"/>
              </w:rPr>
              <w:t>龄</w:t>
            </w:r>
          </w:p>
        </w:tc>
        <w:tc>
          <w:tcPr>
            <w:tcW w:w="3031" w:type="dxa"/>
            <w:tcBorders>
              <w:top w:val="single" w:sz="6" w:space="0" w:color="000000"/>
              <w:left w:val="single" w:sz="6" w:space="0" w:color="000000"/>
              <w:bottom w:val="single" w:sz="12"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15" w:type="dxa"/>
            <w:tcBorders>
              <w:top w:val="single" w:sz="6" w:space="0" w:color="000000"/>
              <w:left w:val="single" w:sz="6" w:space="0" w:color="000000"/>
              <w:bottom w:val="single" w:sz="12" w:space="0" w:color="000000"/>
              <w:right w:val="nil" w:sz="6" w:space="0" w:color="auto"/>
            </w:tcBorders>
          </w:tcPr>
          <w:p>
            <w:pPr>
              <w:pStyle w:val="TableParagraph"/>
              <w:spacing w:line="285" w:lineRule="exact"/>
              <w:ind w:right="5"/>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62" w:hRule="exact"/>
        </w:trPr>
        <w:tc>
          <w:tcPr>
            <w:tcW w:w="3206"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3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8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5"/>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r>
      <w:tr>
        <w:trPr>
          <w:trHeight w:val="362" w:hRule="exact"/>
        </w:trPr>
        <w:tc>
          <w:tcPr>
            <w:tcW w:w="3206"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10</w:t>
            </w:r>
          </w:p>
        </w:tc>
        <w:tc>
          <w:tcPr>
            <w:tcW w:w="28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center"/>
              <w:rPr>
                <w:rFonts w:ascii="Times New Roman" w:hAnsi="Times New Roman" w:cs="Times New Roman" w:eastAsia="Times New Roman" w:hint="default"/>
                <w:sz w:val="21"/>
                <w:szCs w:val="21"/>
              </w:rPr>
            </w:pPr>
            <w:r>
              <w:rPr>
                <w:rFonts w:ascii="Times New Roman"/>
                <w:sz w:val="21"/>
              </w:rPr>
              <w:t>10</w:t>
            </w:r>
          </w:p>
        </w:tc>
      </w:tr>
      <w:tr>
        <w:trPr>
          <w:trHeight w:val="362" w:hRule="exact"/>
        </w:trPr>
        <w:tc>
          <w:tcPr>
            <w:tcW w:w="3206"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30</w:t>
            </w:r>
          </w:p>
        </w:tc>
        <w:tc>
          <w:tcPr>
            <w:tcW w:w="28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center"/>
              <w:rPr>
                <w:rFonts w:ascii="Times New Roman" w:hAnsi="Times New Roman" w:cs="Times New Roman" w:eastAsia="Times New Roman" w:hint="default"/>
                <w:sz w:val="21"/>
                <w:szCs w:val="21"/>
              </w:rPr>
            </w:pPr>
            <w:r>
              <w:rPr>
                <w:rFonts w:ascii="Times New Roman"/>
                <w:sz w:val="21"/>
              </w:rPr>
              <w:t>30</w:t>
            </w:r>
          </w:p>
        </w:tc>
      </w:tr>
      <w:tr>
        <w:trPr>
          <w:trHeight w:val="362" w:hRule="exact"/>
        </w:trPr>
        <w:tc>
          <w:tcPr>
            <w:tcW w:w="3206"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50</w:t>
            </w:r>
          </w:p>
        </w:tc>
        <w:tc>
          <w:tcPr>
            <w:tcW w:w="28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center"/>
              <w:rPr>
                <w:rFonts w:ascii="Times New Roman" w:hAnsi="Times New Roman" w:cs="Times New Roman" w:eastAsia="Times New Roman" w:hint="default"/>
                <w:sz w:val="21"/>
                <w:szCs w:val="21"/>
              </w:rPr>
            </w:pPr>
            <w:r>
              <w:rPr>
                <w:rFonts w:ascii="Times New Roman"/>
                <w:sz w:val="21"/>
              </w:rPr>
              <w:t>50</w:t>
            </w:r>
          </w:p>
        </w:tc>
      </w:tr>
      <w:tr>
        <w:trPr>
          <w:trHeight w:val="360" w:hRule="exact"/>
        </w:trPr>
        <w:tc>
          <w:tcPr>
            <w:tcW w:w="3206" w:type="dxa"/>
            <w:tcBorders>
              <w:top w:val="single" w:sz="12" w:space="0" w:color="000000"/>
              <w:left w:val="single" w:sz="6" w:space="0" w:color="000000"/>
              <w:bottom w:val="single" w:sz="12"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80</w:t>
            </w:r>
          </w:p>
        </w:tc>
        <w:tc>
          <w:tcPr>
            <w:tcW w:w="28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sz w:val="21"/>
              </w:rPr>
              <w:t>80</w:t>
            </w:r>
          </w:p>
        </w:tc>
      </w:tr>
      <w:tr>
        <w:trPr>
          <w:trHeight w:val="362" w:hRule="exact"/>
        </w:trPr>
        <w:tc>
          <w:tcPr>
            <w:tcW w:w="3206"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100</w:t>
            </w:r>
          </w:p>
        </w:tc>
        <w:tc>
          <w:tcPr>
            <w:tcW w:w="28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357" w:lineRule="auto" w:before="41"/>
        <w:ind w:left="595" w:right="131"/>
        <w:jc w:val="left"/>
      </w:pPr>
      <w:r>
        <w:rPr/>
        <w:t>③ 单项金额虽不重大但单项计提坏账准备的应收款项 本集团对于单项金额虽不重大但具备以下特征的应收款项，单独进行减值测试，有客观</w:t>
      </w:r>
    </w:p>
    <w:p>
      <w:pPr>
        <w:pStyle w:val="BodyText"/>
        <w:spacing w:line="357" w:lineRule="auto"/>
        <w:ind w:right="112"/>
        <w:jc w:val="both"/>
      </w:pPr>
      <w:r>
        <w:rPr>
          <w:spacing w:val="-2"/>
          <w:w w:val="95"/>
        </w:rPr>
        <w:t>证据表明其发生了减值的，根据其未来现金流量现值低于其账面价值的差额，确认减值损失，</w:t>
      </w:r>
      <w:r>
        <w:rPr>
          <w:spacing w:val="30"/>
          <w:w w:val="95"/>
        </w:rPr>
        <w:t> </w:t>
      </w:r>
      <w:r>
        <w:rPr>
          <w:spacing w:val="30"/>
          <w:w w:val="95"/>
        </w:rPr>
      </w:r>
      <w:r>
        <w:rPr/>
        <w:t>计提坏账准备：与对方存在争议或涉及诉讼、仲裁的应收款项；已有明显迹象表明债务人很</w:t>
      </w:r>
      <w:r>
        <w:rPr/>
        <w:t> 可能无法履行还款义务的应收款项等。</w:t>
      </w:r>
    </w:p>
    <w:p>
      <w:pPr>
        <w:spacing w:before="215"/>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）单项金额重大的应收款项坏账准备</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5054"/>
        <w:gridCol w:w="4514"/>
      </w:tblGrid>
      <w:tr>
        <w:trPr>
          <w:trHeight w:val="715" w:hRule="exact"/>
        </w:trPr>
        <w:tc>
          <w:tcPr>
            <w:tcW w:w="5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万元以上的应收款项确认为单 项金额重大的应收款项。</w:t>
            </w:r>
          </w:p>
        </w:tc>
      </w:tr>
      <w:tr>
        <w:trPr>
          <w:trHeight w:val="355" w:hRule="exact"/>
        </w:trPr>
        <w:tc>
          <w:tcPr>
            <w:tcW w:w="5054" w:type="dxa"/>
            <w:tcBorders>
              <w:top w:val="single" w:sz="4" w:space="0" w:color="000000"/>
              <w:left w:val="single" w:sz="4" w:space="0" w:color="000000"/>
              <w:bottom w:val="nil" w:sz="6" w:space="0" w:color="auto"/>
              <w:right w:val="single" w:sz="4" w:space="0" w:color="000000"/>
            </w:tcBorders>
            <w:shd w:val="clear" w:color="auto" w:fill="D3D3D3"/>
          </w:tcPr>
          <w:p>
            <w:pPr/>
          </w:p>
        </w:tc>
        <w:tc>
          <w:tcPr>
            <w:tcW w:w="45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本集团对单项金额重大的应收款项单独进行减值测试，单</w:t>
            </w:r>
          </w:p>
        </w:tc>
      </w:tr>
      <w:tr>
        <w:trPr>
          <w:trHeight w:val="312" w:hRule="exact"/>
        </w:trPr>
        <w:tc>
          <w:tcPr>
            <w:tcW w:w="5054" w:type="dxa"/>
            <w:tcBorders>
              <w:top w:val="nil" w:sz="6" w:space="0" w:color="auto"/>
              <w:left w:val="single" w:sz="4" w:space="0" w:color="000000"/>
              <w:bottom w:val="nil" w:sz="6" w:space="0" w:color="auto"/>
              <w:right w:val="single" w:sz="4" w:space="0" w:color="000000"/>
            </w:tcBorders>
            <w:shd w:val="clear" w:color="auto" w:fill="D3D3D3"/>
          </w:tcPr>
          <w:p>
            <w:pPr/>
          </w:p>
        </w:tc>
        <w:tc>
          <w:tcPr>
            <w:tcW w:w="4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独测试未发生减值的金融资产，包括在具有类似信用风险</w:t>
            </w:r>
          </w:p>
        </w:tc>
      </w:tr>
      <w:tr>
        <w:trPr>
          <w:trHeight w:val="312" w:hRule="exact"/>
        </w:trPr>
        <w:tc>
          <w:tcPr>
            <w:tcW w:w="50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特征的金融资产组合中进行减值测试。单项测试已确认减</w:t>
            </w:r>
          </w:p>
        </w:tc>
      </w:tr>
      <w:tr>
        <w:trPr>
          <w:trHeight w:val="313" w:hRule="exact"/>
        </w:trPr>
        <w:tc>
          <w:tcPr>
            <w:tcW w:w="5054" w:type="dxa"/>
            <w:tcBorders>
              <w:top w:val="nil" w:sz="6" w:space="0" w:color="auto"/>
              <w:left w:val="single" w:sz="4" w:space="0" w:color="000000"/>
              <w:bottom w:val="nil" w:sz="6" w:space="0" w:color="auto"/>
              <w:right w:val="single" w:sz="4" w:space="0" w:color="000000"/>
            </w:tcBorders>
            <w:shd w:val="clear" w:color="auto" w:fill="D3D3D3"/>
          </w:tcPr>
          <w:p>
            <w:pPr/>
          </w:p>
        </w:tc>
        <w:tc>
          <w:tcPr>
            <w:tcW w:w="4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值损失的应收款项，不再包括在具有类似信用风险特征的</w:t>
            </w:r>
          </w:p>
        </w:tc>
      </w:tr>
      <w:tr>
        <w:trPr>
          <w:trHeight w:val="356" w:hRule="exact"/>
        </w:trPr>
        <w:tc>
          <w:tcPr>
            <w:tcW w:w="5054" w:type="dxa"/>
            <w:tcBorders>
              <w:top w:val="nil" w:sz="6" w:space="0" w:color="auto"/>
              <w:left w:val="single" w:sz="4" w:space="0" w:color="000000"/>
              <w:bottom w:val="single" w:sz="4" w:space="0" w:color="000000"/>
              <w:right w:val="single" w:sz="4" w:space="0" w:color="000000"/>
            </w:tcBorders>
            <w:shd w:val="clear" w:color="auto" w:fill="D3D3D3"/>
          </w:tcPr>
          <w:p>
            <w:pPr/>
          </w:p>
        </w:tc>
        <w:tc>
          <w:tcPr>
            <w:tcW w:w="45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应收款项组合中进行减值测试。</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）按组合计提坏账准备的应收款项</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599"/>
        <w:gridCol w:w="2186"/>
        <w:gridCol w:w="4783"/>
      </w:tblGrid>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应收款项账龄</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备用金、押金及保证金组合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款项性质</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599"/>
        <w:gridCol w:w="2976"/>
        <w:gridCol w:w="3994"/>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979" w:header="745" w:top="1060" w:bottom="1160" w:left="1020" w:right="1020"/>
          <w:pgNumType w:start="8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599"/>
        <w:gridCol w:w="2976"/>
        <w:gridCol w:w="3994"/>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3）单项金额虽不重大但单项计提坏账准备的应收账款" w:id="109"/>
            <w:bookmarkEnd w:id="109"/>
            <w:r>
              <w:rPr/>
            </w:r>
            <w:bookmarkStart w:name="10、存货" w:id="110"/>
            <w:bookmarkEnd w:id="110"/>
            <w:r>
              <w:rPr/>
            </w:r>
            <w:bookmarkStart w:name="（1）存货的分类" w:id="111"/>
            <w:bookmarkEnd w:id="111"/>
            <w:r>
              <w:rPr/>
            </w:r>
            <w:bookmarkStart w:name="（2）发出存货的计价方法" w:id="112"/>
            <w:bookmarkEnd w:id="112"/>
            <w:r>
              <w:rPr/>
            </w:r>
            <w:bookmarkStart w:name="（3）存货可变现净值的确定依据及存货跌价准备的计提方法" w:id="113"/>
            <w:bookmarkEnd w:id="113"/>
            <w:r>
              <w:rPr/>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12" w:right="6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931"/>
        <w:gridCol w:w="5638"/>
      </w:tblGrid>
      <w:tr>
        <w:trPr>
          <w:trHeight w:val="403" w:hRule="exact"/>
        </w:trPr>
        <w:tc>
          <w:tcPr>
            <w:tcW w:w="3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401" w:hRule="exact"/>
        </w:trPr>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备用金、押金及保证金组合</w:t>
            </w:r>
          </w:p>
        </w:tc>
        <w:tc>
          <w:tcPr>
            <w:tcW w:w="5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款项性质</w:t>
            </w:r>
          </w:p>
        </w:tc>
      </w:tr>
    </w:tbl>
    <w:p>
      <w:pPr>
        <w:spacing w:line="240" w:lineRule="auto" w:before="5"/>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）单项金额虽不重大但单项计提坏账准备的应收账款</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355"/>
        <w:gridCol w:w="6214"/>
      </w:tblGrid>
      <w:tr>
        <w:trPr>
          <w:trHeight w:val="358" w:hRule="exact"/>
        </w:trPr>
        <w:tc>
          <w:tcPr>
            <w:tcW w:w="3355" w:type="dxa"/>
            <w:tcBorders>
              <w:top w:val="single" w:sz="4" w:space="0" w:color="000000"/>
              <w:left w:val="single" w:sz="4" w:space="0" w:color="000000"/>
              <w:bottom w:val="nil" w:sz="6" w:space="0" w:color="auto"/>
              <w:right w:val="single" w:sz="4" w:space="0" w:color="000000"/>
            </w:tcBorders>
            <w:shd w:val="clear" w:color="auto" w:fill="D3D3D3"/>
          </w:tcPr>
          <w:p>
            <w:pPr/>
          </w:p>
        </w:tc>
        <w:tc>
          <w:tcPr>
            <w:tcW w:w="6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w w:val="95"/>
                <w:sz w:val="18"/>
                <w:szCs w:val="18"/>
              </w:rPr>
              <w:t>本集团对于单项金额虽不重大但具备以下特征的应收款项，单独进行减值测试，</w:t>
            </w:r>
            <w:r>
              <w:rPr>
                <w:rFonts w:ascii="宋体" w:hAnsi="宋体" w:cs="宋体" w:eastAsia="宋体" w:hint="default"/>
                <w:spacing w:val="-2"/>
                <w:sz w:val="18"/>
                <w:szCs w:val="18"/>
              </w:rPr>
            </w:r>
          </w:p>
        </w:tc>
      </w:tr>
      <w:tr>
        <w:trPr>
          <w:trHeight w:val="624" w:hRule="exact"/>
        </w:trPr>
        <w:tc>
          <w:tcPr>
            <w:tcW w:w="33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59"/>
              <w:jc w:val="left"/>
              <w:rPr>
                <w:rFonts w:ascii="宋体" w:hAnsi="宋体" w:cs="宋体" w:eastAsia="宋体" w:hint="default"/>
                <w:sz w:val="18"/>
                <w:szCs w:val="18"/>
              </w:rPr>
            </w:pPr>
            <w:r>
              <w:rPr>
                <w:rFonts w:ascii="宋体" w:hAnsi="宋体" w:cs="宋体" w:eastAsia="宋体" w:hint="default"/>
                <w:sz w:val="18"/>
                <w:szCs w:val="18"/>
              </w:rPr>
              <w:t>有客观证据表明其发生了减值的，根据其未来现金流量现值低于其账面价值的 差额，确认减值损失，计提坏账准备：与对方存在争议或涉及诉讼、仲裁的应</w:t>
            </w:r>
          </w:p>
        </w:tc>
      </w:tr>
      <w:tr>
        <w:trPr>
          <w:trHeight w:val="355" w:hRule="exact"/>
        </w:trPr>
        <w:tc>
          <w:tcPr>
            <w:tcW w:w="3355" w:type="dxa"/>
            <w:tcBorders>
              <w:top w:val="nil" w:sz="6" w:space="0" w:color="auto"/>
              <w:left w:val="single" w:sz="4" w:space="0" w:color="000000"/>
              <w:bottom w:val="single" w:sz="4" w:space="0" w:color="000000"/>
              <w:right w:val="single" w:sz="4" w:space="0" w:color="000000"/>
            </w:tcBorders>
            <w:shd w:val="clear" w:color="auto" w:fill="D3D3D3"/>
          </w:tcPr>
          <w:p>
            <w:pPr/>
          </w:p>
        </w:tc>
        <w:tc>
          <w:tcPr>
            <w:tcW w:w="6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收款项；已有明显迹象表明债务人很可能无法履行还款义务的应收款项等。</w:t>
            </w:r>
          </w:p>
        </w:tc>
      </w:tr>
      <w:tr>
        <w:trPr>
          <w:trHeight w:val="358" w:hRule="exact"/>
        </w:trPr>
        <w:tc>
          <w:tcPr>
            <w:tcW w:w="3355" w:type="dxa"/>
            <w:tcBorders>
              <w:top w:val="single" w:sz="4" w:space="0" w:color="000000"/>
              <w:left w:val="single" w:sz="4" w:space="0" w:color="000000"/>
              <w:bottom w:val="nil" w:sz="6" w:space="0" w:color="auto"/>
              <w:right w:val="single" w:sz="4" w:space="0" w:color="000000"/>
            </w:tcBorders>
            <w:shd w:val="clear" w:color="auto" w:fill="D3D3D3"/>
          </w:tcPr>
          <w:p>
            <w:pPr/>
          </w:p>
        </w:tc>
        <w:tc>
          <w:tcPr>
            <w:tcW w:w="6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w w:val="95"/>
                <w:sz w:val="18"/>
                <w:szCs w:val="18"/>
              </w:rPr>
              <w:t>本集团对于单项金额虽不重大但具备以下特征的应收款项，单独进行减值测试，</w:t>
            </w:r>
            <w:r>
              <w:rPr>
                <w:rFonts w:ascii="宋体" w:hAnsi="宋体" w:cs="宋体" w:eastAsia="宋体" w:hint="default"/>
                <w:spacing w:val="-2"/>
                <w:sz w:val="18"/>
                <w:szCs w:val="18"/>
              </w:rPr>
            </w:r>
          </w:p>
        </w:tc>
      </w:tr>
      <w:tr>
        <w:trPr>
          <w:trHeight w:val="312" w:hRule="exact"/>
        </w:trPr>
        <w:tc>
          <w:tcPr>
            <w:tcW w:w="33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有客观证据表明其发生了减值的，根据其未来现金流量现值低于其账面价值的</w:t>
            </w:r>
          </w:p>
        </w:tc>
      </w:tr>
      <w:tr>
        <w:trPr>
          <w:trHeight w:val="357" w:hRule="exact"/>
        </w:trPr>
        <w:tc>
          <w:tcPr>
            <w:tcW w:w="3355" w:type="dxa"/>
            <w:tcBorders>
              <w:top w:val="nil" w:sz="6" w:space="0" w:color="auto"/>
              <w:left w:val="single" w:sz="4" w:space="0" w:color="000000"/>
              <w:bottom w:val="single" w:sz="4" w:space="0" w:color="000000"/>
              <w:right w:val="single" w:sz="4" w:space="0" w:color="000000"/>
            </w:tcBorders>
            <w:shd w:val="clear" w:color="auto" w:fill="D3D3D3"/>
          </w:tcPr>
          <w:p>
            <w:pPr/>
          </w:p>
        </w:tc>
        <w:tc>
          <w:tcPr>
            <w:tcW w:w="6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差额，确认减值损失，计提坏账准备</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）存货的分类</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before="0"/>
        <w:ind w:left="595" w:right="0"/>
        <w:jc w:val="left"/>
      </w:pPr>
      <w:r>
        <w:rPr/>
        <w:t>存货主要包括在产品、周转材料、产成品等。</w:t>
      </w:r>
    </w:p>
    <w:p>
      <w:pPr>
        <w:spacing w:line="240" w:lineRule="auto" w:before="6"/>
        <w:rPr>
          <w:rFonts w:ascii="宋体" w:hAnsi="宋体" w:cs="宋体" w:eastAsia="宋体" w:hint="default"/>
          <w:sz w:val="25"/>
          <w:szCs w:val="25"/>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）发出存货的计价方法</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计价方法：个别认定法</w:t>
      </w:r>
    </w:p>
    <w:p>
      <w:pPr>
        <w:pStyle w:val="BodyText"/>
        <w:spacing w:line="357" w:lineRule="auto" w:before="145"/>
        <w:ind w:right="148" w:firstLine="482"/>
        <w:jc w:val="both"/>
      </w:pPr>
      <w:r>
        <w:rPr/>
        <w:t>存货在取得时按实际成本计价，存货成本包括采购成本、加工成本和其他成本。领用和 发出时按个别认定法等计价。</w:t>
      </w:r>
    </w:p>
    <w:p>
      <w:pPr>
        <w:spacing w:before="215"/>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）存货可变现净值的确定依据及存货跌价准备的计提方法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可变现净值是指在日常活动中，存货的估计售价减去至完工时估计将要发生的成本、估 计的销售费用以及相关税费后的金额。在确定存货的可变现净值时，以取得的确凿证据为基 础，同时考虑持有存货的目的以及资产负债表日后事项的影响。</w:t>
      </w:r>
    </w:p>
    <w:p>
      <w:pPr>
        <w:pStyle w:val="BodyText"/>
        <w:spacing w:line="357" w:lineRule="auto"/>
        <w:ind w:right="148" w:firstLine="482"/>
        <w:jc w:val="both"/>
      </w:pPr>
      <w:r>
        <w:rPr/>
        <w:t>在资产负债表日，存货按照成本与可变现净值孰低计量。当其可变现净值低于成本时， 提取存货跌价准备。存货跌价准备按单个存货项目的成本高于其可变现净值的差额提取。</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48" w:firstLine="482"/>
        <w:jc w:val="both"/>
      </w:pPr>
      <w:bookmarkStart w:name="（4）存货的盘存制度" w:id="114"/>
      <w:bookmarkEnd w:id="114"/>
      <w:r>
        <w:rPr/>
      </w:r>
      <w:bookmarkStart w:name="（5）低值易耗品和包装物的摊销方法" w:id="115"/>
      <w:bookmarkEnd w:id="115"/>
      <w:r>
        <w:rPr/>
      </w:r>
      <w:bookmarkStart w:name="11、长期股权投资" w:id="116"/>
      <w:bookmarkEnd w:id="116"/>
      <w:r>
        <w:rPr/>
      </w:r>
      <w:bookmarkStart w:name="（1）投资成本的确定" w:id="117"/>
      <w:bookmarkEnd w:id="117"/>
      <w:r>
        <w:rPr/>
      </w:r>
      <w:r>
        <w:rPr/>
        <w:t>计提存货跌价准备后，如果以前减记存货价值的影响因素已经消失，导致存货的可变现 净值高于其账面价值的，在原已计提的存货跌价准备金额内予以转回，转回的金额计入当期 损益。</w:t>
      </w:r>
    </w:p>
    <w:p>
      <w:pPr>
        <w:spacing w:before="215"/>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）存货的盘存制度</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pStyle w:val="BodyText"/>
        <w:spacing w:line="240" w:lineRule="auto" w:before="145"/>
        <w:ind w:left="595" w:right="0"/>
        <w:jc w:val="left"/>
      </w:pPr>
      <w:r>
        <w:rPr/>
        <w:t>存货的盘存制度为永续盘存制。</w:t>
      </w:r>
    </w:p>
    <w:p>
      <w:pPr>
        <w:spacing w:line="240" w:lineRule="auto" w:before="6"/>
        <w:rPr>
          <w:rFonts w:ascii="宋体" w:hAnsi="宋体" w:cs="宋体" w:eastAsia="宋体" w:hint="default"/>
          <w:sz w:val="25"/>
          <w:szCs w:val="25"/>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）低值易耗品和包装物的摊销方法</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line="360" w:lineRule="auto" w:before="0"/>
        <w:ind w:left="112" w:right="793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pStyle w:val="BodyText"/>
        <w:spacing w:line="240" w:lineRule="auto" w:before="55"/>
        <w:ind w:left="595" w:right="0"/>
        <w:jc w:val="left"/>
      </w:pPr>
      <w:r>
        <w:rPr/>
        <w:t>低值易耗品于领用时按一次摊销法摊销。</w:t>
      </w:r>
    </w:p>
    <w:p>
      <w:pPr>
        <w:spacing w:line="360" w:lineRule="auto" w:before="164"/>
        <w:ind w:left="112" w:right="7934" w:firstLine="0"/>
        <w:jc w:val="left"/>
        <w:rPr>
          <w:rFonts w:ascii="宋体" w:hAnsi="宋体" w:cs="宋体" w:eastAsia="宋体" w:hint="default"/>
          <w:sz w:val="18"/>
          <w:szCs w:val="18"/>
        </w:rPr>
      </w:pPr>
      <w:r>
        <w:rPr>
          <w:rFonts w:ascii="宋体" w:hAnsi="宋体" w:cs="宋体" w:eastAsia="宋体" w:hint="default"/>
          <w:sz w:val="18"/>
          <w:szCs w:val="18"/>
        </w:rPr>
        <w:t>包装物 摊销方法：一次摊销法</w:t>
      </w:r>
    </w:p>
    <w:p>
      <w:pPr>
        <w:pStyle w:val="BodyText"/>
        <w:spacing w:line="240" w:lineRule="auto" w:before="55"/>
        <w:ind w:left="595" w:right="0"/>
        <w:jc w:val="left"/>
      </w:pPr>
      <w:r>
        <w:rPr/>
        <w:t>包装物于领用时按一次摊销法摊销。</w:t>
      </w:r>
    </w:p>
    <w:p>
      <w:pPr>
        <w:spacing w:line="240" w:lineRule="auto" w:before="6"/>
        <w:rPr>
          <w:rFonts w:ascii="宋体" w:hAnsi="宋体" w:cs="宋体" w:eastAsia="宋体" w:hint="default"/>
          <w:sz w:val="25"/>
          <w:szCs w:val="25"/>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11</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）投资成本的确定</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12" w:firstLine="482"/>
        <w:jc w:val="both"/>
      </w:pPr>
      <w:r>
        <w:rPr/>
        <w:t>对于企业合并形成的长期股权投资，如为同一控制下的企业合并取得的长期股权投资， 在合并日按照取得被合并方股东权益账面价值的份额作为初始投资成本。通过非同一控制下 </w:t>
      </w:r>
      <w:r>
        <w:rPr>
          <w:spacing w:val="-2"/>
          <w:w w:val="95"/>
        </w:rPr>
        <w:t>的企业合并取得的长期股权投资，企业合并成本包括购买方付出的资产、发生或承担的负债、</w:t>
      </w:r>
      <w:r>
        <w:rPr>
          <w:spacing w:val="30"/>
          <w:w w:val="95"/>
        </w:rPr>
        <w:t> </w:t>
      </w:r>
      <w:r>
        <w:rPr>
          <w:spacing w:val="30"/>
          <w:w w:val="95"/>
        </w:rPr>
      </w:r>
      <w:r>
        <w:rPr/>
        <w:t>发行的权益性证券的公允价值之和；购买方为企业合并发生的审计、法律服务、评估咨询等</w:t>
      </w:r>
      <w:r>
        <w:rPr/>
        <w:t> 中介费用以及其他相关管理费用，应当于发生时计入当期损益；购买方作为合并对价发行的 权益性证券或债务性证券的交易费用，应当计入权益性证券或债务性证券的初始确认金额。 除企业合并形成的长期股权投资外的其他股权投资，按成本进行初始计量，该成本视长期股 权投资取得方式的不同，分别按照本集团实际支付的现金购买价款、本集团发行的权益性证 券的公允价值、投资合同或协议约定的价值、非货币性资产交换交易中换出资产的公允价值 或原账面价值、该项长期股权投资自身的公允价值等方式确定。与取得长期股权投资直接相 关的费用、税金及其他必要支出也计入投资成本。</w:t>
      </w:r>
    </w:p>
    <w:p>
      <w:pPr>
        <w:spacing w:after="0" w:line="357" w:lineRule="auto"/>
        <w:jc w:val="both"/>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2" w:right="0" w:firstLine="0"/>
        <w:jc w:val="left"/>
        <w:rPr>
          <w:rFonts w:ascii="Microsoft JhengHei" w:hAnsi="Microsoft JhengHei" w:cs="Microsoft JhengHei" w:eastAsia="Microsoft JhengHei" w:hint="default"/>
          <w:sz w:val="21"/>
          <w:szCs w:val="21"/>
        </w:rPr>
      </w:pPr>
      <w:bookmarkStart w:name="（2）后续计量及损益确认" w:id="118"/>
      <w:bookmarkEnd w:id="118"/>
      <w:r>
        <w:rPr/>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）后续计量及损益确认</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94" w:firstLine="482"/>
        <w:jc w:val="left"/>
      </w:pPr>
      <w:r>
        <w:rPr/>
        <w:t>对被投资单位不具有共同控制或重大影响并且在活跃市场中没有报价、公允价值不能可 靠计量的长期股权投资，采用成本法核算；对被投资单位具有共同控制或重大影响的长期股 权投资，采用权益法核算；对被投资单位不具有控制、共同控制或重大影响并且公允价值能 够可靠计量的长期股权投资，作为可供出售金融资产或以公允价值计量且其变动计入当期损 益的金融资产核算。此外，公司财务报表采用成本法核算能够对被投资单位实施控制的长期 </w:t>
      </w:r>
      <w:r>
        <w:rPr>
          <w:spacing w:val="-7"/>
        </w:rPr>
        <w:t>股权投资。①</w:t>
      </w:r>
      <w:r>
        <w:rPr>
          <w:spacing w:val="-38"/>
        </w:rPr>
        <w:t> </w:t>
      </w:r>
      <w:r>
        <w:rPr/>
        <w:t>成本法核算的长期股权投资采用成本法核算时，长期股权投资按初始投资成本</w:t>
      </w:r>
      <w:r>
        <w:rPr/>
        <w:t> 计价，除取得投资时实际支付的价款或者对价中包含的已宣告但尚未发放的现金股利或者利 </w:t>
      </w:r>
      <w:r>
        <w:rPr>
          <w:spacing w:val="-3"/>
        </w:rPr>
        <w:t>润外，当期投资收益按照享有被投资单位宣告发放的现金股利或利润确认。②</w:t>
      </w:r>
      <w:r>
        <w:rPr>
          <w:spacing w:val="17"/>
        </w:rPr>
        <w:t> </w:t>
      </w:r>
      <w:r>
        <w:rPr/>
        <w:t>权益法核算的</w:t>
      </w:r>
      <w:r>
        <w:rPr/>
        <w:t> 长期股权投资采用权益法核算时，长期股权投资的初始投资成本大于投资时应享有被投资单 位可辨认净资产公允价值份额的，不调整长期股权投资的初始投资成本；初始投资成本小于 投资时应享有被投资单位可辨认净资产公允价值份额的，其差额计入当期损益，同时调整长 期股权投资的成本。采用权益法核算时，当期投资损益为应享有或应分担的被投资单位当年 实现的净损益的份额。在确认应享有被投资单位净损益的份额时，以取得投资时被投资单位 各项可辨认资产等的公允价值为基础，并按照本集团的会计政策及会计期间，对被投资单位 的净利润进行调整后确认。对于本集团与联营企业及合营之间发生的未实现内部交易损益， 按照持股比例计算属于本集团的部分予以抵销，在此基础上确认投资损益。但本集团与被投 </w:t>
      </w:r>
      <w:r>
        <w:rPr>
          <w:spacing w:val="-3"/>
        </w:rPr>
        <w:t>资单位发生的未实现内部交易损失，按照《企业会计准则第8号——资产减值》等规定属于所</w:t>
      </w:r>
      <w:r>
        <w:rPr>
          <w:spacing w:val="-80"/>
        </w:rPr>
        <w:t> </w:t>
      </w:r>
      <w:r>
        <w:rPr>
          <w:spacing w:val="-80"/>
        </w:rPr>
      </w:r>
      <w:r>
        <w:rPr/>
        <w:t>转让资产减值损失的，不予以抵销。对被投资单位的其他综合收益，相应调整长期股权投资 </w:t>
      </w:r>
      <w:r>
        <w:rPr>
          <w:spacing w:val="-2"/>
          <w:w w:val="95"/>
        </w:rPr>
        <w:t>的账面价值确认为其他综合收益并计入资本公积。在确认应分担被投资单位发生的净亏损时，</w:t>
      </w:r>
      <w:r>
        <w:rPr>
          <w:spacing w:val="34"/>
          <w:w w:val="95"/>
        </w:rPr>
        <w:t> </w:t>
      </w:r>
      <w:r>
        <w:rPr>
          <w:spacing w:val="34"/>
          <w:w w:val="95"/>
        </w:rPr>
      </w:r>
      <w:r>
        <w:rPr/>
        <w:t>以长期股权投资的账面价值和其他实质上构成对被投资单位净投资的长期权益减记至零为</w:t>
      </w:r>
      <w:r>
        <w:rPr/>
        <w:t> 限。此外，如本集团对被投资单位负有承担额外损失的义务，则按预计承担的义务确认预计 负债，计入当期投资损失。被投资单位以后期间实现净利润的，本集团在收益分享额弥补未 确认的亏损分担额后，恢复确认收益分享额。对于本集团首次执行新会计准则之前已经持有 的对联营企业和合营企业的长期股权投资，如存在与该投资相关的股权投资借方差额，按原 </w:t>
      </w:r>
      <w:r>
        <w:rPr>
          <w:spacing w:val="-3"/>
        </w:rPr>
        <w:t>剩余期限直线摊销的金额计入当期损益。③</w:t>
      </w:r>
      <w:r>
        <w:rPr>
          <w:spacing w:val="-25"/>
        </w:rPr>
        <w:t> </w:t>
      </w:r>
      <w:r>
        <w:rPr/>
        <w:t>收购少数股权在编制合并财务报表时，因购买少</w:t>
      </w:r>
      <w:r>
        <w:rPr/>
        <w:t> 数股权新增的长期股权投资与按照新增持股比例计算应享有子公司自购买日（或合并日）开 </w:t>
      </w:r>
      <w:r>
        <w:rPr>
          <w:spacing w:val="-3"/>
          <w:w w:val="95"/>
        </w:rPr>
        <w:t>始持续计算的净资产份额之间的差额，调整资本公积，资本公积不足冲减的，调整留存收益。</w:t>
      </w:r>
      <w:r>
        <w:rPr>
          <w:spacing w:val="-3"/>
        </w:rPr>
      </w:r>
    </w:p>
    <w:p>
      <w:pPr>
        <w:pStyle w:val="BodyText"/>
        <w:spacing w:line="240" w:lineRule="auto"/>
        <w:ind w:right="0"/>
        <w:jc w:val="left"/>
      </w:pPr>
      <w:r>
        <w:rPr/>
        <w:t>④</w:t>
      </w:r>
      <w:r>
        <w:rPr>
          <w:spacing w:val="35"/>
        </w:rPr>
        <w:t> </w:t>
      </w:r>
      <w:r>
        <w:rPr>
          <w:spacing w:val="-3"/>
        </w:rPr>
        <w:t>处置长期股权投资在合并财务报表中，母公司在不丧失控制权的情况下部分处置对子公司</w:t>
      </w:r>
    </w:p>
    <w:p>
      <w:pPr>
        <w:spacing w:after="0" w:line="240"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48"/>
        <w:jc w:val="both"/>
      </w:pPr>
      <w:bookmarkStart w:name="（3）确定对被投资单位具有共同控制、重大影响的依据" w:id="119"/>
      <w:bookmarkEnd w:id="119"/>
      <w:r>
        <w:rPr/>
      </w:r>
      <w:bookmarkStart w:name="（4）减值测试方法及减值准备计提方法" w:id="120"/>
      <w:bookmarkEnd w:id="120"/>
      <w:r>
        <w:rPr/>
      </w:r>
      <w:bookmarkStart w:name="12、固定资产" w:id="121"/>
      <w:bookmarkEnd w:id="121"/>
      <w:r>
        <w:rPr/>
      </w:r>
      <w:bookmarkStart w:name="（1）固定资产确认条件" w:id="122"/>
      <w:bookmarkEnd w:id="122"/>
      <w:r>
        <w:rPr/>
      </w:r>
      <w:r>
        <w:rPr/>
        <w:t>的长期股权投资，处置价款与处置长期股权投资相对应享有子公司净资产的差额计入所有者 权益；母公司部分处置对子公司的长期股权投资导致丧失对子公司控制权的，按“合并财务 报表编制的方法”中所述的相关会计政策处理。其他情形下的长期股权投资处置，对于处置 的股权，其账面价值与实际取得价款的差额，计入当期损益；采用权益法核算的长期股权投 资，在处置时将原计入股东权益的其他综合收益部分按相应的比例转入当期损益。对于剩余 股权，按其账面价值确认为长期股权投资或其他相关金融资产，并按前述长期股权投资或金 融资产的会计政策进行后续计量。涉及对剩余股权由成本法转为权益法核算的，按相关规定 进行追溯调整。</w:t>
      </w:r>
    </w:p>
    <w:p>
      <w:pPr>
        <w:spacing w:before="215"/>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）确定对被投资单位具有共同控制、重大影响的依据</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控制是指有权决定一个企业的财务和经营政策，并能据以从该企业的经营活动中获取利 益。共同控制是指按照合同约定对某项经济活动所共有的控制，仅在与该项经济活动相关的 重要财务和经营决策需要分享控制权的投资方一致同意时存在。重大影响是指对一个企业的 财务和经营政策有参与决策的权力，但并不能够控制或者与其他方一起共同控制这些政策的 制定。在确定能否对被投资单位实施控制或施加重大影响时，已考虑投资企业和其他持有的 被投资单位当期可转换公司债券、当期可执行认股权证等潜在表决权因素。</w:t>
      </w:r>
    </w:p>
    <w:p>
      <w:pPr>
        <w:spacing w:before="215"/>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）减值测试方法及减值准备计提方法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本集团在每一个资产负债表日检查长期股权投资是否存在可能发生减值的迹象。如果该 资产存在减值迹象，则估计其可收回金额。如果资产的可收回金额低于其账面价值，按其差 额计提资产减值准备，并计入当期损益。</w:t>
      </w:r>
    </w:p>
    <w:p>
      <w:pPr>
        <w:pStyle w:val="BodyText"/>
        <w:spacing w:line="240" w:lineRule="auto"/>
        <w:ind w:left="595" w:right="0"/>
        <w:jc w:val="left"/>
      </w:pPr>
      <w:r>
        <w:rPr/>
        <w:t>长期股权投资的减值损失一经确认，在以后会计期间不予转回。</w:t>
      </w:r>
    </w:p>
    <w:p>
      <w:pPr>
        <w:spacing w:line="240" w:lineRule="auto" w:before="6"/>
        <w:rPr>
          <w:rFonts w:ascii="宋体" w:hAnsi="宋体" w:cs="宋体" w:eastAsia="宋体" w:hint="default"/>
          <w:sz w:val="25"/>
          <w:szCs w:val="25"/>
        </w:rPr>
      </w:pPr>
    </w:p>
    <w:p>
      <w:pPr>
        <w:spacing w:before="0"/>
        <w:ind w:left="119"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）固定资产确认条件</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固定资产是指为生产商品、提供劳务、出租或经营管理而持有的，使用寿命超过一个会 计年度的有形资产。固定资产是指为生产商品、提供劳务、出租或经营管理而持有的，使用 寿命超过一个会计年度的有形资产。</w:t>
      </w:r>
    </w:p>
    <w:p>
      <w:pPr>
        <w:spacing w:after="0" w:line="357" w:lineRule="auto"/>
        <w:jc w:val="both"/>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2" w:right="0" w:firstLine="0"/>
        <w:jc w:val="left"/>
        <w:rPr>
          <w:rFonts w:ascii="Microsoft JhengHei" w:hAnsi="Microsoft JhengHei" w:cs="Microsoft JhengHei" w:eastAsia="Microsoft JhengHei" w:hint="default"/>
          <w:sz w:val="21"/>
          <w:szCs w:val="21"/>
        </w:rPr>
      </w:pPr>
      <w:bookmarkStart w:name="（2）融资租入固定资产的认定依据、计价方法" w:id="123"/>
      <w:bookmarkEnd w:id="123"/>
      <w:r>
        <w:rPr/>
      </w:r>
      <w:bookmarkStart w:name="（3）各类固定资产的折旧方法" w:id="124"/>
      <w:bookmarkEnd w:id="124"/>
      <w:r>
        <w:rPr/>
      </w:r>
      <w:bookmarkStart w:name="（4）固定资产的减值测试方法、减值准备计提方法" w:id="125"/>
      <w:bookmarkEnd w:id="125"/>
      <w:r>
        <w:rPr/>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）融资租入固定资产的认定依据、计价方法</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融资租赁为实质上转移了与资产所有权有关的全部风险和报酬的租赁，其所有权最终可 能转移，也可能不转移。以融资租赁方式租入的固定资产采用与自有固定资产一致的政策计 提租赁资产折旧。能够合理确定租赁期届满时取得租赁资产所有权的在租赁资产使用寿命内 计提折旧，无法合理确定租赁期届满能够取得租赁资产所有权的，在租赁期与租赁资产使用 寿命两者中较短的期间内计提折旧。</w:t>
      </w:r>
    </w:p>
    <w:p>
      <w:pPr>
        <w:spacing w:before="215"/>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）各类固定资产的折旧方法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固定资产按成本并考虑预计弃置费用因素的影响进行初始计量。固定资产从达到预定可 使用状态的次月起，采用年限平均法在使用寿命内计提折旧。各类固定资产的使用寿命、预 计净残值和年折旧率如下：</w:t>
      </w:r>
    </w:p>
    <w:tbl>
      <w:tblPr>
        <w:tblW w:w="0" w:type="auto"/>
        <w:jc w:val="left"/>
        <w:tblInd w:w="105" w:type="dxa"/>
        <w:tblLayout w:type="fixed"/>
        <w:tblCellMar>
          <w:top w:w="0" w:type="dxa"/>
          <w:left w:w="0" w:type="dxa"/>
          <w:bottom w:w="0" w:type="dxa"/>
          <w:right w:w="0" w:type="dxa"/>
        </w:tblCellMar>
        <w:tblLook w:val="01E0"/>
      </w:tblPr>
      <w:tblGrid>
        <w:gridCol w:w="3295"/>
        <w:gridCol w:w="2095"/>
        <w:gridCol w:w="1963"/>
        <w:gridCol w:w="1718"/>
      </w:tblGrid>
      <w:tr>
        <w:trPr>
          <w:trHeight w:val="353" w:hRule="exact"/>
        </w:trPr>
        <w:tc>
          <w:tcPr>
            <w:tcW w:w="3295" w:type="dxa"/>
            <w:tcBorders>
              <w:top w:val="single" w:sz="6" w:space="0" w:color="000000"/>
              <w:left w:val="single" w:sz="6" w:space="0" w:color="000000"/>
              <w:bottom w:val="single" w:sz="12"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095" w:type="dxa"/>
            <w:tcBorders>
              <w:top w:val="single" w:sz="6" w:space="0" w:color="000000"/>
              <w:left w:val="single" w:sz="6" w:space="0" w:color="000000"/>
              <w:bottom w:val="single" w:sz="12"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963"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18" w:type="dxa"/>
            <w:tcBorders>
              <w:top w:val="single" w:sz="6" w:space="0" w:color="000000"/>
              <w:left w:val="single" w:sz="6" w:space="0" w:color="000000"/>
              <w:bottom w:val="single" w:sz="12" w:space="0" w:color="000000"/>
              <w:right w:val="nil" w:sz="6" w:space="0" w:color="auto"/>
            </w:tcBorders>
          </w:tcPr>
          <w:p>
            <w:pPr>
              <w:pStyle w:val="TableParagraph"/>
              <w:spacing w:line="283" w:lineRule="exact"/>
              <w:ind w:right="7"/>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62" w:hRule="exact"/>
        </w:trPr>
        <w:tc>
          <w:tcPr>
            <w:tcW w:w="3295"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1" w:right="0"/>
              <w:jc w:val="center"/>
              <w:rPr>
                <w:rFonts w:ascii="Times New Roman" w:hAnsi="Times New Roman" w:cs="Times New Roman" w:eastAsia="Times New Roman" w:hint="default"/>
                <w:sz w:val="21"/>
                <w:szCs w:val="21"/>
              </w:rPr>
            </w:pPr>
            <w:r>
              <w:rPr>
                <w:rFonts w:ascii="Times New Roman"/>
                <w:sz w:val="21"/>
              </w:rPr>
              <w:t>35</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7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3"/>
              <w:ind w:right="6"/>
              <w:jc w:val="center"/>
              <w:rPr>
                <w:rFonts w:ascii="Times New Roman" w:hAnsi="Times New Roman" w:cs="Times New Roman" w:eastAsia="Times New Roman" w:hint="default"/>
                <w:sz w:val="21"/>
                <w:szCs w:val="21"/>
              </w:rPr>
            </w:pPr>
            <w:r>
              <w:rPr>
                <w:rFonts w:ascii="Times New Roman"/>
                <w:sz w:val="21"/>
              </w:rPr>
              <w:t>2.77</w:t>
            </w:r>
          </w:p>
        </w:tc>
      </w:tr>
      <w:tr>
        <w:trPr>
          <w:trHeight w:val="362" w:hRule="exact"/>
        </w:trPr>
        <w:tc>
          <w:tcPr>
            <w:tcW w:w="3295"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1" w:right="0"/>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1"/>
                <w:szCs w:val="21"/>
              </w:rPr>
            </w:pPr>
            <w:r>
              <w:rPr>
                <w:rFonts w:ascii="Times New Roman"/>
                <w:sz w:val="21"/>
              </w:rPr>
              <w:t>3-5</w:t>
            </w:r>
          </w:p>
        </w:tc>
        <w:tc>
          <w:tcPr>
            <w:tcW w:w="17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3"/>
              <w:ind w:right="4"/>
              <w:jc w:val="center"/>
              <w:rPr>
                <w:rFonts w:ascii="Times New Roman" w:hAnsi="Times New Roman" w:cs="Times New Roman" w:eastAsia="Times New Roman" w:hint="default"/>
                <w:sz w:val="21"/>
                <w:szCs w:val="21"/>
              </w:rPr>
            </w:pPr>
            <w:r>
              <w:rPr>
                <w:rFonts w:ascii="Times New Roman"/>
                <w:sz w:val="21"/>
              </w:rPr>
              <w:t>19.00-19.40</w:t>
            </w:r>
          </w:p>
        </w:tc>
      </w:tr>
      <w:tr>
        <w:trPr>
          <w:trHeight w:val="362" w:hRule="exact"/>
        </w:trPr>
        <w:tc>
          <w:tcPr>
            <w:tcW w:w="3295"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0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1" w:right="0"/>
              <w:jc w:val="center"/>
              <w:rPr>
                <w:rFonts w:ascii="Times New Roman" w:hAnsi="Times New Roman" w:cs="Times New Roman" w:eastAsia="Times New Roman" w:hint="default"/>
                <w:sz w:val="21"/>
                <w:szCs w:val="21"/>
              </w:rPr>
            </w:pPr>
            <w:r>
              <w:rPr>
                <w:rFonts w:ascii="Times New Roman"/>
                <w:sz w:val="21"/>
              </w:rPr>
              <w:t>3-5</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1"/>
                <w:szCs w:val="21"/>
              </w:rPr>
            </w:pPr>
            <w:r>
              <w:rPr>
                <w:rFonts w:ascii="Times New Roman"/>
                <w:sz w:val="21"/>
              </w:rPr>
              <w:t>3-5</w:t>
            </w:r>
          </w:p>
        </w:tc>
        <w:tc>
          <w:tcPr>
            <w:tcW w:w="17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3"/>
              <w:ind w:right="4"/>
              <w:jc w:val="center"/>
              <w:rPr>
                <w:rFonts w:ascii="Times New Roman" w:hAnsi="Times New Roman" w:cs="Times New Roman" w:eastAsia="Times New Roman" w:hint="default"/>
                <w:sz w:val="21"/>
                <w:szCs w:val="21"/>
              </w:rPr>
            </w:pPr>
            <w:r>
              <w:rPr>
                <w:rFonts w:ascii="Times New Roman"/>
                <w:sz w:val="21"/>
              </w:rPr>
              <w:t>19.00-32.33</w:t>
            </w:r>
          </w:p>
        </w:tc>
      </w:tr>
      <w:tr>
        <w:trPr>
          <w:trHeight w:val="360" w:hRule="exact"/>
        </w:trPr>
        <w:tc>
          <w:tcPr>
            <w:tcW w:w="3295" w:type="dxa"/>
            <w:tcBorders>
              <w:top w:val="single" w:sz="12" w:space="0" w:color="000000"/>
              <w:left w:val="single" w:sz="6" w:space="0" w:color="000000"/>
              <w:bottom w:val="single" w:sz="12"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3-7</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3-5</w:t>
            </w:r>
          </w:p>
        </w:tc>
        <w:tc>
          <w:tcPr>
            <w:tcW w:w="17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4"/>
              <w:jc w:val="center"/>
              <w:rPr>
                <w:rFonts w:ascii="Times New Roman" w:hAnsi="Times New Roman" w:cs="Times New Roman" w:eastAsia="Times New Roman" w:hint="default"/>
                <w:sz w:val="21"/>
                <w:szCs w:val="21"/>
              </w:rPr>
            </w:pPr>
            <w:r>
              <w:rPr>
                <w:rFonts w:ascii="Times New Roman"/>
                <w:sz w:val="21"/>
              </w:rPr>
              <w:t>13.57-32.33</w:t>
            </w:r>
          </w:p>
        </w:tc>
      </w:tr>
    </w:tbl>
    <w:p>
      <w:pPr>
        <w:pStyle w:val="BodyText"/>
        <w:spacing w:line="357" w:lineRule="auto" w:before="41"/>
        <w:ind w:right="148" w:firstLine="482"/>
        <w:jc w:val="both"/>
      </w:pPr>
      <w:r>
        <w:rPr/>
        <w:t>预计净残值是指假定固定资产预计使用寿命已满并处于使用寿命终了时的预期状态，本 集团目前从该项资产处置中获得的扣除预计处置费用后的金额。</w:t>
      </w:r>
    </w:p>
    <w:p>
      <w:pPr>
        <w:spacing w:before="215"/>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）固定资产的减值测试方法、减值准备计提方法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12" w:firstLine="482"/>
        <w:jc w:val="both"/>
      </w:pPr>
      <w:r>
        <w:rPr/>
        <w:t>对于固定资产、在建工程、使用寿命有限的无形资产、以成本模式计量的投资性房地产 及对子公司、合营企业、联营企业的长期股权投资等非流动非金融资产，本集团于资产负债 表日判断是否存在减值迹象。如存在减值迹象的，则估计其可收回金额，进行减值测试。商 </w:t>
      </w:r>
      <w:r>
        <w:rPr>
          <w:spacing w:val="-3"/>
          <w:w w:val="95"/>
        </w:rPr>
        <w:t>誉、使用寿命不确定的无形资产和尚未达到可使用状态的无形资产，无论是否存在减值迹象，</w:t>
      </w:r>
      <w:r>
        <w:rPr>
          <w:spacing w:val="76"/>
          <w:w w:val="95"/>
        </w:rPr>
        <w:t> </w:t>
      </w:r>
      <w:r>
        <w:rPr>
          <w:spacing w:val="76"/>
          <w:w w:val="95"/>
        </w:rPr>
      </w:r>
      <w:r>
        <w:rPr/>
        <w:t>每年均进行减值测试。</w:t>
      </w:r>
    </w:p>
    <w:p>
      <w:pPr>
        <w:pStyle w:val="BodyText"/>
        <w:spacing w:line="357" w:lineRule="auto"/>
        <w:ind w:right="148" w:firstLine="482"/>
        <w:jc w:val="both"/>
      </w:pPr>
      <w:r>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51"/>
        <w:jc w:val="both"/>
      </w:pPr>
      <w:bookmarkStart w:name="（5）其他说明" w:id="126"/>
      <w:bookmarkEnd w:id="126"/>
      <w:r>
        <w:rPr/>
      </w:r>
      <w:bookmarkStart w:name="13、在建工程" w:id="127"/>
      <w:bookmarkEnd w:id="127"/>
      <w:r>
        <w:rPr/>
      </w:r>
      <w:bookmarkStart w:name="（1）在建工程的类别" w:id="128"/>
      <w:bookmarkEnd w:id="128"/>
      <w:r>
        <w:rPr/>
      </w:r>
      <w:bookmarkStart w:name="（2）在建工程结转为固定资产的标准和时点" w:id="129"/>
      <w:bookmarkEnd w:id="129"/>
      <w:r>
        <w:rPr/>
      </w:r>
      <w:r>
        <w:rPr/>
        <w:t>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BodyText"/>
        <w:spacing w:line="357" w:lineRule="auto"/>
        <w:ind w:right="148" w:firstLine="482"/>
        <w:jc w:val="both"/>
      </w:pPr>
      <w:r>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BodyText"/>
        <w:spacing w:line="240" w:lineRule="auto"/>
        <w:ind w:left="595" w:right="0"/>
        <w:jc w:val="left"/>
      </w:pPr>
      <w:r>
        <w:rPr/>
        <w:t>上述资产减值损失一经确认，以后期间不予转回价值得以恢复的部分。</w:t>
      </w:r>
    </w:p>
    <w:p>
      <w:pPr>
        <w:spacing w:line="240" w:lineRule="auto" w:before="6"/>
        <w:rPr>
          <w:rFonts w:ascii="宋体" w:hAnsi="宋体" w:cs="宋体" w:eastAsia="宋体" w:hint="default"/>
          <w:sz w:val="25"/>
          <w:szCs w:val="25"/>
        </w:rPr>
      </w:pPr>
    </w:p>
    <w:p>
      <w:pPr>
        <w:spacing w:before="0"/>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）其他说明</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与固定资产有关的后续支出，如果与该固定资产有关的经济利益很可能流入且其成本能 可靠地计量，则计入固定资产成本，并终止确认被替换部分的账面价值。除此以外的其他后 续支出，在发生时计入当期损益。</w:t>
      </w:r>
    </w:p>
    <w:p>
      <w:pPr>
        <w:pStyle w:val="BodyText"/>
        <w:spacing w:line="357" w:lineRule="auto"/>
        <w:ind w:right="148" w:firstLine="482"/>
        <w:jc w:val="both"/>
      </w:pPr>
      <w:r>
        <w:rPr/>
        <w:t>固定资产出售、转让、报废或毁损的处置收入扣除其账面价值和相关税费后的差额计入 当期损益。</w:t>
      </w:r>
    </w:p>
    <w:p>
      <w:pPr>
        <w:pStyle w:val="BodyText"/>
        <w:spacing w:line="357" w:lineRule="auto"/>
        <w:ind w:right="148" w:firstLine="482"/>
        <w:jc w:val="both"/>
      </w:pPr>
      <w:r>
        <w:rPr/>
        <w:t>本集团至少于年度终了对固定资产的使用寿命、预计净残值和折旧方法进行复核，如发 生改变则作为会计估计变更处理。</w:t>
      </w:r>
    </w:p>
    <w:p>
      <w:pPr>
        <w:spacing w:before="215"/>
        <w:ind w:left="119"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）在建工程的类别</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在建工程成本按实际工程支出确定，包括在建期间发生的各项工程支出、工程达到预定 可使用状态前的资本化的借款费用以及其他相关费用等。</w:t>
      </w:r>
    </w:p>
    <w:p>
      <w:pPr>
        <w:spacing w:before="215"/>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）在建工程结转为固定资产的标准和时点</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before="0"/>
        <w:ind w:left="595" w:right="0"/>
        <w:jc w:val="left"/>
      </w:pPr>
      <w:r>
        <w:rPr/>
        <w:t>建工程在达到预定可使用状态后结转为固定资产。</w:t>
      </w:r>
    </w:p>
    <w:p>
      <w:pPr>
        <w:spacing w:after="0" w:line="24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2" w:right="0" w:firstLine="0"/>
        <w:jc w:val="left"/>
        <w:rPr>
          <w:rFonts w:ascii="Microsoft JhengHei" w:hAnsi="Microsoft JhengHei" w:cs="Microsoft JhengHei" w:eastAsia="Microsoft JhengHei" w:hint="default"/>
          <w:sz w:val="21"/>
          <w:szCs w:val="21"/>
        </w:rPr>
      </w:pPr>
      <w:bookmarkStart w:name="（3）在建工程的减值测试方法、减值准备计提方法" w:id="130"/>
      <w:bookmarkEnd w:id="130"/>
      <w:r>
        <w:rPr/>
      </w:r>
      <w:bookmarkStart w:name="14、无形资产" w:id="131"/>
      <w:bookmarkEnd w:id="131"/>
      <w:r>
        <w:rPr/>
      </w:r>
      <w:bookmarkStart w:name="（1）无形资产的计价方法" w:id="132"/>
      <w:bookmarkEnd w:id="132"/>
      <w:r>
        <w:rPr/>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）在建工程的减值测试方法、减值准备计提方法</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12" w:firstLine="482"/>
        <w:jc w:val="both"/>
      </w:pPr>
      <w:r>
        <w:rPr/>
        <w:t>对于固定资产、在建工程、使用寿命有限的无形资产、以成本模式计量的投资性房地产 及对子公司、合营企业、联营企业的长期股权投资等非流动非金融资产，本集团于资产负债 表日判断是否存在减值迹象。如存在减值迹象的，则估计其可收回金额，进行减值测试。商 </w:t>
      </w:r>
      <w:r>
        <w:rPr>
          <w:spacing w:val="-3"/>
          <w:w w:val="95"/>
        </w:rPr>
        <w:t>誉、使用寿命不确定的无形资产和尚未达到可使用状态的无形资产，无论是否存在减值迹象，</w:t>
      </w:r>
      <w:r>
        <w:rPr>
          <w:spacing w:val="76"/>
          <w:w w:val="95"/>
        </w:rPr>
        <w:t> </w:t>
      </w:r>
      <w:r>
        <w:rPr>
          <w:spacing w:val="76"/>
          <w:w w:val="95"/>
        </w:rPr>
      </w:r>
      <w:r>
        <w:rPr/>
        <w:t>每年均进行减值测试。</w:t>
      </w:r>
    </w:p>
    <w:p>
      <w:pPr>
        <w:pStyle w:val="BodyText"/>
        <w:spacing w:line="357" w:lineRule="auto"/>
        <w:ind w:right="148" w:firstLine="482"/>
        <w:jc w:val="both"/>
      </w:pPr>
      <w:r>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BodyText"/>
        <w:spacing w:line="357" w:lineRule="auto"/>
        <w:ind w:right="148" w:firstLine="482"/>
        <w:jc w:val="both"/>
      </w:pPr>
      <w:r>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BodyText"/>
        <w:spacing w:line="240" w:lineRule="auto"/>
        <w:ind w:left="595" w:right="0"/>
        <w:jc w:val="left"/>
      </w:pPr>
      <w:r>
        <w:rPr/>
        <w:t>上述资产减值损失一经确认，以后期间不予转回价值得以恢复的部分。</w:t>
      </w:r>
    </w:p>
    <w:p>
      <w:pPr>
        <w:spacing w:line="240" w:lineRule="auto" w:before="6"/>
        <w:rPr>
          <w:rFonts w:ascii="宋体" w:hAnsi="宋体" w:cs="宋体" w:eastAsia="宋体" w:hint="default"/>
          <w:sz w:val="25"/>
          <w:szCs w:val="25"/>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14</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）无形资产的计价方法</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无形资产按成本进行初始计量。与无形资产有关的支出，如果相关的经济利益很可能流 入本集团且其成本能可靠地计量，则计入无形资产成本。除此以外的其他项目的支出，在发 生时计入当期损益。</w:t>
      </w:r>
    </w:p>
    <w:p>
      <w:pPr>
        <w:pStyle w:val="BodyText"/>
        <w:spacing w:line="240" w:lineRule="auto"/>
        <w:ind w:left="595" w:right="0"/>
        <w:jc w:val="left"/>
      </w:pPr>
      <w:r>
        <w:rPr/>
        <w:t>取得的土地使用权通常作为无形资产核算。自行开发建造厂房等建筑物，相关的土地使</w:t>
      </w:r>
    </w:p>
    <w:p>
      <w:pPr>
        <w:spacing w:after="0" w:line="240"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12"/>
        <w:jc w:val="both"/>
      </w:pPr>
      <w:bookmarkStart w:name="（2）使用寿命有限的无形资产的使用寿命估计情况" w:id="133"/>
      <w:bookmarkEnd w:id="133"/>
      <w:r>
        <w:rPr/>
      </w:r>
      <w:bookmarkStart w:name="（3）使用寿命不确定的无形资产的判断依据" w:id="134"/>
      <w:bookmarkEnd w:id="134"/>
      <w:r>
        <w:rPr/>
      </w:r>
      <w:bookmarkStart w:name="（4）无形资产减值准备的计提" w:id="135"/>
      <w:bookmarkEnd w:id="135"/>
      <w:r>
        <w:rPr/>
      </w:r>
      <w:r>
        <w:rPr>
          <w:spacing w:val="-2"/>
          <w:w w:val="95"/>
        </w:rPr>
        <w:t>用权支出和建筑物建造成本则分别作为无形资产和固定资产核算。如为外购的房屋及建筑物，</w:t>
      </w:r>
      <w:r>
        <w:rPr>
          <w:spacing w:val="30"/>
          <w:w w:val="95"/>
        </w:rPr>
        <w:t> </w:t>
      </w:r>
      <w:r>
        <w:rPr>
          <w:spacing w:val="30"/>
          <w:w w:val="95"/>
        </w:rPr>
      </w:r>
      <w:r>
        <w:rPr/>
        <w:t>则将有关价款在土地使用权和建筑物之间进行分配，难以合理分配的，全部作为固定资产处</w:t>
      </w:r>
      <w:r>
        <w:rPr/>
        <w:t> 理。</w:t>
      </w:r>
    </w:p>
    <w:p>
      <w:pPr>
        <w:spacing w:before="215"/>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）使用寿命有限的无形资产的使用寿命估计情况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使用寿命有限的无形资产自可供使用时起，对其原值减去预计净残值和已计提的减值准 备累计金额在其预计使用寿命内采用直线法分期平均摊销。使用寿命不确定的无形资产不予 摊销。</w:t>
      </w:r>
    </w:p>
    <w:p>
      <w:pPr>
        <w:pStyle w:val="BodyText"/>
        <w:spacing w:line="357" w:lineRule="auto"/>
        <w:ind w:right="148" w:firstLine="482"/>
        <w:jc w:val="both"/>
      </w:pPr>
      <w:r>
        <w:rPr/>
        <w:t>期末，对使用寿命有限的无形资产的使用寿命和摊销方法进行复核，如发生变更则作为 会计估计变更处理。</w:t>
      </w:r>
    </w:p>
    <w:p>
      <w:pPr>
        <w:spacing w:before="215"/>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）使用寿命不确定的无形资产的判断依据</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对使用寿命不确定的无形资产的使用寿命进行复核，如果有证据表明该无形资产为企业 带来经济利益的期限是可预见的，则估计其使用寿命并按照使用寿命有限的无形资产的摊销 政策进行摊销。</w:t>
      </w:r>
    </w:p>
    <w:p>
      <w:pPr>
        <w:spacing w:before="215"/>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）无形资产减值准备的计提</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12" w:firstLine="482"/>
        <w:jc w:val="both"/>
      </w:pPr>
      <w:r>
        <w:rPr/>
        <w:t>对于固定资产、在建工程、使用寿命有限的无形资产、以成本模式计量的投资性房地产 及对子公司、合营企业、联营企业的长期股权投资等非流动非金融资产，本集团于资产负债 表日判断是否存在减值迹象。如存在减值迹象的，则估计其可收回金额，进行减值测试。商 </w:t>
      </w:r>
      <w:r>
        <w:rPr>
          <w:spacing w:val="-3"/>
          <w:w w:val="95"/>
        </w:rPr>
        <w:t>誉、使用寿命不确定的无形资产和尚未达到可使用状态的无形资产，无论是否存在减值迹象，</w:t>
      </w:r>
      <w:r>
        <w:rPr>
          <w:spacing w:val="76"/>
          <w:w w:val="95"/>
        </w:rPr>
        <w:t> </w:t>
      </w:r>
      <w:r>
        <w:rPr>
          <w:spacing w:val="76"/>
          <w:w w:val="95"/>
        </w:rPr>
      </w:r>
      <w:r>
        <w:rPr/>
        <w:t>每年均进行减值测试。</w:t>
      </w:r>
    </w:p>
    <w:p>
      <w:pPr>
        <w:pStyle w:val="BodyText"/>
        <w:spacing w:line="357" w:lineRule="auto"/>
        <w:ind w:right="148" w:firstLine="482"/>
        <w:jc w:val="both"/>
      </w:pPr>
      <w:r>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34"/>
        <w:jc w:val="left"/>
      </w:pPr>
      <w:bookmarkStart w:name="（5）划分公司内部研究开发项目的研究阶段和开发阶段具体标准" w:id="136"/>
      <w:bookmarkEnd w:id="136"/>
      <w:r>
        <w:rPr/>
      </w:r>
      <w:bookmarkStart w:name="（6）内部研究开发项目支出的核算" w:id="137"/>
      <w:bookmarkEnd w:id="137"/>
      <w:r>
        <w:rPr/>
      </w:r>
      <w:bookmarkStart w:name="15、预计负债" w:id="138"/>
      <w:bookmarkEnd w:id="138"/>
      <w:r>
        <w:rPr/>
      </w:r>
      <w:bookmarkStart w:name="（1）预计负债的确认标准" w:id="139"/>
      <w:bookmarkEnd w:id="139"/>
      <w:r>
        <w:rPr/>
      </w:r>
      <w:r>
        <w:rPr/>
        <w:t>算并确认，如果难以对单项资产的可收回金额进行估计的，以该资产所属的资产组确定资产 组的可收回金额。资产组是能够独立产生现金流入的最小资产组合。</w:t>
      </w:r>
    </w:p>
    <w:p>
      <w:pPr>
        <w:pStyle w:val="BodyText"/>
        <w:spacing w:line="357" w:lineRule="auto"/>
        <w:ind w:right="148" w:firstLine="482"/>
        <w:jc w:val="both"/>
      </w:pPr>
      <w:r>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BodyText"/>
        <w:spacing w:line="240" w:lineRule="auto"/>
        <w:ind w:left="595" w:right="0"/>
        <w:jc w:val="left"/>
      </w:pPr>
      <w:r>
        <w:rPr/>
        <w:t>上述资产减值损失一经确认，以后期间不予转回价值得以恢复的部分。</w:t>
      </w:r>
    </w:p>
    <w:p>
      <w:pPr>
        <w:spacing w:line="240" w:lineRule="auto" w:before="6"/>
        <w:rPr>
          <w:rFonts w:ascii="宋体" w:hAnsi="宋体" w:cs="宋体" w:eastAsia="宋体" w:hint="default"/>
          <w:sz w:val="25"/>
          <w:szCs w:val="25"/>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）划分公司内部研究开发项目的研究阶段和开发阶段具体标准</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240" w:lineRule="auto" w:before="0"/>
        <w:ind w:left="595" w:right="0"/>
        <w:jc w:val="left"/>
      </w:pPr>
      <w:r>
        <w:rPr/>
        <w:t>本集团内部研究开发项目的支出分为研究阶段支出与开发阶段支出。</w:t>
      </w:r>
    </w:p>
    <w:p>
      <w:pPr>
        <w:spacing w:line="240" w:lineRule="auto" w:before="6"/>
        <w:rPr>
          <w:rFonts w:ascii="宋体" w:hAnsi="宋体" w:cs="宋体" w:eastAsia="宋体" w:hint="default"/>
          <w:sz w:val="25"/>
          <w:szCs w:val="25"/>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）内部研究开发项目支出的核算</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left="595" w:right="131"/>
        <w:jc w:val="left"/>
      </w:pPr>
      <w:r>
        <w:rPr/>
        <w:t>研究阶段的支出，于发生时计入当期损益。 开发阶段的支出同时满足下列条件的，确认为无形资产，不能满足下述条件的开发阶段</w:t>
      </w:r>
    </w:p>
    <w:p>
      <w:pPr>
        <w:pStyle w:val="BodyText"/>
        <w:spacing w:line="240" w:lineRule="auto"/>
        <w:ind w:right="0"/>
        <w:jc w:val="left"/>
      </w:pPr>
      <w:r>
        <w:rPr/>
        <w:t>的支出计入当期损益：</w:t>
      </w:r>
    </w:p>
    <w:p>
      <w:pPr>
        <w:pStyle w:val="BodyText"/>
        <w:spacing w:line="240" w:lineRule="auto" w:before="154"/>
        <w:ind w:left="595" w:right="0"/>
        <w:jc w:val="left"/>
      </w:pPr>
      <w:r>
        <w:rPr/>
        <w:t>① 完成该无形资产以使其能够使用或出售在技术上具有可行性；</w:t>
      </w:r>
    </w:p>
    <w:p>
      <w:pPr>
        <w:pStyle w:val="BodyText"/>
        <w:spacing w:line="240" w:lineRule="auto" w:before="154"/>
        <w:ind w:left="595" w:right="0"/>
        <w:jc w:val="left"/>
      </w:pPr>
      <w:r>
        <w:rPr/>
        <w:t>② 具有完成该无形资产并使用或出售的意图；</w:t>
      </w:r>
    </w:p>
    <w:p>
      <w:pPr>
        <w:pStyle w:val="BodyText"/>
        <w:spacing w:line="357" w:lineRule="auto" w:before="154"/>
        <w:ind w:right="98" w:firstLine="482"/>
        <w:jc w:val="left"/>
      </w:pPr>
      <w:r>
        <w:rPr/>
        <w:t>③</w:t>
      </w:r>
      <w:r>
        <w:rPr>
          <w:spacing w:val="25"/>
        </w:rPr>
        <w:t> </w:t>
      </w:r>
      <w:r>
        <w:rPr>
          <w:spacing w:val="-3"/>
        </w:rPr>
        <w:t>无形资产产生经济利益的方式，包括能够证明运用该无形资产生产的产品存在市场或</w:t>
      </w:r>
      <w:r>
        <w:rPr/>
        <w:t> 无形资产自身存在市场，无形资产将在内部使用的，能够证明其有用性；</w:t>
      </w:r>
    </w:p>
    <w:p>
      <w:pPr>
        <w:pStyle w:val="BodyText"/>
        <w:spacing w:line="357" w:lineRule="auto"/>
        <w:ind w:right="99" w:firstLine="482"/>
        <w:jc w:val="left"/>
      </w:pPr>
      <w:r>
        <w:rPr/>
        <w:t>④</w:t>
      </w:r>
      <w:r>
        <w:rPr>
          <w:spacing w:val="24"/>
        </w:rPr>
        <w:t> </w:t>
      </w:r>
      <w:r>
        <w:rPr>
          <w:spacing w:val="-3"/>
        </w:rPr>
        <w:t>有足够的技术、财务资源和其他资源支持，以完成该无形资产的开发，并有能力使用</w:t>
      </w:r>
      <w:r>
        <w:rPr/>
        <w:t> 或出售该无形资产；</w:t>
      </w:r>
    </w:p>
    <w:p>
      <w:pPr>
        <w:pStyle w:val="BodyText"/>
        <w:spacing w:line="357" w:lineRule="auto"/>
        <w:ind w:left="595" w:right="611"/>
        <w:jc w:val="left"/>
      </w:pPr>
      <w:r>
        <w:rPr/>
        <w:t>⑤ 归属于该无形资产开发阶段的支出能够可靠地计量。 无法区分研究阶段支出和开发阶段支出的，将发生的研发支出全部计入当期损益。</w:t>
      </w:r>
    </w:p>
    <w:p>
      <w:pPr>
        <w:spacing w:before="215"/>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15</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）预计负债的确认标准</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0" w:firstLine="482"/>
        <w:jc w:val="left"/>
      </w:pPr>
      <w:r>
        <w:rPr>
          <w:spacing w:val="-3"/>
        </w:rPr>
        <w:t>当与或有事项相关的义务同时符合以下条件，确认为预计负债：（1）该义务是本集团承</w:t>
      </w:r>
      <w:r>
        <w:rPr/>
        <w:t> 担的现时义务；（2）履行该义务很可能导致经济利益流出；（3）该义务的金额能够可靠地</w:t>
      </w:r>
    </w:p>
    <w:p>
      <w:pPr>
        <w:spacing w:after="0" w:line="357"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240" w:lineRule="auto" w:before="26"/>
        <w:ind w:right="0"/>
        <w:jc w:val="left"/>
      </w:pPr>
      <w:bookmarkStart w:name="（2）预计负债的计量方法" w:id="140"/>
      <w:bookmarkEnd w:id="140"/>
      <w:r>
        <w:rPr/>
      </w:r>
      <w:bookmarkStart w:name="16、股份支付及权益工具" w:id="141"/>
      <w:bookmarkEnd w:id="141"/>
      <w:r>
        <w:rPr/>
      </w:r>
      <w:bookmarkStart w:name="（1）股份支付的种类" w:id="142"/>
      <w:bookmarkEnd w:id="142"/>
      <w:r>
        <w:rPr/>
      </w:r>
      <w:bookmarkStart w:name="（2）权益工具公允价值的确定方法" w:id="143"/>
      <w:bookmarkEnd w:id="143"/>
      <w:r>
        <w:rPr/>
      </w:r>
      <w:r>
        <w:rPr/>
        <w:t>计量。</w:t>
      </w:r>
    </w:p>
    <w:p>
      <w:pPr>
        <w:spacing w:line="240" w:lineRule="auto" w:before="6"/>
        <w:rPr>
          <w:rFonts w:ascii="宋体" w:hAnsi="宋体" w:cs="宋体" w:eastAsia="宋体" w:hint="default"/>
          <w:sz w:val="25"/>
          <w:szCs w:val="25"/>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）预计负债的计量方法</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在资产负债表日，考虑与或有事项有关的风险、不确定性和货币时间价值等因素，按照 履行相关现时义务所需支出的最佳估计数对预计负债进行计量。</w:t>
      </w:r>
    </w:p>
    <w:p>
      <w:pPr>
        <w:pStyle w:val="BodyText"/>
        <w:spacing w:line="357" w:lineRule="auto"/>
        <w:ind w:right="148" w:firstLine="482"/>
        <w:jc w:val="both"/>
      </w:pPr>
      <w:r>
        <w:rPr/>
        <w:t>如果清偿预计负债所需支出全部或部分预期由第三方补偿的，补偿金额在基本确定能够 收到时，作为资产单独确认，且确认的补偿金额不超过预计负债的账面价值。</w:t>
      </w:r>
    </w:p>
    <w:p>
      <w:pPr>
        <w:spacing w:before="215"/>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16</w:t>
      </w:r>
      <w:r>
        <w:rPr>
          <w:rFonts w:ascii="Microsoft JhengHei" w:hAnsi="Microsoft JhengHei" w:cs="Microsoft JhengHei" w:eastAsia="Microsoft JhengHei" w:hint="default"/>
          <w:b/>
          <w:bCs/>
          <w:sz w:val="21"/>
          <w:szCs w:val="21"/>
        </w:rPr>
        <w:t>、股份支付及权益工具</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）股份支付的种类</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12" w:firstLine="482"/>
        <w:jc w:val="both"/>
      </w:pPr>
      <w:r>
        <w:rPr/>
        <w:t>股份支付是为了获取职工或其他方提供服务而授予权益工具或者承担以权益工具为基础 </w:t>
      </w:r>
      <w:r>
        <w:rPr>
          <w:spacing w:val="-3"/>
        </w:rPr>
        <w:t>确定的负债的交易。股份支付分为以权益结算的股份支付和以现金结算的股份支付。①</w:t>
      </w:r>
      <w:r>
        <w:rPr>
          <w:spacing w:val="28"/>
        </w:rPr>
        <w:t> </w:t>
      </w:r>
      <w:r>
        <w:rPr/>
        <w:t>以权</w:t>
      </w:r>
      <w:r>
        <w:rPr>
          <w:spacing w:val="-118"/>
        </w:rPr>
        <w:t> </w:t>
      </w:r>
      <w:r>
        <w:rPr>
          <w:spacing w:val="-118"/>
        </w:rPr>
      </w:r>
      <w:r>
        <w:rPr/>
        <w:t>益结算的股份支付用以换取职工提供的服务的权益结算的股份支付，以授予职工权益工具在 授予日的公允价值计量。该公允价值的金额在完成等待期内的服务或达到规定业绩条件才可 行权的情况下，在等待期内以对可行权权益工具数量的最佳估计为基础，按直线法计算计入 相关成本或费用，相应增加资本公积。用以换取其他方服务的权益结算的股份支付，如果其 他方服务的公允价值能够可靠计量，按照其他方服务在取得日的公允价值计量，如果其他方 服务的公允价值不能可靠计量，但权益工具的公允价值能够可靠计量的，按照权益工具在服 </w:t>
      </w:r>
      <w:r>
        <w:rPr>
          <w:spacing w:val="-3"/>
        </w:rPr>
        <w:t>务取得日的公允价值计量，计入相关成本或费用，相应增加所有者权益。②</w:t>
      </w:r>
      <w:r>
        <w:rPr>
          <w:spacing w:val="14"/>
        </w:rPr>
        <w:t> </w:t>
      </w:r>
      <w:r>
        <w:rPr/>
        <w:t>以现金结算的股</w:t>
      </w:r>
      <w:r>
        <w:rPr/>
        <w:t> 份支付以现金结算的股份支付，按照本集团承担的以股份或其他权益工具为基础确定的负债 的公允价值计量。如授予后立即可行权，在授予日计入相关成本或费用，相应增加负债；如 须完成等待期内的服务或达到规定业绩条件以后才可行权，在等待期的每个资产负债表日， 以对可行权情况的最佳估计为基础，按照本集团承担负债的公允价值金额，将当期取得的服 务计入成本或费用，相应增加负债。在相关负债结算前的每个资产负债表日以及结算日，对 负债的公允价值重新计量，其变动计入当期损益。</w:t>
      </w:r>
    </w:p>
    <w:p>
      <w:pPr>
        <w:spacing w:before="215"/>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）权益工具公允价值的确定方法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before="0"/>
        <w:ind w:left="595" w:right="0"/>
        <w:jc w:val="left"/>
      </w:pPr>
      <w:r>
        <w:rPr/>
        <w:t>本集团授予的股份期权采用Black-Scholes期权定价模型定价</w:t>
      </w:r>
    </w:p>
    <w:p>
      <w:pPr>
        <w:spacing w:after="0" w:line="240" w:lineRule="auto"/>
        <w:jc w:val="left"/>
        <w:sectPr>
          <w:footerReference w:type="default" r:id="rId25"/>
          <w:pgSz w:w="11910" w:h="16840"/>
          <w:pgMar w:footer="979" w:header="745" w:top="1060" w:bottom="1160" w:left="1020" w:right="1020"/>
          <w:pgNumType w:start="90"/>
        </w:sectPr>
      </w:pPr>
    </w:p>
    <w:p>
      <w:pPr>
        <w:spacing w:line="240" w:lineRule="auto" w:before="10"/>
        <w:rPr>
          <w:rFonts w:ascii="宋体" w:hAnsi="宋体" w:cs="宋体" w:eastAsia="宋体" w:hint="default"/>
          <w:sz w:val="24"/>
          <w:szCs w:val="24"/>
        </w:rPr>
      </w:pPr>
    </w:p>
    <w:p>
      <w:pPr>
        <w:spacing w:line="333" w:lineRule="exact" w:before="0"/>
        <w:ind w:left="112" w:right="0" w:firstLine="0"/>
        <w:jc w:val="left"/>
        <w:rPr>
          <w:rFonts w:ascii="Microsoft JhengHei" w:hAnsi="Microsoft JhengHei" w:cs="Microsoft JhengHei" w:eastAsia="Microsoft JhengHei" w:hint="default"/>
          <w:sz w:val="21"/>
          <w:szCs w:val="21"/>
        </w:rPr>
      </w:pPr>
      <w:bookmarkStart w:name="（3）确认可行权权益工具最佳估计的依据" w:id="144"/>
      <w:bookmarkEnd w:id="144"/>
      <w:r>
        <w:rPr/>
      </w:r>
      <w:bookmarkStart w:name="（4）实施、修改、终止股份支付计划的相关会计处理" w:id="145"/>
      <w:bookmarkEnd w:id="145"/>
      <w:r>
        <w:rPr/>
      </w:r>
      <w:bookmarkStart w:name="17、收入" w:id="146"/>
      <w:bookmarkEnd w:id="146"/>
      <w:r>
        <w:rPr/>
      </w:r>
      <w:bookmarkStart w:name="（1）销售商品收入确认时间的具体判断标准" w:id="147"/>
      <w:bookmarkEnd w:id="147"/>
      <w:r>
        <w:rPr/>
      </w:r>
      <w:bookmarkStart w:name="（2）确认提供劳务收入的依据" w:id="148"/>
      <w:bookmarkEnd w:id="148"/>
      <w:r>
        <w:rPr/>
      </w:r>
      <w:bookmarkStart w:name="（3）按完工百分比法确认提供劳务的收入和建造合同收入时，确定合同完工进度的依据和" w:id="149"/>
      <w:bookmarkEnd w:id="149"/>
      <w:r>
        <w:rPr/>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）确认可行权权益工具最佳估计的依据</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在等待期内的每个资产负债表日，根据最新取得的可行权职工人数变动等后续信息做出 最佳估计，修正预计可行权的权益工具数量。</w:t>
      </w:r>
    </w:p>
    <w:p>
      <w:pPr>
        <w:spacing w:before="215"/>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）实施、修改、终止股份支付计划的相关会计处理</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本集团对股份支付计划进行修改时，若修改增加了所授予权益工具的公允价值，按照权 益工具公允价值的增加相应确认取得服务的增加。权益工具公允价值的增加是指修改前后的 权益工具在修改日的公允价值之间的差额。若修改减少了股份支付公允价值总额或采用了其 他不利于职工的方式，则仍继续对取得的服务进行会计处理，视同该变更从未发生，除非本 集团取消了部分或全部已授予的权益工具。</w:t>
      </w:r>
    </w:p>
    <w:p>
      <w:pPr>
        <w:pStyle w:val="BodyText"/>
        <w:spacing w:line="357" w:lineRule="auto"/>
        <w:ind w:right="148" w:firstLine="482"/>
        <w:jc w:val="both"/>
      </w:pPr>
      <w:r>
        <w:rPr/>
        <w:t>在等待期内，如果取消了授予的权益工具，本集团对取消所授予的权益性工具作为加速 行权处理，将剩余等待期内应确认的金额立即计入当期损益，同时确认资本公积。职工或其 他方能够选择满足非可行权条件但在等待期内未满足的，本集团将其作为授予权益工具的取 消处理。</w:t>
      </w:r>
    </w:p>
    <w:p>
      <w:pPr>
        <w:spacing w:before="215"/>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17</w:t>
      </w: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）销售商品收入确认时间的具体判断标准</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在已将商品所有权上的主要风险和报酬转移给买方，既没有保留通常与所有权相联系的 继续管理权，也没有对已售商品实施有效控制，收入的金额能够可靠地计量，相关的经济利 益很可能流入企业，相关的已发生或将发生的成本能够可靠地计量时，确认商品销售收入的 实现。</w:t>
      </w:r>
    </w:p>
    <w:p>
      <w:pPr>
        <w:spacing w:before="215"/>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）确认提供劳务收入的依据</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在提供劳务交易的结果能够可靠估计的情况下，于资产负债表日按照完工百分比法确认 提供的劳务收入。劳务交易的完工进度按已完工作的测量确定。</w:t>
      </w:r>
    </w:p>
    <w:p>
      <w:pPr>
        <w:spacing w:before="215"/>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）按完工百分比法确认提供劳务的收入和建造合同收入时，确定合同完工进度的依据和方法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提供劳务交易的结果能够可靠估计是指同时满足：①收入的金额能够可靠地计量；②相 关的经济利益很可能流入企业；③交易的完工程度能够可靠地确定；④交易中已发生和将发</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left="595" w:right="131" w:hanging="483"/>
        <w:jc w:val="left"/>
      </w:pPr>
      <w:bookmarkStart w:name="18、政府补助" w:id="150"/>
      <w:bookmarkEnd w:id="150"/>
      <w:r>
        <w:rPr/>
      </w:r>
      <w:bookmarkStart w:name="（1）类型" w:id="151"/>
      <w:bookmarkEnd w:id="151"/>
      <w:r>
        <w:rPr/>
      </w:r>
      <w:bookmarkStart w:name="（2）会计处理方法" w:id="152"/>
      <w:bookmarkEnd w:id="152"/>
      <w:r>
        <w:rPr/>
      </w:r>
      <w:bookmarkStart w:name="19、递延所得税资产和递延所得税负债" w:id="153"/>
      <w:bookmarkEnd w:id="153"/>
      <w:r>
        <w:rPr/>
      </w:r>
      <w:bookmarkStart w:name="（1）确认递延所得税资产的依据" w:id="154"/>
      <w:bookmarkEnd w:id="154"/>
      <w:r>
        <w:rPr/>
      </w:r>
      <w:r>
        <w:rPr/>
        <w:t>生的成本能够可靠地计量。 如果提供劳务交易的结果不能够可靠估计，则按已经发生并预计能够得到补偿的劳务成</w:t>
      </w:r>
    </w:p>
    <w:p>
      <w:pPr>
        <w:pStyle w:val="BodyText"/>
        <w:spacing w:line="357" w:lineRule="auto"/>
        <w:ind w:right="134"/>
        <w:jc w:val="left"/>
      </w:pPr>
      <w:r>
        <w:rPr/>
        <w:t>本金额确认提供的劳务收入，并将已发生的劳务成本作为当期费用。已经发生的劳务成本如 预计不能得到补偿的，则不确认收入。</w:t>
      </w:r>
    </w:p>
    <w:p>
      <w:pPr>
        <w:pStyle w:val="BodyText"/>
        <w:spacing w:line="357" w:lineRule="auto"/>
        <w:ind w:right="148" w:firstLine="482"/>
        <w:jc w:val="both"/>
      </w:pPr>
      <w:r>
        <w:rPr/>
        <w:t>本集团与其他企业签订的合同或协议包括销售商品和提供劳务时，如销售商品部分和提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spacing w:before="215"/>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18</w:t>
      </w:r>
      <w:r>
        <w:rPr>
          <w:rFonts w:ascii="Microsoft JhengHei" w:hAnsi="Microsoft JhengHei" w:cs="Microsoft JhengHei" w:eastAsia="Microsoft JhengHei" w:hint="default"/>
          <w:b/>
          <w:bCs/>
          <w:sz w:val="21"/>
          <w:szCs w:val="21"/>
        </w:rPr>
        <w:t>、政府补助</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政府补助是指本集团从政府无偿取得货币性资产和非货币性资产，不包括政府作为所有 者投入的资本。政府补助分为与资产相关的政府补助和与收益相关的政府补助。</w:t>
      </w:r>
    </w:p>
    <w:p>
      <w:pPr>
        <w:spacing w:before="215"/>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）会计处理方法</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政府补助为货币性资产的，按照收到或应收的金额计量。政府补助为非货币性资产的， 按照公允价值计量；公允价值不能够可靠取得的，按照名义金额计量。按照名义金额计量的 政府补助，直接计入当期损益。</w:t>
      </w:r>
    </w:p>
    <w:p>
      <w:pPr>
        <w:pStyle w:val="BodyText"/>
        <w:spacing w:line="357" w:lineRule="auto"/>
        <w:ind w:right="112" w:firstLine="482"/>
        <w:jc w:val="both"/>
      </w:pPr>
      <w:r>
        <w:rPr/>
        <w:t>与资产相关的政府补助，确认为递延收益，并在相关资产的使用寿命内平均分配计入当 </w:t>
      </w:r>
      <w:r>
        <w:rPr>
          <w:spacing w:val="-3"/>
          <w:w w:val="95"/>
        </w:rPr>
        <w:t>期损益。与收益相关的政府补助，用于补偿以后期间的相关费用和损失的，确认为递延收益，</w:t>
      </w:r>
      <w:r>
        <w:rPr>
          <w:spacing w:val="76"/>
          <w:w w:val="95"/>
        </w:rPr>
        <w:t> </w:t>
      </w:r>
      <w:r>
        <w:rPr>
          <w:spacing w:val="76"/>
          <w:w w:val="95"/>
        </w:rPr>
      </w:r>
      <w:r>
        <w:rPr/>
        <w:t>并在确认相关费用的期间计入当期损益；用于补偿已经发生的相关费用和损失的，直接计入</w:t>
      </w:r>
      <w:r>
        <w:rPr/>
        <w:t> 当期损益。</w:t>
      </w:r>
    </w:p>
    <w:p>
      <w:pPr>
        <w:pStyle w:val="BodyText"/>
        <w:spacing w:line="357" w:lineRule="auto"/>
        <w:ind w:right="112" w:firstLine="482"/>
        <w:jc w:val="both"/>
      </w:pPr>
      <w:r>
        <w:rPr>
          <w:spacing w:val="-3"/>
          <w:w w:val="95"/>
        </w:rPr>
        <w:t>已确认的政府补助需要返还时，存在相关递延收益余额的，冲减相关递延收益账面余额，</w:t>
      </w:r>
      <w:r>
        <w:rPr>
          <w:w w:val="50"/>
        </w:rPr>
        <w:t> </w:t>
      </w:r>
      <w:r>
        <w:rPr/>
        <w:t>超出部分计入当期损益；不存在相关递延收益的，直接计入当期损益。</w:t>
      </w:r>
    </w:p>
    <w:p>
      <w:pPr>
        <w:spacing w:before="215"/>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19</w:t>
      </w:r>
      <w:r>
        <w:rPr>
          <w:rFonts w:ascii="Microsoft JhengHei" w:hAnsi="Microsoft JhengHei" w:cs="Microsoft JhengHei" w:eastAsia="Microsoft JhengHei" w:hint="default"/>
          <w:b/>
          <w:bCs/>
          <w:sz w:val="21"/>
          <w:szCs w:val="21"/>
        </w:rPr>
        <w:t>、递延所得税资产和递延所得税负债</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）确认递延所得税资产的依据</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某些资产、负债项目的账面价值与其计税基础之间的差额，以及未作为资产和负债确认 但按照税法规定可以确定其计税基础的项目的账面价值与计税基础之间的差额产生的暂时性</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240" w:lineRule="auto" w:before="26"/>
        <w:ind w:right="0"/>
        <w:jc w:val="left"/>
      </w:pPr>
      <w:bookmarkStart w:name="（2）确认递延所得税负债的依据" w:id="155"/>
      <w:bookmarkEnd w:id="155"/>
      <w:r>
        <w:rPr/>
      </w:r>
      <w:bookmarkStart w:name="20、主要会计政策、会计估计的变更" w:id="156"/>
      <w:bookmarkEnd w:id="156"/>
      <w:r>
        <w:rPr/>
      </w:r>
      <w:bookmarkStart w:name="（1）会计政策变更" w:id="157"/>
      <w:bookmarkEnd w:id="157"/>
      <w:r>
        <w:rPr/>
      </w:r>
      <w:r>
        <w:rPr/>
        <w:t>差异，采用资产负债表债务法确认递延所得税资产及递延所得税负债。</w:t>
      </w:r>
    </w:p>
    <w:p>
      <w:pPr>
        <w:spacing w:line="240" w:lineRule="auto" w:before="6"/>
        <w:rPr>
          <w:rFonts w:ascii="宋体" w:hAnsi="宋体" w:cs="宋体" w:eastAsia="宋体" w:hint="default"/>
          <w:sz w:val="25"/>
          <w:szCs w:val="25"/>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）确认递延所得税负债的依据</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12" w:firstLine="482"/>
        <w:jc w:val="both"/>
      </w:pPr>
      <w:r>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差异，采用资产负债表债务法确认递延所得税资产及递延所得税负债。与商誉的初始确认有 关，以及与既不是企业合并、发生时也不影响会计利润和应纳税所得额（或可抵扣亏损）的 交易中产生的资产或负债的初始确认有关的应纳税暂时性差异，不予确认有关的递延所得税 负债。此外，对与子公司、联营企业及合营企业投资相关的应纳税暂时性差异，如果本集团 能够控制暂时性差异转回的时间，而且该暂时性差异在可预见的未来很可能不会转回，也不 予确认有关的递延所得税负债。除上述例外情况，本集团确认其他所有应纳税暂时性差异产 生的递延所得税负债。与既不是企业合并、发生时也不影响会计利润和应纳税所得额（或可 抵扣亏损）的交易中产生的资产或负债的初始确认有关的可抵扣暂时性差异，不予确认有关 </w:t>
      </w:r>
      <w:r>
        <w:rPr>
          <w:spacing w:val="-3"/>
          <w:w w:val="95"/>
        </w:rPr>
        <w:t>的递延所得税资产。此外，对与子公司、联营企业及合营企业投资相关的可抵扣暂时性差异，</w:t>
      </w:r>
      <w:r>
        <w:rPr>
          <w:spacing w:val="76"/>
          <w:w w:val="95"/>
        </w:rPr>
        <w:t> </w:t>
      </w:r>
      <w:r>
        <w:rPr>
          <w:spacing w:val="76"/>
          <w:w w:val="95"/>
        </w:rPr>
      </w:r>
      <w:r>
        <w:rPr/>
        <w:t>如果暂时性差异在可预见的未来不是很可能转回，或者未来不是很可能获得用来抵扣可抵扣</w:t>
      </w:r>
      <w:r>
        <w:rPr/>
        <w:t> 暂时性差异的应纳税所得额，不予确认有关的递延所得税资产。除上述例外情况，本集团以 很可能取得用来抵扣可抵扣暂时性差异的应纳税所得额为限，确认其他可抵扣暂时性差异产 生的递延所得税资产。对于能够结转以后年度的可抵扣亏损和税款抵减，以很可能获得用来 抵扣可抵扣亏损和税款抵减的未来应纳税所得额为限，确认相应的递延所得税资产。资产负 债表日，对于递延所得税资产和递延所得税负债，根据税法规定，按照预期收回相关资产或 清偿相关负债期间的适用税率计量。于资产负债表日，对递延所得税资产的账面价值进行复 核，如果未来很可能无法获得足够的应纳税所得额用以抵扣递延所得税资产的利益，则减记 递延所得税资产的账面价值。在很可能获得足够的应纳税所得额时，减记的金额予以转回。</w:t>
      </w:r>
    </w:p>
    <w:p>
      <w:pPr>
        <w:spacing w:before="215"/>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w:t>
      </w:r>
      <w:r>
        <w:rPr>
          <w:rFonts w:ascii="Microsoft JhengHei" w:hAnsi="Microsoft JhengHei" w:cs="Microsoft JhengHei" w:eastAsia="Microsoft JhengHei" w:hint="default"/>
          <w:b/>
          <w:bCs/>
          <w:sz w:val="21"/>
          <w:szCs w:val="21"/>
        </w:rPr>
        <w:t>、主要会计政策、会计估计的变更</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）会计政策变更</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2" w:right="0" w:firstLine="0"/>
        <w:jc w:val="left"/>
        <w:rPr>
          <w:rFonts w:ascii="Microsoft JhengHei" w:hAnsi="Microsoft JhengHei" w:cs="Microsoft JhengHei" w:eastAsia="Microsoft JhengHei" w:hint="default"/>
          <w:sz w:val="21"/>
          <w:szCs w:val="21"/>
        </w:rPr>
      </w:pPr>
      <w:bookmarkStart w:name="（2）会计估计变更" w:id="158"/>
      <w:bookmarkEnd w:id="158"/>
      <w:r>
        <w:rPr/>
      </w:r>
      <w:bookmarkStart w:name="21、前期会计差错更正" w:id="159"/>
      <w:bookmarkEnd w:id="159"/>
      <w:r>
        <w:rPr/>
      </w:r>
      <w:bookmarkStart w:name="（1）追溯重述法" w:id="160"/>
      <w:bookmarkEnd w:id="160"/>
      <w:r>
        <w:rPr/>
      </w:r>
      <w:bookmarkStart w:name="（2）未来适用法" w:id="161"/>
      <w:bookmarkEnd w:id="161"/>
      <w:r>
        <w:rPr/>
      </w:r>
      <w:bookmarkStart w:name="五、税项" w:id="162"/>
      <w:bookmarkEnd w:id="162"/>
      <w:r>
        <w:rPr/>
      </w:r>
      <w:bookmarkStart w:name="1、公司主要税种和税率" w:id="163"/>
      <w:bookmarkEnd w:id="163"/>
      <w:r>
        <w:rPr/>
      </w:r>
      <w:bookmarkStart w:name="2、税收优惠及批文" w:id="164"/>
      <w:bookmarkEnd w:id="164"/>
      <w:r>
        <w:rPr/>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）会计估计变更</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0"/>
          <w:szCs w:val="20"/>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21</w:t>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338" w:lineRule="auto" w:before="117"/>
        <w:ind w:left="112" w:right="8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不适用</w:t>
      </w:r>
    </w:p>
    <w:p>
      <w:pPr>
        <w:spacing w:line="240" w:lineRule="auto" w:before="3"/>
        <w:rPr>
          <w:rFonts w:ascii="宋体" w:hAnsi="宋体" w:cs="宋体" w:eastAsia="宋体" w:hint="default"/>
          <w:sz w:val="16"/>
          <w:szCs w:val="16"/>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）追溯重述法</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0"/>
          <w:szCs w:val="20"/>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）未来适用法</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五、税项</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、公司主要税种和税率</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516"/>
        <w:gridCol w:w="3026"/>
        <w:gridCol w:w="3024"/>
      </w:tblGrid>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增值税应税收入</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应税营业额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、税收优惠及批文</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06" w:firstLine="482"/>
        <w:jc w:val="left"/>
      </w:pPr>
      <w:r>
        <w:rPr/>
        <w:t>本公司根据国务院下发的《关于鼓励软件产业和集成电路产业若干政策的通知》(国发 [2011]4号)和财政部、国家税务总局和海关总署联合下发的《关于鼓励软件产业和集成电路 </w:t>
      </w:r>
      <w:r>
        <w:rPr>
          <w:spacing w:val="-2"/>
        </w:rPr>
        <w:t>产业发展有关税收政策问题的通知》(财税[2011]100号)，本公司销售其自行开发生产的软件</w:t>
      </w:r>
      <w:r>
        <w:rPr>
          <w:spacing w:val="-110"/>
        </w:rPr>
        <w:t> </w:t>
      </w:r>
      <w:r>
        <w:rPr>
          <w:spacing w:val="-110"/>
        </w:rPr>
      </w:r>
      <w:r>
        <w:rPr/>
        <w:t>产品，按17%的法定税率征收增值税后，享受增值税实际税负超过3%的部分实行即征即退。</w:t>
      </w:r>
    </w:p>
    <w:p>
      <w:pPr>
        <w:pStyle w:val="BodyText"/>
        <w:spacing w:line="357" w:lineRule="auto"/>
        <w:ind w:right="97" w:firstLine="482"/>
        <w:jc w:val="left"/>
      </w:pPr>
      <w:r>
        <w:rPr>
          <w:spacing w:val="-6"/>
        </w:rPr>
        <w:t>根据《关于认定2011－2012</w:t>
      </w:r>
      <w:r>
        <w:rPr>
          <w:spacing w:val="11"/>
        </w:rPr>
        <w:t> </w:t>
      </w:r>
      <w:r>
        <w:rPr/>
        <w:t>年度国家规划布局内重点软件企业和集成电路设计企业的通</w:t>
      </w:r>
      <w:r>
        <w:rPr/>
        <w:t> 知》（发改高技[2013]234 号），本公司被认定为“2011-2012</w:t>
      </w:r>
      <w:r>
        <w:rPr>
          <w:spacing w:val="-2"/>
        </w:rPr>
        <w:t> </w:t>
      </w:r>
      <w:r>
        <w:rPr/>
        <w:t>年度国家规划布局内重点软</w:t>
      </w:r>
    </w:p>
    <w:p>
      <w:pPr>
        <w:spacing w:after="0" w:line="357"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12"/>
        <w:jc w:val="both"/>
      </w:pPr>
      <w:bookmarkStart w:name="六、企业合并及合并财务报表" w:id="165"/>
      <w:bookmarkEnd w:id="165"/>
      <w:r>
        <w:rPr/>
      </w:r>
      <w:bookmarkStart w:name="1、子公司情况" w:id="166"/>
      <w:bookmarkEnd w:id="166"/>
      <w:r>
        <w:rPr/>
      </w:r>
      <w:bookmarkStart w:name="（1）通过设立或投资等方式取得的子公司" w:id="167"/>
      <w:bookmarkEnd w:id="167"/>
      <w:r>
        <w:rPr/>
      </w:r>
      <w:r>
        <w:rPr/>
        <w:t>件企业”，根据《财政部国家税务总局关于进一步鼓励软件产业和集成电路产业发展企业所 </w:t>
      </w:r>
      <w:r>
        <w:rPr>
          <w:spacing w:val="-3"/>
        </w:rPr>
        <w:t>得税政策的通知》（财税〔2012〕27</w:t>
      </w:r>
      <w:r>
        <w:rPr>
          <w:spacing w:val="-25"/>
        </w:rPr>
        <w:t> </w:t>
      </w:r>
      <w:r>
        <w:rPr/>
        <w:t>号）的规定，国家规划布局内重点软件企业可享受企业</w:t>
      </w:r>
      <w:r>
        <w:rPr/>
        <w:t> 所得税减按10%税率征收的优惠政策，本公司2011-2012</w:t>
      </w:r>
      <w:r>
        <w:rPr>
          <w:spacing w:val="1"/>
        </w:rPr>
        <w:t> </w:t>
      </w:r>
      <w:r>
        <w:rPr/>
        <w:t>年度企业所得税税率将由原来的15%</w:t>
      </w:r>
      <w:r>
        <w:rPr/>
        <w:t> 调整为10%。</w:t>
      </w:r>
    </w:p>
    <w:p>
      <w:pPr>
        <w:pStyle w:val="Heading2"/>
        <w:spacing w:line="240" w:lineRule="auto" w:before="183"/>
        <w:ind w:right="0"/>
        <w:jc w:val="both"/>
        <w:rPr>
          <w:b w:val="0"/>
          <w:bCs w:val="0"/>
        </w:rPr>
      </w:pPr>
      <w:r>
        <w:rPr/>
        <w:t>六、企业合并及合并财务报表</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、子公司情况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）通过设立或投资等方式取得的子公司</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686"/>
        <w:gridCol w:w="682"/>
        <w:gridCol w:w="684"/>
        <w:gridCol w:w="682"/>
        <w:gridCol w:w="684"/>
        <w:gridCol w:w="684"/>
        <w:gridCol w:w="682"/>
        <w:gridCol w:w="684"/>
        <w:gridCol w:w="682"/>
        <w:gridCol w:w="684"/>
        <w:gridCol w:w="682"/>
        <w:gridCol w:w="684"/>
        <w:gridCol w:w="684"/>
        <w:gridCol w:w="682"/>
      </w:tblGrid>
      <w:tr>
        <w:trPr>
          <w:trHeight w:val="355" w:hRule="exact"/>
        </w:trPr>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2"/>
              <w:jc w:val="right"/>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2"/>
              <w:jc w:val="right"/>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2"/>
              <w:jc w:val="right"/>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2"/>
              <w:jc w:val="right"/>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8" w:right="67"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6" w:right="65"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64"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7" w:right="62"/>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2"/>
              <w:jc w:val="right"/>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2"/>
              <w:jc w:val="right"/>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2"/>
              <w:jc w:val="right"/>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2"/>
              <w:jc w:val="right"/>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56"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1651"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上海政 通信息 科技有 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计算机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计算机 软件领 域内的 技术开 发等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r>
        <w:trPr>
          <w:trHeight w:val="192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北京数 字政通 信息技 术有限 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计算机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计算机 软件研 发、技 术转 让、技 术咨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686"/>
        <w:gridCol w:w="682"/>
        <w:gridCol w:w="684"/>
        <w:gridCol w:w="682"/>
        <w:gridCol w:w="684"/>
        <w:gridCol w:w="682"/>
        <w:gridCol w:w="684"/>
        <w:gridCol w:w="684"/>
        <w:gridCol w:w="682"/>
        <w:gridCol w:w="684"/>
        <w:gridCol w:w="682"/>
        <w:gridCol w:w="684"/>
        <w:gridCol w:w="684"/>
        <w:gridCol w:w="682"/>
      </w:tblGrid>
      <w:tr>
        <w:trPr>
          <w:trHeight w:val="317" w:hRule="exact"/>
        </w:trPr>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bookmarkStart w:name="（2）非同一控制下企业合并取得的子公司" w:id="168"/>
            <w:bookmarkEnd w:id="168"/>
            <w:r>
              <w:rPr/>
            </w:r>
            <w:r>
              <w:rPr>
                <w:rFonts w:ascii="宋体" w:hAnsi="宋体" w:cs="宋体" w:eastAsia="宋体" w:hint="default"/>
                <w:sz w:val="18"/>
                <w:szCs w:val="18"/>
              </w:rPr>
              <w:t>询、技</w:t>
            </w: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术服</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算机系</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统集</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成；电</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脑图文</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制作</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57" w:hRule="exact"/>
        </w:trPr>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r>
        <w:trPr>
          <w:trHeight w:val="355"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软件研</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发、转</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让；技</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术咨询</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武汉智 慧政通 科技有 限公司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计算机 服务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7"/>
              <w:jc w:val="left"/>
              <w:rPr>
                <w:rFonts w:ascii="宋体" w:hAnsi="宋体" w:cs="宋体" w:eastAsia="宋体" w:hint="default"/>
                <w:sz w:val="18"/>
                <w:szCs w:val="18"/>
              </w:rPr>
            </w:pPr>
            <w:r>
              <w:rPr>
                <w:rFonts w:ascii="宋体" w:hAnsi="宋体" w:cs="宋体" w:eastAsia="宋体" w:hint="default"/>
                <w:sz w:val="18"/>
                <w:szCs w:val="18"/>
              </w:rPr>
              <w:t>服务； 图文设 计制 作；商 务信息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货物及</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技术进</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9"/>
        <w:rPr>
          <w:rFonts w:ascii="宋体" w:hAnsi="宋体" w:cs="宋体" w:eastAsia="宋体" w:hint="default"/>
          <w:sz w:val="21"/>
          <w:szCs w:val="21"/>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）非同一控制下企业合并取得的子公司</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686"/>
        <w:gridCol w:w="682"/>
        <w:gridCol w:w="684"/>
        <w:gridCol w:w="682"/>
        <w:gridCol w:w="684"/>
        <w:gridCol w:w="684"/>
        <w:gridCol w:w="682"/>
        <w:gridCol w:w="684"/>
        <w:gridCol w:w="682"/>
        <w:gridCol w:w="684"/>
        <w:gridCol w:w="682"/>
        <w:gridCol w:w="684"/>
        <w:gridCol w:w="684"/>
        <w:gridCol w:w="682"/>
      </w:tblGrid>
      <w:tr>
        <w:trPr>
          <w:trHeight w:val="358" w:hRule="exact"/>
        </w:trPr>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01"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实质上</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少数股</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构成对</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东权益</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936"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5"/>
              <w:ind w:left="158" w:right="67"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5"/>
              <w:ind w:left="156" w:right="65"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5"/>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5"/>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5"/>
              <w:ind w:left="247"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4"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子公司 净投资 的其他</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5"/>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5"/>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5"/>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中用于 冲减少 数股东</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1"/>
              <w:ind w:left="67" w:right="62"/>
              <w:jc w:val="both"/>
              <w:rPr>
                <w:rFonts w:ascii="宋体" w:hAnsi="宋体" w:cs="宋体" w:eastAsia="宋体" w:hint="default"/>
                <w:sz w:val="18"/>
                <w:szCs w:val="18"/>
              </w:rPr>
            </w:pPr>
            <w:r>
              <w:rPr>
                <w:rFonts w:ascii="宋体" w:hAnsi="宋体" w:cs="宋体" w:eastAsia="宋体" w:hint="default"/>
                <w:sz w:val="18"/>
                <w:szCs w:val="18"/>
              </w:rPr>
              <w:t>数股东 分担的 本期亏</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23"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7" w:hRule="exact"/>
        </w:trPr>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年初所</w:t>
            </w:r>
          </w:p>
        </w:tc>
      </w:tr>
    </w:tbl>
    <w:p>
      <w:pPr>
        <w:spacing w:after="0" w:line="240" w:lineRule="auto"/>
        <w:jc w:val="center"/>
        <w:rPr>
          <w:rFonts w:ascii="宋体" w:hAnsi="宋体" w:cs="宋体" w:eastAsia="宋体"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686"/>
        <w:gridCol w:w="682"/>
        <w:gridCol w:w="684"/>
        <w:gridCol w:w="682"/>
        <w:gridCol w:w="684"/>
        <w:gridCol w:w="682"/>
        <w:gridCol w:w="684"/>
        <w:gridCol w:w="684"/>
        <w:gridCol w:w="682"/>
        <w:gridCol w:w="684"/>
        <w:gridCol w:w="682"/>
        <w:gridCol w:w="684"/>
        <w:gridCol w:w="684"/>
        <w:gridCol w:w="682"/>
      </w:tblGrid>
      <w:tr>
        <w:trPr>
          <w:trHeight w:val="317" w:hRule="exact"/>
        </w:trPr>
        <w:tc>
          <w:tcPr>
            <w:tcW w:w="686"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62"/>
              <w:jc w:val="right"/>
              <w:rPr>
                <w:rFonts w:ascii="宋体" w:hAnsi="宋体" w:cs="宋体" w:eastAsia="宋体" w:hint="default"/>
                <w:sz w:val="18"/>
                <w:szCs w:val="18"/>
              </w:rPr>
            </w:pPr>
            <w:bookmarkStart w:name="2、合并范围发生变更的说明" w:id="169"/>
            <w:bookmarkEnd w:id="169"/>
            <w:r>
              <w:rPr/>
            </w:r>
            <w:r>
              <w:rPr>
                <w:rFonts w:ascii="宋体" w:hAnsi="宋体" w:cs="宋体" w:eastAsia="宋体" w:hint="default"/>
                <w:sz w:val="18"/>
                <w:szCs w:val="18"/>
              </w:rPr>
              <w:t>有者权</w:t>
            </w:r>
          </w:p>
        </w:tc>
      </w:tr>
      <w:tr>
        <w:trPr>
          <w:trHeight w:val="312" w:hRule="exact"/>
        </w:trPr>
        <w:tc>
          <w:tcPr>
            <w:tcW w:w="686"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2"/>
              <w:jc w:val="right"/>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6"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2"/>
              <w:jc w:val="right"/>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6"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2"/>
              <w:jc w:val="right"/>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6"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56"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355"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发、技</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术推</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广、技</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术转</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让、技</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北京汉 王智通 科技有 限公司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计算机 服务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7"/>
              <w:jc w:val="left"/>
              <w:rPr>
                <w:rFonts w:ascii="宋体" w:hAnsi="宋体" w:cs="宋体" w:eastAsia="宋体" w:hint="default"/>
                <w:sz w:val="18"/>
                <w:szCs w:val="18"/>
              </w:rPr>
            </w:pPr>
            <w:r>
              <w:rPr>
                <w:rFonts w:ascii="宋体" w:hAnsi="宋体" w:cs="宋体" w:eastAsia="宋体" w:hint="default"/>
                <w:sz w:val="18"/>
                <w:szCs w:val="18"/>
              </w:rPr>
              <w:t>术咨 询、技 术服 务；计 算机系</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81,200,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70%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70%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23,107,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283.63</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统集</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成；软</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件开</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发；集</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成电路</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9"/>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、合并范围发生变更的说明</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line="340" w:lineRule="auto" w:before="117"/>
        <w:ind w:left="112" w:right="57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与上年相比本年（期）新增合并单位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p>
    <w:p>
      <w:pPr>
        <w:pStyle w:val="BodyText"/>
        <w:spacing w:line="357" w:lineRule="auto" w:before="48"/>
        <w:ind w:right="112" w:firstLine="482"/>
        <w:jc w:val="both"/>
      </w:pPr>
      <w:r>
        <w:rPr/>
        <w:t>1、公司2012年8月出资1000万元人民币设立全资子公司武汉智慧政通科技有限公司，注 </w:t>
      </w:r>
      <w:r>
        <w:rPr>
          <w:spacing w:val="-2"/>
        </w:rPr>
        <w:t>册资本1000万元，于2012年8月23日完成工商登记，所以，本报告合并财务报表的合并范围增</w:t>
      </w:r>
      <w:r>
        <w:rPr>
          <w:spacing w:val="-111"/>
        </w:rPr>
        <w:t> </w:t>
      </w:r>
      <w:r>
        <w:rPr>
          <w:spacing w:val="-111"/>
        </w:rPr>
      </w:r>
      <w:r>
        <w:rPr/>
        <w:t>加了武汉智慧政通科技有限公司。</w:t>
      </w:r>
    </w:p>
    <w:p>
      <w:pPr>
        <w:pStyle w:val="BodyText"/>
        <w:spacing w:line="357" w:lineRule="auto"/>
        <w:ind w:right="134" w:firstLine="482"/>
        <w:jc w:val="left"/>
      </w:pPr>
      <w:r>
        <w:rPr/>
        <w:t>2、公司2012年11月出资2000万元人民币设立全资子公司北京数字政通信息技术有限公 司，注册资本为2000万元，于2012年11月19日完成工商登记，所以，本报告合并财务报表的 合并范围增加了北京数字政通信息技术有限公司。</w:t>
      </w:r>
    </w:p>
    <w:p>
      <w:pPr>
        <w:pStyle w:val="BodyText"/>
        <w:spacing w:line="240" w:lineRule="auto"/>
        <w:ind w:left="595" w:right="0"/>
        <w:jc w:val="left"/>
      </w:pPr>
      <w:r>
        <w:rPr/>
        <w:t>3、公司于2012年12月24日召开2012年第三次临时股东大会审议通过了使用超募资金</w:t>
      </w:r>
    </w:p>
    <w:p>
      <w:pPr>
        <w:pStyle w:val="BodyText"/>
        <w:spacing w:line="357" w:lineRule="auto" w:before="154"/>
        <w:ind w:right="98"/>
        <w:jc w:val="left"/>
      </w:pPr>
      <w:r>
        <w:rPr/>
        <w:t>10440万元收购汉王科技股份有限公司全资子公司北京汉王智通科技有限公司90%股权的议 </w:t>
      </w:r>
      <w:r>
        <w:rPr>
          <w:spacing w:val="-2"/>
        </w:rPr>
        <w:t>案，报告期末，公司持有其70%股权，所以，本报告合并财务报表的合并范围增加了北京汉王</w:t>
      </w:r>
      <w:r>
        <w:rPr/>
        <w:t> 智通科技有限公司。</w:t>
      </w:r>
    </w:p>
    <w:p>
      <w:pPr>
        <w:spacing w:after="0" w:line="357" w:lineRule="auto"/>
        <w:jc w:val="left"/>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bookmarkStart w:name="3、报告期内新纳入合并范围的主体和报告期内不再纳入合并范围的主体" w:id="170"/>
      <w:bookmarkEnd w:id="170"/>
      <w:r>
        <w:rPr/>
      </w:r>
      <w:bookmarkStart w:name="4、报告期内发生的非同一控制下企业合并" w:id="171"/>
      <w:bookmarkEnd w:id="171"/>
      <w:r>
        <w:rPr/>
      </w:r>
      <w:r>
        <w:rPr>
          <w:rFonts w:ascii="宋体" w:hAnsi="宋体" w:cs="宋体" w:eastAsia="宋体" w:hint="default"/>
          <w:sz w:val="18"/>
          <w:szCs w:val="18"/>
        </w:rPr>
        <w:t>与上年相比本年（期）减少合并单位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p>
    <w:p>
      <w:pPr>
        <w:spacing w:line="240" w:lineRule="auto" w:before="9"/>
        <w:rPr>
          <w:rFonts w:ascii="宋体" w:hAnsi="宋体" w:cs="宋体" w:eastAsia="宋体" w:hint="default"/>
          <w:sz w:val="20"/>
          <w:szCs w:val="20"/>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、报告期内新纳入合并范围的主体和报告期内不再纳入合并范围的主体</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4073"/>
        <w:gridCol w:w="2851"/>
        <w:gridCol w:w="2645"/>
      </w:tblGrid>
      <w:tr>
        <w:trPr>
          <w:trHeight w:val="403"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北京数字政通信息技术有限公司</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20,007,000.00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w:t>
            </w:r>
          </w:p>
        </w:tc>
      </w:tr>
      <w:tr>
        <w:trPr>
          <w:trHeight w:val="403"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武汉智慧政通科技有限公司</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10,002,102.62</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2,102.62</w:t>
            </w:r>
          </w:p>
        </w:tc>
      </w:tr>
      <w:tr>
        <w:trPr>
          <w:trHeight w:val="401"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北京汉王智通科技有限公司</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97,083,350.80</w:t>
            </w:r>
          </w:p>
        </w:tc>
        <w:tc>
          <w:tcPr>
            <w:tcW w:w="2645"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073"/>
        <w:gridCol w:w="2851"/>
        <w:gridCol w:w="2645"/>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pStyle w:val="BodyText"/>
        <w:spacing w:line="357" w:lineRule="auto" w:before="145"/>
        <w:ind w:right="148" w:firstLine="482"/>
        <w:jc w:val="both"/>
      </w:pPr>
      <w:r>
        <w:rPr/>
        <w:t>北京汉王智通科技有限公司为本年非同一控制下企业合并取得的子公司，其本年净利润 为该公司自购买日至本年年末止期间的净利润，购买日为2012年12月31日，因此本年近利润 为0。</w:t>
      </w:r>
    </w:p>
    <w:p>
      <w:pPr>
        <w:spacing w:before="215"/>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、报告期内发生的非同一控制下企业合并</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678"/>
        <w:gridCol w:w="3031"/>
        <w:gridCol w:w="3859"/>
      </w:tblGrid>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358" w:hRule="exact"/>
        </w:trPr>
        <w:tc>
          <w:tcPr>
            <w:tcW w:w="2678" w:type="dxa"/>
            <w:tcBorders>
              <w:top w:val="single" w:sz="4" w:space="0" w:color="000000"/>
              <w:left w:val="single" w:sz="4" w:space="0" w:color="000000"/>
              <w:bottom w:val="nil" w:sz="6" w:space="0" w:color="auto"/>
              <w:right w:val="single" w:sz="4" w:space="0" w:color="000000"/>
            </w:tcBorders>
          </w:tcPr>
          <w:p>
            <w:pPr/>
          </w:p>
        </w:tc>
        <w:tc>
          <w:tcPr>
            <w:tcW w:w="3031" w:type="dxa"/>
            <w:tcBorders>
              <w:top w:val="single" w:sz="4" w:space="0" w:color="000000"/>
              <w:left w:val="single" w:sz="4" w:space="0" w:color="000000"/>
              <w:bottom w:val="nil" w:sz="6" w:space="0" w:color="auto"/>
              <w:right w:val="single" w:sz="4" w:space="0" w:color="000000"/>
            </w:tcBorders>
          </w:tcPr>
          <w:p>
            <w:pPr/>
          </w:p>
        </w:tc>
        <w:tc>
          <w:tcPr>
            <w:tcW w:w="3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合并成本减去合并中取得的被购买方于购买日可</w:t>
            </w:r>
          </w:p>
        </w:tc>
      </w:tr>
      <w:tr>
        <w:trPr>
          <w:trHeight w:val="317" w:hRule="exact"/>
        </w:trPr>
        <w:tc>
          <w:tcPr>
            <w:tcW w:w="2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北京汉王智通科技有限公司</w:t>
            </w:r>
          </w:p>
        </w:tc>
        <w:tc>
          <w:tcPr>
            <w:tcW w:w="303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963" w:right="0"/>
              <w:jc w:val="left"/>
              <w:rPr>
                <w:rFonts w:ascii="Times New Roman" w:hAnsi="Times New Roman" w:cs="Times New Roman" w:eastAsia="Times New Roman" w:hint="default"/>
                <w:sz w:val="18"/>
                <w:szCs w:val="18"/>
              </w:rPr>
            </w:pPr>
            <w:r>
              <w:rPr>
                <w:rFonts w:ascii="Times New Roman"/>
                <w:sz w:val="18"/>
              </w:rPr>
              <w:t>27,283,004.88</w:t>
            </w:r>
          </w:p>
        </w:tc>
        <w:tc>
          <w:tcPr>
            <w:tcW w:w="3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辨认净资产公允价值份额的差额确认为商誉，具</w:t>
            </w:r>
          </w:p>
        </w:tc>
      </w:tr>
      <w:tr>
        <w:trPr>
          <w:trHeight w:val="353" w:hRule="exact"/>
        </w:trPr>
        <w:tc>
          <w:tcPr>
            <w:tcW w:w="2678" w:type="dxa"/>
            <w:tcBorders>
              <w:top w:val="nil" w:sz="6" w:space="0" w:color="auto"/>
              <w:left w:val="single" w:sz="4" w:space="0" w:color="000000"/>
              <w:bottom w:val="single" w:sz="4" w:space="0" w:color="000000"/>
              <w:right w:val="single" w:sz="4" w:space="0" w:color="000000"/>
            </w:tcBorders>
          </w:tcPr>
          <w:p>
            <w:pPr/>
          </w:p>
        </w:tc>
        <w:tc>
          <w:tcPr>
            <w:tcW w:w="3031" w:type="dxa"/>
            <w:tcBorders>
              <w:top w:val="nil" w:sz="6" w:space="0" w:color="auto"/>
              <w:left w:val="single" w:sz="4" w:space="0" w:color="000000"/>
              <w:bottom w:val="single" w:sz="4" w:space="0" w:color="000000"/>
              <w:right w:val="single" w:sz="4" w:space="0" w:color="000000"/>
            </w:tcBorders>
          </w:tcPr>
          <w:p>
            <w:pPr/>
          </w:p>
        </w:tc>
        <w:tc>
          <w:tcPr>
            <w:tcW w:w="3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体计算如后附表所述。</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pStyle w:val="BodyText"/>
        <w:spacing w:line="357" w:lineRule="auto" w:before="145"/>
        <w:ind w:right="112" w:firstLine="482"/>
        <w:jc w:val="both"/>
      </w:pPr>
      <w:r>
        <w:rPr/>
        <w:t>2012年12月31日，本集团向汉王科技股份有限公司收购了其拥有的北京汉王智通科技有 </w:t>
      </w:r>
      <w:r>
        <w:rPr>
          <w:spacing w:val="-2"/>
        </w:rPr>
        <w:t>限公司70%的股权。本次交易的购买日为2012年12月31日，系本集团取得对北京汉王智通科技</w:t>
      </w:r>
      <w:r>
        <w:rPr>
          <w:spacing w:val="-111"/>
        </w:rPr>
        <w:t> </w:t>
      </w:r>
      <w:r>
        <w:rPr>
          <w:spacing w:val="-111"/>
        </w:rPr>
      </w:r>
      <w:r>
        <w:rPr/>
        <w:t>有限公司的控制权的日期。</w:t>
      </w:r>
    </w:p>
    <w:p>
      <w:pPr>
        <w:pStyle w:val="BodyText"/>
        <w:spacing w:line="357" w:lineRule="auto"/>
        <w:ind w:right="112" w:firstLine="482"/>
        <w:jc w:val="both"/>
      </w:pPr>
      <w:r>
        <w:rPr/>
        <w:t>①</w:t>
      </w:r>
      <w:r>
        <w:rPr>
          <w:spacing w:val="25"/>
        </w:rPr>
        <w:t> </w:t>
      </w:r>
      <w:r>
        <w:rPr>
          <w:spacing w:val="-3"/>
        </w:rPr>
        <w:t>合并成本以及商誉（或可辨认净资产公允价值份额超出合并成本计入损益的金额）的</w:t>
      </w:r>
      <w:r>
        <w:rPr/>
        <w:t> 确认情况如下：</w:t>
      </w:r>
    </w:p>
    <w:tbl>
      <w:tblPr>
        <w:tblW w:w="0" w:type="auto"/>
        <w:jc w:val="left"/>
        <w:tblInd w:w="105" w:type="dxa"/>
        <w:tblLayout w:type="fixed"/>
        <w:tblCellMar>
          <w:top w:w="0" w:type="dxa"/>
          <w:left w:w="0" w:type="dxa"/>
          <w:bottom w:w="0" w:type="dxa"/>
          <w:right w:w="0" w:type="dxa"/>
        </w:tblCellMar>
        <w:tblLook w:val="01E0"/>
      </w:tblPr>
      <w:tblGrid>
        <w:gridCol w:w="6929"/>
        <w:gridCol w:w="2285"/>
      </w:tblGrid>
      <w:tr>
        <w:trPr>
          <w:trHeight w:val="355" w:hRule="exact"/>
        </w:trPr>
        <w:tc>
          <w:tcPr>
            <w:tcW w:w="6929" w:type="dxa"/>
            <w:tcBorders>
              <w:top w:val="single" w:sz="6" w:space="0" w:color="000000"/>
              <w:left w:val="single" w:sz="6" w:space="0" w:color="000000"/>
              <w:bottom w:val="single" w:sz="12"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5" w:type="dxa"/>
            <w:tcBorders>
              <w:top w:val="single" w:sz="6" w:space="0" w:color="000000"/>
              <w:left w:val="single" w:sz="6" w:space="0" w:color="000000"/>
              <w:bottom w:val="single" w:sz="12" w:space="0" w:color="000000"/>
              <w:right w:val="nil" w:sz="6" w:space="0" w:color="auto"/>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62" w:hRule="exact"/>
        </w:trPr>
        <w:tc>
          <w:tcPr>
            <w:tcW w:w="6929" w:type="dxa"/>
            <w:tcBorders>
              <w:top w:val="single" w:sz="12" w:space="0" w:color="000000"/>
              <w:left w:val="single" w:sz="6" w:space="0" w:color="000000"/>
              <w:bottom w:val="single" w:sz="12"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285"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692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307"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2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4"/>
              <w:jc w:val="right"/>
              <w:rPr>
                <w:rFonts w:ascii="Times New Roman" w:hAnsi="Times New Roman" w:cs="Times New Roman" w:eastAsia="Times New Roman" w:hint="default"/>
                <w:sz w:val="21"/>
                <w:szCs w:val="21"/>
              </w:rPr>
            </w:pPr>
            <w:r>
              <w:rPr>
                <w:rFonts w:ascii="Times New Roman"/>
                <w:w w:val="95"/>
                <w:sz w:val="21"/>
              </w:rPr>
              <w:t>48,720,000.00</w:t>
            </w:r>
            <w:r>
              <w:rPr>
                <w:rFonts w:ascii="Times New Roman"/>
                <w:sz w:val="21"/>
              </w:rPr>
            </w:r>
          </w:p>
        </w:tc>
      </w:tr>
      <w:tr>
        <w:trPr>
          <w:trHeight w:val="362" w:hRule="exact"/>
        </w:trPr>
        <w:tc>
          <w:tcPr>
            <w:tcW w:w="6929" w:type="dxa"/>
            <w:tcBorders>
              <w:top w:val="single" w:sz="12" w:space="0" w:color="000000"/>
              <w:left w:val="single" w:sz="6" w:space="0" w:color="000000"/>
              <w:bottom w:val="single" w:sz="12" w:space="0" w:color="000000"/>
              <w:right w:val="single" w:sz="6" w:space="0" w:color="000000"/>
            </w:tcBorders>
          </w:tcPr>
          <w:p>
            <w:pPr>
              <w:pStyle w:val="TableParagraph"/>
              <w:spacing w:line="283" w:lineRule="exact"/>
              <w:ind w:left="307"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日尚未支付成本</w:t>
            </w:r>
          </w:p>
        </w:tc>
        <w:tc>
          <w:tcPr>
            <w:tcW w:w="2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1"/>
                <w:szCs w:val="21"/>
              </w:rPr>
            </w:pPr>
            <w:r>
              <w:rPr>
                <w:rFonts w:ascii="Times New Roman"/>
                <w:w w:val="95"/>
                <w:sz w:val="21"/>
              </w:rPr>
              <w:t>32,480,000.00</w:t>
            </w:r>
            <w:r>
              <w:rPr>
                <w:rFonts w:ascii="Times New Roman"/>
                <w:sz w:val="21"/>
              </w:rPr>
            </w:r>
          </w:p>
        </w:tc>
      </w:tr>
      <w:tr>
        <w:trPr>
          <w:trHeight w:val="362" w:hRule="exact"/>
        </w:trPr>
        <w:tc>
          <w:tcPr>
            <w:tcW w:w="6929" w:type="dxa"/>
            <w:tcBorders>
              <w:top w:val="single" w:sz="12" w:space="0" w:color="000000"/>
              <w:left w:val="single" w:sz="6" w:space="0" w:color="000000"/>
              <w:bottom w:val="single" w:sz="12"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1"/>
                <w:szCs w:val="21"/>
              </w:rPr>
            </w:pPr>
            <w:r>
              <w:rPr>
                <w:rFonts w:ascii="Times New Roman"/>
                <w:w w:val="95"/>
                <w:sz w:val="21"/>
              </w:rPr>
              <w:t>81,200,000.00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6929"/>
        <w:gridCol w:w="2285"/>
      </w:tblGrid>
      <w:tr>
        <w:trPr>
          <w:trHeight w:val="370" w:hRule="exact"/>
        </w:trPr>
        <w:tc>
          <w:tcPr>
            <w:tcW w:w="69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宋体" w:hAnsi="宋体" w:cs="宋体" w:eastAsia="宋体" w:hint="default"/>
                <w:sz w:val="21"/>
                <w:szCs w:val="21"/>
              </w:rPr>
              <w:t>减：取得的可辨认净资产的公允价值</w:t>
            </w:r>
          </w:p>
        </w:tc>
        <w:tc>
          <w:tcPr>
            <w:tcW w:w="22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21"/>
                <w:szCs w:val="21"/>
              </w:rPr>
            </w:pPr>
            <w:r>
              <w:rPr>
                <w:rFonts w:ascii="Times New Roman"/>
                <w:w w:val="95"/>
                <w:sz w:val="21"/>
              </w:rPr>
              <w:t>53,916,995.12</w:t>
            </w:r>
            <w:r>
              <w:rPr>
                <w:rFonts w:ascii="Times New Roman"/>
                <w:sz w:val="21"/>
              </w:rPr>
            </w:r>
          </w:p>
        </w:tc>
      </w:tr>
      <w:tr>
        <w:trPr>
          <w:trHeight w:val="360" w:hRule="exact"/>
        </w:trPr>
        <w:tc>
          <w:tcPr>
            <w:tcW w:w="6929"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商誉（或可辨认净资产公允价值份额超出合并成本计入损益的金额）</w:t>
            </w:r>
          </w:p>
        </w:tc>
        <w:tc>
          <w:tcPr>
            <w:tcW w:w="2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w w:val="95"/>
                <w:sz w:val="21"/>
              </w:rPr>
              <w:t>27,283,004.88</w:t>
            </w:r>
            <w:r>
              <w:rPr>
                <w:rFonts w:ascii="Times New Roman"/>
                <w:sz w:val="21"/>
              </w:rPr>
            </w:r>
          </w:p>
        </w:tc>
      </w:tr>
    </w:tbl>
    <w:p>
      <w:pPr>
        <w:pStyle w:val="BodyText"/>
        <w:spacing w:line="357" w:lineRule="auto" w:before="43"/>
        <w:ind w:right="132" w:firstLine="482"/>
        <w:jc w:val="left"/>
      </w:pPr>
      <w:r>
        <w:rPr/>
        <w:t>注：合并对价中非现金资产的公允价值以经中同华资产评估有限公司按无形资产采用收 益法，其余采用成本法确定的估值结果确定。</w:t>
      </w:r>
    </w:p>
    <w:p>
      <w:pPr>
        <w:pStyle w:val="BodyText"/>
        <w:spacing w:line="355" w:lineRule="auto"/>
        <w:ind w:right="98" w:firstLine="482"/>
        <w:jc w:val="left"/>
      </w:pPr>
      <w:r>
        <w:rPr/>
        <w:t>②</w:t>
      </w:r>
      <w:r>
        <w:rPr>
          <w:spacing w:val="25"/>
        </w:rPr>
        <w:t> </w:t>
      </w:r>
      <w:r>
        <w:rPr>
          <w:spacing w:val="-3"/>
        </w:rPr>
        <w:t>北京汉王智通科技有限公司于购买日的资产、负债及与收购相关的现金流量情况列示</w:t>
      </w:r>
      <w:r>
        <w:rPr/>
        <w:t> 如下：</w:t>
      </w:r>
    </w:p>
    <w:tbl>
      <w:tblPr>
        <w:tblW w:w="0" w:type="auto"/>
        <w:jc w:val="left"/>
        <w:tblInd w:w="105" w:type="dxa"/>
        <w:tblLayout w:type="fixed"/>
        <w:tblCellMar>
          <w:top w:w="0" w:type="dxa"/>
          <w:left w:w="0" w:type="dxa"/>
          <w:bottom w:w="0" w:type="dxa"/>
          <w:right w:w="0" w:type="dxa"/>
        </w:tblCellMar>
        <w:tblLook w:val="01E0"/>
      </w:tblPr>
      <w:tblGrid>
        <w:gridCol w:w="2784"/>
        <w:gridCol w:w="1874"/>
        <w:gridCol w:w="2249"/>
        <w:gridCol w:w="2306"/>
      </w:tblGrid>
      <w:tr>
        <w:trPr>
          <w:trHeight w:val="353" w:hRule="exact"/>
        </w:trPr>
        <w:tc>
          <w:tcPr>
            <w:tcW w:w="278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196"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2249"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32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2306"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412" w:right="0"/>
              <w:jc w:val="left"/>
              <w:rPr>
                <w:rFonts w:ascii="宋体" w:hAnsi="宋体" w:cs="宋体" w:eastAsia="宋体" w:hint="default"/>
                <w:sz w:val="21"/>
                <w:szCs w:val="21"/>
              </w:rPr>
            </w:pPr>
            <w:r>
              <w:rPr>
                <w:rFonts w:ascii="宋体" w:hAnsi="宋体" w:cs="宋体" w:eastAsia="宋体" w:hint="default"/>
                <w:sz w:val="21"/>
                <w:szCs w:val="21"/>
              </w:rPr>
              <w:t>上年末账面价值</w:t>
            </w: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现金及现金等价物</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311,896.53</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9"/>
              <w:jc w:val="right"/>
              <w:rPr>
                <w:rFonts w:ascii="Times New Roman" w:hAnsi="Times New Roman" w:cs="Times New Roman" w:eastAsia="Times New Roman" w:hint="default"/>
                <w:sz w:val="21"/>
                <w:szCs w:val="21"/>
              </w:rPr>
            </w:pPr>
            <w:r>
              <w:rPr>
                <w:rFonts w:ascii="Times New Roman"/>
                <w:w w:val="95"/>
                <w:sz w:val="21"/>
              </w:rPr>
              <w:t>311,896.53</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5,859,568.99</w:t>
            </w:r>
            <w:r>
              <w:rPr>
                <w:rFonts w:ascii="Times New Roman"/>
                <w:sz w:val="21"/>
              </w:rPr>
            </w: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4" w:type="dxa"/>
            <w:tcBorders>
              <w:top w:val="single" w:sz="12" w:space="0" w:color="000000"/>
              <w:left w:val="single" w:sz="6" w:space="0" w:color="000000"/>
              <w:bottom w:val="single" w:sz="12" w:space="0" w:color="000000"/>
              <w:right w:val="single" w:sz="6" w:space="0" w:color="000000"/>
            </w:tcBorders>
          </w:tcPr>
          <w:p>
            <w:pPr/>
          </w:p>
        </w:tc>
        <w:tc>
          <w:tcPr>
            <w:tcW w:w="2249"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31,399,331.91</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6"/>
              <w:jc w:val="right"/>
              <w:rPr>
                <w:rFonts w:ascii="Times New Roman" w:hAnsi="Times New Roman" w:cs="Times New Roman" w:eastAsia="Times New Roman" w:hint="default"/>
                <w:sz w:val="21"/>
                <w:szCs w:val="21"/>
              </w:rPr>
            </w:pPr>
            <w:r>
              <w:rPr>
                <w:rFonts w:ascii="Times New Roman"/>
                <w:w w:val="95"/>
                <w:sz w:val="21"/>
              </w:rPr>
              <w:t>31,004,052.56</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14,739,810.21</w:t>
            </w:r>
            <w:r>
              <w:rPr>
                <w:rFonts w:ascii="Times New Roman"/>
                <w:sz w:val="21"/>
              </w:rPr>
            </w: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49,096,908.58</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6"/>
              <w:jc w:val="right"/>
              <w:rPr>
                <w:rFonts w:ascii="Times New Roman" w:hAnsi="Times New Roman" w:cs="Times New Roman" w:eastAsia="Times New Roman" w:hint="default"/>
                <w:sz w:val="21"/>
                <w:szCs w:val="21"/>
              </w:rPr>
            </w:pPr>
            <w:r>
              <w:rPr>
                <w:rFonts w:ascii="Times New Roman"/>
                <w:w w:val="95"/>
                <w:sz w:val="21"/>
              </w:rPr>
              <w:t>25,825,213.48</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9,680,617.75</w:t>
            </w:r>
            <w:r>
              <w:rPr>
                <w:rFonts w:ascii="Times New Roman"/>
                <w:sz w:val="21"/>
              </w:rPr>
            </w: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74" w:type="dxa"/>
            <w:tcBorders>
              <w:top w:val="single" w:sz="12" w:space="0" w:color="000000"/>
              <w:left w:val="single" w:sz="6" w:space="0" w:color="000000"/>
              <w:bottom w:val="single" w:sz="12" w:space="0" w:color="000000"/>
              <w:right w:val="single" w:sz="6" w:space="0" w:color="000000"/>
            </w:tcBorders>
          </w:tcPr>
          <w:p>
            <w:pPr/>
          </w:p>
        </w:tc>
        <w:tc>
          <w:tcPr>
            <w:tcW w:w="2249"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74" w:type="dxa"/>
            <w:tcBorders>
              <w:top w:val="single" w:sz="12" w:space="0" w:color="000000"/>
              <w:left w:val="single" w:sz="6" w:space="0" w:color="000000"/>
              <w:bottom w:val="single" w:sz="12" w:space="0" w:color="000000"/>
              <w:right w:val="single" w:sz="6" w:space="0" w:color="000000"/>
            </w:tcBorders>
          </w:tcPr>
          <w:p>
            <w:pPr/>
          </w:p>
        </w:tc>
        <w:tc>
          <w:tcPr>
            <w:tcW w:w="2249"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74" w:type="dxa"/>
            <w:tcBorders>
              <w:top w:val="single" w:sz="12" w:space="0" w:color="000000"/>
              <w:left w:val="single" w:sz="6" w:space="0" w:color="000000"/>
              <w:bottom w:val="single" w:sz="12" w:space="0" w:color="000000"/>
              <w:right w:val="single" w:sz="6" w:space="0" w:color="000000"/>
            </w:tcBorders>
          </w:tcPr>
          <w:p>
            <w:pPr/>
          </w:p>
        </w:tc>
        <w:tc>
          <w:tcPr>
            <w:tcW w:w="2249"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9"/>
              <w:jc w:val="right"/>
              <w:rPr>
                <w:rFonts w:ascii="Times New Roman" w:hAnsi="Times New Roman" w:cs="Times New Roman" w:eastAsia="Times New Roman" w:hint="default"/>
                <w:sz w:val="21"/>
                <w:szCs w:val="21"/>
              </w:rPr>
            </w:pPr>
            <w:r>
              <w:rPr>
                <w:rFonts w:ascii="Times New Roman"/>
                <w:w w:val="95"/>
                <w:sz w:val="21"/>
              </w:rPr>
              <w:t>539,079.00</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9"/>
              <w:jc w:val="right"/>
              <w:rPr>
                <w:rFonts w:ascii="Times New Roman" w:hAnsi="Times New Roman" w:cs="Times New Roman" w:eastAsia="Times New Roman" w:hint="default"/>
                <w:sz w:val="21"/>
                <w:szCs w:val="21"/>
              </w:rPr>
            </w:pPr>
            <w:r>
              <w:rPr>
                <w:rFonts w:ascii="Times New Roman"/>
                <w:w w:val="95"/>
                <w:sz w:val="21"/>
              </w:rPr>
              <w:t>630,331.84</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1"/>
                <w:szCs w:val="21"/>
              </w:rPr>
            </w:pPr>
            <w:r>
              <w:rPr>
                <w:rFonts w:ascii="Times New Roman"/>
                <w:w w:val="95"/>
                <w:sz w:val="21"/>
              </w:rPr>
              <w:t>856,499.58</w:t>
            </w:r>
            <w:r>
              <w:rPr>
                <w:rFonts w:ascii="Times New Roman"/>
                <w:sz w:val="21"/>
              </w:rPr>
            </w: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6"/>
              <w:jc w:val="right"/>
              <w:rPr>
                <w:rFonts w:ascii="Times New Roman" w:hAnsi="Times New Roman" w:cs="Times New Roman" w:eastAsia="Times New Roman" w:hint="default"/>
                <w:sz w:val="21"/>
                <w:szCs w:val="21"/>
              </w:rPr>
            </w:pPr>
            <w:r>
              <w:rPr>
                <w:rFonts w:ascii="Times New Roman"/>
                <w:w w:val="95"/>
                <w:sz w:val="21"/>
              </w:rPr>
              <w:t>76,500,000.00</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6"/>
              <w:jc w:val="right"/>
              <w:rPr>
                <w:rFonts w:ascii="Times New Roman" w:hAnsi="Times New Roman" w:cs="Times New Roman" w:eastAsia="Times New Roman" w:hint="default"/>
                <w:sz w:val="21"/>
                <w:szCs w:val="21"/>
              </w:rPr>
            </w:pPr>
            <w:r>
              <w:rPr>
                <w:rFonts w:ascii="Times New Roman"/>
                <w:w w:val="95"/>
                <w:sz w:val="21"/>
              </w:rPr>
              <w:t>20,070,000.00</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26,790,000.00</w:t>
            </w:r>
            <w:r>
              <w:rPr>
                <w:rFonts w:ascii="Times New Roman"/>
                <w:sz w:val="21"/>
              </w:rPr>
            </w: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6"/>
              <w:jc w:val="right"/>
              <w:rPr>
                <w:rFonts w:ascii="Times New Roman" w:hAnsi="Times New Roman" w:cs="Times New Roman" w:eastAsia="Times New Roman" w:hint="default"/>
                <w:sz w:val="21"/>
                <w:szCs w:val="21"/>
              </w:rPr>
            </w:pPr>
            <w:r>
              <w:rPr>
                <w:rFonts w:ascii="Times New Roman"/>
                <w:w w:val="95"/>
                <w:sz w:val="21"/>
              </w:rPr>
              <w:t>3,460,627.63</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6"/>
              <w:jc w:val="right"/>
              <w:rPr>
                <w:rFonts w:ascii="Times New Roman" w:hAnsi="Times New Roman" w:cs="Times New Roman" w:eastAsia="Times New Roman" w:hint="default"/>
                <w:sz w:val="21"/>
                <w:szCs w:val="21"/>
              </w:rPr>
            </w:pPr>
            <w:r>
              <w:rPr>
                <w:rFonts w:ascii="Times New Roman"/>
                <w:w w:val="95"/>
                <w:sz w:val="21"/>
              </w:rPr>
              <w:t>3,460,627.63</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3,460,627.63</w:t>
            </w:r>
            <w:r>
              <w:rPr>
                <w:rFonts w:ascii="Times New Roman"/>
                <w:sz w:val="21"/>
              </w:rPr>
            </w: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减：借款</w:t>
            </w:r>
          </w:p>
        </w:tc>
        <w:tc>
          <w:tcPr>
            <w:tcW w:w="1874" w:type="dxa"/>
            <w:tcBorders>
              <w:top w:val="single" w:sz="12" w:space="0" w:color="000000"/>
              <w:left w:val="single" w:sz="6" w:space="0" w:color="000000"/>
              <w:bottom w:val="single" w:sz="12" w:space="0" w:color="000000"/>
              <w:right w:val="single" w:sz="6" w:space="0" w:color="000000"/>
            </w:tcBorders>
          </w:tcPr>
          <w:p>
            <w:pPr/>
          </w:p>
        </w:tc>
        <w:tc>
          <w:tcPr>
            <w:tcW w:w="2249"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448"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16"/>
              <w:jc w:val="right"/>
              <w:rPr>
                <w:rFonts w:ascii="Times New Roman" w:hAnsi="Times New Roman" w:cs="Times New Roman" w:eastAsia="Times New Roman" w:hint="default"/>
                <w:sz w:val="21"/>
                <w:szCs w:val="21"/>
              </w:rPr>
            </w:pPr>
            <w:r>
              <w:rPr>
                <w:rFonts w:ascii="Times New Roman"/>
                <w:w w:val="95"/>
                <w:sz w:val="21"/>
              </w:rPr>
              <w:t>63,440,361.89</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16"/>
              <w:jc w:val="right"/>
              <w:rPr>
                <w:rFonts w:ascii="Times New Roman" w:hAnsi="Times New Roman" w:cs="Times New Roman" w:eastAsia="Times New Roman" w:hint="default"/>
                <w:sz w:val="21"/>
                <w:szCs w:val="21"/>
              </w:rPr>
            </w:pPr>
            <w:r>
              <w:rPr>
                <w:rFonts w:ascii="Times New Roman"/>
                <w:w w:val="95"/>
                <w:sz w:val="21"/>
              </w:rPr>
              <w:t>63,670,928.48</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w w:val="95"/>
                <w:sz w:val="21"/>
              </w:rPr>
              <w:t>35,036,047.37</w:t>
            </w:r>
            <w:r>
              <w:rPr>
                <w:rFonts w:ascii="Times New Roman"/>
                <w:sz w:val="21"/>
              </w:rPr>
            </w: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4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6"/>
              <w:jc w:val="right"/>
              <w:rPr>
                <w:rFonts w:ascii="Times New Roman" w:hAnsi="Times New Roman" w:cs="Times New Roman" w:eastAsia="Times New Roman" w:hint="default"/>
                <w:sz w:val="21"/>
                <w:szCs w:val="21"/>
              </w:rPr>
            </w:pPr>
            <w:r>
              <w:rPr>
                <w:rFonts w:ascii="Times New Roman"/>
                <w:w w:val="95"/>
                <w:sz w:val="21"/>
              </w:rPr>
              <w:t>1,301,882.02</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6"/>
              <w:jc w:val="right"/>
              <w:rPr>
                <w:rFonts w:ascii="Times New Roman" w:hAnsi="Times New Roman" w:cs="Times New Roman" w:eastAsia="Times New Roman" w:hint="default"/>
                <w:sz w:val="21"/>
                <w:szCs w:val="21"/>
              </w:rPr>
            </w:pPr>
            <w:r>
              <w:rPr>
                <w:rFonts w:ascii="Times New Roman"/>
                <w:w w:val="95"/>
                <w:sz w:val="21"/>
              </w:rPr>
              <w:t>1,301,882.02</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1"/>
                <w:szCs w:val="21"/>
              </w:rPr>
            </w:pPr>
            <w:r>
              <w:rPr>
                <w:rFonts w:ascii="Times New Roman"/>
                <w:w w:val="95"/>
                <w:sz w:val="21"/>
              </w:rPr>
              <w:t>533,621.06</w:t>
            </w:r>
            <w:r>
              <w:rPr>
                <w:rFonts w:ascii="Times New Roman"/>
                <w:sz w:val="21"/>
              </w:rPr>
            </w: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4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74" w:type="dxa"/>
            <w:tcBorders>
              <w:top w:val="single" w:sz="12" w:space="0" w:color="000000"/>
              <w:left w:val="single" w:sz="6" w:space="0" w:color="000000"/>
              <w:bottom w:val="single" w:sz="12" w:space="0" w:color="000000"/>
              <w:right w:val="single" w:sz="6" w:space="0" w:color="000000"/>
            </w:tcBorders>
          </w:tcPr>
          <w:p>
            <w:pPr/>
          </w:p>
        </w:tc>
        <w:tc>
          <w:tcPr>
            <w:tcW w:w="2249"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48" w:right="0"/>
              <w:jc w:val="left"/>
              <w:rPr>
                <w:rFonts w:ascii="宋体" w:hAnsi="宋体" w:cs="宋体" w:eastAsia="宋体" w:hint="default"/>
                <w:sz w:val="21"/>
                <w:szCs w:val="21"/>
              </w:rPr>
            </w:pPr>
            <w:r>
              <w:rPr>
                <w:rFonts w:ascii="宋体" w:hAnsi="宋体" w:cs="宋体" w:eastAsia="宋体" w:hint="default"/>
                <w:sz w:val="21"/>
                <w:szCs w:val="21"/>
              </w:rPr>
              <w:t>其他负债</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6"/>
              <w:jc w:val="right"/>
              <w:rPr>
                <w:rFonts w:ascii="Times New Roman" w:hAnsi="Times New Roman" w:cs="Times New Roman" w:eastAsia="Times New Roman" w:hint="default"/>
                <w:sz w:val="21"/>
                <w:szCs w:val="21"/>
              </w:rPr>
            </w:pPr>
            <w:r>
              <w:rPr>
                <w:rFonts w:ascii="Times New Roman"/>
                <w:w w:val="95"/>
                <w:sz w:val="21"/>
              </w:rPr>
              <w:t>-517,751.06</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6"/>
              <w:jc w:val="right"/>
              <w:rPr>
                <w:rFonts w:ascii="Times New Roman" w:hAnsi="Times New Roman" w:cs="Times New Roman" w:eastAsia="Times New Roman" w:hint="default"/>
                <w:sz w:val="21"/>
                <w:szCs w:val="21"/>
              </w:rPr>
            </w:pPr>
            <w:r>
              <w:rPr>
                <w:rFonts w:ascii="Times New Roman"/>
                <w:w w:val="95"/>
                <w:sz w:val="21"/>
              </w:rPr>
              <w:t>-517,751.06</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-192,786.55</w:t>
            </w:r>
            <w:r>
              <w:rPr>
                <w:rFonts w:ascii="Times New Roman"/>
                <w:sz w:val="21"/>
              </w:rPr>
            </w: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6"/>
              <w:jc w:val="right"/>
              <w:rPr>
                <w:rFonts w:ascii="Times New Roman" w:hAnsi="Times New Roman" w:cs="Times New Roman" w:eastAsia="Times New Roman" w:hint="default"/>
                <w:sz w:val="21"/>
                <w:szCs w:val="21"/>
              </w:rPr>
            </w:pPr>
            <w:r>
              <w:rPr>
                <w:rFonts w:ascii="Times New Roman"/>
                <w:w w:val="95"/>
                <w:sz w:val="21"/>
              </w:rPr>
              <w:t>97,083,350.80</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16"/>
              <w:jc w:val="right"/>
              <w:rPr>
                <w:rFonts w:ascii="Times New Roman" w:hAnsi="Times New Roman" w:cs="Times New Roman" w:eastAsia="Times New Roman" w:hint="default"/>
                <w:sz w:val="21"/>
                <w:szCs w:val="21"/>
              </w:rPr>
            </w:pPr>
            <w:r>
              <w:rPr>
                <w:rFonts w:ascii="Times New Roman"/>
                <w:w w:val="95"/>
                <w:sz w:val="21"/>
              </w:rPr>
              <w:t>16,847,062.60</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26,010,242.28</w:t>
            </w:r>
            <w:r>
              <w:rPr>
                <w:rFonts w:ascii="Times New Roman"/>
                <w:sz w:val="21"/>
              </w:rPr>
            </w: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1874" w:type="dxa"/>
            <w:tcBorders>
              <w:top w:val="single" w:sz="12" w:space="0" w:color="000000"/>
              <w:left w:val="single" w:sz="6" w:space="0" w:color="000000"/>
              <w:bottom w:val="single" w:sz="12" w:space="0" w:color="000000"/>
              <w:right w:val="single" w:sz="6" w:space="0" w:color="000000"/>
            </w:tcBorders>
          </w:tcPr>
          <w:p>
            <w:pPr/>
          </w:p>
        </w:tc>
        <w:tc>
          <w:tcPr>
            <w:tcW w:w="2249"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16"/>
              <w:jc w:val="right"/>
              <w:rPr>
                <w:rFonts w:ascii="Times New Roman" w:hAnsi="Times New Roman" w:cs="Times New Roman" w:eastAsia="Times New Roman" w:hint="default"/>
                <w:sz w:val="21"/>
                <w:szCs w:val="21"/>
              </w:rPr>
            </w:pPr>
            <w:r>
              <w:rPr>
                <w:rFonts w:ascii="Times New Roman"/>
                <w:w w:val="95"/>
                <w:sz w:val="21"/>
              </w:rPr>
              <w:t>97,083,350.80</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16"/>
              <w:jc w:val="right"/>
              <w:rPr>
                <w:rFonts w:ascii="Times New Roman" w:hAnsi="Times New Roman" w:cs="Times New Roman" w:eastAsia="Times New Roman" w:hint="default"/>
                <w:sz w:val="21"/>
                <w:szCs w:val="21"/>
              </w:rPr>
            </w:pPr>
            <w:r>
              <w:rPr>
                <w:rFonts w:ascii="Times New Roman"/>
                <w:w w:val="95"/>
                <w:sz w:val="21"/>
              </w:rPr>
              <w:t>16,847,062.60</w:t>
            </w:r>
            <w:r>
              <w:rPr>
                <w:rFonts w:ascii="Times New Roman"/>
                <w:sz w:val="21"/>
              </w:rPr>
            </w:r>
          </w:p>
        </w:tc>
        <w:tc>
          <w:tcPr>
            <w:tcW w:w="2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w w:val="95"/>
                <w:sz w:val="21"/>
              </w:rPr>
              <w:t>26,010,242.28</w:t>
            </w:r>
            <w:r>
              <w:rPr>
                <w:rFonts w:ascii="Times New Roman"/>
                <w:sz w:val="21"/>
              </w:rPr>
            </w: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
        </w:tc>
        <w:tc>
          <w:tcPr>
            <w:tcW w:w="1874" w:type="dxa"/>
            <w:tcBorders>
              <w:top w:val="single" w:sz="12" w:space="0" w:color="000000"/>
              <w:left w:val="single" w:sz="6" w:space="0" w:color="000000"/>
              <w:bottom w:val="single" w:sz="12" w:space="0" w:color="000000"/>
              <w:right w:val="single" w:sz="6" w:space="0" w:color="000000"/>
            </w:tcBorders>
          </w:tcPr>
          <w:p>
            <w:pPr/>
          </w:p>
        </w:tc>
        <w:tc>
          <w:tcPr>
            <w:tcW w:w="2249"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以现金支付的对价</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48,720,000.00</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511" w:right="0"/>
              <w:jc w:val="left"/>
              <w:rPr>
                <w:rFonts w:ascii="宋体" w:hAnsi="宋体" w:cs="宋体" w:eastAsia="宋体" w:hint="default"/>
                <w:sz w:val="21"/>
                <w:szCs w:val="21"/>
              </w:rPr>
            </w:pPr>
            <w:r>
              <w:rPr>
                <w:rFonts w:ascii="宋体" w:hAnsi="宋体" w:cs="宋体" w:eastAsia="宋体" w:hint="default"/>
                <w:spacing w:val="-4"/>
                <w:sz w:val="21"/>
                <w:szCs w:val="21"/>
              </w:rPr>
              <w:t>减：取得的被收购子公司</w:t>
            </w:r>
            <w:r>
              <w:rPr>
                <w:rFonts w:ascii="宋体" w:hAnsi="宋体" w:cs="宋体" w:eastAsia="宋体" w:hint="default"/>
                <w:w w:val="99"/>
                <w:sz w:val="21"/>
                <w:szCs w:val="21"/>
              </w:rPr>
              <w:t> </w:t>
            </w:r>
            <w:r>
              <w:rPr>
                <w:rFonts w:ascii="宋体" w:hAnsi="宋体" w:cs="宋体" w:eastAsia="宋体" w:hint="default"/>
                <w:sz w:val="21"/>
                <w:szCs w:val="21"/>
              </w:rPr>
              <w:t>的现金及现金等价物</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311,896.53</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7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48,408,103.47</w:t>
            </w:r>
            <w:r>
              <w:rPr>
                <w:rFonts w:ascii="Times New Roman"/>
                <w:sz w:val="21"/>
              </w:rPr>
            </w:r>
          </w:p>
        </w:tc>
        <w:tc>
          <w:tcPr>
            <w:tcW w:w="2249" w:type="dxa"/>
            <w:tcBorders>
              <w:top w:val="single" w:sz="12" w:space="0" w:color="000000"/>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nil" w:sz="6" w:space="0" w:color="auto"/>
            </w:tcBorders>
          </w:tcPr>
          <w:p>
            <w:pPr/>
          </w:p>
        </w:tc>
      </w:tr>
    </w:tbl>
    <w:p>
      <w:pPr>
        <w:pStyle w:val="BodyText"/>
        <w:spacing w:line="357" w:lineRule="auto" w:before="41"/>
        <w:ind w:right="372" w:firstLine="482"/>
        <w:jc w:val="left"/>
      </w:pPr>
      <w:r>
        <w:rPr/>
        <w:t>本公司采用估值技术来确定北京汉王智通科技有限公司的资产负债于购买日的公允价 值。主要资产的评估方法及其关键假设列示如下：</w:t>
      </w:r>
    </w:p>
    <w:p>
      <w:pPr>
        <w:pStyle w:val="BodyText"/>
        <w:spacing w:line="357" w:lineRule="auto"/>
        <w:ind w:right="148" w:firstLine="482"/>
        <w:jc w:val="both"/>
      </w:pPr>
      <w:r>
        <w:rPr/>
        <w:t>存货的评估方法为成本法，使用的关键假设如下：假设评估基准日后外部经济环境不会 发生不可预见的重大变化；假设不会出现不可预见的因素导致其无法持续经营，被评估资产 现有用途不变并原地持续使用。</w:t>
      </w:r>
    </w:p>
    <w:p>
      <w:pPr>
        <w:spacing w:after="0" w:line="357" w:lineRule="auto"/>
        <w:jc w:val="both"/>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148" w:firstLine="482"/>
        <w:jc w:val="both"/>
      </w:pPr>
      <w:bookmarkStart w:name="七、合并财务报表主要项目注释" w:id="172"/>
      <w:bookmarkEnd w:id="172"/>
      <w:r>
        <w:rPr/>
      </w:r>
      <w:bookmarkStart w:name="1、货币资金" w:id="173"/>
      <w:bookmarkEnd w:id="173"/>
      <w:r>
        <w:rPr/>
      </w:r>
      <w:bookmarkStart w:name="2、应收票据" w:id="174"/>
      <w:bookmarkEnd w:id="174"/>
      <w:r>
        <w:rPr/>
      </w:r>
      <w:bookmarkStart w:name="（1）应收票据的分类" w:id="175"/>
      <w:bookmarkEnd w:id="175"/>
      <w:r>
        <w:rPr/>
      </w:r>
      <w:bookmarkStart w:name="3、应收账款" w:id="176"/>
      <w:bookmarkEnd w:id="176"/>
      <w:r>
        <w:rPr/>
      </w:r>
      <w:bookmarkStart w:name="（1）应收账款按种类披露" w:id="177"/>
      <w:bookmarkEnd w:id="177"/>
      <w:r>
        <w:rPr/>
      </w:r>
      <w:r>
        <w:rPr/>
        <w:t>无形资产的评估方法为收益法，使用的关键假设如下：假设评估基准日后外部经济环境 不会发生不可预见的重大变化；假设不会出现不可预见的因素导致其无法持续经营，被评估 资产现有用途不变并原地持续使用。</w:t>
      </w:r>
    </w:p>
    <w:p>
      <w:pPr>
        <w:spacing w:line="240" w:lineRule="auto" w:before="0"/>
        <w:rPr>
          <w:rFonts w:ascii="宋体" w:hAnsi="宋体" w:cs="宋体" w:eastAsia="宋体" w:hint="default"/>
          <w:sz w:val="24"/>
          <w:szCs w:val="24"/>
        </w:rPr>
      </w:pPr>
    </w:p>
    <w:p>
      <w:pPr>
        <w:pStyle w:val="Heading2"/>
        <w:spacing w:line="240" w:lineRule="auto" w:before="181"/>
        <w:ind w:right="0"/>
        <w:jc w:val="left"/>
        <w:rPr>
          <w:b w:val="0"/>
          <w:bCs w:val="0"/>
        </w:rPr>
      </w:pPr>
      <w:r>
        <w:rPr/>
        <w:t>七、合并财务报表主要项目注释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99"/>
        <w:gridCol w:w="1327"/>
        <w:gridCol w:w="929"/>
        <w:gridCol w:w="1462"/>
        <w:gridCol w:w="1330"/>
        <w:gridCol w:w="929"/>
        <w:gridCol w:w="1594"/>
      </w:tblGrid>
      <w:tr>
        <w:trPr>
          <w:trHeight w:val="403"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57,612.75</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126,007.26</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57,612.75</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126,007.26</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666,657,073.90</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735,991,957.59</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666,657,073.90</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735,991,957.59</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666,714,686.65</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736,117,964.85</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line="240" w:lineRule="auto" w:before="12"/>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、应收票据</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）应收票据的分类</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7"/>
          <w:szCs w:val="17"/>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989"/>
        <w:gridCol w:w="2657"/>
        <w:gridCol w:w="2921"/>
      </w:tblGrid>
      <w:tr>
        <w:trPr>
          <w:trHeight w:val="403" w:hRule="exact"/>
        </w:trPr>
        <w:tc>
          <w:tcPr>
            <w:tcW w:w="3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1,016,400.00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990,000.00</w:t>
            </w: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593,000.00</w:t>
            </w:r>
          </w:p>
        </w:tc>
      </w:tr>
      <w:tr>
        <w:trPr>
          <w:trHeight w:val="401" w:hRule="exact"/>
        </w:trPr>
        <w:tc>
          <w:tcPr>
            <w:tcW w:w="3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1,016,400.00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1,583,000.00</w:t>
            </w:r>
          </w:p>
        </w:tc>
      </w:tr>
    </w:tbl>
    <w:p>
      <w:pPr>
        <w:spacing w:line="240" w:lineRule="auto" w:before="5"/>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）应收账款按种类披露</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02"/>
        <w:gridCol w:w="929"/>
        <w:gridCol w:w="929"/>
        <w:gridCol w:w="929"/>
        <w:gridCol w:w="929"/>
        <w:gridCol w:w="797"/>
        <w:gridCol w:w="929"/>
        <w:gridCol w:w="1063"/>
        <w:gridCol w:w="1066"/>
      </w:tblGrid>
      <w:tr>
        <w:trPr>
          <w:trHeight w:val="403" w:hRule="exact"/>
        </w:trPr>
        <w:tc>
          <w:tcPr>
            <w:tcW w:w="20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2"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02"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bl>
    <w:p>
      <w:pPr>
        <w:spacing w:after="0" w:line="240" w:lineRule="auto"/>
        <w:jc w:val="left"/>
        <w:rPr>
          <w:rFonts w:ascii="宋体" w:hAnsi="宋体" w:cs="宋体" w:eastAsia="宋体" w:hint="default"/>
          <w:sz w:val="18"/>
          <w:szCs w:val="18"/>
        </w:rPr>
        <w:sectPr>
          <w:footerReference w:type="default" r:id="rId26"/>
          <w:pgSz w:w="11910" w:h="16840"/>
          <w:pgMar w:footer="979" w:header="745" w:top="1060" w:bottom="1160" w:left="1020" w:right="1020"/>
          <w:pgNumType w:start="10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999"/>
        <w:gridCol w:w="929"/>
        <w:gridCol w:w="931"/>
        <w:gridCol w:w="929"/>
        <w:gridCol w:w="929"/>
        <w:gridCol w:w="797"/>
        <w:gridCol w:w="929"/>
        <w:gridCol w:w="1063"/>
        <w:gridCol w:w="1066"/>
      </w:tblGrid>
      <w:tr>
        <w:trPr>
          <w:trHeight w:val="71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bookmarkStart w:name="（2）应收账款中金额前五名单位情况" w:id="178"/>
            <w:bookmarkEnd w:id="178"/>
            <w:r>
              <w:rPr/>
            </w:r>
            <w:r>
              <w:rPr>
                <w:rFonts w:ascii="宋体" w:hAnsi="宋体" w:cs="宋体" w:eastAsia="宋体" w:hint="default"/>
                <w:sz w:val="18"/>
                <w:szCs w:val="18"/>
              </w:rPr>
              <w:t>账龄组合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165,378,77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11,572,958.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79,390,53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4,997,319.43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6.29%</w:t>
            </w: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165,378,77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11,572,958.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79,390,53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4,997,319.43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6.29%</w:t>
            </w:r>
          </w:p>
        </w:tc>
      </w:tr>
      <w:tr>
        <w:trPr>
          <w:trHeight w:val="71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165,378,77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8.21</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11,572,958.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79,390,53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9.79</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4,997,319.43</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360" w:lineRule="auto"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5"/>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1"/>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073" w:space="4756"/>
            <w:col w:w="1041"/>
          </w:cols>
        </w:sectPr>
      </w:pP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466"/>
        <w:gridCol w:w="1594"/>
        <w:gridCol w:w="929"/>
        <w:gridCol w:w="1728"/>
        <w:gridCol w:w="1462"/>
        <w:gridCol w:w="929"/>
        <w:gridCol w:w="1459"/>
      </w:tblGrid>
      <w:tr>
        <w:trPr>
          <w:trHeight w:val="403"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134,337,249.78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6,716,738.75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66,762,291.03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3,338,114.55</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24,086,195.94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2,408,619.59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11,251,848.76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1,125,184.88</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5,879,832.49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1,763,949.75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933,400.00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280,020.00</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632,500.00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316,250.00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189,000.00</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165,378,778.21</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11,572,958.09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79,390,539.79</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4,997,319.43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1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40" w:lineRule="auto" w:before="43"/>
        <w:ind w:left="112" w:right="5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）应收账款中金额前五名单位情况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洛阳市城市监察管理局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8,850,200.85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bookmarkStart w:name="4、其他应收款" w:id="179"/>
            <w:bookmarkEnd w:id="179"/>
            <w:r>
              <w:rPr/>
            </w:r>
            <w:bookmarkStart w:name="（1）其他应收款按种类披露" w:id="180"/>
            <w:bookmarkEnd w:id="180"/>
            <w:r>
              <w:rPr/>
            </w:r>
            <w:r>
              <w:rPr>
                <w:rFonts w:ascii="宋体" w:hAnsi="宋体" w:cs="宋体" w:eastAsia="宋体" w:hint="default"/>
                <w:sz w:val="18"/>
                <w:szCs w:val="18"/>
              </w:rPr>
              <w:t>大武口区住房保障和城 市管理局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8,289,878.42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5.01%</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中国移动通信集团湖北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8,112,909.61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4.91%</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南京盾华交通科技有限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3.16%</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中国移动通信集团河南 有限公司濮阳分公司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4,579,164.10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35,062,152.98</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w:t>
            </w:r>
          </w:p>
        </w:tc>
      </w:tr>
    </w:tbl>
    <w:p>
      <w:pPr>
        <w:spacing w:line="240" w:lineRule="auto" w:before="5"/>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）其他应收款按种类披露</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03"/>
        <w:gridCol w:w="1057"/>
        <w:gridCol w:w="792"/>
        <w:gridCol w:w="1057"/>
        <w:gridCol w:w="794"/>
        <w:gridCol w:w="1058"/>
        <w:gridCol w:w="926"/>
        <w:gridCol w:w="1190"/>
        <w:gridCol w:w="790"/>
      </w:tblGrid>
      <w:tr>
        <w:trPr>
          <w:trHeight w:val="401" w:hRule="exact"/>
        </w:trPr>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0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03" w:type="dxa"/>
            <w:vMerge/>
            <w:tcBorders>
              <w:left w:val="single" w:sz="4" w:space="0" w:color="000000"/>
              <w:right w:val="single" w:sz="4" w:space="0" w:color="000000"/>
            </w:tcBorders>
            <w:shd w:val="clear" w:color="auto" w:fill="D3D3D3"/>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3" w:type="dxa"/>
            <w:vMerge/>
            <w:tcBorders>
              <w:left w:val="single" w:sz="4" w:space="0" w:color="000000"/>
              <w:bottom w:val="single" w:sz="4" w:space="0" w:color="000000"/>
              <w:right w:val="single" w:sz="4" w:space="0" w:color="000000"/>
            </w:tcBorders>
            <w:shd w:val="clear" w:color="auto" w:fill="D3D3D3"/>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7,519,817.54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备用金、押金及保证金 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29,220,072.6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79.53%</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9,283,748.94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36,739,890.1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9,283,748.94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36,739,890.1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9,283,748.94</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357" w:lineRule="auto"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9"/>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39"/>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253" w:space="4576"/>
            <w:col w:w="1041"/>
          </w:cols>
        </w:sectPr>
      </w:pP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848"/>
        <w:gridCol w:w="1841"/>
        <w:gridCol w:w="658"/>
        <w:gridCol w:w="1447"/>
        <w:gridCol w:w="1450"/>
        <w:gridCol w:w="658"/>
        <w:gridCol w:w="1668"/>
      </w:tblGrid>
      <w:tr>
        <w:trPr>
          <w:trHeight w:val="401" w:hRule="exact"/>
        </w:trPr>
        <w:tc>
          <w:tcPr>
            <w:tcW w:w="18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8" w:type="dxa"/>
            <w:vMerge/>
            <w:tcBorders>
              <w:left w:val="single" w:sz="4" w:space="0" w:color="000000"/>
              <w:right w:val="single" w:sz="4" w:space="0" w:color="000000"/>
            </w:tcBorders>
            <w:shd w:val="clear" w:color="auto" w:fill="D3D3D3"/>
          </w:tcPr>
          <w:p>
            <w:pPr/>
          </w:p>
        </w:tc>
        <w:tc>
          <w:tcPr>
            <w:tcW w:w="24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848"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type w:val="continuous"/>
          <w:pgSz w:w="11910" w:h="16840"/>
          <w:pgMar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848"/>
        <w:gridCol w:w="1841"/>
        <w:gridCol w:w="658"/>
        <w:gridCol w:w="1447"/>
        <w:gridCol w:w="1450"/>
        <w:gridCol w:w="658"/>
        <w:gridCol w:w="1668"/>
      </w:tblGrid>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2）其他应收款金额前五名单位情况" w:id="181"/>
            <w:bookmarkEnd w:id="181"/>
            <w:r>
              <w:rPr/>
            </w:r>
            <w:bookmarkStart w:name="5、预付款项" w:id="182"/>
            <w:bookmarkEnd w:id="182"/>
            <w:r>
              <w:rPr/>
            </w:r>
            <w:bookmarkStart w:name="（1）预付款项按账龄列示" w:id="183"/>
            <w:bookmarkEnd w:id="183"/>
            <w:r>
              <w:rPr/>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7,136,522.98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94.9%</w:t>
            </w:r>
          </w:p>
        </w:tc>
        <w:tc>
          <w:tcPr>
            <w:tcW w:w="144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383,294.56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w:t>
            </w:r>
          </w:p>
        </w:tc>
        <w:tc>
          <w:tcPr>
            <w:tcW w:w="144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7,519,817.54</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12"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433" w:space="4396"/>
            <w:col w:w="1041"/>
          </w:cols>
        </w:sectPr>
      </w:pP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960"/>
        <w:gridCol w:w="2856"/>
        <w:gridCol w:w="2753"/>
      </w:tblGrid>
      <w:tr>
        <w:trPr>
          <w:trHeight w:val="403"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备用金、押金及保证金组合</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29,220,072.61</w:t>
            </w:r>
          </w:p>
        </w:tc>
        <w:tc>
          <w:tcPr>
            <w:tcW w:w="27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29,220,072.61</w:t>
            </w:r>
          </w:p>
        </w:tc>
        <w:tc>
          <w:tcPr>
            <w:tcW w:w="2753"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期末单项金额虽不重大但单项计提坏账准备的其他应收款</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）其他应收款金额前五名单位情况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9"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鄂尔多斯市东胜区信息 化委员会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14,929,750.00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40.64%</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定期存款利息收入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10.9%</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温州市城市管理与行政 执法局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1,290,230.26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1,112,873.50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宁波智慧城管中心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22,318,853.76</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60.75%</w:t>
            </w:r>
          </w:p>
        </w:tc>
      </w:tr>
    </w:tbl>
    <w:p>
      <w:pPr>
        <w:spacing w:line="240" w:lineRule="auto" w:before="5"/>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、预付款项</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）预付款项按账龄列示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202"/>
        <w:gridCol w:w="3187"/>
        <w:gridCol w:w="1063"/>
        <w:gridCol w:w="3053"/>
        <w:gridCol w:w="1063"/>
      </w:tblGrid>
      <w:tr>
        <w:trPr>
          <w:trHeight w:val="401"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1,344,500.00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100%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1,940,400.00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1,344,500.00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1,940,400.00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after="0"/>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2" w:right="0" w:firstLine="0"/>
        <w:jc w:val="left"/>
        <w:rPr>
          <w:rFonts w:ascii="Microsoft JhengHei" w:hAnsi="Microsoft JhengHei" w:cs="Microsoft JhengHei" w:eastAsia="Microsoft JhengHei" w:hint="default"/>
          <w:sz w:val="21"/>
          <w:szCs w:val="21"/>
        </w:rPr>
      </w:pPr>
      <w:bookmarkStart w:name="（2）预付款项金额前五名单位情况" w:id="184"/>
      <w:bookmarkEnd w:id="184"/>
      <w:r>
        <w:rPr/>
      </w:r>
      <w:bookmarkStart w:name="6、存货" w:id="185"/>
      <w:bookmarkEnd w:id="185"/>
      <w:r>
        <w:rPr/>
      </w:r>
      <w:bookmarkStart w:name="（1）存货分类" w:id="186"/>
      <w:bookmarkEnd w:id="186"/>
      <w:r>
        <w:rPr/>
      </w:r>
      <w:bookmarkStart w:name="7、固定资产" w:id="187"/>
      <w:bookmarkEnd w:id="187"/>
      <w:r>
        <w:rPr/>
      </w:r>
      <w:bookmarkStart w:name="（1）固定资产情况" w:id="188"/>
      <w:bookmarkEnd w:id="188"/>
      <w:r>
        <w:rPr/>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）预付款项金额前五名单位情况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杭州天尊信息技术有限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尚未收货</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石家庄博思建筑装饰工 程有限公司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项目尚未完工</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保定市盛捷测绘有限公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项目尚未完工</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1,344,500.00</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12"/>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）存货分类</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598"/>
        <w:gridCol w:w="1462"/>
        <w:gridCol w:w="1193"/>
        <w:gridCol w:w="1330"/>
        <w:gridCol w:w="1327"/>
        <w:gridCol w:w="1330"/>
        <w:gridCol w:w="1327"/>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14,815,369.23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14,815,369.23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1,864,275.39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1,864,275.39</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36,564,268.22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36,564,268.22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51,379,637.45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51,379,637.45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1,864,275.39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1,864,275.39</w:t>
            </w:r>
          </w:p>
        </w:tc>
      </w:tr>
    </w:tbl>
    <w:p>
      <w:pPr>
        <w:spacing w:line="240" w:lineRule="auto" w:before="5"/>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）固定资产情况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129"/>
        <w:gridCol w:w="1462"/>
        <w:gridCol w:w="1327"/>
        <w:gridCol w:w="1596"/>
        <w:gridCol w:w="1594"/>
        <w:gridCol w:w="1459"/>
      </w:tblGrid>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49,818,222.15</w:t>
            </w:r>
          </w:p>
        </w:tc>
        <w:tc>
          <w:tcPr>
            <w:tcW w:w="2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4,840,942.03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152,456.53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54,506,707.65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38,586,043.61</w:t>
            </w:r>
          </w:p>
        </w:tc>
        <w:tc>
          <w:tcPr>
            <w:tcW w:w="2923"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38,586,043.61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3,701,316.86</w:t>
            </w:r>
          </w:p>
        </w:tc>
        <w:tc>
          <w:tcPr>
            <w:tcW w:w="2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1,420,927.99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5,122,244.85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3,868,863.62</w:t>
            </w:r>
          </w:p>
        </w:tc>
        <w:tc>
          <w:tcPr>
            <w:tcW w:w="2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2,902,356.64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152,456.53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6,618,763.73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3,661,998.06</w:t>
            </w:r>
          </w:p>
        </w:tc>
        <w:tc>
          <w:tcPr>
            <w:tcW w:w="2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517,657.40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4,179,655.46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4,938,455.48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737,182.74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4,309,752.33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44,604.66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9,940,785.89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1,673,989.26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2,184,238.20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3,858,227.46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129"/>
        <w:gridCol w:w="1462"/>
        <w:gridCol w:w="1327"/>
        <w:gridCol w:w="1594"/>
        <w:gridCol w:w="1596"/>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bookmarkStart w:name="8、在建工程" w:id="189"/>
            <w:bookmarkEnd w:id="189"/>
            <w:r>
              <w:rPr/>
            </w:r>
            <w:bookmarkStart w:name="（1）在建工程情况" w:id="190"/>
            <w:bookmarkEnd w:id="190"/>
            <w:r>
              <w:rPr/>
            </w:r>
            <w:bookmarkStart w:name="（2）重大在建工程项目变动情况" w:id="191"/>
            <w:bookmarkEnd w:id="191"/>
            <w:r>
              <w:rPr/>
            </w: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1,028,583.97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94,422.79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683,344.66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1,806,351.42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1,558,824.43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520,261.73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1,271,058.21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44,604.66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3,305,539.71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677,057.82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122,498.22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171,111.26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970,667.30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44,879,766.67</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44,565,921.76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36,912,054.35</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34,727,816.15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2,672,732.89</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3,315,893.43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2,310,039.19</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3,313,224.02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2,984,940.24</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3,208,988.16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44,879,766.67</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44,565,921.76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36,912,054.35</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34,727,816.15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2,672,732.89</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3,315,893.43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2,310,039.19</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3,313,224.02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2,984,940.24</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3,208,988.16</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4,309,752.33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0"/>
          <w:szCs w:val="20"/>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）在建工程情况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266"/>
        <w:gridCol w:w="1195"/>
        <w:gridCol w:w="1195"/>
        <w:gridCol w:w="1195"/>
        <w:gridCol w:w="1195"/>
        <w:gridCol w:w="1195"/>
        <w:gridCol w:w="1327"/>
      </w:tblGrid>
      <w:tr>
        <w:trPr>
          <w:trHeight w:val="403"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武汉研发中心房屋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27,461,948.00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27,461,948.00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17,030,433.20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17,030,433.20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采集车用扫描系统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933,644.47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933,644.47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341,880.36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341,880.36</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28,395,592.47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28,395,592.47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17,372,313.56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17,372,313.56</w:t>
            </w:r>
          </w:p>
        </w:tc>
      </w:tr>
    </w:tbl>
    <w:p>
      <w:pPr>
        <w:spacing w:line="240" w:lineRule="auto" w:before="2"/>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）重大在建工程项目变动情况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734"/>
        <w:gridCol w:w="737"/>
        <w:gridCol w:w="734"/>
        <w:gridCol w:w="734"/>
        <w:gridCol w:w="734"/>
        <w:gridCol w:w="737"/>
        <w:gridCol w:w="737"/>
        <w:gridCol w:w="734"/>
        <w:gridCol w:w="737"/>
        <w:gridCol w:w="737"/>
        <w:gridCol w:w="734"/>
        <w:gridCol w:w="737"/>
        <w:gridCol w:w="737"/>
      </w:tblGrid>
      <w:tr>
        <w:trPr>
          <w:trHeight w:val="1337" w:hRule="exact"/>
        </w:trPr>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58"/>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6" w:right="89"/>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3"/>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 w:right="43"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6" w:right="89"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武汉研</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1" w:right="0"/>
              <w:jc w:val="center"/>
              <w:rPr>
                <w:rFonts w:ascii="Times New Roman" w:hAnsi="Times New Roman" w:cs="Times New Roman" w:eastAsia="Times New Roman" w:hint="default"/>
                <w:sz w:val="18"/>
                <w:szCs w:val="18"/>
              </w:rPr>
            </w:pPr>
            <w:r>
              <w:rPr>
                <w:rFonts w:ascii="Times New Roman"/>
                <w:sz w:val="18"/>
              </w:rPr>
              <w:t>44,646,9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9" w:right="0"/>
              <w:jc w:val="center"/>
              <w:rPr>
                <w:rFonts w:ascii="Times New Roman" w:hAnsi="Times New Roman" w:cs="Times New Roman" w:eastAsia="Times New Roman" w:hint="default"/>
                <w:sz w:val="18"/>
                <w:szCs w:val="18"/>
              </w:rPr>
            </w:pPr>
            <w:r>
              <w:rPr>
                <w:rFonts w:ascii="Times New Roman"/>
                <w:sz w:val="18"/>
              </w:rPr>
              <w:t>17,030,4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2" w:right="0"/>
              <w:jc w:val="left"/>
              <w:rPr>
                <w:rFonts w:ascii="Times New Roman" w:hAnsi="Times New Roman" w:cs="Times New Roman" w:eastAsia="Times New Roman" w:hint="default"/>
                <w:sz w:val="18"/>
                <w:szCs w:val="18"/>
              </w:rPr>
            </w:pPr>
            <w:r>
              <w:rPr>
                <w:rFonts w:ascii="Times New Roman"/>
                <w:sz w:val="18"/>
              </w:rPr>
              <w:t>10,431,5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left"/>
              <w:rPr>
                <w:rFonts w:ascii="Times New Roman" w:hAnsi="Times New Roman" w:cs="Times New Roman" w:eastAsia="Times New Roman" w:hint="default"/>
                <w:sz w:val="18"/>
                <w:szCs w:val="18"/>
              </w:rPr>
            </w:pPr>
            <w:r>
              <w:rPr>
                <w:rFonts w:ascii="Times New Roman"/>
                <w:sz w:val="18"/>
              </w:rPr>
              <w:t>61.51%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准备收</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超募资</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1" w:right="0"/>
              <w:jc w:val="center"/>
              <w:rPr>
                <w:rFonts w:ascii="Times New Roman" w:hAnsi="Times New Roman" w:cs="Times New Roman" w:eastAsia="Times New Roman" w:hint="default"/>
                <w:sz w:val="18"/>
                <w:szCs w:val="18"/>
              </w:rPr>
            </w:pPr>
            <w:r>
              <w:rPr>
                <w:rFonts w:ascii="Times New Roman"/>
                <w:sz w:val="18"/>
              </w:rPr>
              <w:t>27,461,9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734"/>
        <w:gridCol w:w="737"/>
        <w:gridCol w:w="734"/>
        <w:gridCol w:w="734"/>
        <w:gridCol w:w="734"/>
        <w:gridCol w:w="737"/>
        <w:gridCol w:w="737"/>
        <w:gridCol w:w="734"/>
        <w:gridCol w:w="737"/>
        <w:gridCol w:w="737"/>
        <w:gridCol w:w="734"/>
        <w:gridCol w:w="737"/>
        <w:gridCol w:w="737"/>
      </w:tblGrid>
      <w:tr>
        <w:trPr>
          <w:trHeight w:val="67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4" w:right="158"/>
              <w:jc w:val="left"/>
              <w:rPr>
                <w:rFonts w:ascii="宋体" w:hAnsi="宋体" w:cs="宋体" w:eastAsia="宋体" w:hint="default"/>
                <w:sz w:val="18"/>
                <w:szCs w:val="18"/>
              </w:rPr>
            </w:pPr>
            <w:bookmarkStart w:name="9、无形资产" w:id="192"/>
            <w:bookmarkEnd w:id="192"/>
            <w:r>
              <w:rPr/>
            </w:r>
            <w:bookmarkStart w:name="（1）无形资产情况" w:id="193"/>
            <w:bookmarkEnd w:id="193"/>
            <w:r>
              <w:rPr/>
            </w:r>
            <w:bookmarkStart w:name="（2）公司开发项目支出" w:id="194"/>
            <w:bookmarkEnd w:id="194"/>
            <w:r>
              <w:rPr/>
            </w:r>
            <w:r>
              <w:rPr>
                <w:rFonts w:ascii="宋体" w:hAnsi="宋体" w:cs="宋体" w:eastAsia="宋体" w:hint="default"/>
                <w:sz w:val="18"/>
                <w:szCs w:val="18"/>
              </w:rPr>
              <w:t>发中心 房屋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00"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97" w:right="0"/>
              <w:jc w:val="left"/>
              <w:rPr>
                <w:rFonts w:ascii="Times New Roman" w:hAnsi="Times New Roman" w:cs="Times New Roman" w:eastAsia="Times New Roman" w:hint="default"/>
                <w:sz w:val="18"/>
                <w:szCs w:val="18"/>
              </w:rPr>
            </w:pPr>
            <w:r>
              <w:rPr>
                <w:rFonts w:ascii="Times New Roman"/>
                <w:sz w:val="18"/>
              </w:rPr>
              <w:t>33.20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97" w:right="0"/>
              <w:jc w:val="left"/>
              <w:rPr>
                <w:rFonts w:ascii="Times New Roman" w:hAnsi="Times New Roman" w:cs="Times New Roman" w:eastAsia="Times New Roman" w:hint="default"/>
                <w:sz w:val="18"/>
                <w:szCs w:val="18"/>
              </w:rPr>
            </w:pPr>
            <w:r>
              <w:rPr>
                <w:rFonts w:ascii="Times New Roman"/>
                <w:sz w:val="18"/>
              </w:rPr>
              <w:t>14.80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00" w:right="0"/>
              <w:jc w:val="left"/>
              <w:rPr>
                <w:rFonts w:ascii="Times New Roman" w:hAnsi="Times New Roman" w:cs="Times New Roman" w:eastAsia="Times New Roman" w:hint="default"/>
                <w:sz w:val="18"/>
                <w:szCs w:val="18"/>
              </w:rPr>
            </w:pPr>
            <w:r>
              <w:rPr>
                <w:rFonts w:ascii="Times New Roman"/>
                <w:sz w:val="18"/>
              </w:rPr>
              <w:t>48.00</w:t>
            </w:r>
          </w:p>
        </w:tc>
      </w:tr>
      <w:tr>
        <w:trPr>
          <w:trHeight w:val="1025"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采集车 用扫描 系统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1,589,50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341,880.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591,764.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w w:val="95"/>
                <w:sz w:val="18"/>
              </w:rPr>
              <w:t>11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58.74%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正在配 置中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超募资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933,644.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47</w:t>
            </w: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46,236,4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17,372,3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11,023,2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78.91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28,395,5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92.47</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spacing w:line="240" w:lineRule="auto" w:before="12"/>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）无形资产情况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117,534,837.73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121,534,837.73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117,534,837.73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121,534,837.73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929,700.00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19,102,150.00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20,031,850.00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929,700.00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19,102,150.00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20,031,850.00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3,070,300.00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98,432,687.73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101,502,987.73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3,070,300.00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98,432,687.73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101,502,987.73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3,070,300.00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98,432,687.73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101,502,987.73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3,070,300.00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98,432,687.73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101,502,987.73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4,812,150.00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0"/>
          <w:szCs w:val="20"/>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）公司开发项目支出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598"/>
        <w:gridCol w:w="1596"/>
        <w:gridCol w:w="1594"/>
        <w:gridCol w:w="1594"/>
        <w:gridCol w:w="1591"/>
        <w:gridCol w:w="1594"/>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54"/>
              <w:jc w:val="left"/>
              <w:rPr>
                <w:rFonts w:ascii="宋体" w:hAnsi="宋体" w:cs="宋体" w:eastAsia="宋体" w:hint="default"/>
                <w:sz w:val="18"/>
                <w:szCs w:val="18"/>
              </w:rPr>
            </w:pPr>
            <w:r>
              <w:rPr>
                <w:rFonts w:ascii="宋体" w:hAnsi="宋体" w:cs="宋体" w:eastAsia="宋体" w:hint="default"/>
                <w:sz w:val="18"/>
                <w:szCs w:val="18"/>
              </w:rPr>
              <w:t>金土工程</w:t>
            </w:r>
            <w:r>
              <w:rPr>
                <w:rFonts w:ascii="Times New Roman" w:hAnsi="Times New Roman" w:cs="Times New Roman" w:eastAsia="Times New Roman" w:hint="default"/>
                <w:sz w:val="18"/>
                <w:szCs w:val="18"/>
              </w:rPr>
              <w:t>"</w:t>
            </w:r>
            <w:r>
              <w:rPr>
                <w:rFonts w:ascii="宋体" w:hAnsi="宋体" w:cs="宋体" w:eastAsia="宋体" w:hint="default"/>
                <w:sz w:val="18"/>
                <w:szCs w:val="18"/>
              </w:rPr>
              <w:t>一张图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监管系统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8,586,261.96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8,586,261.96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新一代</w:t>
            </w:r>
            <w:r>
              <w:rPr>
                <w:rFonts w:ascii="Times New Roman" w:hAnsi="Times New Roman" w:cs="Times New Roman" w:eastAsia="Times New Roman" w:hint="default"/>
                <w:sz w:val="18"/>
                <w:szCs w:val="18"/>
              </w:rPr>
              <w:t>"</w:t>
            </w:r>
            <w:r>
              <w:rPr>
                <w:rFonts w:ascii="宋体" w:hAnsi="宋体" w:cs="宋体" w:eastAsia="宋体" w:hint="default"/>
                <w:sz w:val="18"/>
                <w:szCs w:val="18"/>
              </w:rPr>
              <w:t>数字城管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10,610,058.58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10,610,058.58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数字社区研发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5,376,067.51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5,376,067.51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专业网格化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2,172,449.68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2,172,449.68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国土关联系统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2,662,216.96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2,662,216.96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598"/>
        <w:gridCol w:w="1596"/>
        <w:gridCol w:w="1594"/>
        <w:gridCol w:w="1591"/>
        <w:gridCol w:w="1594"/>
        <w:gridCol w:w="1594"/>
      </w:tblGrid>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10、商誉" w:id="195"/>
            <w:bookmarkEnd w:id="195"/>
            <w:r>
              <w:rPr/>
            </w:r>
            <w:bookmarkStart w:name="11、递延所得税资产和递延所得税负债" w:id="196"/>
            <w:bookmarkEnd w:id="196"/>
            <w:r>
              <w:rPr/>
            </w:r>
            <w:bookmarkStart w:name="（1）递延所得税资产和递延所得税负债不以抵销后的净额列示" w:id="197"/>
            <w:bookmarkEnd w:id="197"/>
            <w:r>
              <w:rPr/>
            </w:r>
            <w:r>
              <w:rPr>
                <w:rFonts w:ascii="宋体" w:hAnsi="宋体" w:cs="宋体" w:eastAsia="宋体" w:hint="default"/>
                <w:sz w:val="18"/>
                <w:szCs w:val="18"/>
              </w:rPr>
              <w:t>国土综合监管系统</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3,132,426.70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3,132,426.70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数字城管系统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3,167,351.40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3,167,351.40</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网格化社会服务管 理系统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2,195,711.44</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2,195,711.44</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8" w:right="0"/>
              <w:jc w:val="left"/>
              <w:rPr>
                <w:rFonts w:ascii="Times New Roman" w:hAnsi="Times New Roman" w:cs="Times New Roman" w:eastAsia="Times New Roman" w:hint="default"/>
                <w:sz w:val="18"/>
                <w:szCs w:val="18"/>
              </w:rPr>
            </w:pPr>
            <w:r>
              <w:rPr>
                <w:rFonts w:ascii="Times New Roman"/>
                <w:sz w:val="18"/>
              </w:rPr>
              <w:t>26,744,837.73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11,157,706.50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8" w:right="0"/>
              <w:jc w:val="left"/>
              <w:rPr>
                <w:rFonts w:ascii="Times New Roman" w:hAnsi="Times New Roman" w:cs="Times New Roman" w:eastAsia="Times New Roman" w:hint="default"/>
                <w:sz w:val="18"/>
                <w:szCs w:val="18"/>
              </w:rPr>
            </w:pPr>
            <w:r>
              <w:rPr>
                <w:rFonts w:ascii="Times New Roman"/>
                <w:sz w:val="18"/>
              </w:rPr>
              <w:t>26,744,837.73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11,157,706.50</w:t>
            </w:r>
          </w:p>
        </w:tc>
      </w:tr>
    </w:tbl>
    <w:p>
      <w:pPr>
        <w:spacing w:line="340" w:lineRule="auto" w:before="49"/>
        <w:ind w:left="112" w:right="99"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29.89%</w:t>
      </w:r>
      <w:r>
        <w:rPr>
          <w:rFonts w:ascii="宋体" w:hAnsi="宋体" w:cs="宋体" w:eastAsia="宋体" w:hint="default"/>
          <w:sz w:val="18"/>
          <w:szCs w:val="18"/>
        </w:rPr>
        <w:t>。 通过公司内部研发形成的无形资产占无形资产期末账面价值的比例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24.63%</w:t>
      </w:r>
      <w:r>
        <w:rPr>
          <w:rFonts w:ascii="宋体" w:hAnsi="宋体" w:cs="宋体" w:eastAsia="宋体" w:hint="default"/>
          <w:sz w:val="18"/>
          <w:szCs w:val="18"/>
        </w:rPr>
        <w:t>。 </w:t>
      </w: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3"/>
          <w:sz w:val="18"/>
          <w:szCs w:val="18"/>
        </w:rPr>
        <w:t> </w:t>
      </w:r>
      <w:r>
        <w:rPr>
          <w:rFonts w:ascii="宋体" w:hAnsi="宋体" w:cs="宋体" w:eastAsia="宋体" w:hint="default"/>
          <w:spacing w:val="-2"/>
          <w:sz w:val="18"/>
          <w:szCs w:val="18"/>
        </w:rPr>
        <w:t>万元以上且以评估值为入账依据的，应披露评估机构名称、评估方法</w:t>
      </w:r>
    </w:p>
    <w:p>
      <w:pPr>
        <w:spacing w:line="240" w:lineRule="auto" w:before="4"/>
        <w:rPr>
          <w:rFonts w:ascii="宋体" w:hAnsi="宋体" w:cs="宋体" w:eastAsia="宋体" w:hint="default"/>
          <w:sz w:val="14"/>
          <w:szCs w:val="14"/>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、商誉</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527"/>
        <w:gridCol w:w="1462"/>
        <w:gridCol w:w="1459"/>
        <w:gridCol w:w="1459"/>
        <w:gridCol w:w="1462"/>
        <w:gridCol w:w="1198"/>
      </w:tblGrid>
      <w:tr>
        <w:trPr>
          <w:trHeight w:val="71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80" w:right="84" w:hanging="989"/>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北京汉王智通科技有限公司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3" w:right="0"/>
              <w:jc w:val="left"/>
              <w:rPr>
                <w:rFonts w:ascii="Times New Roman" w:hAnsi="Times New Roman" w:cs="Times New Roman" w:eastAsia="Times New Roman" w:hint="default"/>
                <w:sz w:val="18"/>
                <w:szCs w:val="18"/>
              </w:rPr>
            </w:pPr>
            <w:r>
              <w:rPr>
                <w:rFonts w:ascii="Times New Roman"/>
                <w:sz w:val="18"/>
              </w:rPr>
              <w:t>27,283,004.88</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6" w:right="0"/>
              <w:jc w:val="left"/>
              <w:rPr>
                <w:rFonts w:ascii="Times New Roman" w:hAnsi="Times New Roman" w:cs="Times New Roman" w:eastAsia="Times New Roman" w:hint="default"/>
                <w:sz w:val="18"/>
                <w:szCs w:val="18"/>
              </w:rPr>
            </w:pPr>
            <w:r>
              <w:rPr>
                <w:rFonts w:ascii="Times New Roman"/>
                <w:sz w:val="18"/>
              </w:rPr>
              <w:t>27,283,004.88</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27,283,004.88</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27,283,004.88</w:t>
            </w: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before="51"/>
        <w:ind w:left="119" w:right="0" w:hanging="7"/>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spacing w:line="240" w:lineRule="auto" w:before="12"/>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11</w:t>
      </w:r>
      <w:r>
        <w:rPr>
          <w:rFonts w:ascii="Microsoft JhengHei" w:hAnsi="Microsoft JhengHei" w:cs="Microsoft JhengHei" w:eastAsia="Microsoft JhengHei" w:hint="default"/>
          <w:b/>
          <w:bCs/>
          <w:sz w:val="21"/>
          <w:szCs w:val="21"/>
        </w:rPr>
        <w:t>、递延所得税资产和递延所得税负债</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）递延所得税资产和递延所得税负债不以抵销后的净额列示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722"/>
        <w:gridCol w:w="2923"/>
        <w:gridCol w:w="2921"/>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1,162,373.31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749,597.91</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2,434,659.70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资产摊销与税法差异</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1,057,092.50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69,727.50</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预提工资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90,053.49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34,100.00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4,778,279.00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819,325.41</w:t>
            </w:r>
          </w:p>
        </w:tc>
      </w:tr>
      <w:tr>
        <w:trPr>
          <w:trHeight w:val="403"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20,059,072.05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20,059,072.05</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3722"/>
        <w:gridCol w:w="2923"/>
        <w:gridCol w:w="2921"/>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bookmarkStart w:name="（2）递延所得税资产和递延所得税负债以抵销后的净额列示" w:id="198"/>
            <w:bookmarkEnd w:id="198"/>
            <w:r>
              <w:rPr/>
            </w:r>
            <w:bookmarkStart w:name="12、资产减值准备明细" w:id="199"/>
            <w:bookmarkEnd w:id="199"/>
            <w:r>
              <w:rPr/>
            </w: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944,711.64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149,838.91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1,094,550.55</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97"/>
        <w:gridCol w:w="2258"/>
        <w:gridCol w:w="1994"/>
        <w:gridCol w:w="3319"/>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599,355.65</w:t>
            </w: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599,355.65</w:t>
            </w: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854"/>
        <w:gridCol w:w="2926"/>
        <w:gridCol w:w="2786"/>
      </w:tblGrid>
      <w:tr>
        <w:trPr>
          <w:trHeight w:val="401" w:hRule="exact"/>
        </w:trPr>
        <w:tc>
          <w:tcPr>
            <w:tcW w:w="38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54" w:type="dxa"/>
            <w:vMerge/>
            <w:tcBorders>
              <w:left w:val="single" w:sz="4" w:space="0" w:color="000000"/>
              <w:bottom w:val="single" w:sz="4" w:space="0" w:color="000000"/>
              <w:right w:val="single" w:sz="4" w:space="0" w:color="000000"/>
            </w:tcBorders>
            <w:shd w:val="clear" w:color="auto" w:fill="D3D3D3"/>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2"/>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）递延所得税资产和递延所得税负债以抵销后的净额列示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062"/>
        <w:gridCol w:w="1627"/>
        <w:gridCol w:w="1625"/>
        <w:gridCol w:w="1627"/>
        <w:gridCol w:w="1630"/>
      </w:tblGrid>
      <w:tr>
        <w:trPr>
          <w:trHeight w:val="1027" w:hRule="exact"/>
        </w:trPr>
        <w:tc>
          <w:tcPr>
            <w:tcW w:w="3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8" w:right="86"/>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8"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401" w:hRule="exact"/>
        </w:trPr>
        <w:tc>
          <w:tcPr>
            <w:tcW w:w="3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4,778,279.00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4" w:right="0"/>
              <w:jc w:val="left"/>
              <w:rPr>
                <w:rFonts w:ascii="Times New Roman" w:hAnsi="Times New Roman" w:cs="Times New Roman" w:eastAsia="Times New Roman" w:hint="default"/>
                <w:sz w:val="18"/>
                <w:szCs w:val="18"/>
              </w:rPr>
            </w:pPr>
            <w:r>
              <w:rPr>
                <w:rFonts w:ascii="Times New Roman"/>
                <w:sz w:val="18"/>
              </w:rPr>
              <w:t>819,325.41</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20,059,072.05</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7" w:lineRule="exact"/>
        <w:ind w:left="10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9pt;mso-position-horizontal-relative:char;mso-position-vertical-relative:line" coordorigin="0,0" coordsize="9588,418">
            <v:group style="position:absolute;left:12;top:12;width:3852;height:396" coordorigin="12,12" coordsize="3852,396">
              <v:shape style="position:absolute;left:12;top:12;width:3852;height:396" coordorigin="12,12" coordsize="3852,396" path="m12,12l12,408,3864,408,3864,12,12,12xe" filled="true" fillcolor="#d3d3d3" stroked="false">
                <v:path arrowok="t"/>
                <v:fill type="solid"/>
              </v:shape>
            </v:group>
            <v:group style="position:absolute;left:3869;top:12;width:5708;height:396" coordorigin="3869,12" coordsize="5708,396">
              <v:shape style="position:absolute;left:3869;top:12;width:5708;height:396" coordorigin="3869,12" coordsize="5708,396" path="m3869,12l3869,408,9576,408,9576,12,3869,12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00000">
                <v:path arrowok="t"/>
              </v:shape>
            </v:group>
            <v:group style="position:absolute;left:5;top:413;width:9579;height:2" coordorigin="5,413" coordsize="9579,2">
              <v:shape style="position:absolute;left:5;top:413;width:9579;height:2" coordorigin="5,413" coordsize="9579,0" path="m5,413l9583,413e" filled="false" stroked="true" strokeweight=".48pt" strokecolor="#000000">
                <v:path arrowok="t"/>
              </v:shape>
            </v:group>
            <v:group style="position:absolute;left:10;top:5;width:2;height:404" coordorigin="10,5" coordsize="2,404">
              <v:shape style="position:absolute;left:10;top:5;width:2;height:404" coordorigin="10,5" coordsize="0,404" path="m10,5l10,408e" filled="false" stroked="true" strokeweight=".48pt" strokecolor="#000000">
                <v:path arrowok="t"/>
              </v:shape>
            </v:group>
            <v:group style="position:absolute;left:3866;top:5;width:2;height:404" coordorigin="3866,5" coordsize="2,404">
              <v:shape style="position:absolute;left:3866;top:5;width:2;height:404" coordorigin="3866,5" coordsize="0,404" path="m3866,5l3866,408e" filled="false" stroked="true" strokeweight=".48pt" strokecolor="#000000">
                <v:path arrowok="t"/>
              </v:shape>
            </v:group>
            <v:group style="position:absolute;left:9578;top:5;width:2;height:404" coordorigin="9578,5" coordsize="2,404">
              <v:shape style="position:absolute;left:9578;top:5;width:2;height:404" coordorigin="9578,5" coordsize="0,404" path="m9578,5l9578,408e" filled="false" stroked="true" strokeweight=".48pt" strokecolor="#000000">
                <v:path arrowok="t"/>
              </v:shape>
              <v:shape style="position:absolute;left:175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6;top:10;width:5712;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12"/>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、资产减值准备明细</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266"/>
        <w:gridCol w:w="1529"/>
        <w:gridCol w:w="1526"/>
        <w:gridCol w:w="1399"/>
        <w:gridCol w:w="1397"/>
        <w:gridCol w:w="1452"/>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529" w:type="dxa"/>
            <w:vMerge/>
            <w:tcBorders>
              <w:left w:val="single" w:sz="4" w:space="0" w:color="000000"/>
              <w:bottom w:val="single" w:sz="4" w:space="0" w:color="000000"/>
              <w:right w:val="single" w:sz="4" w:space="0" w:color="000000"/>
            </w:tcBorders>
            <w:shd w:val="clear" w:color="auto" w:fill="D3D3D3"/>
          </w:tcPr>
          <w:p>
            <w:pPr/>
          </w:p>
        </w:tc>
        <w:tc>
          <w:tcPr>
            <w:tcW w:w="1526" w:type="dxa"/>
            <w:vMerge/>
            <w:tcBorders>
              <w:left w:val="single" w:sz="4" w:space="0" w:color="000000"/>
              <w:bottom w:val="single" w:sz="4" w:space="0" w:color="000000"/>
              <w:right w:val="single" w:sz="4" w:space="0" w:color="000000"/>
            </w:tcBorders>
            <w:shd w:val="clear" w:color="auto" w:fill="D3D3D3"/>
          </w:tcPr>
          <w:p>
            <w:pP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4,997,319.43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6,575,638.66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11,572,958.09</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4,997,319.43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6,575,638.66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11,572,958.09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bookmarkStart w:name="13、应付账款" w:id="200"/>
      <w:bookmarkEnd w:id="200"/>
      <w:r>
        <w:rPr/>
      </w:r>
      <w:bookmarkStart w:name="（1）应付账款情况" w:id="201"/>
      <w:bookmarkEnd w:id="201"/>
      <w:r>
        <w:rPr/>
      </w:r>
      <w:bookmarkStart w:name="（2）账龄超过一年的大额应付账款情况的说明" w:id="202"/>
      <w:bookmarkEnd w:id="202"/>
      <w:r>
        <w:rPr/>
      </w:r>
      <w:bookmarkStart w:name="14、预收账款" w:id="203"/>
      <w:bookmarkEnd w:id="203"/>
      <w:r>
        <w:rPr/>
      </w:r>
      <w:bookmarkStart w:name="（1）预收账款情况" w:id="204"/>
      <w:bookmarkEnd w:id="204"/>
      <w:r>
        <w:rPr/>
      </w:r>
      <w:r>
        <w:rPr>
          <w:rFonts w:ascii="宋体" w:hAnsi="宋体" w:cs="宋体" w:eastAsia="宋体" w:hint="default"/>
          <w:sz w:val="18"/>
          <w:szCs w:val="18"/>
        </w:rPr>
        <w:t>资产减值明细情况的说明</w:t>
      </w:r>
    </w:p>
    <w:p>
      <w:pPr>
        <w:spacing w:line="240" w:lineRule="auto" w:before="9"/>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、应付账款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）应付账款情况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590"/>
        <w:gridCol w:w="2921"/>
        <w:gridCol w:w="305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汉王制造有限公司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24,994,768.57</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武汉华正空间软件技术有限公司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4,774,000.00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天津市测绘院</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1,728,000.00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汉王科技股份有限公司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1,491,573.29</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北京帝测科技发展有限公司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952,000.00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7,459,720.19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1,142,251.85</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41,400,062.05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1,142,251.85</w:t>
            </w:r>
          </w:p>
        </w:tc>
      </w:tr>
    </w:tbl>
    <w:p>
      <w:pPr>
        <w:spacing w:line="240" w:lineRule="auto" w:before="5"/>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）账龄超过一年的大额应付账款情况的说明</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5" w:type="dxa"/>
        <w:tblLayout w:type="fixed"/>
        <w:tblCellMar>
          <w:top w:w="0" w:type="dxa"/>
          <w:left w:w="0" w:type="dxa"/>
          <w:bottom w:w="0" w:type="dxa"/>
          <w:right w:w="0" w:type="dxa"/>
        </w:tblCellMar>
        <w:tblLook w:val="01E0"/>
      </w:tblPr>
      <w:tblGrid>
        <w:gridCol w:w="3674"/>
        <w:gridCol w:w="1963"/>
        <w:gridCol w:w="1702"/>
        <w:gridCol w:w="1874"/>
      </w:tblGrid>
      <w:tr>
        <w:trPr>
          <w:trHeight w:val="353" w:hRule="exact"/>
        </w:trPr>
        <w:tc>
          <w:tcPr>
            <w:tcW w:w="367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债权人名称</w:t>
            </w:r>
          </w:p>
        </w:tc>
        <w:tc>
          <w:tcPr>
            <w:tcW w:w="196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未偿还的原因</w:t>
            </w:r>
          </w:p>
        </w:tc>
        <w:tc>
          <w:tcPr>
            <w:tcW w:w="1874"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报表日后是否归还</w:t>
            </w:r>
          </w:p>
        </w:tc>
      </w:tr>
      <w:tr>
        <w:trPr>
          <w:trHeight w:val="362" w:hRule="exact"/>
        </w:trPr>
        <w:tc>
          <w:tcPr>
            <w:tcW w:w="367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汉王制造有限公司</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9,706,746.99</w:t>
            </w:r>
            <w:r>
              <w:rPr>
                <w:rFonts w:ascii="Times New Roman"/>
                <w:sz w:val="21"/>
              </w:rPr>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尚未结算</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2" w:hRule="exact"/>
        </w:trPr>
        <w:tc>
          <w:tcPr>
            <w:tcW w:w="367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汉王科技股份有限公司</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1,352,777.55</w:t>
            </w:r>
            <w:r>
              <w:rPr>
                <w:rFonts w:ascii="Times New Roman"/>
                <w:sz w:val="21"/>
              </w:rPr>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尚未结算</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2" w:hRule="exact"/>
        </w:trPr>
        <w:tc>
          <w:tcPr>
            <w:tcW w:w="367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北京博威建业科技有限公司</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430,000.00</w:t>
            </w:r>
            <w:r>
              <w:rPr>
                <w:rFonts w:ascii="Times New Roman"/>
                <w:sz w:val="21"/>
              </w:rPr>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尚未结算</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2" w:hRule="exact"/>
        </w:trPr>
        <w:tc>
          <w:tcPr>
            <w:tcW w:w="367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航天四创科技有限责任公司</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275,380.00</w:t>
            </w:r>
            <w:r>
              <w:rPr>
                <w:rFonts w:ascii="Times New Roman"/>
                <w:sz w:val="21"/>
              </w:rPr>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未结算</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2" w:hRule="exact"/>
        </w:trPr>
        <w:tc>
          <w:tcPr>
            <w:tcW w:w="367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江苏国泰新点软件有限公司</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未结算</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0" w:hRule="exact"/>
        </w:trPr>
        <w:tc>
          <w:tcPr>
            <w:tcW w:w="3674" w:type="dxa"/>
            <w:tcBorders>
              <w:top w:val="single" w:sz="12" w:space="0" w:color="000000"/>
              <w:left w:val="single" w:sz="6" w:space="0" w:color="000000"/>
              <w:bottom w:val="single" w:sz="12" w:space="0" w:color="000000"/>
              <w:right w:val="single" w:sz="6" w:space="0" w:color="000000"/>
            </w:tcBorders>
          </w:tcPr>
          <w:p>
            <w:pPr>
              <w:pStyle w:val="TableParagraph"/>
              <w:tabs>
                <w:tab w:pos="734"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w w:val="95"/>
                <w:sz w:val="21"/>
              </w:rPr>
              <w:t>11,914,904.54</w:t>
            </w:r>
            <w:r>
              <w:rPr>
                <w:rFonts w:ascii="Times New Roman"/>
                <w:sz w:val="21"/>
              </w:rPr>
            </w:r>
          </w:p>
        </w:tc>
        <w:tc>
          <w:tcPr>
            <w:tcW w:w="1702" w:type="dxa"/>
            <w:tcBorders>
              <w:top w:val="single" w:sz="12" w:space="0" w:color="000000"/>
              <w:left w:val="single" w:sz="6" w:space="0" w:color="000000"/>
              <w:bottom w:val="single" w:sz="12" w:space="0" w:color="000000"/>
              <w:right w:val="single" w:sz="6" w:space="0" w:color="000000"/>
            </w:tcBorders>
          </w:tcPr>
          <w:p>
            <w:pPr/>
          </w:p>
        </w:tc>
        <w:tc>
          <w:tcPr>
            <w:tcW w:w="187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2"/>
          <w:szCs w:val="12"/>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14</w:t>
      </w:r>
      <w:r>
        <w:rPr>
          <w:rFonts w:ascii="Microsoft JhengHei" w:hAnsi="Microsoft JhengHei" w:cs="Microsoft JhengHei" w:eastAsia="Microsoft JhengHei" w:hint="default"/>
          <w:b/>
          <w:bCs/>
          <w:sz w:val="21"/>
          <w:szCs w:val="21"/>
        </w:rPr>
        <w:t>、预收账款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）预收账款情况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854"/>
        <w:gridCol w:w="2791"/>
        <w:gridCol w:w="2921"/>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云南汉王科技有限公司</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912,000.00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南京正坤科技有限公司</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广西交通科学研究院</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229,800.00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北京华力兴科技发展有限责任公司</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重庆旺山实业有限公司</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200,904.00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3,020,736.79</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3854"/>
        <w:gridCol w:w="2791"/>
        <w:gridCol w:w="2921"/>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15、应付职工薪酬" w:id="205"/>
            <w:bookmarkEnd w:id="205"/>
            <w:r>
              <w:rPr/>
            </w:r>
            <w:bookmarkStart w:name="16、应交税费" w:id="206"/>
            <w:bookmarkEnd w:id="206"/>
            <w:r>
              <w:rPr/>
            </w:r>
            <w:r>
              <w:rPr>
                <w:rFonts w:ascii="宋体" w:hAnsi="宋体" w:cs="宋体" w:eastAsia="宋体" w:hint="default"/>
                <w:sz w:val="18"/>
                <w:szCs w:val="18"/>
              </w:rPr>
              <w:t>合计</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4" w:right="0"/>
              <w:jc w:val="left"/>
              <w:rPr>
                <w:rFonts w:ascii="Times New Roman" w:hAnsi="Times New Roman" w:cs="Times New Roman" w:eastAsia="Times New Roman" w:hint="default"/>
                <w:sz w:val="18"/>
                <w:szCs w:val="18"/>
              </w:rPr>
            </w:pPr>
            <w:r>
              <w:rPr>
                <w:rFonts w:ascii="Times New Roman"/>
                <w:sz w:val="18"/>
              </w:rPr>
              <w:t>5,179,440.79</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15</w:t>
      </w:r>
      <w:r>
        <w:rPr>
          <w:rFonts w:ascii="Microsoft JhengHei" w:hAnsi="Microsoft JhengHei" w:cs="Microsoft JhengHei" w:eastAsia="Microsoft JhengHei" w:hint="default"/>
          <w:b/>
          <w:bCs/>
          <w:sz w:val="21"/>
          <w:szCs w:val="21"/>
        </w:rPr>
        <w:t>、应付职工薪酬</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598"/>
        <w:gridCol w:w="1860"/>
        <w:gridCol w:w="1992"/>
        <w:gridCol w:w="2258"/>
        <w:gridCol w:w="1860"/>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2,747,826.30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54,041,455.88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53,366,479.95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3,422,802.23</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1,820,940.24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1,820,940.24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791,454.77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11,316,619.58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10,470,099.40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1,637,974.95</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319,665.37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3,558,668.73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3,523,798.98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354,535.12</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372,861.74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6,935,274.95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6,215,484.63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1,092,652.06</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年金缴费</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81,042.82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438,925.25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394,820.89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125,147.18</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7,421.37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137,991.54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126,367.49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19,045.42</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10,463.47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245,759.11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209,627.41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46,595.17</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55,251.20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3,399,805.00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3,256,710.00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198,346.20</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6,489.17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722,107.72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386,179.00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342,417.89</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3,601,021.44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71,300,928.42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69,300,408.59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5,601,541.27</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340" w:lineRule="auto" w:before="101"/>
        <w:ind w:left="112" w:right="1199"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330,318.02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元，非货币性福利金额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元，因解除劳动关系给予补偿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应付职工薪酬预计发放时间、金额等安排</w:t>
      </w:r>
    </w:p>
    <w:p>
      <w:pPr>
        <w:spacing w:line="240" w:lineRule="auto" w:before="2"/>
        <w:rPr>
          <w:rFonts w:ascii="宋体" w:hAnsi="宋体" w:cs="宋体" w:eastAsia="宋体" w:hint="default"/>
          <w:sz w:val="16"/>
          <w:szCs w:val="16"/>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16</w:t>
      </w:r>
      <w:r>
        <w:rPr>
          <w:rFonts w:ascii="Microsoft JhengHei" w:hAnsi="Microsoft JhengHei" w:cs="Microsoft JhengHei" w:eastAsia="Microsoft JhengHei" w:hint="default"/>
          <w:b/>
          <w:bCs/>
          <w:sz w:val="21"/>
          <w:szCs w:val="21"/>
        </w:rPr>
        <w:t>、应交税费</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4123"/>
        <w:gridCol w:w="2789"/>
        <w:gridCol w:w="2657"/>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3,749,584.67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1,763,146.33</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36,101.79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408,472.92</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6,550,789.36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8,238,820.08</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207,113.75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98,416.76</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302,654.13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137,080.14</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217,707.53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58,748.63</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13,489.23</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11,077,440.46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10,704,684.86</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after="0"/>
        <w:jc w:val="left"/>
        <w:rPr>
          <w:rFonts w:ascii="宋体" w:hAnsi="宋体" w:cs="宋体" w:eastAsia="宋体" w:hint="default"/>
          <w:sz w:val="18"/>
          <w:szCs w:val="18"/>
        </w:rPr>
        <w:sectPr>
          <w:footerReference w:type="default" r:id="rId27"/>
          <w:pgSz w:w="11910" w:h="16840"/>
          <w:pgMar w:footer="979" w:header="745" w:top="1060" w:bottom="1160" w:left="1020" w:right="1020"/>
          <w:pgNumType w:start="110"/>
        </w:sectPr>
      </w:pPr>
    </w:p>
    <w:p>
      <w:pPr>
        <w:spacing w:line="240" w:lineRule="auto" w:before="10"/>
        <w:rPr>
          <w:rFonts w:ascii="宋体" w:hAnsi="宋体" w:cs="宋体" w:eastAsia="宋体" w:hint="default"/>
          <w:sz w:val="24"/>
          <w:szCs w:val="24"/>
        </w:rPr>
      </w:pPr>
    </w:p>
    <w:p>
      <w:pPr>
        <w:spacing w:line="333" w:lineRule="exact" w:before="0"/>
        <w:ind w:left="119" w:right="0" w:firstLine="0"/>
        <w:jc w:val="left"/>
        <w:rPr>
          <w:rFonts w:ascii="Microsoft JhengHei" w:hAnsi="Microsoft JhengHei" w:cs="Microsoft JhengHei" w:eastAsia="Microsoft JhengHei" w:hint="default"/>
          <w:sz w:val="21"/>
          <w:szCs w:val="21"/>
        </w:rPr>
      </w:pPr>
      <w:bookmarkStart w:name="17、其他应付款" w:id="207"/>
      <w:bookmarkEnd w:id="207"/>
      <w:r>
        <w:rPr/>
      </w:r>
      <w:bookmarkStart w:name="（1）其他应付款情况" w:id="208"/>
      <w:bookmarkEnd w:id="208"/>
      <w:r>
        <w:rPr/>
      </w:r>
      <w:bookmarkStart w:name="（2）账龄超过一年的大额其他应付款情况的说明" w:id="209"/>
      <w:bookmarkEnd w:id="209"/>
      <w:r>
        <w:rPr/>
      </w:r>
      <w:bookmarkStart w:name="（3）金额较大的其他应付款说明内容" w:id="210"/>
      <w:bookmarkEnd w:id="210"/>
      <w:r>
        <w:rPr/>
      </w:r>
      <w:bookmarkStart w:name="18、预计负债" w:id="211"/>
      <w:bookmarkEnd w:id="211"/>
      <w:r>
        <w:rPr/>
      </w:r>
      <w:r>
        <w:rPr>
          <w:rFonts w:ascii="Times New Roman" w:hAnsi="Times New Roman" w:cs="Times New Roman" w:eastAsia="Times New Roman" w:hint="default"/>
          <w:b/>
          <w:bCs/>
          <w:sz w:val="21"/>
          <w:szCs w:val="21"/>
        </w:rPr>
        <w:t>17</w:t>
      </w:r>
      <w:r>
        <w:rPr>
          <w:rFonts w:ascii="Microsoft JhengHei" w:hAnsi="Microsoft JhengHei" w:cs="Microsoft JhengHei" w:eastAsia="Microsoft JhengHei" w:hint="default"/>
          <w:b/>
          <w:bCs/>
          <w:sz w:val="21"/>
          <w:szCs w:val="21"/>
        </w:rPr>
        <w:t>、其他应付款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）其他应付款情况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722"/>
        <w:gridCol w:w="3058"/>
        <w:gridCol w:w="2789"/>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汉王科技股份有限公司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60,880,000.00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代扣个人住房公积金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637,752.00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142,180.00</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应付采集器押金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636,246.40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142,398.91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318,851.94</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232,510.41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443,440.16</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62,528,907.72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904,472.10</w:t>
            </w:r>
          </w:p>
        </w:tc>
      </w:tr>
    </w:tbl>
    <w:p>
      <w:pPr>
        <w:spacing w:line="240" w:lineRule="auto" w:before="2"/>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）账龄超过一年的大额其他应付款情况的说明</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5" w:type="dxa"/>
        <w:tblLayout w:type="fixed"/>
        <w:tblCellMar>
          <w:top w:w="0" w:type="dxa"/>
          <w:left w:w="0" w:type="dxa"/>
          <w:bottom w:w="0" w:type="dxa"/>
          <w:right w:w="0" w:type="dxa"/>
        </w:tblCellMar>
        <w:tblLook w:val="01E0"/>
      </w:tblPr>
      <w:tblGrid>
        <w:gridCol w:w="3842"/>
        <w:gridCol w:w="1654"/>
        <w:gridCol w:w="1843"/>
        <w:gridCol w:w="1874"/>
      </w:tblGrid>
      <w:tr>
        <w:trPr>
          <w:trHeight w:val="355" w:hRule="exact"/>
        </w:trPr>
        <w:tc>
          <w:tcPr>
            <w:tcW w:w="384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1387"/>
              <w:jc w:val="right"/>
              <w:rPr>
                <w:rFonts w:ascii="宋体" w:hAnsi="宋体" w:cs="宋体" w:eastAsia="宋体" w:hint="default"/>
                <w:sz w:val="21"/>
                <w:szCs w:val="21"/>
              </w:rPr>
            </w:pPr>
            <w:r>
              <w:rPr>
                <w:rFonts w:ascii="宋体" w:hAnsi="宋体" w:cs="宋体" w:eastAsia="宋体" w:hint="default"/>
                <w:w w:val="95"/>
                <w:sz w:val="21"/>
                <w:szCs w:val="21"/>
              </w:rPr>
              <w:t>债权人名称</w:t>
            </w:r>
            <w:r>
              <w:rPr>
                <w:rFonts w:ascii="宋体" w:hAnsi="宋体" w:cs="宋体" w:eastAsia="宋体" w:hint="default"/>
                <w:sz w:val="21"/>
                <w:szCs w:val="21"/>
              </w:rPr>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08" w:right="0"/>
              <w:jc w:val="center"/>
              <w:rPr>
                <w:rFonts w:ascii="宋体" w:hAnsi="宋体" w:cs="宋体" w:eastAsia="宋体" w:hint="default"/>
                <w:sz w:val="21"/>
                <w:szCs w:val="21"/>
              </w:rPr>
            </w:pPr>
            <w:r>
              <w:rPr>
                <w:rFonts w:ascii="宋体" w:hAnsi="宋体" w:cs="宋体" w:eastAsia="宋体" w:hint="default"/>
                <w:sz w:val="21"/>
                <w:szCs w:val="21"/>
              </w:rPr>
              <w:t>未偿还的原因</w:t>
            </w:r>
          </w:p>
        </w:tc>
        <w:tc>
          <w:tcPr>
            <w:tcW w:w="1874"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144" w:right="0"/>
              <w:jc w:val="left"/>
              <w:rPr>
                <w:rFonts w:ascii="宋体" w:hAnsi="宋体" w:cs="宋体" w:eastAsia="宋体" w:hint="default"/>
                <w:sz w:val="21"/>
                <w:szCs w:val="21"/>
              </w:rPr>
            </w:pPr>
            <w:r>
              <w:rPr>
                <w:rFonts w:ascii="宋体" w:hAnsi="宋体" w:cs="宋体" w:eastAsia="宋体" w:hint="default"/>
                <w:sz w:val="21"/>
                <w:szCs w:val="21"/>
              </w:rPr>
              <w:t>报表日后是否归还</w:t>
            </w:r>
          </w:p>
        </w:tc>
      </w:tr>
      <w:tr>
        <w:trPr>
          <w:trHeight w:val="362" w:hRule="exact"/>
        </w:trPr>
        <w:tc>
          <w:tcPr>
            <w:tcW w:w="384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汉王科技股份有限公司</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14,100,000.00</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67" w:right="0"/>
              <w:jc w:val="center"/>
              <w:rPr>
                <w:rFonts w:ascii="宋体" w:hAnsi="宋体" w:cs="宋体" w:eastAsia="宋体" w:hint="default"/>
                <w:sz w:val="21"/>
                <w:szCs w:val="21"/>
              </w:rPr>
            </w:pPr>
            <w:r>
              <w:rPr>
                <w:rFonts w:ascii="宋体" w:hAnsi="宋体" w:cs="宋体" w:eastAsia="宋体" w:hint="default"/>
                <w:sz w:val="21"/>
                <w:szCs w:val="21"/>
              </w:rPr>
              <w:t>尚未结算</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left="237"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2" w:hRule="exact"/>
        </w:trPr>
        <w:tc>
          <w:tcPr>
            <w:tcW w:w="3842"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代扣个人所得税手续费</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75,453.94</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67" w:right="0"/>
              <w:jc w:val="center"/>
              <w:rPr>
                <w:rFonts w:ascii="宋体" w:hAnsi="宋体" w:cs="宋体" w:eastAsia="宋体" w:hint="default"/>
                <w:sz w:val="21"/>
                <w:szCs w:val="21"/>
              </w:rPr>
            </w:pPr>
            <w:r>
              <w:rPr>
                <w:rFonts w:ascii="宋体" w:hAnsi="宋体" w:cs="宋体" w:eastAsia="宋体" w:hint="default"/>
                <w:sz w:val="21"/>
                <w:szCs w:val="21"/>
              </w:rPr>
              <w:t>尚未结算</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70" w:lineRule="exact"/>
              <w:ind w:left="237"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0" w:hRule="exact"/>
        </w:trPr>
        <w:tc>
          <w:tcPr>
            <w:tcW w:w="3842" w:type="dxa"/>
            <w:tcBorders>
              <w:top w:val="single" w:sz="12" w:space="0" w:color="000000"/>
              <w:left w:val="single" w:sz="6" w:space="0" w:color="000000"/>
              <w:bottom w:val="single" w:sz="12" w:space="0" w:color="000000"/>
              <w:right w:val="single" w:sz="6" w:space="0" w:color="000000"/>
            </w:tcBorders>
          </w:tcPr>
          <w:p>
            <w:pPr>
              <w:pStyle w:val="TableParagraph"/>
              <w:tabs>
                <w:tab w:pos="734" w:val="left" w:leader="none"/>
              </w:tabs>
              <w:spacing w:line="270" w:lineRule="exact"/>
              <w:ind w:right="1387"/>
              <w:jc w:val="right"/>
              <w:rPr>
                <w:rFonts w:ascii="宋体" w:hAnsi="宋体" w:cs="宋体" w:eastAsia="宋体" w:hint="default"/>
                <w:sz w:val="21"/>
                <w:szCs w:val="21"/>
              </w:rPr>
            </w:pPr>
            <w:r>
              <w:rPr>
                <w:rFonts w:ascii="宋体" w:hAnsi="宋体" w:cs="宋体" w:eastAsia="宋体" w:hint="default"/>
                <w:w w:val="95"/>
                <w:sz w:val="21"/>
                <w:szCs w:val="21"/>
              </w:rPr>
              <w:t>合</w:t>
              <w:tab/>
              <w:t>计</w:t>
            </w:r>
            <w:r>
              <w:rPr>
                <w:rFonts w:ascii="宋体" w:hAnsi="宋体" w:cs="宋体" w:eastAsia="宋体" w:hint="default"/>
                <w:sz w:val="21"/>
                <w:szCs w:val="21"/>
              </w:rPr>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w w:val="95"/>
                <w:sz w:val="21"/>
              </w:rPr>
              <w:t>14,175,453.94</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
        </w:tc>
        <w:tc>
          <w:tcPr>
            <w:tcW w:w="187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2"/>
          <w:szCs w:val="12"/>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）金额较大的其他应付款说明内容</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05" w:type="dxa"/>
        <w:tblLayout w:type="fixed"/>
        <w:tblCellMar>
          <w:top w:w="0" w:type="dxa"/>
          <w:left w:w="0" w:type="dxa"/>
          <w:bottom w:w="0" w:type="dxa"/>
          <w:right w:w="0" w:type="dxa"/>
        </w:tblCellMar>
        <w:tblLook w:val="01E0"/>
      </w:tblPr>
      <w:tblGrid>
        <w:gridCol w:w="3518"/>
        <w:gridCol w:w="3374"/>
        <w:gridCol w:w="2321"/>
      </w:tblGrid>
      <w:tr>
        <w:trPr>
          <w:trHeight w:val="353" w:hRule="exact"/>
        </w:trPr>
        <w:tc>
          <w:tcPr>
            <w:tcW w:w="3518"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226"/>
              <w:jc w:val="right"/>
              <w:rPr>
                <w:rFonts w:ascii="宋体" w:hAnsi="宋体" w:cs="宋体" w:eastAsia="宋体" w:hint="default"/>
                <w:sz w:val="21"/>
                <w:szCs w:val="21"/>
              </w:rPr>
            </w:pPr>
            <w:r>
              <w:rPr>
                <w:rFonts w:ascii="宋体" w:hAnsi="宋体" w:cs="宋体" w:eastAsia="宋体" w:hint="default"/>
                <w:w w:val="95"/>
                <w:sz w:val="21"/>
                <w:szCs w:val="21"/>
              </w:rPr>
              <w:t>债权人名称</w:t>
            </w:r>
            <w:r>
              <w:rPr>
                <w:rFonts w:ascii="宋体" w:hAnsi="宋体" w:cs="宋体" w:eastAsia="宋体" w:hint="default"/>
                <w:sz w:val="21"/>
                <w:szCs w:val="21"/>
              </w:rPr>
            </w:r>
          </w:p>
        </w:tc>
        <w:tc>
          <w:tcPr>
            <w:tcW w:w="337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321"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628" w:right="0"/>
              <w:jc w:val="lef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62" w:hRule="exact"/>
        </w:trPr>
        <w:tc>
          <w:tcPr>
            <w:tcW w:w="351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汉王科技股份有限公司</w:t>
            </w:r>
          </w:p>
        </w:tc>
        <w:tc>
          <w:tcPr>
            <w:tcW w:w="3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60,880,000.00</w:t>
            </w:r>
            <w:r>
              <w:rPr>
                <w:rFonts w:ascii="Times New Roman"/>
                <w:sz w:val="21"/>
              </w:rPr>
            </w:r>
          </w:p>
        </w:tc>
        <w:tc>
          <w:tcPr>
            <w:tcW w:w="2321"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应付投资款、往来款</w:t>
            </w:r>
          </w:p>
        </w:tc>
      </w:tr>
      <w:tr>
        <w:trPr>
          <w:trHeight w:val="362" w:hRule="exact"/>
        </w:trPr>
        <w:tc>
          <w:tcPr>
            <w:tcW w:w="351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个人住房公积金</w:t>
            </w:r>
          </w:p>
        </w:tc>
        <w:tc>
          <w:tcPr>
            <w:tcW w:w="3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637,752.00</w:t>
            </w:r>
            <w:r>
              <w:rPr>
                <w:rFonts w:ascii="Times New Roman"/>
                <w:sz w:val="21"/>
              </w:rPr>
            </w:r>
          </w:p>
        </w:tc>
        <w:tc>
          <w:tcPr>
            <w:tcW w:w="2321"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代扣住房公积金</w:t>
            </w:r>
          </w:p>
        </w:tc>
      </w:tr>
      <w:tr>
        <w:trPr>
          <w:trHeight w:val="362" w:hRule="exact"/>
        </w:trPr>
        <w:tc>
          <w:tcPr>
            <w:tcW w:w="351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采集器押金</w:t>
            </w:r>
          </w:p>
        </w:tc>
        <w:tc>
          <w:tcPr>
            <w:tcW w:w="3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636,246.40</w:t>
            </w:r>
            <w:r>
              <w:rPr>
                <w:rFonts w:ascii="Times New Roman"/>
                <w:sz w:val="21"/>
              </w:rPr>
            </w:r>
          </w:p>
        </w:tc>
        <w:tc>
          <w:tcPr>
            <w:tcW w:w="2321"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押金</w:t>
            </w:r>
          </w:p>
        </w:tc>
      </w:tr>
      <w:tr>
        <w:trPr>
          <w:trHeight w:val="362" w:hRule="exact"/>
        </w:trPr>
        <w:tc>
          <w:tcPr>
            <w:tcW w:w="3518" w:type="dxa"/>
            <w:tcBorders>
              <w:top w:val="single" w:sz="12" w:space="0" w:color="000000"/>
              <w:left w:val="single" w:sz="6" w:space="0" w:color="000000"/>
              <w:bottom w:val="single" w:sz="12" w:space="0" w:color="000000"/>
              <w:right w:val="single" w:sz="6" w:space="0" w:color="000000"/>
            </w:tcBorders>
          </w:tcPr>
          <w:p>
            <w:pPr>
              <w:pStyle w:val="TableParagraph"/>
              <w:tabs>
                <w:tab w:pos="736" w:val="left" w:leader="none"/>
              </w:tabs>
              <w:spacing w:line="272" w:lineRule="exact"/>
              <w:ind w:right="1277"/>
              <w:jc w:val="right"/>
              <w:rPr>
                <w:rFonts w:ascii="宋体" w:hAnsi="宋体" w:cs="宋体" w:eastAsia="宋体" w:hint="default"/>
                <w:sz w:val="21"/>
                <w:szCs w:val="21"/>
              </w:rPr>
            </w:pPr>
            <w:r>
              <w:rPr>
                <w:rFonts w:ascii="宋体" w:hAnsi="宋体" w:cs="宋体" w:eastAsia="宋体" w:hint="default"/>
                <w:w w:val="95"/>
                <w:sz w:val="21"/>
                <w:szCs w:val="21"/>
              </w:rPr>
              <w:t>合</w:t>
              <w:tab/>
              <w:t>计</w:t>
            </w:r>
            <w:r>
              <w:rPr>
                <w:rFonts w:ascii="宋体" w:hAnsi="宋体" w:cs="宋体" w:eastAsia="宋体" w:hint="default"/>
                <w:sz w:val="21"/>
                <w:szCs w:val="21"/>
              </w:rPr>
            </w:r>
          </w:p>
        </w:tc>
        <w:tc>
          <w:tcPr>
            <w:tcW w:w="3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62,153,998.40</w:t>
            </w:r>
            <w:r>
              <w:rPr>
                <w:rFonts w:ascii="Times New Roman"/>
                <w:sz w:val="21"/>
              </w:rPr>
            </w:r>
          </w:p>
        </w:tc>
        <w:tc>
          <w:tcPr>
            <w:tcW w:w="2321"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2"/>
          <w:szCs w:val="12"/>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18</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997"/>
        <w:gridCol w:w="1860"/>
        <w:gridCol w:w="1860"/>
        <w:gridCol w:w="1860"/>
        <w:gridCol w:w="1994"/>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341,000.00</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341,000.00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pStyle w:val="BodyText"/>
        <w:spacing w:line="357" w:lineRule="auto" w:before="145"/>
        <w:ind w:right="132" w:firstLine="482"/>
        <w:jc w:val="left"/>
      </w:pPr>
      <w:r>
        <w:rPr/>
        <w:t>本公司与部分客户签订的不可撤销的销售软件产品合同，因合同存在质保期。于2012年 12月31日，本公司已就完工合同尚在质保期范围内，预计发生的质保费确认为预计负债。</w:t>
      </w:r>
    </w:p>
    <w:p>
      <w:pPr>
        <w:spacing w:after="0" w:line="357"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9" w:right="0" w:firstLine="0"/>
        <w:jc w:val="left"/>
        <w:rPr>
          <w:rFonts w:ascii="Microsoft JhengHei" w:hAnsi="Microsoft JhengHei" w:cs="Microsoft JhengHei" w:eastAsia="Microsoft JhengHei" w:hint="default"/>
          <w:sz w:val="21"/>
          <w:szCs w:val="21"/>
        </w:rPr>
      </w:pPr>
      <w:bookmarkStart w:name="19、专项应付款" w:id="212"/>
      <w:bookmarkEnd w:id="212"/>
      <w:r>
        <w:rPr/>
      </w:r>
      <w:bookmarkStart w:name="20、其他非流动负债" w:id="213"/>
      <w:bookmarkEnd w:id="213"/>
      <w:r>
        <w:rPr/>
      </w:r>
      <w:bookmarkStart w:name="21、股本" w:id="214"/>
      <w:bookmarkEnd w:id="214"/>
      <w:r>
        <w:rPr/>
      </w:r>
      <w:bookmarkStart w:name="22、资本公积" w:id="215"/>
      <w:bookmarkEnd w:id="215"/>
      <w:r>
        <w:rPr/>
      </w:r>
      <w:r>
        <w:rPr>
          <w:rFonts w:ascii="Times New Roman" w:hAnsi="Times New Roman" w:cs="Times New Roman" w:eastAsia="Times New Roman" w:hint="default"/>
          <w:b/>
          <w:bCs/>
          <w:sz w:val="21"/>
          <w:szCs w:val="21"/>
        </w:rPr>
        <w:t>19</w:t>
      </w:r>
      <w:r>
        <w:rPr>
          <w:rFonts w:ascii="Microsoft JhengHei" w:hAnsi="Microsoft JhengHei" w:cs="Microsoft JhengHei" w:eastAsia="Microsoft JhengHei" w:hint="default"/>
          <w:b/>
          <w:bCs/>
          <w:sz w:val="21"/>
          <w:szCs w:val="21"/>
        </w:rPr>
        <w:t>、专项应付款</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393"/>
        <w:gridCol w:w="1327"/>
        <w:gridCol w:w="1330"/>
        <w:gridCol w:w="1198"/>
        <w:gridCol w:w="1327"/>
        <w:gridCol w:w="1994"/>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自适应威胁管理安全防护系 统</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ATMSYS</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197,612.00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101,612.00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96,000.00</w:t>
            </w: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197,612.00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101,612.00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96,000.00</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专项应付款说明</w:t>
      </w:r>
    </w:p>
    <w:p>
      <w:pPr>
        <w:spacing w:line="240" w:lineRule="auto" w:before="12"/>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w:t>
      </w:r>
      <w:r>
        <w:rPr>
          <w:rFonts w:ascii="Microsoft JhengHei" w:hAnsi="Microsoft JhengHei" w:cs="Microsoft JhengHei" w:eastAsia="Microsoft JhengHei" w:hint="default"/>
          <w:b/>
          <w:bCs/>
          <w:sz w:val="21"/>
          <w:szCs w:val="21"/>
        </w:rPr>
        <w:t>、其他非流动负债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722"/>
        <w:gridCol w:w="2789"/>
        <w:gridCol w:w="3058"/>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2,269,900.00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3,070,300.00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2,269,900.00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3,070,300.00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BodyText"/>
        <w:spacing w:line="240" w:lineRule="auto" w:before="66"/>
        <w:ind w:left="595" w:right="0"/>
        <w:jc w:val="left"/>
      </w:pPr>
      <w:r>
        <w:rPr/>
        <w:t>其中，递延收益明细如下：</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6"/>
        <w:gridCol w:w="2753"/>
        <w:gridCol w:w="2954"/>
      </w:tblGrid>
      <w:tr>
        <w:trPr>
          <w:trHeight w:val="355" w:hRule="exact"/>
        </w:trPr>
        <w:tc>
          <w:tcPr>
            <w:tcW w:w="3506" w:type="dxa"/>
            <w:tcBorders>
              <w:top w:val="single" w:sz="6" w:space="0" w:color="000000"/>
              <w:left w:val="single" w:sz="6" w:space="0" w:color="000000"/>
              <w:bottom w:val="single" w:sz="12" w:space="0" w:color="000000"/>
              <w:right w:val="single" w:sz="6" w:space="0" w:color="000000"/>
            </w:tcBorders>
          </w:tcPr>
          <w:p>
            <w:pPr>
              <w:pStyle w:val="TableParagraph"/>
              <w:tabs>
                <w:tab w:pos="451" w:val="left" w:leader="none"/>
              </w:tabs>
              <w:spacing w:line="272" w:lineRule="exact"/>
              <w:ind w:left="31"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75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954"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62" w:hRule="exact"/>
        </w:trPr>
        <w:tc>
          <w:tcPr>
            <w:tcW w:w="350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2753" w:type="dxa"/>
            <w:tcBorders>
              <w:top w:val="single" w:sz="12" w:space="0" w:color="000000"/>
              <w:left w:val="single" w:sz="6" w:space="0" w:color="000000"/>
              <w:bottom w:val="single" w:sz="12" w:space="0" w:color="000000"/>
              <w:right w:val="single" w:sz="6" w:space="0" w:color="000000"/>
            </w:tcBorders>
          </w:tcPr>
          <w:p>
            <w:pPr/>
          </w:p>
        </w:tc>
        <w:tc>
          <w:tcPr>
            <w:tcW w:w="2954"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3506"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数字社区信息服务平台</w:t>
            </w:r>
          </w:p>
        </w:tc>
        <w:tc>
          <w:tcPr>
            <w:tcW w:w="2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493,500.00</w:t>
            </w:r>
            <w:r>
              <w:rPr>
                <w:rFonts w:ascii="Times New Roman"/>
                <w:sz w:val="21"/>
              </w:rPr>
            </w:r>
          </w:p>
        </w:tc>
        <w:tc>
          <w:tcPr>
            <w:tcW w:w="29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6"/>
              <w:jc w:val="right"/>
              <w:rPr>
                <w:rFonts w:ascii="Times New Roman" w:hAnsi="Times New Roman" w:cs="Times New Roman" w:eastAsia="Times New Roman" w:hint="default"/>
                <w:sz w:val="21"/>
                <w:szCs w:val="21"/>
              </w:rPr>
            </w:pPr>
            <w:r>
              <w:rPr>
                <w:rFonts w:ascii="Times New Roman"/>
                <w:w w:val="95"/>
                <w:sz w:val="21"/>
              </w:rPr>
              <w:t>775,500.00</w:t>
            </w:r>
            <w:r>
              <w:rPr>
                <w:rFonts w:ascii="Times New Roman"/>
                <w:sz w:val="21"/>
              </w:rPr>
            </w:r>
          </w:p>
        </w:tc>
      </w:tr>
      <w:tr>
        <w:trPr>
          <w:trHeight w:val="362" w:hRule="exact"/>
        </w:trPr>
        <w:tc>
          <w:tcPr>
            <w:tcW w:w="350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城市数字化关键技术研究与示范</w:t>
            </w:r>
          </w:p>
        </w:tc>
        <w:tc>
          <w:tcPr>
            <w:tcW w:w="2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1,228,500.00</w:t>
            </w:r>
            <w:r>
              <w:rPr>
                <w:rFonts w:ascii="Times New Roman"/>
                <w:sz w:val="21"/>
              </w:rPr>
            </w:r>
          </w:p>
        </w:tc>
        <w:tc>
          <w:tcPr>
            <w:tcW w:w="29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1,606,500.00</w:t>
            </w:r>
            <w:r>
              <w:rPr>
                <w:rFonts w:ascii="Times New Roman"/>
                <w:sz w:val="21"/>
              </w:rPr>
            </w:r>
          </w:p>
        </w:tc>
      </w:tr>
      <w:tr>
        <w:trPr>
          <w:trHeight w:val="362" w:hRule="exact"/>
        </w:trPr>
        <w:tc>
          <w:tcPr>
            <w:tcW w:w="350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城镇体系规划监测关键技术研究</w:t>
            </w:r>
          </w:p>
        </w:tc>
        <w:tc>
          <w:tcPr>
            <w:tcW w:w="2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547,900.00</w:t>
            </w:r>
            <w:r>
              <w:rPr>
                <w:rFonts w:ascii="Times New Roman"/>
                <w:sz w:val="21"/>
              </w:rPr>
            </w:r>
          </w:p>
        </w:tc>
        <w:tc>
          <w:tcPr>
            <w:tcW w:w="29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1"/>
                <w:szCs w:val="21"/>
              </w:rPr>
            </w:pPr>
            <w:r>
              <w:rPr>
                <w:rFonts w:ascii="Times New Roman"/>
                <w:w w:val="95"/>
                <w:sz w:val="21"/>
              </w:rPr>
              <w:t>688,300.00</w:t>
            </w:r>
            <w:r>
              <w:rPr>
                <w:rFonts w:ascii="Times New Roman"/>
                <w:sz w:val="21"/>
              </w:rPr>
            </w:r>
          </w:p>
        </w:tc>
      </w:tr>
      <w:tr>
        <w:trPr>
          <w:trHeight w:val="362" w:hRule="exact"/>
        </w:trPr>
        <w:tc>
          <w:tcPr>
            <w:tcW w:w="3506" w:type="dxa"/>
            <w:tcBorders>
              <w:top w:val="single" w:sz="12" w:space="0" w:color="000000"/>
              <w:left w:val="single" w:sz="6" w:space="0" w:color="000000"/>
              <w:bottom w:val="single" w:sz="12" w:space="0" w:color="000000"/>
              <w:right w:val="single" w:sz="6" w:space="0" w:color="000000"/>
            </w:tcBorders>
          </w:tcPr>
          <w:p>
            <w:pPr>
              <w:pStyle w:val="TableParagraph"/>
              <w:tabs>
                <w:tab w:pos="419"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2,269,900.00</w:t>
            </w:r>
            <w:r>
              <w:rPr>
                <w:rFonts w:ascii="Times New Roman"/>
                <w:sz w:val="21"/>
              </w:rPr>
            </w:r>
          </w:p>
        </w:tc>
        <w:tc>
          <w:tcPr>
            <w:tcW w:w="29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3,070,300.00</w:t>
            </w:r>
            <w:r>
              <w:rPr>
                <w:rFonts w:ascii="Times New Roman"/>
                <w:sz w:val="21"/>
              </w:rPr>
            </w:r>
          </w:p>
        </w:tc>
      </w:tr>
    </w:tbl>
    <w:p>
      <w:pPr>
        <w:spacing w:line="240" w:lineRule="auto" w:before="5"/>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21</w:t>
      </w:r>
      <w:r>
        <w:rPr>
          <w:rFonts w:ascii="Microsoft JhengHei" w:hAnsi="Microsoft JhengHei" w:cs="Microsoft JhengHei" w:eastAsia="Microsoft JhengHei" w:hint="default"/>
          <w:b/>
          <w:bCs/>
          <w:sz w:val="21"/>
          <w:szCs w:val="21"/>
        </w:rPr>
        <w:t>、股本</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198"/>
        <w:gridCol w:w="1195"/>
        <w:gridCol w:w="1195"/>
        <w:gridCol w:w="1198"/>
        <w:gridCol w:w="1195"/>
        <w:gridCol w:w="1195"/>
        <w:gridCol w:w="1198"/>
        <w:gridCol w:w="1195"/>
      </w:tblGrid>
      <w:tr>
        <w:trPr>
          <w:trHeight w:val="401" w:hRule="exact"/>
        </w:trPr>
        <w:tc>
          <w:tcPr>
            <w:tcW w:w="1198"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198"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84,000,000.00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84,000,000.00</w:t>
            </w:r>
          </w:p>
        </w:tc>
      </w:tr>
    </w:tbl>
    <w:p>
      <w:pPr>
        <w:spacing w:before="51"/>
        <w:ind w:left="11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spacing w:before="63"/>
        <w:ind w:left="112" w:right="0"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9"/>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22</w:t>
      </w: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395"/>
        <w:gridCol w:w="1860"/>
        <w:gridCol w:w="1994"/>
        <w:gridCol w:w="1726"/>
        <w:gridCol w:w="1594"/>
      </w:tblGrid>
      <w:tr>
        <w:trPr>
          <w:trHeight w:val="403"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694,083,309.68</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694,083,309.68</w:t>
            </w:r>
          </w:p>
        </w:tc>
      </w:tr>
      <w:tr>
        <w:trPr>
          <w:trHeight w:val="403"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5" w:right="0"/>
              <w:jc w:val="left"/>
              <w:rPr>
                <w:rFonts w:ascii="Times New Roman" w:hAnsi="Times New Roman" w:cs="Times New Roman" w:eastAsia="Times New Roman" w:hint="default"/>
                <w:sz w:val="18"/>
                <w:szCs w:val="18"/>
              </w:rPr>
            </w:pPr>
            <w:r>
              <w:rPr>
                <w:rFonts w:ascii="Times New Roman"/>
                <w:sz w:val="18"/>
              </w:rPr>
              <w:t>3,145,030.00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3,145,030.00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395"/>
        <w:gridCol w:w="1860"/>
        <w:gridCol w:w="1992"/>
        <w:gridCol w:w="1728"/>
        <w:gridCol w:w="1594"/>
      </w:tblGrid>
      <w:tr>
        <w:trPr>
          <w:trHeight w:val="401"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23、盈余公积" w:id="216"/>
            <w:bookmarkEnd w:id="216"/>
            <w:r>
              <w:rPr/>
            </w:r>
            <w:bookmarkStart w:name="24、未分配利润" w:id="217"/>
            <w:bookmarkEnd w:id="217"/>
            <w:r>
              <w:rPr/>
            </w: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694,083,309.68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5" w:right="0"/>
              <w:jc w:val="left"/>
              <w:rPr>
                <w:rFonts w:ascii="Times New Roman" w:hAnsi="Times New Roman" w:cs="Times New Roman" w:eastAsia="Times New Roman" w:hint="default"/>
                <w:sz w:val="18"/>
                <w:szCs w:val="18"/>
              </w:rPr>
            </w:pPr>
            <w:r>
              <w:rPr>
                <w:rFonts w:ascii="Times New Roman"/>
                <w:sz w:val="18"/>
              </w:rPr>
              <w:t>3,145,030.00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697,228,339.68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before="68"/>
        <w:ind w:left="595" w:right="0" w:firstLine="0"/>
        <w:jc w:val="left"/>
        <w:rPr>
          <w:rFonts w:ascii="宋体" w:hAnsi="宋体" w:cs="宋体" w:eastAsia="宋体" w:hint="default"/>
          <w:sz w:val="21"/>
          <w:szCs w:val="21"/>
        </w:rPr>
      </w:pPr>
      <w:r>
        <w:rPr>
          <w:rFonts w:ascii="宋体" w:hAnsi="宋体" w:cs="宋体" w:eastAsia="宋体" w:hint="default"/>
          <w:sz w:val="24"/>
          <w:szCs w:val="24"/>
        </w:rPr>
        <w:t>根据公司股权激励计划，本年度</w:t>
      </w:r>
      <w:r>
        <w:rPr>
          <w:rFonts w:ascii="宋体" w:hAnsi="宋体" w:cs="宋体" w:eastAsia="宋体" w:hint="default"/>
          <w:sz w:val="21"/>
          <w:szCs w:val="21"/>
        </w:rPr>
        <w:t>以权益结算的股份支付确认的费用总额</w:t>
      </w:r>
      <w:r>
        <w:rPr>
          <w:rFonts w:ascii="Times New Roman" w:hAnsi="Times New Roman" w:cs="Times New Roman" w:eastAsia="Times New Roman" w:hint="default"/>
          <w:sz w:val="21"/>
          <w:szCs w:val="21"/>
        </w:rPr>
        <w:t>3,145,030.00</w:t>
      </w:r>
      <w:r>
        <w:rPr>
          <w:rFonts w:ascii="宋体" w:hAnsi="宋体" w:cs="宋体" w:eastAsia="宋体" w:hint="default"/>
          <w:sz w:val="21"/>
          <w:szCs w:val="21"/>
        </w:rPr>
        <w:t>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23</w:t>
      </w: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395"/>
        <w:gridCol w:w="1860"/>
        <w:gridCol w:w="1992"/>
        <w:gridCol w:w="1728"/>
        <w:gridCol w:w="1594"/>
      </w:tblGrid>
      <w:tr>
        <w:trPr>
          <w:trHeight w:val="401"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14,456,271.32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7,221,328.16</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21,677,599.48</w:t>
            </w:r>
          </w:p>
        </w:tc>
      </w:tr>
      <w:tr>
        <w:trPr>
          <w:trHeight w:val="401"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14,456,271.32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7,221,328.16</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21,677,599.48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pStyle w:val="BodyText"/>
        <w:spacing w:line="240" w:lineRule="auto" w:before="145"/>
        <w:ind w:left="595" w:right="0"/>
        <w:jc w:val="left"/>
      </w:pPr>
      <w:r>
        <w:rPr/>
        <w:t>根据公司法、章程的规定，本公司按净利润的10%提取法定盈余公积金。</w:t>
      </w:r>
    </w:p>
    <w:p>
      <w:pPr>
        <w:spacing w:line="240" w:lineRule="auto" w:before="6"/>
        <w:rPr>
          <w:rFonts w:ascii="宋体" w:hAnsi="宋体" w:cs="宋体" w:eastAsia="宋体" w:hint="default"/>
          <w:sz w:val="25"/>
          <w:szCs w:val="25"/>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24</w:t>
      </w: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718"/>
        <w:gridCol w:w="3730"/>
        <w:gridCol w:w="2122"/>
      </w:tblGrid>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105,909,229.66</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105,909,229.66</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72,229,938.08</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7,221,328.16</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154,117,839.58</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24" w:lineRule="auto"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经审计的利润数</w:t>
      </w:r>
    </w:p>
    <w:p>
      <w:pPr>
        <w:pStyle w:val="BodyText"/>
        <w:spacing w:line="357" w:lineRule="auto" w:before="85"/>
        <w:ind w:right="132" w:firstLine="482"/>
        <w:jc w:val="left"/>
      </w:pPr>
      <w:r>
        <w:rPr/>
        <w:t>2012年5月7日，公司2012年度股东大会审议通过以总股本84,000,000股为基数，向全体 股东每10股派发现金红利2元（含税），共计派发现金红利16,800,000元。</w:t>
      </w:r>
    </w:p>
    <w:p>
      <w:pPr>
        <w:spacing w:after="0" w:line="357"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9" w:right="0" w:firstLine="0"/>
        <w:jc w:val="left"/>
        <w:rPr>
          <w:rFonts w:ascii="Microsoft JhengHei" w:hAnsi="Microsoft JhengHei" w:cs="Microsoft JhengHei" w:eastAsia="Microsoft JhengHei" w:hint="default"/>
          <w:sz w:val="21"/>
          <w:szCs w:val="21"/>
        </w:rPr>
      </w:pPr>
      <w:bookmarkStart w:name="25、营业收入、营业成本" w:id="218"/>
      <w:bookmarkEnd w:id="218"/>
      <w:r>
        <w:rPr/>
      </w:r>
      <w:bookmarkStart w:name="（1）营业收入、营业成本" w:id="219"/>
      <w:bookmarkEnd w:id="219"/>
      <w:r>
        <w:rPr/>
      </w:r>
      <w:bookmarkStart w:name="（2）主营业务（分行业）" w:id="220"/>
      <w:bookmarkEnd w:id="220"/>
      <w:r>
        <w:rPr/>
      </w:r>
      <w:bookmarkStart w:name="（3）主营业务（分产品）" w:id="221"/>
      <w:bookmarkEnd w:id="221"/>
      <w:r>
        <w:rPr/>
      </w:r>
      <w:bookmarkStart w:name="（4）主营业务（分地区）" w:id="222"/>
      <w:bookmarkEnd w:id="222"/>
      <w:r>
        <w:rPr/>
      </w:r>
      <w:r>
        <w:rPr>
          <w:rFonts w:ascii="Times New Roman" w:hAnsi="Times New Roman" w:cs="Times New Roman" w:eastAsia="Times New Roman" w:hint="default"/>
          <w:b/>
          <w:bCs/>
          <w:sz w:val="21"/>
          <w:szCs w:val="21"/>
        </w:rPr>
        <w:t>25</w:t>
      </w:r>
      <w:r>
        <w:rPr>
          <w:rFonts w:ascii="Microsoft JhengHei" w:hAnsi="Microsoft JhengHei" w:cs="Microsoft JhengHei" w:eastAsia="Microsoft JhengHei" w:hint="default"/>
          <w:b/>
          <w:bCs/>
          <w:sz w:val="21"/>
          <w:szCs w:val="21"/>
        </w:rPr>
        <w:t>、营业收入、营业成本</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）营业收入、营业成本</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322"/>
        <w:gridCol w:w="3058"/>
        <w:gridCol w:w="3190"/>
      </w:tblGrid>
      <w:tr>
        <w:trPr>
          <w:trHeight w:val="403"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221,941,115.51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121,064,146.62</w:t>
            </w:r>
          </w:p>
        </w:tc>
      </w:tr>
      <w:tr>
        <w:trPr>
          <w:trHeight w:val="403"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401"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97,765,107.24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45,781,495.89</w:t>
            </w:r>
          </w:p>
        </w:tc>
      </w:tr>
    </w:tbl>
    <w:p>
      <w:pPr>
        <w:spacing w:line="240" w:lineRule="auto" w:before="5"/>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）主营业务（分行业）</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3"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智慧城市管理领域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204,000,889.58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91,048,093.77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106,785,263.79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42,747,330.49</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国土资源管理与城市规划领域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17,940,225.93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6,717,013.47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14,278,882.83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3,034,165.40</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221,941,115.51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97,765,107.24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121,064,146.62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45,781,495.89</w:t>
            </w:r>
          </w:p>
        </w:tc>
      </w:tr>
    </w:tbl>
    <w:p>
      <w:pPr>
        <w:spacing w:line="240" w:lineRule="auto" w:before="5"/>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）主营业务（分产品）</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164,907,298.40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55,248,074.66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89,740,279.53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22,913,067.82</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22,016,458.87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16,965,461.38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9,945,314.63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8,648,712.22</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35,017,358.24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25,551,571.20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21,378,552.46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14,219,715.85</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221,941,115.51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97,765,107.24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121,064,146.62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45,781,495.89</w:t>
            </w:r>
          </w:p>
        </w:tc>
      </w:tr>
    </w:tbl>
    <w:p>
      <w:pPr>
        <w:spacing w:line="240" w:lineRule="auto" w:before="2"/>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）主营业务（分地区）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121,605,326.68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52,581,863.58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71,977,509.94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27,590,529.44</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100,335,788.83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45,183,243.66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49,086,636.68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18,190,966.45</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221,941,115.51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97,765,107.24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121,064,146.62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45,781,495.89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2" w:right="0" w:firstLine="0"/>
        <w:jc w:val="left"/>
        <w:rPr>
          <w:rFonts w:ascii="Microsoft JhengHei" w:hAnsi="Microsoft JhengHei" w:cs="Microsoft JhengHei" w:eastAsia="Microsoft JhengHei" w:hint="default"/>
          <w:sz w:val="21"/>
          <w:szCs w:val="21"/>
        </w:rPr>
      </w:pPr>
      <w:bookmarkStart w:name="（5）公司前五名客户的营业收入情况" w:id="223"/>
      <w:bookmarkEnd w:id="223"/>
      <w:r>
        <w:rPr/>
      </w:r>
      <w:bookmarkStart w:name="26、营业税金及附加" w:id="224"/>
      <w:bookmarkEnd w:id="224"/>
      <w:r>
        <w:rPr/>
      </w:r>
      <w:bookmarkStart w:name="27、销售费用" w:id="225"/>
      <w:bookmarkEnd w:id="225"/>
      <w:r>
        <w:rPr/>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）公司前五名客户的营业收入情况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594"/>
        <w:gridCol w:w="2849"/>
        <w:gridCol w:w="4126"/>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洛阳市城市监察管理局</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13,907,807.69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6.27%</w:t>
            </w:r>
          </w:p>
        </w:tc>
      </w:tr>
      <w:tr>
        <w:trPr>
          <w:trHeight w:val="71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天津市滨海新区环境保护和市容 管理局</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11,148,717.91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5.02%</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云南省国土资源厅</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8,634,187.99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3.89%</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大武口区住房保障和城市管理局</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8,289,878.42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3.74%</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温州市城市管理与行政执法局</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8,619,537.39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3.88%</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50,600,129.40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12"/>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26</w:t>
      </w:r>
      <w:r>
        <w:rPr>
          <w:rFonts w:ascii="Microsoft JhengHei" w:hAnsi="Microsoft JhengHei" w:cs="Microsoft JhengHei" w:eastAsia="Microsoft JhengHei" w:hint="default"/>
          <w:b/>
          <w:bCs/>
          <w:sz w:val="21"/>
          <w:szCs w:val="21"/>
        </w:rPr>
        <w:t>、营业税金及附加</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794"/>
        <w:gridCol w:w="1992"/>
        <w:gridCol w:w="1862"/>
        <w:gridCol w:w="2921"/>
      </w:tblGrid>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773,939.19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1,217,335.66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1,352,638.16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1,135,959.81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966,170.11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486,839.92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3,092,747.46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2,840,135.39</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12"/>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27</w:t>
      </w:r>
      <w:r>
        <w:rPr>
          <w:rFonts w:ascii="Microsoft JhengHei" w:hAnsi="Microsoft JhengHei" w:cs="Microsoft JhengHei" w:eastAsia="Microsoft JhengHei" w:hint="default"/>
          <w:b/>
          <w:bCs/>
          <w:sz w:val="21"/>
          <w:szCs w:val="21"/>
        </w:rPr>
        <w:t>、销售费用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7,639,001.67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7,322,686.49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5,939,563.48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6,565,554.96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1,962,960.85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1,008,450.54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1,334,046.42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1,598,882.10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568,528.73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247,759.71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155,276.00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219,170.00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137,921.13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144,668.46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60,240.94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49,509.58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84,500.00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28、管理费用" w:id="226"/>
            <w:bookmarkEnd w:id="226"/>
            <w:r>
              <w:rPr/>
            </w:r>
            <w:bookmarkStart w:name="29、财务费用" w:id="227"/>
            <w:bookmarkEnd w:id="227"/>
            <w:r>
              <w:rPr/>
            </w:r>
            <w:bookmarkStart w:name="30、资产减值损失" w:id="228"/>
            <w:bookmarkEnd w:id="228"/>
            <w:r>
              <w:rPr/>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283,132.70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590,233.60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18,453,471.92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17,831,415.44</w:t>
            </w:r>
          </w:p>
        </w:tc>
      </w:tr>
    </w:tbl>
    <w:p>
      <w:pPr>
        <w:spacing w:line="240" w:lineRule="auto" w:before="2"/>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28</w:t>
      </w:r>
      <w:r>
        <w:rPr>
          <w:rFonts w:ascii="Microsoft JhengHei" w:hAnsi="Microsoft JhengHei" w:cs="Microsoft JhengHei" w:eastAsia="Microsoft JhengHei" w:hint="default"/>
          <w:b/>
          <w:bCs/>
          <w:sz w:val="21"/>
          <w:szCs w:val="21"/>
        </w:rPr>
        <w:t>、管理费用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26,174,259.64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15,850,160.78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5,570,685.00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2,994,849.30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4,812,150.00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577,200.00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3,145,030.00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2,888,788.59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2,275,048.44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办公场租物业费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1,403,418.13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1,473,053.32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904,946.37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302,434.99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374,350.37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343,771.83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审计测评费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358,190.00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348,553.00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297,523.01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160,408.00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公共人事费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294,999.50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158,326.40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2,384,163.00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1,057,730.42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48,608,503.61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25,541,536.48</w:t>
            </w:r>
          </w:p>
        </w:tc>
      </w:tr>
    </w:tbl>
    <w:p>
      <w:pPr>
        <w:spacing w:line="240" w:lineRule="auto" w:before="5"/>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29</w:t>
      </w:r>
      <w:r>
        <w:rPr>
          <w:rFonts w:ascii="Microsoft JhengHei" w:hAnsi="Microsoft JhengHei" w:cs="Microsoft JhengHei" w:eastAsia="Microsoft JhengHei" w:hint="default"/>
          <w:b/>
          <w:bCs/>
          <w:sz w:val="21"/>
          <w:szCs w:val="21"/>
        </w:rPr>
        <w:t>、财务费用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-19,890,751.86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-17,308,351.63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38,196.62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55,625.66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-19,852,555.24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-17,252,725.97</w:t>
            </w:r>
          </w:p>
        </w:tc>
      </w:tr>
    </w:tbl>
    <w:p>
      <w:pPr>
        <w:spacing w:line="240" w:lineRule="auto" w:before="5"/>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30</w:t>
      </w:r>
      <w:r>
        <w:rPr>
          <w:rFonts w:ascii="Microsoft JhengHei" w:hAnsi="Microsoft JhengHei" w:cs="Microsoft JhengHei" w:eastAsia="Microsoft JhengHei" w:hint="default"/>
          <w:b/>
          <w:bCs/>
          <w:sz w:val="21"/>
          <w:szCs w:val="21"/>
        </w:rPr>
        <w:t>、资产减值损失</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4255"/>
        <w:gridCol w:w="2525"/>
        <w:gridCol w:w="2789"/>
      </w:tblGrid>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4,967,269.26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2,833,181.86</w:t>
            </w: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4,967,269.26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2,833,181.86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9" w:right="0" w:firstLine="0"/>
        <w:jc w:val="left"/>
        <w:rPr>
          <w:rFonts w:ascii="Microsoft JhengHei" w:hAnsi="Microsoft JhengHei" w:cs="Microsoft JhengHei" w:eastAsia="Microsoft JhengHei" w:hint="default"/>
          <w:sz w:val="21"/>
          <w:szCs w:val="21"/>
        </w:rPr>
      </w:pPr>
      <w:bookmarkStart w:name="31、营业外收入" w:id="229"/>
      <w:bookmarkEnd w:id="229"/>
      <w:r>
        <w:rPr/>
      </w:r>
      <w:bookmarkStart w:name="（1）营业外收入情况" w:id="230"/>
      <w:bookmarkEnd w:id="230"/>
      <w:r>
        <w:rPr/>
      </w:r>
      <w:bookmarkStart w:name="（2）政府补助明细" w:id="231"/>
      <w:bookmarkEnd w:id="231"/>
      <w:r>
        <w:rPr/>
      </w:r>
      <w:bookmarkStart w:name="32、营业外支出" w:id="232"/>
      <w:bookmarkEnd w:id="232"/>
      <w:r>
        <w:rPr/>
      </w:r>
      <w:r>
        <w:rPr>
          <w:rFonts w:ascii="Times New Roman" w:hAnsi="Times New Roman" w:cs="Times New Roman" w:eastAsia="Times New Roman" w:hint="default"/>
          <w:b/>
          <w:bCs/>
          <w:sz w:val="21"/>
          <w:szCs w:val="21"/>
        </w:rPr>
        <w:t>31</w:t>
      </w:r>
      <w:r>
        <w:rPr>
          <w:rFonts w:ascii="Microsoft JhengHei" w:hAnsi="Microsoft JhengHei" w:cs="Microsoft JhengHei" w:eastAsia="Microsoft JhengHei" w:hint="default"/>
          <w:b/>
          <w:bCs/>
          <w:sz w:val="21"/>
          <w:szCs w:val="21"/>
        </w:rPr>
        <w:t>、营业外收入</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）营业外收入情况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293"/>
        <w:gridCol w:w="1956"/>
        <w:gridCol w:w="2160"/>
        <w:gridCol w:w="2160"/>
      </w:tblGrid>
      <w:tr>
        <w:trPr>
          <w:trHeight w:val="715"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95" w:right="83" w:hanging="809"/>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185.10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11,143,122.95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17,277,361.96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3,512,780.00</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11,143,122.95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17,277,547.06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3,512,780.00</w:t>
            </w:r>
          </w:p>
        </w:tc>
      </w:tr>
    </w:tbl>
    <w:p>
      <w:pPr>
        <w:spacing w:line="240" w:lineRule="auto" w:before="2"/>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）政府补助明细</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662"/>
        <w:gridCol w:w="1992"/>
        <w:gridCol w:w="1994"/>
        <w:gridCol w:w="2921"/>
      </w:tblGrid>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7,630,342.95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11,774,546.60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空间数据库协同审批平台研究与 应用</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611,380.00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收益性政府补助</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卫星课题</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收益性政府补助</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行业信息化应用方案 开发及产业化</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2,500,096.08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收益性政府补助</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年海淀区重大科技成果转化 和产业化专项资金</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收益性政府补助</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网络的职能化城市管理 系统及专用智能终端开发</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411,019.28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收益性政府补助</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城市数字化关键技术研究与示范</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378,000.00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283,500.00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资产性政府补助</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数字社区服务信息平台</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282,000.00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资产性政府补助</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中关村技术标准资助标准专项资 助资金</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收益性政府补助</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村镇建设信息化需求研究</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收益性政府补助</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城镇体系规划监测关键技术研究</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140,400.00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11,700.00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资产性政府补助</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北京中关村信用促进会补贴费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收益性政府补助</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11,143,122.95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17,277,361.96</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9"/>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32</w:t>
      </w:r>
      <w:r>
        <w:rPr>
          <w:rFonts w:ascii="Microsoft JhengHei" w:hAnsi="Microsoft JhengHei" w:cs="Microsoft JhengHei" w:eastAsia="Microsoft JhengHei" w:hint="default"/>
          <w:b/>
          <w:bCs/>
          <w:sz w:val="21"/>
          <w:szCs w:val="21"/>
        </w:rPr>
        <w:t>、营业外支出</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7"/>
          <w:szCs w:val="17"/>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3720"/>
        <w:gridCol w:w="2021"/>
        <w:gridCol w:w="1915"/>
        <w:gridCol w:w="1913"/>
      </w:tblGrid>
      <w:tr>
        <w:trPr>
          <w:trHeight w:val="71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bookmarkStart w:name="33、所得税费用" w:id="233"/>
            <w:bookmarkEnd w:id="233"/>
            <w:r>
              <w:rPr/>
            </w:r>
            <w:bookmarkStart w:name="34、基本每股收益和稀释每股收益的计算过程" w:id="234"/>
            <w:bookmarkEnd w:id="234"/>
            <w:r>
              <w:rPr/>
            </w:r>
            <w:r>
              <w:rPr>
                <w:rFonts w:ascii="宋体" w:hAnsi="宋体" w:cs="宋体" w:eastAsia="宋体" w:hint="default"/>
                <w:sz w:val="18"/>
                <w:szCs w:val="18"/>
              </w:rPr>
              <w:t>项目</w:t>
            </w:r>
          </w:p>
        </w:tc>
        <w:tc>
          <w:tcPr>
            <w:tcW w:w="2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681"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4,241.24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4,241.24</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4,241.24</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4,241.24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4,241.24</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9"/>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33</w:t>
      </w:r>
      <w:r>
        <w:rPr>
          <w:rFonts w:ascii="Microsoft JhengHei" w:hAnsi="Microsoft JhengHei" w:cs="Microsoft JhengHei" w:eastAsia="Microsoft JhengHei" w:hint="default"/>
          <w:b/>
          <w:bCs/>
          <w:sz w:val="21"/>
          <w:szCs w:val="21"/>
        </w:rPr>
        <w:t>、所得税费用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656"/>
        <w:gridCol w:w="2522"/>
        <w:gridCol w:w="2390"/>
      </w:tblGrid>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8,349,840.85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9,288,468.51</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-498,325.96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-443,389.96</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7,851,514.89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8,845,078.55</w:t>
            </w:r>
          </w:p>
        </w:tc>
      </w:tr>
    </w:tbl>
    <w:p>
      <w:pPr>
        <w:spacing w:line="240" w:lineRule="auto" w:before="2"/>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34</w:t>
      </w:r>
      <w:r>
        <w:rPr>
          <w:rFonts w:ascii="Microsoft JhengHei" w:hAnsi="Microsoft JhengHei" w:cs="Microsoft JhengHei" w:eastAsia="Microsoft JhengHei" w:hint="default"/>
          <w:b/>
          <w:bCs/>
          <w:sz w:val="21"/>
          <w:szCs w:val="21"/>
        </w:rPr>
        <w:t>、基本每股收益和稀释每股收益的计算过程</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357" w:lineRule="auto" w:before="0"/>
        <w:ind w:right="148" w:firstLine="482"/>
        <w:jc w:val="both"/>
      </w:pPr>
      <w:r>
        <w:rPr/>
        <w:t>基本每股收益按照归属于本公司普通股股东的当期净利润，除以发行在外普通股的加权 平均数计算。新发行普通股股数，根据发行合同的具体条款，从应收对价之日（一般为股票 发行日）起计算确定。</w:t>
      </w:r>
    </w:p>
    <w:p>
      <w:pPr>
        <w:pStyle w:val="BodyText"/>
        <w:spacing w:line="240" w:lineRule="auto"/>
        <w:ind w:left="595" w:right="0"/>
        <w:jc w:val="left"/>
      </w:pPr>
      <w:r>
        <w:rPr/>
        <w:t>稀释每股收益的分子以归属于本公司普通股股东的当期净利润，调整下述因素后确定：</w:t>
      </w:r>
    </w:p>
    <w:p>
      <w:pPr>
        <w:pStyle w:val="BodyText"/>
        <w:spacing w:line="357" w:lineRule="auto" w:before="154"/>
        <w:ind w:right="134"/>
        <w:jc w:val="left"/>
      </w:pPr>
      <w:r>
        <w:rPr/>
        <w:t>（1）当期已确认为费用的稀释性潜在普通股的利息；（2）稀释性潜在普通股转换时将产生 的收益或费用；以及（3）上述调整相关的所得税影响。</w:t>
      </w:r>
    </w:p>
    <w:p>
      <w:pPr>
        <w:pStyle w:val="BodyText"/>
        <w:spacing w:line="357" w:lineRule="auto"/>
        <w:ind w:right="112" w:firstLine="482"/>
        <w:jc w:val="both"/>
      </w:pPr>
      <w:r>
        <w:rPr>
          <w:spacing w:val="-3"/>
        </w:rPr>
        <w:t>稀释每股收益的分母等于下列两项之和：（1）基本每股收益中母公司已发行普通股的加</w:t>
      </w:r>
      <w:r>
        <w:rPr/>
        <w:t> 权平均数；及（2）假定稀释性潜在普通股转换为普通股而增加的普通股的加权平均数。</w:t>
      </w:r>
    </w:p>
    <w:p>
      <w:pPr>
        <w:pStyle w:val="BodyText"/>
        <w:spacing w:line="357" w:lineRule="auto"/>
        <w:ind w:right="148" w:firstLine="482"/>
        <w:jc w:val="both"/>
      </w:pPr>
      <w:r>
        <w:rPr/>
        <w:t>在计算稀释性潜在普通股转换为已发行普通股而增加的普通股股数的加权平均数时，以 前期间发行的稀释性潜在普通股，假设在当年年初转换；当年发行的稀释性潜在普通股，假 设在发行日转换。</w:t>
      </w:r>
    </w:p>
    <w:p>
      <w:pPr>
        <w:pStyle w:val="BodyText"/>
        <w:spacing w:line="240" w:lineRule="auto"/>
        <w:ind w:left="595" w:right="0"/>
        <w:jc w:val="left"/>
      </w:pPr>
      <w:r>
        <w:rPr/>
        <w:t>（1）各期基本每股收益和稀释每股收益金额列示</w:t>
      </w:r>
    </w:p>
    <w:p>
      <w:pPr>
        <w:spacing w:line="240" w:lineRule="auto" w:before="8"/>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213"/>
        <w:gridCol w:w="1440"/>
        <w:gridCol w:w="1894"/>
        <w:gridCol w:w="1618"/>
        <w:gridCol w:w="2050"/>
      </w:tblGrid>
      <w:tr>
        <w:trPr>
          <w:trHeight w:val="348" w:hRule="exact"/>
        </w:trPr>
        <w:tc>
          <w:tcPr>
            <w:tcW w:w="2213" w:type="dxa"/>
            <w:vMerge w:val="restart"/>
            <w:tcBorders>
              <w:top w:val="single" w:sz="6" w:space="0" w:color="000000"/>
              <w:left w:val="single" w:sz="6" w:space="0" w:color="000000"/>
              <w:right w:val="single" w:sz="6" w:space="0" w:color="000000"/>
            </w:tcBorders>
          </w:tcPr>
          <w:p>
            <w:pPr>
              <w:pStyle w:val="TableParagraph"/>
              <w:spacing w:line="272" w:lineRule="exact"/>
              <w:ind w:left="57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3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667" w:type="dxa"/>
            <w:gridSpan w:val="2"/>
            <w:tcBorders>
              <w:top w:val="single" w:sz="6" w:space="0" w:color="000000"/>
              <w:left w:val="single" w:sz="6" w:space="0" w:color="000000"/>
              <w:bottom w:val="single" w:sz="6"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62" w:hRule="exact"/>
        </w:trPr>
        <w:tc>
          <w:tcPr>
            <w:tcW w:w="2213" w:type="dxa"/>
            <w:vMerge/>
            <w:tcBorders>
              <w:left w:val="single" w:sz="6" w:space="0" w:color="000000"/>
              <w:bottom w:val="single" w:sz="12"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84"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0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0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left="388"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60" w:hRule="exact"/>
        </w:trPr>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21"/>
                <w:szCs w:val="21"/>
              </w:rPr>
            </w:pPr>
            <w:r>
              <w:rPr>
                <w:rFonts w:ascii="Times New Roman"/>
                <w:w w:val="95"/>
                <w:sz w:val="21"/>
              </w:rPr>
              <w:t>0.86</w:t>
            </w:r>
            <w:r>
              <w:rPr>
                <w:rFonts w:ascii="Times New Roman"/>
                <w:sz w:val="21"/>
              </w:rPr>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21"/>
                <w:szCs w:val="21"/>
              </w:rPr>
            </w:pPr>
            <w:r>
              <w:rPr>
                <w:rFonts w:ascii="Times New Roman"/>
                <w:w w:val="95"/>
                <w:sz w:val="21"/>
              </w:rPr>
              <w:t>0.84</w:t>
            </w:r>
            <w:r>
              <w:rPr>
                <w:rFonts w:ascii="Times New Roman"/>
                <w:sz w:val="21"/>
              </w:rPr>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21"/>
                <w:szCs w:val="21"/>
              </w:rPr>
            </w:pPr>
            <w:r>
              <w:rPr>
                <w:rFonts w:ascii="Times New Roman"/>
                <w:w w:val="95"/>
                <w:sz w:val="21"/>
              </w:rPr>
              <w:t>0.62</w:t>
            </w:r>
            <w:r>
              <w:rPr>
                <w:rFonts w:ascii="Times New Roman"/>
                <w:sz w:val="21"/>
              </w:rPr>
            </w:r>
          </w:p>
        </w:tc>
        <w:tc>
          <w:tcPr>
            <w:tcW w:w="20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right="6"/>
              <w:jc w:val="right"/>
              <w:rPr>
                <w:rFonts w:ascii="Times New Roman" w:hAnsi="Times New Roman" w:cs="Times New Roman" w:eastAsia="Times New Roman" w:hint="default"/>
                <w:sz w:val="21"/>
                <w:szCs w:val="21"/>
              </w:rPr>
            </w:pPr>
            <w:r>
              <w:rPr>
                <w:rFonts w:ascii="Times New Roman"/>
                <w:spacing w:val="-1"/>
                <w:sz w:val="21"/>
              </w:rPr>
              <w:t>0.62</w:t>
            </w:r>
          </w:p>
        </w:tc>
      </w:tr>
      <w:tr>
        <w:trPr>
          <w:trHeight w:val="351" w:hRule="exact"/>
        </w:trPr>
        <w:tc>
          <w:tcPr>
            <w:tcW w:w="2213" w:type="dxa"/>
            <w:tcBorders>
              <w:top w:val="single" w:sz="6" w:space="0" w:color="000000"/>
              <w:left w:val="single" w:sz="6" w:space="0" w:color="000000"/>
              <w:bottom w:val="nil" w:sz="6" w:space="0" w:color="auto"/>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宋体" w:hAnsi="宋体" w:cs="宋体" w:eastAsia="宋体" w:hint="default"/>
                <w:spacing w:val="-209"/>
                <w:w w:val="99"/>
                <w:position w:val="5"/>
                <w:sz w:val="21"/>
                <w:szCs w:val="21"/>
              </w:rPr>
              <w:t>的</w:t>
            </w:r>
            <w:r>
              <w:rPr>
                <w:rFonts w:ascii="宋体" w:hAnsi="宋体" w:cs="宋体" w:eastAsia="宋体" w:hint="default"/>
                <w:spacing w:val="2"/>
                <w:w w:val="99"/>
                <w:sz w:val="21"/>
                <w:szCs w:val="21"/>
              </w:rPr>
              <w:t>扣</w:t>
            </w:r>
            <w:r>
              <w:rPr>
                <w:rFonts w:ascii="宋体" w:hAnsi="宋体" w:cs="宋体" w:eastAsia="宋体" w:hint="default"/>
                <w:spacing w:val="-209"/>
                <w:w w:val="99"/>
                <w:position w:val="5"/>
                <w:sz w:val="21"/>
                <w:szCs w:val="21"/>
              </w:rPr>
              <w:t>净</w:t>
            </w:r>
            <w:r>
              <w:rPr>
                <w:rFonts w:ascii="宋体" w:hAnsi="宋体" w:cs="宋体" w:eastAsia="宋体" w:hint="default"/>
                <w:w w:val="99"/>
                <w:sz w:val="21"/>
                <w:szCs w:val="21"/>
              </w:rPr>
              <w:t>除</w:t>
            </w:r>
            <w:r>
              <w:rPr>
                <w:rFonts w:ascii="宋体" w:hAnsi="宋体" w:cs="宋体" w:eastAsia="宋体" w:hint="default"/>
                <w:spacing w:val="-209"/>
                <w:w w:val="99"/>
                <w:position w:val="5"/>
                <w:sz w:val="21"/>
                <w:szCs w:val="21"/>
              </w:rPr>
              <w:t>利</w:t>
            </w:r>
            <w:r>
              <w:rPr>
                <w:rFonts w:ascii="宋体" w:hAnsi="宋体" w:cs="宋体" w:eastAsia="宋体" w:hint="default"/>
                <w:spacing w:val="2"/>
                <w:w w:val="99"/>
                <w:sz w:val="21"/>
                <w:szCs w:val="21"/>
              </w:rPr>
              <w:t>非</w:t>
            </w:r>
            <w:r>
              <w:rPr>
                <w:rFonts w:ascii="宋体" w:hAnsi="宋体" w:cs="宋体" w:eastAsia="宋体" w:hint="default"/>
                <w:spacing w:val="-209"/>
                <w:w w:val="99"/>
                <w:position w:val="5"/>
                <w:sz w:val="21"/>
                <w:szCs w:val="21"/>
              </w:rPr>
              <w:t>润</w:t>
            </w:r>
            <w:r>
              <w:rPr>
                <w:rFonts w:ascii="宋体" w:hAnsi="宋体" w:cs="宋体" w:eastAsia="宋体" w:hint="default"/>
                <w:w w:val="99"/>
                <w:sz w:val="21"/>
                <w:szCs w:val="21"/>
              </w:rPr>
              <w:t>经</w:t>
            </w:r>
            <w:r>
              <w:rPr>
                <w:rFonts w:ascii="宋体" w:hAnsi="宋体" w:cs="宋体" w:eastAsia="宋体" w:hint="default"/>
                <w:spacing w:val="2"/>
                <w:w w:val="99"/>
                <w:sz w:val="21"/>
                <w:szCs w:val="21"/>
              </w:rPr>
              <w:t>常</w:t>
            </w:r>
            <w:r>
              <w:rPr>
                <w:rFonts w:ascii="宋体" w:hAnsi="宋体" w:cs="宋体" w:eastAsia="宋体" w:hint="default"/>
                <w:w w:val="99"/>
                <w:sz w:val="21"/>
                <w:szCs w:val="21"/>
              </w:rPr>
              <w:t>性</w:t>
            </w:r>
            <w:r>
              <w:rPr>
                <w:rFonts w:ascii="宋体" w:hAnsi="宋体" w:cs="宋体" w:eastAsia="宋体" w:hint="default"/>
                <w:spacing w:val="2"/>
                <w:w w:val="99"/>
                <w:sz w:val="21"/>
                <w:szCs w:val="21"/>
              </w:rPr>
              <w:t>损</w:t>
            </w:r>
            <w:r>
              <w:rPr>
                <w:rFonts w:ascii="宋体" w:hAnsi="宋体" w:cs="宋体" w:eastAsia="宋体" w:hint="default"/>
                <w:w w:val="99"/>
                <w:sz w:val="21"/>
                <w:szCs w:val="21"/>
              </w:rPr>
              <w:t>益</w:t>
            </w:r>
            <w:r>
              <w:rPr>
                <w:rFonts w:ascii="宋体" w:hAnsi="宋体" w:cs="宋体" w:eastAsia="宋体" w:hint="default"/>
                <w:spacing w:val="2"/>
                <w:w w:val="99"/>
                <w:sz w:val="21"/>
                <w:szCs w:val="21"/>
              </w:rPr>
              <w:t>后</w:t>
            </w:r>
            <w:r>
              <w:rPr>
                <w:rFonts w:ascii="宋体" w:hAnsi="宋体" w:cs="宋体" w:eastAsia="宋体" w:hint="default"/>
                <w:w w:val="99"/>
                <w:sz w:val="21"/>
                <w:szCs w:val="21"/>
              </w:rPr>
              <w:t>归</w:t>
            </w:r>
            <w:r>
              <w:rPr>
                <w:rFonts w:ascii="宋体" w:hAnsi="宋体" w:cs="宋体" w:eastAsia="宋体" w:hint="default"/>
                <w:sz w:val="21"/>
                <w:szCs w:val="21"/>
              </w:rPr>
            </w:r>
          </w:p>
        </w:tc>
        <w:tc>
          <w:tcPr>
            <w:tcW w:w="14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0.82</w:t>
            </w:r>
            <w:r>
              <w:rPr>
                <w:rFonts w:ascii="Times New Roman"/>
                <w:sz w:val="21"/>
              </w:rPr>
            </w:r>
          </w:p>
        </w:tc>
        <w:tc>
          <w:tcPr>
            <w:tcW w:w="18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0.80</w:t>
            </w:r>
            <w:r>
              <w:rPr>
                <w:rFonts w:ascii="Times New Roman"/>
                <w:sz w:val="21"/>
              </w:rPr>
            </w:r>
          </w:p>
        </w:tc>
        <w:tc>
          <w:tcPr>
            <w:tcW w:w="16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0.56</w:t>
            </w:r>
            <w:r>
              <w:rPr>
                <w:rFonts w:ascii="Times New Roman"/>
                <w:sz w:val="21"/>
              </w:rPr>
            </w:r>
          </w:p>
        </w:tc>
        <w:tc>
          <w:tcPr>
            <w:tcW w:w="2050" w:type="dxa"/>
            <w:tcBorders>
              <w:top w:val="single" w:sz="6" w:space="0" w:color="000000"/>
              <w:left w:val="single" w:sz="6" w:space="0" w:color="000000"/>
              <w:bottom w:val="nil" w:sz="6" w:space="0" w:color="auto"/>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21"/>
                <w:szCs w:val="21"/>
              </w:rPr>
            </w:pPr>
            <w:r>
              <w:rPr>
                <w:rFonts w:ascii="Times New Roman"/>
                <w:spacing w:val="-1"/>
                <w:sz w:val="21"/>
              </w:rPr>
              <w:t>0.56</w:t>
            </w:r>
          </w:p>
        </w:tc>
      </w:tr>
      <w:tr>
        <w:trPr>
          <w:trHeight w:val="306" w:hRule="exact"/>
        </w:trPr>
        <w:tc>
          <w:tcPr>
            <w:tcW w:w="221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4" w:right="0"/>
              <w:jc w:val="left"/>
              <w:rPr>
                <w:rFonts w:ascii="宋体" w:hAnsi="宋体" w:cs="宋体" w:eastAsia="宋体" w:hint="default"/>
                <w:sz w:val="21"/>
                <w:szCs w:val="21"/>
              </w:rPr>
            </w:pPr>
            <w:r>
              <w:rPr>
                <w:rFonts w:ascii="宋体" w:hAnsi="宋体" w:cs="宋体" w:eastAsia="宋体" w:hint="default"/>
                <w:sz w:val="21"/>
                <w:szCs w:val="21"/>
              </w:rPr>
              <w:t>属于公司普通股股东的</w:t>
            </w:r>
          </w:p>
        </w:tc>
        <w:tc>
          <w:tcPr>
            <w:tcW w:w="1440" w:type="dxa"/>
            <w:tcBorders>
              <w:top w:val="nil" w:sz="6" w:space="0" w:color="auto"/>
              <w:left w:val="single" w:sz="6" w:space="0" w:color="000000"/>
              <w:bottom w:val="nil" w:sz="6" w:space="0" w:color="auto"/>
              <w:right w:val="single" w:sz="6" w:space="0" w:color="000000"/>
            </w:tcBorders>
          </w:tcPr>
          <w:p>
            <w:pPr/>
          </w:p>
        </w:tc>
        <w:tc>
          <w:tcPr>
            <w:tcW w:w="1894" w:type="dxa"/>
            <w:tcBorders>
              <w:top w:val="nil" w:sz="6" w:space="0" w:color="auto"/>
              <w:left w:val="single" w:sz="6" w:space="0" w:color="000000"/>
              <w:bottom w:val="nil" w:sz="6" w:space="0" w:color="auto"/>
              <w:right w:val="single" w:sz="6" w:space="0" w:color="000000"/>
            </w:tcBorders>
          </w:tcPr>
          <w:p>
            <w:pPr/>
          </w:p>
        </w:tc>
        <w:tc>
          <w:tcPr>
            <w:tcW w:w="1618" w:type="dxa"/>
            <w:tcBorders>
              <w:top w:val="nil" w:sz="6" w:space="0" w:color="auto"/>
              <w:left w:val="single" w:sz="6" w:space="0" w:color="000000"/>
              <w:bottom w:val="nil" w:sz="6" w:space="0" w:color="auto"/>
              <w:right w:val="single" w:sz="6" w:space="0" w:color="000000"/>
            </w:tcBorders>
          </w:tcPr>
          <w:p>
            <w:pPr/>
          </w:p>
        </w:tc>
        <w:tc>
          <w:tcPr>
            <w:tcW w:w="2050" w:type="dxa"/>
            <w:tcBorders>
              <w:top w:val="nil" w:sz="6" w:space="0" w:color="auto"/>
              <w:left w:val="single" w:sz="6" w:space="0" w:color="000000"/>
              <w:bottom w:val="nil" w:sz="6" w:space="0" w:color="auto"/>
              <w:right w:val="nil" w:sz="6" w:space="0" w:color="auto"/>
            </w:tcBorders>
          </w:tcPr>
          <w:p>
            <w:pPr/>
          </w:p>
        </w:tc>
      </w:tr>
      <w:tr>
        <w:trPr>
          <w:trHeight w:val="337" w:hRule="exact"/>
        </w:trPr>
        <w:tc>
          <w:tcPr>
            <w:tcW w:w="2213"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40" w:type="dxa"/>
            <w:tcBorders>
              <w:top w:val="nil" w:sz="6" w:space="0" w:color="auto"/>
              <w:left w:val="single" w:sz="6" w:space="0" w:color="000000"/>
              <w:bottom w:val="single" w:sz="12" w:space="0" w:color="000000"/>
              <w:right w:val="single" w:sz="6" w:space="0" w:color="000000"/>
            </w:tcBorders>
          </w:tcPr>
          <w:p>
            <w:pPr/>
          </w:p>
        </w:tc>
        <w:tc>
          <w:tcPr>
            <w:tcW w:w="1894" w:type="dxa"/>
            <w:tcBorders>
              <w:top w:val="nil" w:sz="6" w:space="0" w:color="auto"/>
              <w:left w:val="single" w:sz="6" w:space="0" w:color="000000"/>
              <w:bottom w:val="single" w:sz="12" w:space="0" w:color="000000"/>
              <w:right w:val="single" w:sz="6" w:space="0" w:color="000000"/>
            </w:tcBorders>
          </w:tcPr>
          <w:p>
            <w:pPr/>
          </w:p>
        </w:tc>
        <w:tc>
          <w:tcPr>
            <w:tcW w:w="1618" w:type="dxa"/>
            <w:tcBorders>
              <w:top w:val="nil" w:sz="6" w:space="0" w:color="auto"/>
              <w:left w:val="single" w:sz="6" w:space="0" w:color="000000"/>
              <w:bottom w:val="single" w:sz="12" w:space="0" w:color="000000"/>
              <w:right w:val="single" w:sz="6" w:space="0" w:color="000000"/>
            </w:tcBorders>
          </w:tcPr>
          <w:p>
            <w:pPr/>
          </w:p>
        </w:tc>
        <w:tc>
          <w:tcPr>
            <w:tcW w:w="2050" w:type="dxa"/>
            <w:tcBorders>
              <w:top w:val="nil" w:sz="6" w:space="0" w:color="auto"/>
              <w:left w:val="single" w:sz="6" w:space="0" w:color="000000"/>
              <w:bottom w:val="single" w:sz="12" w:space="0" w:color="000000"/>
              <w:right w:val="nil" w:sz="6" w:space="0" w:color="auto"/>
            </w:tcBorders>
          </w:tcPr>
          <w:p>
            <w:pPr/>
          </w:p>
        </w:tc>
      </w:tr>
    </w:tbl>
    <w:p>
      <w:pPr>
        <w:spacing w:after="0"/>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240" w:lineRule="auto" w:before="26"/>
        <w:ind w:left="595" w:right="0"/>
        <w:jc w:val="left"/>
      </w:pPr>
      <w:r>
        <w:rPr/>
        <w:t>（2）每股收益和稀释每股收益的计算过程</w:t>
      </w:r>
    </w:p>
    <w:p>
      <w:pPr>
        <w:pStyle w:val="BodyText"/>
        <w:spacing w:line="240" w:lineRule="auto" w:before="154"/>
        <w:ind w:left="595" w:right="0"/>
        <w:jc w:val="left"/>
      </w:pPr>
      <w:r>
        <w:rPr/>
        <w:t>① 计算基本每股收益时，归属于普通股股东的当期净利润为：</w:t>
      </w:r>
    </w:p>
    <w:p>
      <w:pPr>
        <w:spacing w:line="240" w:lineRule="auto" w:before="1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4423"/>
        <w:gridCol w:w="2453"/>
        <w:gridCol w:w="2338"/>
      </w:tblGrid>
      <w:tr>
        <w:trPr>
          <w:trHeight w:val="353" w:hRule="exact"/>
        </w:trPr>
        <w:tc>
          <w:tcPr>
            <w:tcW w:w="4423" w:type="dxa"/>
            <w:tcBorders>
              <w:top w:val="single" w:sz="6" w:space="0" w:color="000000"/>
              <w:left w:val="single" w:sz="6" w:space="0" w:color="000000"/>
              <w:bottom w:val="single" w:sz="12" w:space="0" w:color="000000"/>
              <w:right w:val="single" w:sz="6" w:space="0" w:color="000000"/>
            </w:tcBorders>
          </w:tcPr>
          <w:p>
            <w:pPr>
              <w:pStyle w:val="TableParagraph"/>
              <w:tabs>
                <w:tab w:pos="422" w:val="left" w:leader="none"/>
              </w:tabs>
              <w:spacing w:line="270" w:lineRule="exact"/>
              <w:ind w:left="2"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45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693"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338"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636"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62" w:hRule="exact"/>
        </w:trPr>
        <w:tc>
          <w:tcPr>
            <w:tcW w:w="442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归属于普通股股东的当期净利润</w:t>
            </w:r>
          </w:p>
        </w:tc>
        <w:tc>
          <w:tcPr>
            <w:tcW w:w="24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72,229,938.08</w:t>
            </w:r>
            <w:r>
              <w:rPr>
                <w:rFonts w:ascii="Times New Roman"/>
                <w:sz w:val="21"/>
              </w:rPr>
            </w:r>
          </w:p>
        </w:tc>
        <w:tc>
          <w:tcPr>
            <w:tcW w:w="23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51,931,011.79</w:t>
            </w:r>
            <w:r>
              <w:rPr>
                <w:rFonts w:ascii="Times New Roman"/>
                <w:sz w:val="21"/>
              </w:rPr>
            </w:r>
          </w:p>
        </w:tc>
      </w:tr>
      <w:tr>
        <w:trPr>
          <w:trHeight w:val="362" w:hRule="exact"/>
        </w:trPr>
        <w:tc>
          <w:tcPr>
            <w:tcW w:w="442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其中：归属于持续经营的净利润</w:t>
            </w:r>
          </w:p>
        </w:tc>
        <w:tc>
          <w:tcPr>
            <w:tcW w:w="24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72,229,938.08</w:t>
            </w:r>
            <w:r>
              <w:rPr>
                <w:rFonts w:ascii="Times New Roman"/>
                <w:sz w:val="21"/>
              </w:rPr>
            </w:r>
          </w:p>
        </w:tc>
        <w:tc>
          <w:tcPr>
            <w:tcW w:w="23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51,931,011.79</w:t>
            </w:r>
            <w:r>
              <w:rPr>
                <w:rFonts w:ascii="Times New Roman"/>
                <w:sz w:val="21"/>
              </w:rPr>
            </w:r>
          </w:p>
        </w:tc>
      </w:tr>
      <w:tr>
        <w:trPr>
          <w:trHeight w:val="362" w:hRule="exact"/>
        </w:trPr>
        <w:tc>
          <w:tcPr>
            <w:tcW w:w="442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358"/>
              <w:jc w:val="right"/>
              <w:rPr>
                <w:rFonts w:ascii="宋体" w:hAnsi="宋体" w:cs="宋体" w:eastAsia="宋体" w:hint="default"/>
                <w:sz w:val="21"/>
                <w:szCs w:val="21"/>
              </w:rPr>
            </w:pPr>
            <w:r>
              <w:rPr>
                <w:rFonts w:ascii="宋体" w:hAnsi="宋体" w:cs="宋体" w:eastAsia="宋体" w:hint="default"/>
                <w:w w:val="95"/>
                <w:sz w:val="21"/>
                <w:szCs w:val="21"/>
              </w:rPr>
              <w:t>归属于终止经营的净利润</w:t>
            </w:r>
            <w:r>
              <w:rPr>
                <w:rFonts w:ascii="宋体" w:hAnsi="宋体" w:cs="宋体" w:eastAsia="宋体" w:hint="default"/>
                <w:sz w:val="21"/>
                <w:szCs w:val="21"/>
              </w:rPr>
            </w:r>
          </w:p>
        </w:tc>
        <w:tc>
          <w:tcPr>
            <w:tcW w:w="2453" w:type="dxa"/>
            <w:tcBorders>
              <w:top w:val="single" w:sz="12" w:space="0" w:color="000000"/>
              <w:left w:val="single" w:sz="6" w:space="0" w:color="000000"/>
              <w:bottom w:val="single" w:sz="12" w:space="0" w:color="000000"/>
              <w:right w:val="single" w:sz="6" w:space="0" w:color="000000"/>
            </w:tcBorders>
          </w:tcPr>
          <w:p>
            <w:pPr/>
          </w:p>
        </w:tc>
        <w:tc>
          <w:tcPr>
            <w:tcW w:w="2338"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442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11"/>
                <w:w w:val="95"/>
                <w:sz w:val="21"/>
                <w:szCs w:val="21"/>
              </w:rPr>
              <w:t>扣除非经常性损益后归属于公司普通股股东的</w:t>
            </w:r>
            <w:r>
              <w:rPr>
                <w:rFonts w:ascii="宋体" w:hAnsi="宋体" w:cs="宋体" w:eastAsia="宋体" w:hint="default"/>
                <w:spacing w:val="94"/>
                <w:w w:val="95"/>
                <w:sz w:val="21"/>
                <w:szCs w:val="21"/>
              </w:rPr>
              <w:t> </w:t>
            </w:r>
            <w:r>
              <w:rPr>
                <w:rFonts w:ascii="宋体" w:hAnsi="宋体" w:cs="宋体" w:eastAsia="宋体" w:hint="default"/>
                <w:spacing w:val="94"/>
                <w:w w:val="95"/>
                <w:sz w:val="21"/>
                <w:szCs w:val="21"/>
              </w:rPr>
            </w:r>
            <w:r>
              <w:rPr>
                <w:rFonts w:ascii="宋体" w:hAnsi="宋体" w:cs="宋体" w:eastAsia="宋体" w:hint="default"/>
                <w:sz w:val="21"/>
                <w:szCs w:val="21"/>
              </w:rPr>
              <w:t>净利润</w:t>
            </w:r>
          </w:p>
        </w:tc>
        <w:tc>
          <w:tcPr>
            <w:tcW w:w="24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69,072,253.20</w:t>
            </w:r>
            <w:r>
              <w:rPr>
                <w:rFonts w:ascii="Times New Roman"/>
                <w:sz w:val="21"/>
              </w:rPr>
            </w:r>
          </w:p>
        </w:tc>
        <w:tc>
          <w:tcPr>
            <w:tcW w:w="23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47,255,641.01</w:t>
            </w:r>
            <w:r>
              <w:rPr>
                <w:rFonts w:ascii="Times New Roman"/>
                <w:sz w:val="21"/>
              </w:rPr>
            </w:r>
          </w:p>
        </w:tc>
      </w:tr>
      <w:tr>
        <w:trPr>
          <w:trHeight w:val="360" w:hRule="exact"/>
        </w:trPr>
        <w:tc>
          <w:tcPr>
            <w:tcW w:w="4423"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其中：归属于持续经营的净利润</w:t>
            </w:r>
          </w:p>
        </w:tc>
        <w:tc>
          <w:tcPr>
            <w:tcW w:w="24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69,072,253.20</w:t>
            </w:r>
            <w:r>
              <w:rPr>
                <w:rFonts w:ascii="Times New Roman"/>
                <w:sz w:val="21"/>
              </w:rPr>
            </w:r>
          </w:p>
        </w:tc>
        <w:tc>
          <w:tcPr>
            <w:tcW w:w="23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w w:val="95"/>
                <w:sz w:val="21"/>
              </w:rPr>
              <w:t>47,255,641.01</w:t>
            </w:r>
            <w:r>
              <w:rPr>
                <w:rFonts w:ascii="Times New Roman"/>
                <w:sz w:val="21"/>
              </w:rPr>
            </w:r>
          </w:p>
        </w:tc>
      </w:tr>
      <w:tr>
        <w:trPr>
          <w:trHeight w:val="362" w:hRule="exact"/>
        </w:trPr>
        <w:tc>
          <w:tcPr>
            <w:tcW w:w="442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358"/>
              <w:jc w:val="right"/>
              <w:rPr>
                <w:rFonts w:ascii="宋体" w:hAnsi="宋体" w:cs="宋体" w:eastAsia="宋体" w:hint="default"/>
                <w:sz w:val="21"/>
                <w:szCs w:val="21"/>
              </w:rPr>
            </w:pPr>
            <w:r>
              <w:rPr>
                <w:rFonts w:ascii="宋体" w:hAnsi="宋体" w:cs="宋体" w:eastAsia="宋体" w:hint="default"/>
                <w:w w:val="95"/>
                <w:sz w:val="21"/>
                <w:szCs w:val="21"/>
              </w:rPr>
              <w:t>归属于终止经营的净利润</w:t>
            </w:r>
            <w:r>
              <w:rPr>
                <w:rFonts w:ascii="宋体" w:hAnsi="宋体" w:cs="宋体" w:eastAsia="宋体" w:hint="default"/>
                <w:sz w:val="21"/>
                <w:szCs w:val="21"/>
              </w:rPr>
            </w:r>
          </w:p>
        </w:tc>
        <w:tc>
          <w:tcPr>
            <w:tcW w:w="2453" w:type="dxa"/>
            <w:tcBorders>
              <w:top w:val="single" w:sz="12" w:space="0" w:color="000000"/>
              <w:left w:val="single" w:sz="6" w:space="0" w:color="000000"/>
              <w:bottom w:val="single" w:sz="12" w:space="0" w:color="000000"/>
              <w:right w:val="single" w:sz="6" w:space="0" w:color="000000"/>
            </w:tcBorders>
          </w:tcPr>
          <w:p>
            <w:pPr/>
          </w:p>
        </w:tc>
        <w:tc>
          <w:tcPr>
            <w:tcW w:w="2338" w:type="dxa"/>
            <w:tcBorders>
              <w:top w:val="single" w:sz="12" w:space="0" w:color="000000"/>
              <w:left w:val="single" w:sz="6" w:space="0" w:color="000000"/>
              <w:bottom w:val="single" w:sz="12" w:space="0" w:color="000000"/>
              <w:right w:val="nil" w:sz="6" w:space="0" w:color="auto"/>
            </w:tcBorders>
          </w:tcPr>
          <w:p>
            <w:pPr/>
          </w:p>
        </w:tc>
      </w:tr>
    </w:tbl>
    <w:p>
      <w:pPr>
        <w:pStyle w:val="BodyText"/>
        <w:spacing w:line="279" w:lineRule="exact" w:before="0"/>
        <w:ind w:left="595" w:right="0"/>
        <w:jc w:val="left"/>
      </w:pPr>
      <w:r>
        <w:rPr/>
        <w:t>②</w:t>
      </w:r>
      <w:r>
        <w:rPr>
          <w:spacing w:val="-3"/>
        </w:rPr>
        <w:t> </w:t>
      </w:r>
      <w:r>
        <w:rPr/>
        <w:t>计算稀释性每股收益时，归属于普通股股东的当期净利润为：</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2"/>
        <w:gridCol w:w="2410"/>
        <w:gridCol w:w="2302"/>
      </w:tblGrid>
      <w:tr>
        <w:trPr>
          <w:trHeight w:val="353" w:hRule="exact"/>
        </w:trPr>
        <w:tc>
          <w:tcPr>
            <w:tcW w:w="4502" w:type="dxa"/>
            <w:tcBorders>
              <w:top w:val="single" w:sz="6" w:space="0" w:color="000000"/>
              <w:left w:val="single" w:sz="6" w:space="0" w:color="000000"/>
              <w:bottom w:val="single" w:sz="12" w:space="0" w:color="000000"/>
              <w:right w:val="single" w:sz="6" w:space="0" w:color="000000"/>
            </w:tcBorders>
          </w:tcPr>
          <w:p>
            <w:pPr>
              <w:pStyle w:val="TableParagraph"/>
              <w:tabs>
                <w:tab w:pos="419"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674"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302"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619"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62" w:hRule="exact"/>
        </w:trPr>
        <w:tc>
          <w:tcPr>
            <w:tcW w:w="450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541"/>
              <w:jc w:val="right"/>
              <w:rPr>
                <w:rFonts w:ascii="宋体" w:hAnsi="宋体" w:cs="宋体" w:eastAsia="宋体" w:hint="default"/>
                <w:sz w:val="21"/>
                <w:szCs w:val="21"/>
              </w:rPr>
            </w:pPr>
            <w:r>
              <w:rPr>
                <w:rFonts w:ascii="宋体" w:hAnsi="宋体" w:cs="宋体" w:eastAsia="宋体" w:hint="default"/>
                <w:w w:val="95"/>
                <w:sz w:val="21"/>
                <w:szCs w:val="21"/>
              </w:rPr>
              <w:t>归属于普通股股东的当期净利润</w:t>
            </w:r>
            <w:r>
              <w:rPr>
                <w:rFonts w:ascii="宋体" w:hAnsi="宋体" w:cs="宋体" w:eastAsia="宋体" w:hint="default"/>
                <w:sz w:val="21"/>
                <w:szCs w:val="21"/>
              </w:rPr>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72,229,938.08</w:t>
            </w:r>
            <w:r>
              <w:rPr>
                <w:rFonts w:ascii="Times New Roman"/>
                <w:sz w:val="21"/>
              </w:rPr>
            </w:r>
          </w:p>
        </w:tc>
        <w:tc>
          <w:tcPr>
            <w:tcW w:w="23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51,931,011.79</w:t>
            </w:r>
            <w:r>
              <w:rPr>
                <w:rFonts w:ascii="Times New Roman"/>
                <w:sz w:val="21"/>
              </w:rPr>
            </w:r>
          </w:p>
        </w:tc>
      </w:tr>
      <w:tr>
        <w:trPr>
          <w:trHeight w:val="674" w:hRule="exact"/>
        </w:trPr>
        <w:tc>
          <w:tcPr>
            <w:tcW w:w="4502"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72"/>
              <w:jc w:val="left"/>
              <w:rPr>
                <w:rFonts w:ascii="宋体" w:hAnsi="宋体" w:cs="宋体" w:eastAsia="宋体" w:hint="default"/>
                <w:sz w:val="21"/>
                <w:szCs w:val="21"/>
              </w:rPr>
            </w:pPr>
            <w:r>
              <w:rPr>
                <w:rFonts w:ascii="宋体" w:hAnsi="宋体" w:cs="宋体" w:eastAsia="宋体" w:hint="default"/>
                <w:sz w:val="21"/>
                <w:szCs w:val="21"/>
              </w:rPr>
              <w:t>当期已确认为费用的稀释性潜在普通股的利息扣</w:t>
            </w:r>
            <w:r>
              <w:rPr>
                <w:rFonts w:ascii="宋体" w:hAnsi="宋体" w:cs="宋体" w:eastAsia="宋体" w:hint="default"/>
                <w:w w:val="99"/>
                <w:sz w:val="21"/>
                <w:szCs w:val="21"/>
              </w:rPr>
              <w:t> </w:t>
            </w:r>
            <w:r>
              <w:rPr>
                <w:rFonts w:ascii="宋体" w:hAnsi="宋体" w:cs="宋体" w:eastAsia="宋体" w:hint="default"/>
                <w:sz w:val="21"/>
                <w:szCs w:val="21"/>
              </w:rPr>
              <w:t>除所得税影响后归属于普通股股东的部分</w:t>
            </w:r>
          </w:p>
        </w:tc>
        <w:tc>
          <w:tcPr>
            <w:tcW w:w="2410" w:type="dxa"/>
            <w:tcBorders>
              <w:top w:val="single" w:sz="12" w:space="0" w:color="000000"/>
              <w:left w:val="single" w:sz="6" w:space="0" w:color="000000"/>
              <w:bottom w:val="single" w:sz="12" w:space="0" w:color="000000"/>
              <w:right w:val="single" w:sz="6" w:space="0" w:color="000000"/>
            </w:tcBorders>
          </w:tcPr>
          <w:p>
            <w:pPr/>
          </w:p>
        </w:tc>
        <w:tc>
          <w:tcPr>
            <w:tcW w:w="2302"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4502"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72"/>
              <w:jc w:val="left"/>
              <w:rPr>
                <w:rFonts w:ascii="宋体" w:hAnsi="宋体" w:cs="宋体" w:eastAsia="宋体" w:hint="default"/>
                <w:sz w:val="21"/>
                <w:szCs w:val="21"/>
              </w:rPr>
            </w:pPr>
            <w:r>
              <w:rPr>
                <w:rFonts w:ascii="宋体" w:hAnsi="宋体" w:cs="宋体" w:eastAsia="宋体" w:hint="default"/>
                <w:sz w:val="21"/>
                <w:szCs w:val="21"/>
              </w:rPr>
              <w:t>稀释性潜在普通股转换时将产生的收益或费用扣</w:t>
            </w:r>
            <w:r>
              <w:rPr>
                <w:rFonts w:ascii="宋体" w:hAnsi="宋体" w:cs="宋体" w:eastAsia="宋体" w:hint="default"/>
                <w:w w:val="99"/>
                <w:sz w:val="21"/>
                <w:szCs w:val="21"/>
              </w:rPr>
              <w:t> </w:t>
            </w:r>
            <w:r>
              <w:rPr>
                <w:rFonts w:ascii="宋体" w:hAnsi="宋体" w:cs="宋体" w:eastAsia="宋体" w:hint="default"/>
                <w:sz w:val="21"/>
                <w:szCs w:val="21"/>
              </w:rPr>
              <w:t>除所得税影响后归属于普通股股东的部分</w:t>
            </w:r>
          </w:p>
        </w:tc>
        <w:tc>
          <w:tcPr>
            <w:tcW w:w="2410" w:type="dxa"/>
            <w:tcBorders>
              <w:top w:val="single" w:sz="12" w:space="0" w:color="000000"/>
              <w:left w:val="single" w:sz="6" w:space="0" w:color="000000"/>
              <w:bottom w:val="single" w:sz="12" w:space="0" w:color="000000"/>
              <w:right w:val="single" w:sz="6" w:space="0" w:color="000000"/>
            </w:tcBorders>
          </w:tcPr>
          <w:p>
            <w:pPr/>
          </w:p>
        </w:tc>
        <w:tc>
          <w:tcPr>
            <w:tcW w:w="230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450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541"/>
              <w:jc w:val="right"/>
              <w:rPr>
                <w:rFonts w:ascii="宋体" w:hAnsi="宋体" w:cs="宋体" w:eastAsia="宋体" w:hint="default"/>
                <w:sz w:val="21"/>
                <w:szCs w:val="21"/>
              </w:rPr>
            </w:pPr>
            <w:r>
              <w:rPr>
                <w:rFonts w:ascii="宋体" w:hAnsi="宋体" w:cs="宋体" w:eastAsia="宋体" w:hint="default"/>
                <w:w w:val="95"/>
                <w:sz w:val="21"/>
                <w:szCs w:val="21"/>
              </w:rPr>
              <w:t>其中：归属于持续经营的净利润</w:t>
            </w:r>
            <w:r>
              <w:rPr>
                <w:rFonts w:ascii="宋体" w:hAnsi="宋体" w:cs="宋体" w:eastAsia="宋体" w:hint="default"/>
                <w:sz w:val="21"/>
                <w:szCs w:val="21"/>
              </w:rPr>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72,229,938.08</w:t>
            </w:r>
            <w:r>
              <w:rPr>
                <w:rFonts w:ascii="Times New Roman"/>
                <w:sz w:val="21"/>
              </w:rPr>
            </w:r>
          </w:p>
        </w:tc>
        <w:tc>
          <w:tcPr>
            <w:tcW w:w="23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51,931,011.79</w:t>
            </w:r>
            <w:r>
              <w:rPr>
                <w:rFonts w:ascii="Times New Roman"/>
                <w:sz w:val="21"/>
              </w:rPr>
            </w:r>
          </w:p>
        </w:tc>
      </w:tr>
      <w:tr>
        <w:trPr>
          <w:trHeight w:val="362" w:hRule="exact"/>
        </w:trPr>
        <w:tc>
          <w:tcPr>
            <w:tcW w:w="4502"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1543"/>
              <w:jc w:val="right"/>
              <w:rPr>
                <w:rFonts w:ascii="宋体" w:hAnsi="宋体" w:cs="宋体" w:eastAsia="宋体" w:hint="default"/>
                <w:sz w:val="21"/>
                <w:szCs w:val="21"/>
              </w:rPr>
            </w:pPr>
            <w:r>
              <w:rPr>
                <w:rFonts w:ascii="宋体" w:hAnsi="宋体" w:cs="宋体" w:eastAsia="宋体" w:hint="default"/>
                <w:w w:val="95"/>
                <w:sz w:val="21"/>
                <w:szCs w:val="21"/>
              </w:rPr>
              <w:t>归属于终止经营的净利润</w:t>
            </w:r>
            <w:r>
              <w:rPr>
                <w:rFonts w:ascii="宋体" w:hAnsi="宋体" w:cs="宋体" w:eastAsia="宋体" w:hint="default"/>
                <w:sz w:val="21"/>
                <w:szCs w:val="21"/>
              </w:rPr>
            </w:r>
          </w:p>
        </w:tc>
        <w:tc>
          <w:tcPr>
            <w:tcW w:w="2410" w:type="dxa"/>
            <w:tcBorders>
              <w:top w:val="single" w:sz="12" w:space="0" w:color="000000"/>
              <w:left w:val="single" w:sz="6" w:space="0" w:color="000000"/>
              <w:bottom w:val="single" w:sz="12" w:space="0" w:color="000000"/>
              <w:right w:val="single" w:sz="6" w:space="0" w:color="000000"/>
            </w:tcBorders>
          </w:tcPr>
          <w:p>
            <w:pPr/>
          </w:p>
        </w:tc>
        <w:tc>
          <w:tcPr>
            <w:tcW w:w="2302" w:type="dxa"/>
            <w:tcBorders>
              <w:top w:val="single" w:sz="12" w:space="0" w:color="000000"/>
              <w:left w:val="single" w:sz="6" w:space="0" w:color="000000"/>
              <w:bottom w:val="single" w:sz="12" w:space="0" w:color="000000"/>
              <w:right w:val="nil" w:sz="6" w:space="0" w:color="auto"/>
            </w:tcBorders>
          </w:tcPr>
          <w:p>
            <w:pPr/>
          </w:p>
        </w:tc>
      </w:tr>
    </w:tbl>
    <w:p>
      <w:pPr>
        <w:pStyle w:val="BodyText"/>
        <w:spacing w:line="276" w:lineRule="exact" w:before="0"/>
        <w:ind w:left="595" w:right="0"/>
        <w:jc w:val="left"/>
      </w:pPr>
      <w:r>
        <w:rPr/>
        <w:t>③ 计算基本每股收益时，分母为发行在外普通股加权平均数，计算过程如下：</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36"/>
        <w:gridCol w:w="2424"/>
        <w:gridCol w:w="2254"/>
      </w:tblGrid>
      <w:tr>
        <w:trPr>
          <w:trHeight w:val="355" w:hRule="exact"/>
        </w:trPr>
        <w:tc>
          <w:tcPr>
            <w:tcW w:w="4536" w:type="dxa"/>
            <w:tcBorders>
              <w:top w:val="single" w:sz="6" w:space="0" w:color="000000"/>
              <w:left w:val="single" w:sz="6" w:space="0" w:color="000000"/>
              <w:bottom w:val="single" w:sz="12" w:space="0" w:color="000000"/>
              <w:right w:val="single" w:sz="6" w:space="0" w:color="000000"/>
            </w:tcBorders>
          </w:tcPr>
          <w:p>
            <w:pPr>
              <w:pStyle w:val="TableParagraph"/>
              <w:tabs>
                <w:tab w:pos="419"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42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7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254"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595"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60"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年初发行在外的普通股股数</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w w:val="95"/>
                <w:sz w:val="21"/>
              </w:rPr>
              <w:t>84,000,000.00</w:t>
            </w:r>
            <w:r>
              <w:rPr>
                <w:rFonts w:ascii="Times New Roman"/>
                <w:sz w:val="21"/>
              </w:rPr>
            </w:r>
          </w:p>
        </w:tc>
        <w:tc>
          <w:tcPr>
            <w:tcW w:w="2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w w:val="95"/>
                <w:sz w:val="21"/>
              </w:rPr>
              <w:t>56,000,000.00</w:t>
            </w:r>
            <w:r>
              <w:rPr>
                <w:rFonts w:ascii="Times New Roman"/>
                <w:sz w:val="21"/>
              </w:rPr>
            </w:r>
          </w:p>
        </w:tc>
      </w:tr>
      <w:tr>
        <w:trPr>
          <w:trHeight w:val="362"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加：本年发行的普通股加权数</w:t>
            </w:r>
          </w:p>
        </w:tc>
        <w:tc>
          <w:tcPr>
            <w:tcW w:w="2424" w:type="dxa"/>
            <w:tcBorders>
              <w:top w:val="single" w:sz="12" w:space="0" w:color="000000"/>
              <w:left w:val="single" w:sz="6" w:space="0" w:color="000000"/>
              <w:bottom w:val="single" w:sz="12" w:space="0" w:color="000000"/>
              <w:right w:val="single" w:sz="6" w:space="0" w:color="000000"/>
            </w:tcBorders>
          </w:tcPr>
          <w:p>
            <w:pPr/>
          </w:p>
        </w:tc>
        <w:tc>
          <w:tcPr>
            <w:tcW w:w="2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28,000,000.00</w:t>
            </w:r>
            <w:r>
              <w:rPr>
                <w:rFonts w:ascii="Times New Roman"/>
                <w:sz w:val="21"/>
              </w:rPr>
            </w:r>
          </w:p>
        </w:tc>
      </w:tr>
      <w:tr>
        <w:trPr>
          <w:trHeight w:val="362"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减：本年回购的普通股加权数</w:t>
            </w:r>
          </w:p>
        </w:tc>
        <w:tc>
          <w:tcPr>
            <w:tcW w:w="2424" w:type="dxa"/>
            <w:tcBorders>
              <w:top w:val="single" w:sz="12" w:space="0" w:color="000000"/>
              <w:left w:val="single" w:sz="6" w:space="0" w:color="000000"/>
              <w:bottom w:val="single" w:sz="12" w:space="0" w:color="000000"/>
              <w:right w:val="single" w:sz="6" w:space="0" w:color="000000"/>
            </w:tcBorders>
          </w:tcPr>
          <w:p>
            <w:pPr/>
          </w:p>
        </w:tc>
        <w:tc>
          <w:tcPr>
            <w:tcW w:w="2254"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84,000,000.00</w:t>
            </w:r>
            <w:r>
              <w:rPr>
                <w:rFonts w:ascii="Times New Roman"/>
                <w:sz w:val="21"/>
              </w:rPr>
            </w:r>
          </w:p>
        </w:tc>
        <w:tc>
          <w:tcPr>
            <w:tcW w:w="2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84,000,000.00</w:t>
            </w:r>
            <w:r>
              <w:rPr>
                <w:rFonts w:ascii="Times New Roman"/>
                <w:sz w:val="21"/>
              </w:rPr>
            </w:r>
          </w:p>
        </w:tc>
      </w:tr>
    </w:tbl>
    <w:p>
      <w:pPr>
        <w:pStyle w:val="BodyText"/>
        <w:spacing w:line="279" w:lineRule="exact" w:before="0"/>
        <w:ind w:left="595" w:right="0"/>
        <w:jc w:val="left"/>
      </w:pPr>
      <w:r>
        <w:rPr/>
        <w:t>④ 计算稀释每股收益时，为发行在外普通股加权平均数的计算过程如下：</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4"/>
        <w:gridCol w:w="2328"/>
        <w:gridCol w:w="2302"/>
      </w:tblGrid>
      <w:tr>
        <w:trPr>
          <w:trHeight w:val="355" w:hRule="exact"/>
        </w:trPr>
        <w:tc>
          <w:tcPr>
            <w:tcW w:w="4584" w:type="dxa"/>
            <w:tcBorders>
              <w:top w:val="single" w:sz="6" w:space="0" w:color="000000"/>
              <w:left w:val="single" w:sz="6" w:space="0" w:color="000000"/>
              <w:bottom w:val="single" w:sz="12" w:space="0" w:color="000000"/>
              <w:right w:val="single" w:sz="6" w:space="0" w:color="000000"/>
            </w:tcBorders>
          </w:tcPr>
          <w:p>
            <w:pPr>
              <w:pStyle w:val="TableParagraph"/>
              <w:tabs>
                <w:tab w:pos="419"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328"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3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302"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619"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62" w:hRule="exact"/>
        </w:trPr>
        <w:tc>
          <w:tcPr>
            <w:tcW w:w="45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计算基本每股收益的普通股加权平均数</w:t>
            </w:r>
          </w:p>
        </w:tc>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84,000,000.00</w:t>
            </w:r>
            <w:r>
              <w:rPr>
                <w:rFonts w:ascii="Times New Roman"/>
                <w:sz w:val="21"/>
              </w:rPr>
            </w:r>
          </w:p>
        </w:tc>
        <w:tc>
          <w:tcPr>
            <w:tcW w:w="23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84,000,000.00</w:t>
            </w:r>
            <w:r>
              <w:rPr>
                <w:rFonts w:ascii="Times New Roman"/>
                <w:sz w:val="21"/>
              </w:rPr>
            </w:r>
          </w:p>
        </w:tc>
      </w:tr>
      <w:tr>
        <w:trPr>
          <w:trHeight w:val="674" w:hRule="exact"/>
        </w:trPr>
        <w:tc>
          <w:tcPr>
            <w:tcW w:w="4584"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22" w:right="7"/>
              <w:jc w:val="left"/>
              <w:rPr>
                <w:rFonts w:ascii="宋体" w:hAnsi="宋体" w:cs="宋体" w:eastAsia="宋体" w:hint="default"/>
                <w:sz w:val="21"/>
                <w:szCs w:val="21"/>
              </w:rPr>
            </w:pPr>
            <w:r>
              <w:rPr>
                <w:rFonts w:ascii="宋体" w:hAnsi="宋体" w:cs="宋体" w:eastAsia="宋体" w:hint="default"/>
                <w:spacing w:val="-3"/>
                <w:sz w:val="21"/>
                <w:szCs w:val="21"/>
              </w:rPr>
              <w:t>加：假定稀释性潜在普通股转换为已发行普通</w:t>
            </w:r>
            <w:r>
              <w:rPr>
                <w:rFonts w:ascii="宋体" w:hAnsi="宋体" w:cs="宋体" w:eastAsia="宋体" w:hint="default"/>
                <w:w w:val="99"/>
                <w:sz w:val="21"/>
                <w:szCs w:val="21"/>
              </w:rPr>
              <w:t> </w:t>
            </w:r>
            <w:r>
              <w:rPr>
                <w:rFonts w:ascii="宋体" w:hAnsi="宋体" w:cs="宋体" w:eastAsia="宋体" w:hint="default"/>
                <w:sz w:val="21"/>
                <w:szCs w:val="21"/>
              </w:rPr>
              <w:t>股而增加的普通股加权平均数</w:t>
            </w:r>
          </w:p>
        </w:tc>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2,200,584.00</w:t>
            </w:r>
            <w:r>
              <w:rPr>
                <w:rFonts w:ascii="Times New Roman"/>
                <w:sz w:val="21"/>
              </w:rPr>
            </w:r>
          </w:p>
        </w:tc>
        <w:tc>
          <w:tcPr>
            <w:tcW w:w="2302"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4584"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633" w:right="0"/>
              <w:jc w:val="left"/>
              <w:rPr>
                <w:rFonts w:ascii="宋体" w:hAnsi="宋体" w:cs="宋体" w:eastAsia="宋体" w:hint="default"/>
                <w:sz w:val="21"/>
                <w:szCs w:val="21"/>
              </w:rPr>
            </w:pPr>
            <w:r>
              <w:rPr>
                <w:rFonts w:ascii="宋体" w:hAnsi="宋体" w:cs="宋体" w:eastAsia="宋体" w:hint="default"/>
                <w:spacing w:val="-3"/>
                <w:sz w:val="21"/>
                <w:szCs w:val="21"/>
              </w:rPr>
              <w:t>其中：可转换公司债转换而增加的普通股加</w:t>
            </w:r>
            <w:r>
              <w:rPr>
                <w:rFonts w:ascii="宋体" w:hAnsi="宋体" w:cs="宋体" w:eastAsia="宋体" w:hint="default"/>
                <w:w w:val="99"/>
                <w:sz w:val="21"/>
                <w:szCs w:val="21"/>
              </w:rPr>
              <w:t> </w:t>
            </w:r>
            <w:r>
              <w:rPr>
                <w:rFonts w:ascii="宋体" w:hAnsi="宋体" w:cs="宋体" w:eastAsia="宋体" w:hint="default"/>
                <w:sz w:val="21"/>
                <w:szCs w:val="21"/>
              </w:rPr>
              <w:t>权数</w:t>
            </w:r>
          </w:p>
        </w:tc>
        <w:tc>
          <w:tcPr>
            <w:tcW w:w="2328" w:type="dxa"/>
            <w:tcBorders>
              <w:top w:val="single" w:sz="12" w:space="0" w:color="000000"/>
              <w:left w:val="single" w:sz="6" w:space="0" w:color="000000"/>
              <w:bottom w:val="single" w:sz="12" w:space="0" w:color="000000"/>
              <w:right w:val="single" w:sz="6" w:space="0" w:color="000000"/>
            </w:tcBorders>
          </w:tcPr>
          <w:p>
            <w:pPr/>
          </w:p>
        </w:tc>
        <w:tc>
          <w:tcPr>
            <w:tcW w:w="2302" w:type="dxa"/>
            <w:tcBorders>
              <w:top w:val="single" w:sz="12" w:space="0" w:color="000000"/>
              <w:left w:val="single" w:sz="6" w:space="0" w:color="000000"/>
              <w:bottom w:val="single" w:sz="12" w:space="0" w:color="000000"/>
              <w:right w:val="nil" w:sz="6" w:space="0" w:color="auto"/>
            </w:tcBorders>
          </w:tcPr>
          <w:p>
            <w:pPr/>
          </w:p>
        </w:tc>
      </w:tr>
      <w:tr>
        <w:trPr>
          <w:trHeight w:val="672" w:hRule="exact"/>
        </w:trPr>
        <w:tc>
          <w:tcPr>
            <w:tcW w:w="4584" w:type="dxa"/>
            <w:tcBorders>
              <w:top w:val="single" w:sz="12" w:space="0" w:color="000000"/>
              <w:left w:val="single" w:sz="6" w:space="0" w:color="000000"/>
              <w:bottom w:val="single" w:sz="12" w:space="0" w:color="000000"/>
              <w:right w:val="single" w:sz="6" w:space="0" w:color="000000"/>
            </w:tcBorders>
          </w:tcPr>
          <w:p>
            <w:pPr>
              <w:pStyle w:val="TableParagraph"/>
              <w:spacing w:line="256" w:lineRule="auto"/>
              <w:ind w:left="621" w:right="96" w:firstLine="223"/>
              <w:jc w:val="left"/>
              <w:rPr>
                <w:rFonts w:ascii="宋体" w:hAnsi="宋体" w:cs="宋体" w:eastAsia="宋体" w:hint="default"/>
                <w:sz w:val="21"/>
                <w:szCs w:val="21"/>
              </w:rPr>
            </w:pPr>
            <w:r>
              <w:rPr>
                <w:rFonts w:ascii="宋体" w:hAnsi="宋体" w:cs="宋体" w:eastAsia="宋体" w:hint="default"/>
                <w:sz w:val="21"/>
                <w:szCs w:val="21"/>
              </w:rPr>
              <w:t>认股权证</w:t>
            </w:r>
            <w:r>
              <w:rPr>
                <w:rFonts w:ascii="Times New Roman" w:hAnsi="Times New Roman" w:cs="Times New Roman" w:eastAsia="Times New Roman" w:hint="default"/>
                <w:sz w:val="21"/>
                <w:szCs w:val="21"/>
              </w:rPr>
              <w:t>/</w:t>
            </w:r>
            <w:r>
              <w:rPr>
                <w:rFonts w:ascii="宋体" w:hAnsi="宋体" w:cs="宋体" w:eastAsia="宋体" w:hint="default"/>
                <w:sz w:val="21"/>
                <w:szCs w:val="21"/>
              </w:rPr>
              <w:t>股份期权行权而增加的普通股</w:t>
            </w:r>
            <w:r>
              <w:rPr>
                <w:rFonts w:ascii="宋体" w:hAnsi="宋体" w:cs="宋体" w:eastAsia="宋体" w:hint="default"/>
                <w:w w:val="99"/>
                <w:sz w:val="21"/>
                <w:szCs w:val="21"/>
              </w:rPr>
              <w:t> </w:t>
            </w:r>
            <w:r>
              <w:rPr>
                <w:rFonts w:ascii="宋体" w:hAnsi="宋体" w:cs="宋体" w:eastAsia="宋体" w:hint="default"/>
                <w:sz w:val="21"/>
                <w:szCs w:val="21"/>
              </w:rPr>
              <w:t>加权数</w:t>
            </w:r>
          </w:p>
        </w:tc>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w w:val="95"/>
                <w:sz w:val="21"/>
              </w:rPr>
              <w:t>2,200,584.00</w:t>
            </w:r>
            <w:r>
              <w:rPr>
                <w:rFonts w:ascii="Times New Roman"/>
                <w:sz w:val="21"/>
              </w:rPr>
            </w:r>
          </w:p>
        </w:tc>
        <w:tc>
          <w:tcPr>
            <w:tcW w:w="230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45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844" w:right="0"/>
              <w:jc w:val="left"/>
              <w:rPr>
                <w:rFonts w:ascii="宋体" w:hAnsi="宋体" w:cs="宋体" w:eastAsia="宋体" w:hint="default"/>
                <w:sz w:val="21"/>
                <w:szCs w:val="21"/>
              </w:rPr>
            </w:pPr>
            <w:r>
              <w:rPr>
                <w:rFonts w:ascii="宋体" w:hAnsi="宋体" w:cs="宋体" w:eastAsia="宋体" w:hint="default"/>
                <w:sz w:val="21"/>
                <w:szCs w:val="21"/>
              </w:rPr>
              <w:t>回购承诺履行而增加的普通股加权数</w:t>
            </w:r>
          </w:p>
        </w:tc>
        <w:tc>
          <w:tcPr>
            <w:tcW w:w="2328" w:type="dxa"/>
            <w:tcBorders>
              <w:top w:val="single" w:sz="12" w:space="0" w:color="000000"/>
              <w:left w:val="single" w:sz="6" w:space="0" w:color="000000"/>
              <w:bottom w:val="single" w:sz="12" w:space="0" w:color="000000"/>
              <w:right w:val="single" w:sz="6" w:space="0" w:color="000000"/>
            </w:tcBorders>
          </w:tcPr>
          <w:p>
            <w:pPr/>
          </w:p>
        </w:tc>
        <w:tc>
          <w:tcPr>
            <w:tcW w:w="230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45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计算稀释每股收益的普通股加权平均数</w:t>
            </w:r>
          </w:p>
        </w:tc>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86,200,584.00</w:t>
            </w:r>
            <w:r>
              <w:rPr>
                <w:rFonts w:ascii="Times New Roman"/>
                <w:sz w:val="21"/>
              </w:rPr>
            </w:r>
          </w:p>
        </w:tc>
        <w:tc>
          <w:tcPr>
            <w:tcW w:w="23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w w:val="95"/>
                <w:sz w:val="21"/>
              </w:rPr>
              <w:t>84,000,000.00</w:t>
            </w:r>
            <w:r>
              <w:rPr>
                <w:rFonts w:ascii="Times New Roman"/>
                <w:sz w:val="21"/>
              </w:rPr>
            </w:r>
          </w:p>
        </w:tc>
      </w:tr>
    </w:tbl>
    <w:p>
      <w:pPr>
        <w:pStyle w:val="BodyText"/>
        <w:spacing w:line="240" w:lineRule="auto" w:before="41"/>
        <w:ind w:left="595" w:right="0"/>
        <w:jc w:val="left"/>
      </w:pPr>
      <w:r>
        <w:rPr/>
        <w:t>⑤归属于普通股股东的当期净利润基本每股收益= 72,229,938.08 / 84,000,000.00 =</w:t>
      </w:r>
    </w:p>
    <w:p>
      <w:pPr>
        <w:pStyle w:val="BodyText"/>
        <w:spacing w:line="240" w:lineRule="auto" w:before="154"/>
        <w:ind w:right="0"/>
        <w:jc w:val="left"/>
      </w:pPr>
      <w:r>
        <w:rPr/>
        <w:t>0.86</w:t>
      </w:r>
    </w:p>
    <w:p>
      <w:pPr>
        <w:spacing w:after="0" w:line="240"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240" w:lineRule="auto" w:before="26"/>
        <w:ind w:left="595" w:right="0"/>
        <w:jc w:val="left"/>
      </w:pPr>
      <w:bookmarkStart w:name="35、现金流量表附注" w:id="235"/>
      <w:bookmarkEnd w:id="235"/>
      <w:r>
        <w:rPr/>
      </w:r>
      <w:bookmarkStart w:name="（1）收到的其他与经营活动有关的现金" w:id="236"/>
      <w:bookmarkEnd w:id="236"/>
      <w:r>
        <w:rPr/>
      </w:r>
      <w:bookmarkStart w:name="（2）支付的其他与经营活动有关的现金" w:id="237"/>
      <w:bookmarkEnd w:id="237"/>
      <w:r>
        <w:rPr/>
      </w:r>
      <w:r>
        <w:rPr/>
        <w:t>⑥扣除非经常性损益后归属于公司普通股股东的净利润基本每股收益=（72,229,938.08</w:t>
      </w:r>
    </w:p>
    <w:p>
      <w:pPr>
        <w:pStyle w:val="BodyText"/>
        <w:spacing w:line="240" w:lineRule="auto" w:before="154"/>
        <w:ind w:right="0"/>
        <w:jc w:val="left"/>
      </w:pPr>
      <w:r>
        <w:rPr/>
        <w:t>- 3,157,684.88）/ 84,000,000.00 =</w:t>
      </w:r>
      <w:r>
        <w:rPr>
          <w:spacing w:val="2"/>
        </w:rPr>
        <w:t> </w:t>
      </w:r>
      <w:r>
        <w:rPr/>
        <w:t>0.82</w:t>
      </w:r>
    </w:p>
    <w:p>
      <w:pPr>
        <w:pStyle w:val="BodyText"/>
        <w:spacing w:line="240" w:lineRule="auto" w:before="154"/>
        <w:ind w:left="595" w:right="0"/>
        <w:jc w:val="left"/>
      </w:pPr>
      <w:r>
        <w:rPr/>
        <w:t>⑦归属于普通股股东的当期净利润稀释每股收益=72,229,938.08 / 86,200,584.00 =</w:t>
      </w:r>
    </w:p>
    <w:p>
      <w:pPr>
        <w:spacing w:line="240" w:lineRule="auto" w:before="10"/>
        <w:rPr>
          <w:rFonts w:ascii="宋体" w:hAnsi="宋体" w:cs="宋体" w:eastAsia="宋体" w:hint="default"/>
          <w:sz w:val="9"/>
          <w:szCs w:val="9"/>
        </w:rPr>
      </w:pPr>
    </w:p>
    <w:p>
      <w:pPr>
        <w:pStyle w:val="BodyText"/>
        <w:spacing w:line="240" w:lineRule="auto" w:before="26"/>
        <w:ind w:right="0"/>
        <w:jc w:val="left"/>
      </w:pPr>
      <w:r>
        <w:rPr/>
        <w:t>0.84</w:t>
      </w:r>
    </w:p>
    <w:p>
      <w:pPr>
        <w:pStyle w:val="BodyText"/>
        <w:spacing w:line="240" w:lineRule="auto" w:before="154"/>
        <w:ind w:left="595" w:right="0"/>
        <w:jc w:val="left"/>
      </w:pPr>
      <w:r>
        <w:rPr/>
        <w:t>⑧扣除非经常性损益后归属于公司普通股股东的净利润基本每股收益=（72,229,938.08</w:t>
      </w:r>
    </w:p>
    <w:p>
      <w:pPr>
        <w:spacing w:line="240" w:lineRule="auto" w:before="10"/>
        <w:rPr>
          <w:rFonts w:ascii="宋体" w:hAnsi="宋体" w:cs="宋体" w:eastAsia="宋体" w:hint="default"/>
          <w:sz w:val="9"/>
          <w:szCs w:val="9"/>
        </w:rPr>
      </w:pPr>
    </w:p>
    <w:p>
      <w:pPr>
        <w:pStyle w:val="BodyText"/>
        <w:spacing w:line="240" w:lineRule="auto" w:before="26"/>
        <w:ind w:right="0"/>
        <w:jc w:val="left"/>
      </w:pPr>
      <w:r>
        <w:rPr/>
        <w:t>- 3,157,684.88）/ 86,200,584.00 =</w:t>
      </w:r>
      <w:r>
        <w:rPr>
          <w:spacing w:val="2"/>
        </w:rPr>
        <w:t> </w:t>
      </w:r>
      <w:r>
        <w:rPr/>
        <w:t>0.80</w:t>
      </w:r>
    </w:p>
    <w:p>
      <w:pPr>
        <w:spacing w:line="240" w:lineRule="auto" w:before="6"/>
        <w:rPr>
          <w:rFonts w:ascii="宋体" w:hAnsi="宋体" w:cs="宋体" w:eastAsia="宋体" w:hint="default"/>
          <w:sz w:val="25"/>
          <w:szCs w:val="25"/>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35</w:t>
      </w:r>
      <w:r>
        <w:rPr>
          <w:rFonts w:ascii="Microsoft JhengHei" w:hAnsi="Microsoft JhengHei" w:cs="Microsoft JhengHei" w:eastAsia="Microsoft JhengHei" w:hint="default"/>
          <w:b/>
          <w:bCs/>
          <w:sz w:val="21"/>
          <w:szCs w:val="21"/>
        </w:rPr>
        <w:t>、现金流量表附注</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）收到的其他与经营活动有关的现金</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5585"/>
        <w:gridCol w:w="3984"/>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4"/>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18,093,221.08</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投标保证金、押金及个人备用金等</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7,497,890.43</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除税费返还外的其他政府补助收入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2,712,380.00</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代收社保报销款项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1,905,773.17</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111,179.43</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4"/>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30,320,444.11</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2"/>
        <w:rPr>
          <w:rFonts w:ascii="宋体" w:hAnsi="宋体" w:cs="宋体" w:eastAsia="宋体" w:hint="default"/>
          <w:sz w:val="21"/>
          <w:szCs w:val="21"/>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）支付的其他与经营活动有关的现金</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4"/>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投标保证金、往来款及个人备用金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32,104,180.43</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9,448,644.43</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6,237,086.49</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2,238,992.79</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2,179,638.51</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办公场租</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1,403,418.13</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707,192.11</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2,967,978.07</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4"/>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57,287,130.96</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footerReference w:type="default" r:id="rId28"/>
          <w:pgSz w:w="11910" w:h="16840"/>
          <w:pgMar w:footer="979" w:header="745" w:top="1060" w:bottom="1160" w:left="1020" w:right="1020"/>
          <w:pgNumType w:start="120"/>
        </w:sectPr>
      </w:pPr>
    </w:p>
    <w:p>
      <w:pPr>
        <w:spacing w:line="240" w:lineRule="auto" w:before="10"/>
        <w:rPr>
          <w:rFonts w:ascii="宋体" w:hAnsi="宋体" w:cs="宋体" w:eastAsia="宋体" w:hint="default"/>
          <w:sz w:val="24"/>
          <w:szCs w:val="24"/>
        </w:rPr>
      </w:pPr>
    </w:p>
    <w:p>
      <w:pPr>
        <w:spacing w:line="333" w:lineRule="exact" w:before="0"/>
        <w:ind w:left="119" w:right="0" w:firstLine="0"/>
        <w:jc w:val="left"/>
        <w:rPr>
          <w:rFonts w:ascii="Microsoft JhengHei" w:hAnsi="Microsoft JhengHei" w:cs="Microsoft JhengHei" w:eastAsia="Microsoft JhengHei" w:hint="default"/>
          <w:sz w:val="21"/>
          <w:szCs w:val="21"/>
        </w:rPr>
      </w:pPr>
      <w:bookmarkStart w:name="36、现金流量表补充资料" w:id="238"/>
      <w:bookmarkEnd w:id="238"/>
      <w:r>
        <w:rPr/>
      </w:r>
      <w:bookmarkStart w:name="（1）现金流量表补充资料" w:id="239"/>
      <w:bookmarkEnd w:id="239"/>
      <w:r>
        <w:rPr/>
      </w:r>
      <w:bookmarkStart w:name="（2）本报告期取得或处置子公司及其他营业单位的相关信息" w:id="240"/>
      <w:bookmarkEnd w:id="240"/>
      <w:r>
        <w:rPr/>
      </w:r>
      <w:r>
        <w:rPr>
          <w:rFonts w:ascii="Times New Roman" w:hAnsi="Times New Roman" w:cs="Times New Roman" w:eastAsia="Times New Roman" w:hint="default"/>
          <w:b/>
          <w:bCs/>
          <w:sz w:val="21"/>
          <w:szCs w:val="21"/>
        </w:rPr>
        <w:t>36</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4390"/>
        <w:gridCol w:w="2522"/>
        <w:gridCol w:w="2657"/>
      </w:tblGrid>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72,229,938.08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51,931,011.79</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4,967,269.26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2,833,181.86</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4,309,752.33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2,883,269.43</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4,812,150.00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577,200.00</w:t>
            </w:r>
          </w:p>
        </w:tc>
      </w:tr>
      <w:tr>
        <w:trPr>
          <w:trHeight w:val="715"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4,241.24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2,379.15</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-498,325.96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-443,389.96</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-418,453.48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721,977.04</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-89,274,178.32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-46,320,176.41</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25,064,823.88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2,037,420.81</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21,197,217.03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14,222,873.71</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666,714,686.65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736,117,964.85</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736,117,964.85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774,570,706.59</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-69,403,278.20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-38,452,741.74</w:t>
            </w:r>
          </w:p>
        </w:tc>
      </w:tr>
    </w:tbl>
    <w:p>
      <w:pPr>
        <w:spacing w:line="240" w:lineRule="auto" w:before="2"/>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）本报告期取得或处置子公司及其他营业单位的相关信息</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390"/>
        <w:gridCol w:w="2522"/>
        <w:gridCol w:w="2657"/>
      </w:tblGrid>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81,200,000.00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取得子公司及其他营业单位支付的现金和现金等价物</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48,720,000.00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311,896.53</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48,408,103.47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97,083,350.80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80,808,137.02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80,499,706.63</w:t>
            </w:r>
          </w:p>
        </w:tc>
        <w:tc>
          <w:tcPr>
            <w:tcW w:w="26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4390"/>
        <w:gridCol w:w="2522"/>
        <w:gridCol w:w="2657"/>
      </w:tblGrid>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bookmarkStart w:name="（3）现金和现金等价物的构成" w:id="241"/>
            <w:bookmarkEnd w:id="241"/>
            <w:r>
              <w:rPr/>
            </w:r>
            <w:bookmarkStart w:name="八、关联方及关联交易" w:id="242"/>
            <w:bookmarkEnd w:id="242"/>
            <w:r>
              <w:rPr/>
            </w:r>
            <w:bookmarkStart w:name="1、本企业的母公司情况" w:id="243"/>
            <w:bookmarkEnd w:id="243"/>
            <w:r>
              <w:rPr/>
            </w:r>
            <w:bookmarkStart w:name="2、本企业的子公司情况" w:id="244"/>
            <w:bookmarkEnd w:id="244"/>
            <w:r>
              <w:rPr/>
            </w:r>
            <w:r>
              <w:rPr>
                <w:rFonts w:ascii="宋体" w:hAnsi="宋体" w:cs="宋体" w:eastAsia="宋体" w:hint="default"/>
                <w:sz w:val="18"/>
                <w:szCs w:val="18"/>
              </w:rPr>
              <w:t>流动负债</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6" w:right="0"/>
              <w:jc w:val="left"/>
              <w:rPr>
                <w:rFonts w:ascii="Times New Roman" w:hAnsi="Times New Roman" w:cs="Times New Roman" w:eastAsia="Times New Roman" w:hint="default"/>
                <w:sz w:val="18"/>
                <w:szCs w:val="18"/>
              </w:rPr>
            </w:pPr>
            <w:r>
              <w:rPr>
                <w:rFonts w:ascii="Times New Roman"/>
                <w:sz w:val="18"/>
              </w:rPr>
              <w:t>64,224,492.85</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）现金和现金等价物的构成</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387"/>
        <w:gridCol w:w="2525"/>
        <w:gridCol w:w="2657"/>
      </w:tblGrid>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666,714,686.65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736,117,964.85</w:t>
            </w:r>
          </w:p>
        </w:tc>
      </w:tr>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57,612.75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126,007.26</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666,657,073.90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735,991,957.59</w:t>
            </w:r>
          </w:p>
        </w:tc>
      </w:tr>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666,714,686.65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736,117,964.85</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八、关联方及关联交易</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1"/>
        <w:gridCol w:w="869"/>
        <w:gridCol w:w="862"/>
      </w:tblGrid>
      <w:tr>
        <w:trPr>
          <w:trHeight w:val="358"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母公司对</w:t>
            </w: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母公司对</w:t>
            </w: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6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4"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3" w:right="71" w:hanging="272"/>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3" w:right="67"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2" w:right="65"/>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2" w:right="67"/>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47" w:right="62"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5"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62"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357" w:lineRule="auto" w:before="145"/>
        <w:ind w:right="372" w:firstLine="482"/>
        <w:jc w:val="left"/>
      </w:pPr>
      <w:r>
        <w:rPr/>
        <w:t>本公司股东吴强华为实际控制人，持有公司32.82%的股权，对本公司的表决权比例为 32.82%。</w:t>
      </w:r>
    </w:p>
    <w:p>
      <w:pPr>
        <w:spacing w:before="215"/>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958"/>
        <w:gridCol w:w="958"/>
        <w:gridCol w:w="955"/>
        <w:gridCol w:w="960"/>
        <w:gridCol w:w="958"/>
        <w:gridCol w:w="958"/>
        <w:gridCol w:w="955"/>
        <w:gridCol w:w="958"/>
        <w:gridCol w:w="955"/>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4"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上海政通信 息科技有限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计算机服务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66242110-3</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北京数字政 通信息技术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计算机服务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05734253-8</w:t>
            </w:r>
          </w:p>
        </w:tc>
      </w:tr>
      <w:tr>
        <w:trPr>
          <w:trHeight w:val="67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武汉智慧政 通科技有限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计算机服务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05201485-0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958"/>
        <w:gridCol w:w="958"/>
        <w:gridCol w:w="955"/>
        <w:gridCol w:w="960"/>
        <w:gridCol w:w="958"/>
        <w:gridCol w:w="955"/>
        <w:gridCol w:w="958"/>
        <w:gridCol w:w="958"/>
        <w:gridCol w:w="955"/>
        <w:gridCol w:w="958"/>
      </w:tblGrid>
      <w:tr>
        <w:trPr>
          <w:trHeight w:val="3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bookmarkStart w:name="3、本企业的其他关联方情况" w:id="245"/>
            <w:bookmarkEnd w:id="245"/>
            <w:r>
              <w:rPr/>
            </w:r>
            <w:bookmarkStart w:name="4、关联方交易" w:id="246"/>
            <w:bookmarkEnd w:id="246"/>
            <w:r>
              <w:rPr/>
            </w:r>
            <w:bookmarkStart w:name="（1）其他关联交易" w:id="247"/>
            <w:bookmarkEnd w:id="247"/>
            <w:r>
              <w:rPr/>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北京汉王智</w:t>
            </w: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通科技有限</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张开春</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6" w:right="0"/>
              <w:jc w:val="left"/>
              <w:rPr>
                <w:rFonts w:ascii="Times New Roman" w:hAnsi="Times New Roman" w:cs="Times New Roman" w:eastAsia="Times New Roman" w:hint="default"/>
                <w:sz w:val="18"/>
                <w:szCs w:val="18"/>
              </w:rPr>
            </w:pPr>
            <w:r>
              <w:rPr>
                <w:rFonts w:ascii="Times New Roman"/>
                <w:sz w:val="18"/>
              </w:rPr>
              <w:t>40,000,000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595" w:right="0"/>
              <w:jc w:val="left"/>
              <w:rPr>
                <w:rFonts w:ascii="Times New Roman" w:hAnsi="Times New Roman" w:cs="Times New Roman" w:eastAsia="Times New Roman" w:hint="default"/>
                <w:sz w:val="18"/>
                <w:szCs w:val="18"/>
              </w:rPr>
            </w:pPr>
            <w:r>
              <w:rPr>
                <w:rFonts w:ascii="Times New Roman"/>
                <w:sz w:val="18"/>
              </w:rPr>
              <w:t>70%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592" w:right="0"/>
              <w:jc w:val="left"/>
              <w:rPr>
                <w:rFonts w:ascii="Times New Roman" w:hAnsi="Times New Roman" w:cs="Times New Roman" w:eastAsia="Times New Roman" w:hint="default"/>
                <w:sz w:val="18"/>
                <w:szCs w:val="18"/>
              </w:rPr>
            </w:pPr>
            <w:r>
              <w:rPr>
                <w:rFonts w:ascii="Times New Roman"/>
                <w:sz w:val="18"/>
              </w:rPr>
              <w:t>70%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sz w:val="18"/>
              </w:rPr>
              <w:t>56362673-6</w:t>
            </w:r>
          </w:p>
        </w:tc>
      </w:tr>
      <w:tr>
        <w:trPr>
          <w:trHeight w:val="353"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、本企业的其他关联方情况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汉王制造有限公司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北京汉王智通科技有限公司的原控股股 东子公司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700907957</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汉王科技股份有限公司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北京汉王智通科技有限公司的原控股股 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633709570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12"/>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、关联方交易</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）其他关联交易</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0"/>
        <w:ind w:left="595" w:right="0"/>
        <w:jc w:val="left"/>
      </w:pPr>
      <w:r>
        <w:rPr/>
        <w:t>关键管理人员报酬</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58"/>
        <w:gridCol w:w="2335"/>
        <w:gridCol w:w="2321"/>
      </w:tblGrid>
      <w:tr>
        <w:trPr>
          <w:trHeight w:val="353" w:hRule="exact"/>
        </w:trPr>
        <w:tc>
          <w:tcPr>
            <w:tcW w:w="4558"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年度报酬区间</w:t>
            </w:r>
          </w:p>
        </w:tc>
        <w:tc>
          <w:tcPr>
            <w:tcW w:w="2335"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321"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62" w:hRule="exact"/>
        </w:trPr>
        <w:tc>
          <w:tcPr>
            <w:tcW w:w="455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right="84"/>
              <w:jc w:val="center"/>
              <w:rPr>
                <w:rFonts w:ascii="宋体" w:hAnsi="宋体" w:cs="宋体" w:eastAsia="宋体" w:hint="default"/>
                <w:sz w:val="21"/>
                <w:szCs w:val="21"/>
              </w:rPr>
            </w:pPr>
            <w:r>
              <w:rPr>
                <w:rFonts w:ascii="Times New Roman" w:hAnsi="Times New Roman" w:cs="Times New Roman" w:eastAsia="Times New Roman" w:hint="default"/>
                <w:sz w:val="21"/>
                <w:szCs w:val="21"/>
              </w:rPr>
              <w:t>329.00</w:t>
            </w:r>
            <w:r>
              <w:rPr>
                <w:rFonts w:ascii="宋体" w:hAnsi="宋体" w:cs="宋体" w:eastAsia="宋体" w:hint="default"/>
                <w:sz w:val="21"/>
                <w:szCs w:val="21"/>
              </w:rPr>
              <w:t>万元</w:t>
            </w:r>
          </w:p>
        </w:tc>
        <w:tc>
          <w:tcPr>
            <w:tcW w:w="2321" w:type="dxa"/>
            <w:tcBorders>
              <w:top w:val="single" w:sz="12" w:space="0" w:color="000000"/>
              <w:left w:val="single" w:sz="6" w:space="0" w:color="000000"/>
              <w:bottom w:val="single" w:sz="12" w:space="0" w:color="000000"/>
              <w:right w:val="nil" w:sz="6" w:space="0" w:color="auto"/>
            </w:tcBorders>
          </w:tcPr>
          <w:p>
            <w:pPr>
              <w:pStyle w:val="TableParagraph"/>
              <w:spacing w:line="288" w:lineRule="exact"/>
              <w:ind w:right="146"/>
              <w:jc w:val="center"/>
              <w:rPr>
                <w:rFonts w:ascii="宋体" w:hAnsi="宋体" w:cs="宋体" w:eastAsia="宋体" w:hint="default"/>
                <w:sz w:val="21"/>
                <w:szCs w:val="21"/>
              </w:rPr>
            </w:pPr>
            <w:r>
              <w:rPr>
                <w:rFonts w:ascii="Times New Roman" w:hAnsi="Times New Roman" w:cs="Times New Roman" w:eastAsia="Times New Roman" w:hint="default"/>
                <w:sz w:val="21"/>
                <w:szCs w:val="21"/>
              </w:rPr>
              <w:t>295.94</w:t>
            </w:r>
            <w:r>
              <w:rPr>
                <w:rFonts w:ascii="宋体" w:hAnsi="宋体" w:cs="宋体" w:eastAsia="宋体" w:hint="default"/>
                <w:sz w:val="21"/>
                <w:szCs w:val="21"/>
              </w:rPr>
              <w:t>万元</w:t>
            </w:r>
          </w:p>
        </w:tc>
      </w:tr>
      <w:tr>
        <w:trPr>
          <w:trHeight w:val="362" w:hRule="exact"/>
        </w:trPr>
        <w:tc>
          <w:tcPr>
            <w:tcW w:w="455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其中：（各金额区间人数）</w:t>
            </w:r>
          </w:p>
        </w:tc>
        <w:tc>
          <w:tcPr>
            <w:tcW w:w="2335" w:type="dxa"/>
            <w:tcBorders>
              <w:top w:val="single" w:sz="12" w:space="0" w:color="000000"/>
              <w:left w:val="single" w:sz="6" w:space="0" w:color="000000"/>
              <w:bottom w:val="single" w:sz="12" w:space="0" w:color="000000"/>
              <w:right w:val="single" w:sz="6" w:space="0" w:color="000000"/>
            </w:tcBorders>
          </w:tcPr>
          <w:p>
            <w:pPr/>
          </w:p>
        </w:tc>
        <w:tc>
          <w:tcPr>
            <w:tcW w:w="232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4558"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万元以上</w:t>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left="15"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23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95"/>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r>
      <w:tr>
        <w:trPr>
          <w:trHeight w:val="362" w:hRule="exact"/>
        </w:trPr>
        <w:tc>
          <w:tcPr>
            <w:tcW w:w="4558"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宋体" w:hAnsi="宋体" w:cs="宋体" w:eastAsia="宋体" w:hint="default"/>
                <w:sz w:val="21"/>
                <w:szCs w:val="21"/>
              </w:rPr>
              <w:t>万元</w:t>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left="15"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3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95"/>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r>
      <w:tr>
        <w:trPr>
          <w:trHeight w:val="362" w:hRule="exact"/>
        </w:trPr>
        <w:tc>
          <w:tcPr>
            <w:tcW w:w="4558"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万元</w:t>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left="15"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23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95"/>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r>
      <w:tr>
        <w:trPr>
          <w:trHeight w:val="360" w:hRule="exact"/>
        </w:trPr>
        <w:tc>
          <w:tcPr>
            <w:tcW w:w="4558" w:type="dxa"/>
            <w:tcBorders>
              <w:top w:val="single" w:sz="12" w:space="0" w:color="000000"/>
              <w:left w:val="single" w:sz="6" w:space="0" w:color="000000"/>
              <w:bottom w:val="single" w:sz="12"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万元以下</w:t>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3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95"/>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r>
    </w:tbl>
    <w:p>
      <w:pPr>
        <w:pStyle w:val="BodyText"/>
        <w:spacing w:line="297" w:lineRule="exact" w:before="0"/>
        <w:ind w:left="595" w:right="0"/>
        <w:jc w:val="left"/>
      </w:pPr>
      <w:r>
        <w:rPr>
          <w:rFonts w:ascii="Times New Roman" w:hAnsi="Times New Roman" w:cs="Times New Roman" w:eastAsia="Times New Roman" w:hint="default"/>
        </w:rPr>
        <w:t>5</w:t>
      </w:r>
      <w:r>
        <w:rPr/>
        <w:t>、关联方应收应付款项</w:t>
      </w:r>
    </w:p>
    <w:tbl>
      <w:tblPr>
        <w:tblW w:w="0" w:type="auto"/>
        <w:jc w:val="left"/>
        <w:tblInd w:w="105" w:type="dxa"/>
        <w:tblLayout w:type="fixed"/>
        <w:tblCellMar>
          <w:top w:w="0" w:type="dxa"/>
          <w:left w:w="0" w:type="dxa"/>
          <w:bottom w:w="0" w:type="dxa"/>
          <w:right w:w="0" w:type="dxa"/>
        </w:tblCellMar>
        <w:tblLook w:val="01E0"/>
      </w:tblPr>
      <w:tblGrid>
        <w:gridCol w:w="3960"/>
        <w:gridCol w:w="2712"/>
        <w:gridCol w:w="2542"/>
      </w:tblGrid>
      <w:tr>
        <w:trPr>
          <w:trHeight w:val="353" w:hRule="exact"/>
        </w:trPr>
        <w:tc>
          <w:tcPr>
            <w:tcW w:w="396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712"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542"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62" w:hRule="exact"/>
        </w:trPr>
        <w:tc>
          <w:tcPr>
            <w:tcW w:w="396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12" w:type="dxa"/>
            <w:tcBorders>
              <w:top w:val="single" w:sz="12" w:space="0" w:color="000000"/>
              <w:left w:val="single" w:sz="6" w:space="0" w:color="000000"/>
              <w:bottom w:val="single" w:sz="12" w:space="0" w:color="000000"/>
              <w:right w:val="single" w:sz="6" w:space="0" w:color="000000"/>
            </w:tcBorders>
          </w:tcPr>
          <w:p>
            <w:pPr/>
          </w:p>
        </w:tc>
        <w:tc>
          <w:tcPr>
            <w:tcW w:w="254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96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汉王科技股份有限公司</w:t>
            </w:r>
          </w:p>
        </w:tc>
        <w:tc>
          <w:tcPr>
            <w:tcW w:w="27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1,491,573.29</w:t>
            </w:r>
            <w:r>
              <w:rPr>
                <w:rFonts w:ascii="Times New Roman"/>
                <w:sz w:val="21"/>
              </w:rPr>
            </w:r>
          </w:p>
        </w:tc>
        <w:tc>
          <w:tcPr>
            <w:tcW w:w="254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96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汉王制造有限公司</w:t>
            </w:r>
          </w:p>
        </w:tc>
        <w:tc>
          <w:tcPr>
            <w:tcW w:w="27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25,084,114.88</w:t>
            </w:r>
            <w:r>
              <w:rPr>
                <w:rFonts w:ascii="Times New Roman"/>
                <w:sz w:val="21"/>
              </w:rPr>
            </w:r>
          </w:p>
        </w:tc>
        <w:tc>
          <w:tcPr>
            <w:tcW w:w="254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960" w:type="dxa"/>
            <w:tcBorders>
              <w:top w:val="single" w:sz="12" w:space="0" w:color="000000"/>
              <w:left w:val="single" w:sz="6" w:space="0" w:color="000000"/>
              <w:bottom w:val="single" w:sz="12" w:space="0" w:color="000000"/>
              <w:right w:val="single" w:sz="6" w:space="0" w:color="000000"/>
            </w:tcBorders>
          </w:tcPr>
          <w:p>
            <w:pPr>
              <w:pStyle w:val="TableParagraph"/>
              <w:tabs>
                <w:tab w:pos="419"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7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26,575,688.17</w:t>
            </w:r>
            <w:r>
              <w:rPr>
                <w:rFonts w:ascii="Times New Roman"/>
                <w:sz w:val="21"/>
              </w:rPr>
            </w:r>
          </w:p>
        </w:tc>
        <w:tc>
          <w:tcPr>
            <w:tcW w:w="254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96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12" w:type="dxa"/>
            <w:tcBorders>
              <w:top w:val="single" w:sz="12" w:space="0" w:color="000000"/>
              <w:left w:val="single" w:sz="6" w:space="0" w:color="000000"/>
              <w:bottom w:val="single" w:sz="12" w:space="0" w:color="000000"/>
              <w:right w:val="single" w:sz="6" w:space="0" w:color="000000"/>
            </w:tcBorders>
          </w:tcPr>
          <w:p>
            <w:pPr/>
          </w:p>
        </w:tc>
        <w:tc>
          <w:tcPr>
            <w:tcW w:w="2542"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3960"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汉王科技股份有限公司</w:t>
            </w:r>
          </w:p>
        </w:tc>
        <w:tc>
          <w:tcPr>
            <w:tcW w:w="27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28,400,000.00</w:t>
            </w:r>
            <w:r>
              <w:rPr>
                <w:rFonts w:ascii="Times New Roman"/>
                <w:sz w:val="21"/>
              </w:rPr>
            </w:r>
          </w:p>
        </w:tc>
        <w:tc>
          <w:tcPr>
            <w:tcW w:w="254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960" w:type="dxa"/>
            <w:tcBorders>
              <w:top w:val="single" w:sz="12" w:space="0" w:color="000000"/>
              <w:left w:val="single" w:sz="6" w:space="0" w:color="000000"/>
              <w:bottom w:val="single" w:sz="12" w:space="0" w:color="000000"/>
              <w:right w:val="single" w:sz="6" w:space="0" w:color="000000"/>
            </w:tcBorders>
          </w:tcPr>
          <w:p>
            <w:pPr>
              <w:pStyle w:val="TableParagraph"/>
              <w:tabs>
                <w:tab w:pos="419"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7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28,400,000.00</w:t>
            </w:r>
            <w:r>
              <w:rPr>
                <w:rFonts w:ascii="Times New Roman"/>
                <w:sz w:val="21"/>
              </w:rPr>
            </w:r>
          </w:p>
        </w:tc>
        <w:tc>
          <w:tcPr>
            <w:tcW w:w="2542"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5" w:footer="979" w:top="1060" w:bottom="1160" w:left="1020" w:right="102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bookmarkStart w:name="九、股份支付" w:id="248"/>
      <w:bookmarkEnd w:id="248"/>
      <w:r>
        <w:rPr>
          <w:b w:val="0"/>
          <w:bCs w:val="0"/>
        </w:rPr>
      </w:r>
      <w:bookmarkStart w:name="1、股份支付总体情况" w:id="249"/>
      <w:bookmarkEnd w:id="249"/>
      <w:r>
        <w:rPr>
          <w:b w:val="0"/>
          <w:bCs w:val="0"/>
        </w:rPr>
      </w:r>
      <w:bookmarkStart w:name="2、以权益结算的股份支付情况" w:id="250"/>
      <w:bookmarkEnd w:id="250"/>
      <w:r>
        <w:rPr>
          <w:b w:val="0"/>
          <w:bCs w:val="0"/>
        </w:rPr>
      </w:r>
      <w:bookmarkStart w:name="3、以股份支付服务情况" w:id="251"/>
      <w:bookmarkEnd w:id="251"/>
      <w:r>
        <w:rPr>
          <w:b w:val="0"/>
          <w:bCs w:val="0"/>
        </w:rPr>
      </w:r>
      <w:bookmarkStart w:name="十、承诺事项" w:id="252"/>
      <w:bookmarkEnd w:id="252"/>
      <w:r>
        <w:rPr>
          <w:b w:val="0"/>
          <w:bCs w:val="0"/>
        </w:rPr>
      </w:r>
      <w:bookmarkStart w:name="1、重大承诺事项" w:id="253"/>
      <w:bookmarkEnd w:id="253"/>
      <w:r>
        <w:rPr>
          <w:b w:val="0"/>
          <w:bCs w:val="0"/>
        </w:rPr>
      </w:r>
      <w:r>
        <w:rPr/>
        <w:t>九、股份支付</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994"/>
        <w:gridCol w:w="5575"/>
      </w:tblGrid>
      <w:tr>
        <w:trPr>
          <w:trHeight w:val="403"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9,874,300.00</w:t>
            </w:r>
          </w:p>
        </w:tc>
      </w:tr>
      <w:tr>
        <w:trPr>
          <w:trHeight w:val="713"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79"/>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首次授予期权的行权价为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元，剩余合同期限为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日第二次授予期权的行权价为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元，剩余合同期限为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spacing w:line="240" w:lineRule="auto" w:before="12"/>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、以权益结算的股份支付情况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公司选择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模型来计算期权的公允价值</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7"/>
              <w:jc w:val="left"/>
              <w:rPr>
                <w:rFonts w:ascii="宋体" w:hAnsi="宋体" w:cs="宋体" w:eastAsia="宋体" w:hint="default"/>
                <w:sz w:val="18"/>
                <w:szCs w:val="18"/>
              </w:rPr>
            </w:pPr>
            <w:r>
              <w:rPr>
                <w:rFonts w:ascii="宋体" w:hAnsi="宋体" w:cs="宋体" w:eastAsia="宋体" w:hint="default"/>
                <w:sz w:val="18"/>
                <w:szCs w:val="18"/>
              </w:rPr>
              <w:t>根据最新取得的可行权人数变动、业绩指标完成情况等后续 信息，修正预计可行权的股票期权数量。</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3,145,030.00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3,145,030.00</w:t>
            </w:r>
          </w:p>
        </w:tc>
      </w:tr>
    </w:tbl>
    <w:p>
      <w:pPr>
        <w:spacing w:before="49"/>
        <w:ind w:left="119" w:right="0" w:hanging="7"/>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line="240" w:lineRule="auto" w:before="12"/>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、以股份支付服务情况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5" w:lineRule="exact"/>
        <w:ind w:left="10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pt;mso-position-horizontal-relative:char;mso-position-vertical-relative:line" coordorigin="0,0" coordsize="9588,416">
            <v:group style="position:absolute;left:12;top:12;width:4779;height:396" coordorigin="12,12" coordsize="4779,396">
              <v:shape style="position:absolute;left:12;top:12;width:4779;height:396" coordorigin="12,12" coordsize="4779,396" path="m12,12l12,408,4790,408,4790,12,12,12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00000">
                <v:path arrowok="t"/>
              </v:shape>
            </v:group>
            <v:group style="position:absolute;left:5;top:410;width:9579;height:2" coordorigin="5,410" coordsize="9579,2">
              <v:shape style="position:absolute;left:5;top:410;width:9579;height:2" coordorigin="5,410" coordsize="9579,0" path="m5,410l9583,410e" filled="false" stroked="true" strokeweight=".48pt" strokecolor="#000000">
                <v:path arrowok="t"/>
              </v:shape>
            </v:group>
            <v:group style="position:absolute;left:10;top:5;width:2;height:401" coordorigin="10,5" coordsize="2,401">
              <v:shape style="position:absolute;left:10;top:5;width:2;height:401" coordorigin="10,5" coordsize="0,401" path="m10,5l10,406e" filled="false" stroked="true" strokeweight=".48pt" strokecolor="#000000">
                <v:path arrowok="t"/>
              </v:shape>
            </v:group>
            <v:group style="position:absolute;left:4795;top:5;width:2;height:401" coordorigin="4795,5" coordsize="2,401">
              <v:shape style="position:absolute;left:4795;top:5;width:2;height:401" coordorigin="4795,5" coordsize="0,401" path="m4795,5l4795,406e" filled="false" stroked="true" strokeweight=".48pt" strokecolor="#000000">
                <v:path arrowok="t"/>
              </v:shape>
            </v:group>
            <v:group style="position:absolute;left:9578;top:5;width:2;height:401" coordorigin="9578,5" coordsize="2,401">
              <v:shape style="position:absolute;left:9578;top:5;width:2;height:401" coordorigin="9578,5" coordsize="0,401" path="m9578,5l9578,406e" filled="false" stroked="true" strokeweight=".48pt" strokecolor="#000000">
                <v:path arrowok="t"/>
              </v:shape>
              <v:shape style="position:absolute;left:10;top:10;width:4786;height:401"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xbxContent>
                </v:textbox>
                <w10:wrap type="none"/>
              </v:shape>
              <v:shape style="position:absolute;left:4795;top:10;width:4784;height:401" type="#_x0000_t202" filled="false" stroked="false">
                <v:textbox inset="0,0,0,0">
                  <w:txbxContent>
                    <w:p>
                      <w:pPr>
                        <w:spacing w:before="96"/>
                        <w:ind w:left="0" w:right="25" w:firstLine="0"/>
                        <w:jc w:val="right"/>
                        <w:rPr>
                          <w:rFonts w:ascii="Times New Roman" w:hAnsi="Times New Roman" w:cs="Times New Roman" w:eastAsia="Times New Roman" w:hint="default"/>
                          <w:sz w:val="18"/>
                          <w:szCs w:val="18"/>
                        </w:rPr>
                      </w:pPr>
                      <w:r>
                        <w:rPr>
                          <w:rFonts w:ascii="Times New Roman"/>
                          <w:spacing w:val="-1"/>
                          <w:sz w:val="18"/>
                        </w:rPr>
                        <w:t>3,145,030.00</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18"/>
          <w:szCs w:val="18"/>
        </w:rPr>
      </w:pPr>
    </w:p>
    <w:p>
      <w:pPr>
        <w:pStyle w:val="Heading2"/>
        <w:spacing w:line="367" w:lineRule="exact"/>
        <w:ind w:left="119" w:right="0" w:hanging="7"/>
        <w:jc w:val="left"/>
        <w:rPr>
          <w:b w:val="0"/>
          <w:bCs w:val="0"/>
        </w:rPr>
      </w:pPr>
      <w:r>
        <w:rPr/>
        <w:t>十、承诺事项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、重大承诺事项</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right="112" w:firstLine="482"/>
        <w:jc w:val="both"/>
      </w:pPr>
      <w:r>
        <w:rPr/>
        <w:t>根据本公司2012年12月7日《关于使用超募资金收购北京汉王智通科技有限公司90%股权 的公告》，本公司拟用超募资金10,440万元收购汉王科技股份有限公司（以下简称“汉王科 </w:t>
      </w:r>
      <w:r>
        <w:rPr>
          <w:spacing w:val="-2"/>
        </w:rPr>
        <w:t>技”）全资子公司北京汉王智通科技有限公司（以下简称“汉王智通”）90%的股权。本公司</w:t>
      </w:r>
      <w:r>
        <w:rPr/>
        <w:t> 分二次向汉王科技收购汉王智通90%的股权，首次收购汉王科技70%股权，第二次收购汉王科 技20%的股权。首次70%股权已于2012年12月31日交割完毕。</w:t>
      </w:r>
    </w:p>
    <w:p>
      <w:pPr>
        <w:spacing w:after="0" w:line="357" w:lineRule="auto"/>
        <w:jc w:val="both"/>
        <w:sectPr>
          <w:pgSz w:w="11910" w:h="16840"/>
          <w:pgMar w:header="745" w:footer="979" w:top="1060" w:bottom="1160" w:left="1020" w:right="1020"/>
        </w:sectPr>
      </w:pPr>
    </w:p>
    <w:p>
      <w:pPr>
        <w:spacing w:line="240" w:lineRule="auto" w:before="8"/>
        <w:rPr>
          <w:rFonts w:ascii="宋体" w:hAnsi="宋体" w:cs="宋体" w:eastAsia="宋体" w:hint="default"/>
          <w:sz w:val="23"/>
          <w:szCs w:val="23"/>
        </w:rPr>
      </w:pPr>
    </w:p>
    <w:p>
      <w:pPr>
        <w:pStyle w:val="Heading2"/>
        <w:spacing w:line="367" w:lineRule="exact"/>
        <w:ind w:left="119" w:right="0" w:hanging="7"/>
        <w:jc w:val="left"/>
        <w:rPr>
          <w:b w:val="0"/>
          <w:bCs w:val="0"/>
        </w:rPr>
      </w:pPr>
      <w:bookmarkStart w:name="十一、资产负债表日后事项" w:id="254"/>
      <w:bookmarkEnd w:id="254"/>
      <w:r>
        <w:rPr>
          <w:b w:val="0"/>
          <w:bCs w:val="0"/>
        </w:rPr>
      </w:r>
      <w:bookmarkStart w:name="1、其他资产负债表日后事项说明" w:id="255"/>
      <w:bookmarkEnd w:id="255"/>
      <w:r>
        <w:rPr>
          <w:b w:val="0"/>
          <w:bCs w:val="0"/>
        </w:rPr>
      </w:r>
      <w:bookmarkStart w:name="十二、母公司财务报表主要项目注释" w:id="256"/>
      <w:bookmarkEnd w:id="256"/>
      <w:r>
        <w:rPr>
          <w:b w:val="0"/>
          <w:bCs w:val="0"/>
        </w:rPr>
      </w:r>
      <w:bookmarkStart w:name="1、应收账款" w:id="257"/>
      <w:bookmarkEnd w:id="257"/>
      <w:r>
        <w:rPr>
          <w:b w:val="0"/>
          <w:bCs w:val="0"/>
        </w:rPr>
      </w:r>
      <w:bookmarkStart w:name="（1）应收账款" w:id="258"/>
      <w:bookmarkEnd w:id="258"/>
      <w:r>
        <w:rPr>
          <w:b w:val="0"/>
          <w:bCs w:val="0"/>
        </w:rPr>
      </w:r>
      <w:r>
        <w:rPr/>
        <w:t>十一、资产负债表日后事项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、其他资产负债表日后事项说明</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before="0"/>
        <w:ind w:left="0" w:right="112"/>
        <w:jc w:val="right"/>
      </w:pPr>
      <w:r>
        <w:rPr>
          <w:spacing w:val="-3"/>
        </w:rPr>
        <w:t>2013年4月16日，公司召开第二届董事会第八次会议，审议分配预案如下：公司以总股本</w:t>
      </w:r>
    </w:p>
    <w:p>
      <w:pPr>
        <w:pStyle w:val="BodyText"/>
        <w:spacing w:line="240" w:lineRule="auto" w:before="154"/>
        <w:ind w:right="0"/>
        <w:jc w:val="left"/>
      </w:pPr>
      <w:r>
        <w:rPr/>
        <w:t>84,000,000股为基数，向全体股东每10股派发现金红利2元（含税），共计派发现金红利</w:t>
      </w:r>
    </w:p>
    <w:p>
      <w:pPr>
        <w:pStyle w:val="BodyText"/>
        <w:spacing w:line="357" w:lineRule="auto" w:before="154"/>
        <w:ind w:right="108"/>
        <w:jc w:val="left"/>
      </w:pPr>
      <w:r>
        <w:rPr>
          <w:spacing w:val="-2"/>
        </w:rPr>
        <w:t>16,800,000元，剩余未分配利润结转以后年度分配。同时以资本公积向全体股东每10股转增5</w:t>
      </w:r>
      <w:r>
        <w:rPr>
          <w:spacing w:val="-109"/>
        </w:rPr>
        <w:t> </w:t>
      </w:r>
      <w:r>
        <w:rPr>
          <w:spacing w:val="-109"/>
        </w:rPr>
      </w:r>
      <w:r>
        <w:rPr/>
        <w:t>股，合计转增股本42,000,000.00 股。转增股本后公司总股本变更为126,000,000.00</w:t>
      </w:r>
      <w:r>
        <w:rPr>
          <w:spacing w:val="1"/>
        </w:rPr>
        <w:t> </w:t>
      </w:r>
      <w:r>
        <w:rPr/>
        <w:t>股。</w:t>
      </w:r>
    </w:p>
    <w:p>
      <w:pPr>
        <w:pStyle w:val="Heading2"/>
        <w:spacing w:line="240" w:lineRule="auto" w:before="183"/>
        <w:ind w:right="0"/>
        <w:jc w:val="left"/>
        <w:rPr>
          <w:b w:val="0"/>
          <w:bCs w:val="0"/>
        </w:rPr>
      </w:pPr>
      <w:r>
        <w:rPr/>
        <w:t>十二、母公司财务报表主要项目注释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99"/>
        <w:gridCol w:w="1195"/>
        <w:gridCol w:w="530"/>
        <w:gridCol w:w="1327"/>
        <w:gridCol w:w="665"/>
        <w:gridCol w:w="1195"/>
        <w:gridCol w:w="665"/>
        <w:gridCol w:w="1327"/>
        <w:gridCol w:w="665"/>
      </w:tblGrid>
      <w:tr>
        <w:trPr>
          <w:trHeight w:val="401"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9" w:type="dxa"/>
            <w:vMerge/>
            <w:tcBorders>
              <w:left w:val="single" w:sz="4" w:space="0" w:color="000000"/>
              <w:right w:val="single" w:sz="4" w:space="0" w:color="000000"/>
            </w:tcBorders>
            <w:shd w:val="clear" w:color="auto" w:fill="D3D3D3"/>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7"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140,907,294.44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9,964,588.69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79,390,539.79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4,997,319.43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6.29%</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140,907,294.44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9,964,588.69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79,390,539.79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4,997,319.43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6.29%</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140,907,294.44</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9,964,588.69</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79,390,539.79</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4,997,319.43</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pStyle w:val="BodyText"/>
        <w:spacing w:line="240" w:lineRule="auto" w:before="68"/>
        <w:ind w:left="595" w:right="0"/>
        <w:jc w:val="left"/>
      </w:pPr>
      <w:r>
        <w:rPr/>
        <w:t>应收账款按账龄列示</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63"/>
        <w:gridCol w:w="2294"/>
        <w:gridCol w:w="1788"/>
        <w:gridCol w:w="2057"/>
        <w:gridCol w:w="1711"/>
      </w:tblGrid>
      <w:tr>
        <w:trPr>
          <w:trHeight w:val="346" w:hRule="exact"/>
        </w:trPr>
        <w:tc>
          <w:tcPr>
            <w:tcW w:w="1363" w:type="dxa"/>
            <w:vMerge w:val="restart"/>
            <w:tcBorders>
              <w:top w:val="single" w:sz="6" w:space="0" w:color="000000"/>
              <w:left w:val="single" w:sz="6" w:space="0" w:color="000000"/>
              <w:right w:val="single" w:sz="6" w:space="0" w:color="000000"/>
            </w:tcBorders>
          </w:tcPr>
          <w:p>
            <w:pPr>
              <w:pStyle w:val="TableParagraph"/>
              <w:tabs>
                <w:tab w:pos="779" w:val="left" w:leader="none"/>
              </w:tabs>
              <w:spacing w:line="270" w:lineRule="exact"/>
              <w:ind w:left="360"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40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768" w:type="dxa"/>
            <w:gridSpan w:val="2"/>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62" w:hRule="exact"/>
        </w:trPr>
        <w:tc>
          <w:tcPr>
            <w:tcW w:w="1363" w:type="dxa"/>
            <w:vMerge/>
            <w:tcBorders>
              <w:left w:val="single" w:sz="6" w:space="0" w:color="000000"/>
              <w:bottom w:val="single" w:sz="12"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left="34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62" w:hRule="exact"/>
        </w:trPr>
        <w:tc>
          <w:tcPr>
            <w:tcW w:w="13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117,564,145.01</w:t>
            </w:r>
            <w:r>
              <w:rPr>
                <w:rFonts w:ascii="Times New Roman"/>
                <w:sz w:val="21"/>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83.43</w:t>
            </w:r>
            <w:r>
              <w:rPr>
                <w:rFonts w:ascii="Times New Roman"/>
                <w:sz w:val="21"/>
              </w:rPr>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21"/>
                <w:szCs w:val="21"/>
              </w:rPr>
            </w:pPr>
            <w:r>
              <w:rPr>
                <w:rFonts w:ascii="Times New Roman"/>
                <w:w w:val="95"/>
                <w:sz w:val="21"/>
              </w:rPr>
              <w:t>66,762,291.03</w:t>
            </w:r>
            <w:r>
              <w:rPr>
                <w:rFonts w:ascii="Times New Roman"/>
                <w:sz w:val="21"/>
              </w:rPr>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21"/>
                <w:szCs w:val="21"/>
              </w:rPr>
            </w:pPr>
            <w:r>
              <w:rPr>
                <w:rFonts w:ascii="Times New Roman"/>
                <w:w w:val="95"/>
                <w:sz w:val="21"/>
              </w:rPr>
              <w:t>84.09</w:t>
            </w:r>
            <w:r>
              <w:rPr>
                <w:rFonts w:ascii="Times New Roman"/>
                <w:sz w:val="21"/>
              </w:rPr>
            </w:r>
          </w:p>
        </w:tc>
      </w:tr>
      <w:tr>
        <w:trPr>
          <w:trHeight w:val="362"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16,387,816.94</w:t>
            </w:r>
            <w:r>
              <w:rPr>
                <w:rFonts w:ascii="Times New Roman"/>
                <w:sz w:val="21"/>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11.63</w:t>
            </w:r>
            <w:r>
              <w:rPr>
                <w:rFonts w:ascii="Times New Roman"/>
                <w:sz w:val="21"/>
              </w:rPr>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21"/>
                <w:szCs w:val="21"/>
              </w:rPr>
            </w:pPr>
            <w:r>
              <w:rPr>
                <w:rFonts w:ascii="Times New Roman"/>
                <w:w w:val="95"/>
                <w:sz w:val="21"/>
              </w:rPr>
              <w:t>11,251,848.76</w:t>
            </w:r>
            <w:r>
              <w:rPr>
                <w:rFonts w:ascii="Times New Roman"/>
                <w:sz w:val="21"/>
              </w:rPr>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21"/>
                <w:szCs w:val="21"/>
              </w:rPr>
            </w:pPr>
            <w:r>
              <w:rPr>
                <w:rFonts w:ascii="Times New Roman"/>
                <w:w w:val="95"/>
                <w:sz w:val="21"/>
              </w:rPr>
              <w:t>14.17</w:t>
            </w:r>
            <w:r>
              <w:rPr>
                <w:rFonts w:ascii="Times New Roman"/>
                <w:sz w:val="21"/>
              </w:rPr>
            </w:r>
          </w:p>
        </w:tc>
      </w:tr>
      <w:tr>
        <w:trPr>
          <w:trHeight w:val="362"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5,879,832.49</w:t>
            </w:r>
            <w:r>
              <w:rPr>
                <w:rFonts w:ascii="Times New Roman"/>
                <w:sz w:val="21"/>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spacing w:val="-1"/>
                <w:sz w:val="21"/>
              </w:rPr>
              <w:t>4.17</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933,400.00</w:t>
            </w:r>
            <w:r>
              <w:rPr>
                <w:rFonts w:ascii="Times New Roman"/>
                <w:sz w:val="21"/>
              </w:rPr>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21"/>
                <w:szCs w:val="21"/>
              </w:rPr>
            </w:pPr>
            <w:r>
              <w:rPr>
                <w:rFonts w:ascii="Times New Roman"/>
                <w:spacing w:val="-1"/>
                <w:sz w:val="21"/>
              </w:rPr>
              <w:t>1.18</w:t>
            </w:r>
          </w:p>
        </w:tc>
      </w:tr>
      <w:tr>
        <w:trPr>
          <w:trHeight w:val="362"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1,075,500.00</w:t>
            </w:r>
            <w:r>
              <w:rPr>
                <w:rFonts w:ascii="Times New Roman"/>
                <w:sz w:val="21"/>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spacing w:val="-1"/>
                <w:sz w:val="21"/>
              </w:rPr>
              <w:t>0.77</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443,000.00</w:t>
            </w:r>
            <w:r>
              <w:rPr>
                <w:rFonts w:ascii="Times New Roman"/>
                <w:sz w:val="21"/>
              </w:rPr>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21"/>
                <w:szCs w:val="21"/>
              </w:rPr>
            </w:pPr>
            <w:r>
              <w:rPr>
                <w:rFonts w:ascii="Times New Roman"/>
                <w:spacing w:val="-1"/>
                <w:sz w:val="21"/>
              </w:rPr>
              <w:t>0.56</w:t>
            </w:r>
          </w:p>
        </w:tc>
      </w:tr>
      <w:tr>
        <w:trPr>
          <w:trHeight w:val="367" w:hRule="exact"/>
        </w:trPr>
        <w:tc>
          <w:tcPr>
            <w:tcW w:w="1363" w:type="dxa"/>
            <w:tcBorders>
              <w:top w:val="single" w:sz="6" w:space="0" w:color="000000"/>
              <w:left w:val="single" w:sz="6" w:space="0" w:color="000000"/>
              <w:bottom w:val="single" w:sz="12" w:space="0" w:color="000000"/>
              <w:right w:val="single" w:sz="6" w:space="0" w:color="000000"/>
            </w:tcBorders>
          </w:tcPr>
          <w:p>
            <w:pPr>
              <w:pStyle w:val="TableParagraph"/>
              <w:tabs>
                <w:tab w:pos="779" w:val="left" w:leader="none"/>
              </w:tabs>
              <w:spacing w:line="240" w:lineRule="auto" w:before="9"/>
              <w:ind w:left="360" w:right="0"/>
              <w:jc w:val="left"/>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21"/>
                <w:szCs w:val="21"/>
              </w:rPr>
            </w:pPr>
            <w:r>
              <w:rPr>
                <w:rFonts w:ascii="Times New Roman"/>
                <w:w w:val="95"/>
                <w:sz w:val="21"/>
              </w:rPr>
              <w:t>140,907,294.44</w:t>
            </w:r>
            <w:r>
              <w:rPr>
                <w:rFonts w:ascii="Times New Roman"/>
                <w:sz w:val="21"/>
              </w:rPr>
            </w:r>
          </w:p>
        </w:tc>
        <w:tc>
          <w:tcPr>
            <w:tcW w:w="17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21"/>
                <w:szCs w:val="21"/>
              </w:rPr>
            </w:pPr>
            <w:r>
              <w:rPr>
                <w:rFonts w:ascii="Times New Roman"/>
                <w:sz w:val="21"/>
              </w:rPr>
              <w:t>100</w:t>
            </w:r>
          </w:p>
        </w:tc>
        <w:tc>
          <w:tcPr>
            <w:tcW w:w="20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2"/>
              <w:jc w:val="right"/>
              <w:rPr>
                <w:rFonts w:ascii="Times New Roman" w:hAnsi="Times New Roman" w:cs="Times New Roman" w:eastAsia="Times New Roman" w:hint="default"/>
                <w:sz w:val="21"/>
                <w:szCs w:val="21"/>
              </w:rPr>
            </w:pPr>
            <w:r>
              <w:rPr>
                <w:rFonts w:ascii="Times New Roman"/>
                <w:w w:val="95"/>
                <w:sz w:val="21"/>
              </w:rPr>
              <w:t>79,390,539.79</w:t>
            </w:r>
            <w:r>
              <w:rPr>
                <w:rFonts w:ascii="Times New Roman"/>
                <w:sz w:val="21"/>
              </w:rPr>
            </w:r>
          </w:p>
        </w:tc>
        <w:tc>
          <w:tcPr>
            <w:tcW w:w="17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8"/>
              <w:ind w:right="6"/>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spacing w:line="240" w:lineRule="auto" w:before="7"/>
        <w:rPr>
          <w:rFonts w:ascii="宋体" w:hAnsi="宋体" w:cs="宋体" w:eastAsia="宋体" w:hint="default"/>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组合中，采用账龄分析法计提坏账准备的应收账款</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spacing w:before="44"/>
        <w:ind w:left="0" w:right="112" w:firstLine="0"/>
        <w:jc w:val="right"/>
        <w:rPr>
          <w:rFonts w:ascii="宋体" w:hAnsi="宋体" w:cs="宋体" w:eastAsia="宋体" w:hint="default"/>
          <w:sz w:val="18"/>
          <w:szCs w:val="18"/>
        </w:rPr>
      </w:pPr>
      <w:bookmarkStart w:name="（2）应收账款中金额前五名单位情况" w:id="259"/>
      <w:bookmarkEnd w:id="259"/>
      <w:r>
        <w:rPr/>
      </w: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066"/>
        <w:gridCol w:w="1994"/>
        <w:gridCol w:w="662"/>
        <w:gridCol w:w="1464"/>
        <w:gridCol w:w="2124"/>
        <w:gridCol w:w="665"/>
        <w:gridCol w:w="1594"/>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4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6" w:type="dxa"/>
            <w:vMerge/>
            <w:tcBorders>
              <w:left w:val="single" w:sz="4" w:space="0" w:color="000000"/>
              <w:right w:val="single" w:sz="4" w:space="0" w:color="000000"/>
            </w:tcBorders>
            <w:shd w:val="clear" w:color="auto" w:fill="D3D3D3"/>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464" w:type="dxa"/>
            <w:vMerge/>
            <w:tcBorders>
              <w:left w:val="single" w:sz="4" w:space="0" w:color="000000"/>
              <w:bottom w:val="single" w:sz="4" w:space="0" w:color="000000"/>
              <w:right w:val="single" w:sz="4" w:space="0" w:color="000000"/>
            </w:tcBorders>
            <w:shd w:val="clear" w:color="auto" w:fill="D3D3D3"/>
          </w:tcPr>
          <w:p>
            <w:pPr/>
          </w:p>
        </w:tc>
        <w:tc>
          <w:tcPr>
            <w:tcW w:w="2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2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117,564,145.01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83.43%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5,878,207.25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66,762,291.03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3,338,114.55</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16,387,816.94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11.63%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1,638,781.69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11,251,848.76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1,125,184.88</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5,879,832.49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1,763,949.75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933,400.00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280,020.00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632,500.00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316,250.00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378,000.00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189,000.00</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302,400.00</w:t>
            </w:r>
          </w:p>
        </w:tc>
        <w:tc>
          <w:tcPr>
            <w:tcW w:w="21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140,907,294.44</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9,964,588.69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79,390,539.79</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4,997,319.43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1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40" w:lineRule="auto" w:before="43"/>
        <w:ind w:left="112" w:right="5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）应收账款中金额前五名单位情况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洛阳市城市监察管理局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8,850,200.85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6.28%</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大武口区住房保障和城 市管理局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8,289,878.42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5.88%</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中国移动通信集团湖北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8,112,909.61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5.76%</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中国移动通信集团河南 有限公司濮阳分公司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4,579,164.10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3.25%</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山东动脉智能系统技术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3,701,292.31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33,533,445.29</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9" w:right="0" w:firstLine="0"/>
        <w:jc w:val="left"/>
        <w:rPr>
          <w:rFonts w:ascii="Microsoft JhengHei" w:hAnsi="Microsoft JhengHei" w:cs="Microsoft JhengHei" w:eastAsia="Microsoft JhengHei" w:hint="default"/>
          <w:sz w:val="21"/>
          <w:szCs w:val="21"/>
        </w:rPr>
      </w:pPr>
      <w:bookmarkStart w:name="2、其他应收款" w:id="260"/>
      <w:bookmarkEnd w:id="260"/>
      <w:r>
        <w:rPr/>
      </w:r>
      <w:bookmarkStart w:name="（1）其他应收款" w:id="261"/>
      <w:bookmarkEnd w:id="261"/>
      <w:r>
        <w:rPr/>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170"/>
        <w:gridCol w:w="1454"/>
        <w:gridCol w:w="528"/>
        <w:gridCol w:w="1322"/>
        <w:gridCol w:w="528"/>
        <w:gridCol w:w="1320"/>
        <w:gridCol w:w="528"/>
        <w:gridCol w:w="1190"/>
        <w:gridCol w:w="526"/>
      </w:tblGrid>
      <w:tr>
        <w:trPr>
          <w:trHeight w:val="403"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备用金、押金及保证金组合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29,220,072.61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9,283,748.94</w:t>
            </w:r>
          </w:p>
        </w:tc>
        <w:tc>
          <w:tcPr>
            <w:tcW w:w="52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29,220,072.61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9,283,748.94</w:t>
            </w:r>
          </w:p>
        </w:tc>
        <w:tc>
          <w:tcPr>
            <w:tcW w:w="52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29,220,072.61</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9,283,748.94</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pStyle w:val="BodyText"/>
        <w:spacing w:line="240" w:lineRule="auto" w:before="66"/>
        <w:ind w:left="595" w:right="0"/>
        <w:jc w:val="left"/>
      </w:pPr>
      <w:r>
        <w:rPr/>
        <w:t>其他应收款按账龄列示</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63"/>
        <w:gridCol w:w="2292"/>
        <w:gridCol w:w="1790"/>
        <w:gridCol w:w="2057"/>
        <w:gridCol w:w="1711"/>
      </w:tblGrid>
      <w:tr>
        <w:trPr>
          <w:trHeight w:val="348" w:hRule="exact"/>
        </w:trPr>
        <w:tc>
          <w:tcPr>
            <w:tcW w:w="1363" w:type="dxa"/>
            <w:vMerge w:val="restart"/>
            <w:tcBorders>
              <w:top w:val="single" w:sz="6" w:space="0" w:color="000000"/>
              <w:left w:val="single" w:sz="6" w:space="0" w:color="000000"/>
              <w:right w:val="single" w:sz="6" w:space="0" w:color="000000"/>
            </w:tcBorders>
          </w:tcPr>
          <w:p>
            <w:pPr>
              <w:pStyle w:val="TableParagraph"/>
              <w:tabs>
                <w:tab w:pos="832" w:val="left" w:leader="none"/>
              </w:tabs>
              <w:spacing w:line="272" w:lineRule="exact"/>
              <w:ind w:left="307"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40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768" w:type="dxa"/>
            <w:gridSpan w:val="2"/>
            <w:tcBorders>
              <w:top w:val="single" w:sz="6" w:space="0" w:color="000000"/>
              <w:left w:val="single" w:sz="6" w:space="0" w:color="000000"/>
              <w:bottom w:val="single" w:sz="6"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62" w:hRule="exact"/>
        </w:trPr>
        <w:tc>
          <w:tcPr>
            <w:tcW w:w="1363" w:type="dxa"/>
            <w:vMerge/>
            <w:tcBorders>
              <w:left w:val="single" w:sz="6" w:space="0" w:color="000000"/>
              <w:bottom w:val="single" w:sz="12" w:space="0" w:color="000000"/>
              <w:right w:val="single" w:sz="6" w:space="0" w:color="000000"/>
            </w:tcBorders>
          </w:tcPr>
          <w:p>
            <w:pP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left="34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60" w:hRule="exact"/>
        </w:trPr>
        <w:tc>
          <w:tcPr>
            <w:tcW w:w="13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Times New Roman" w:hAnsi="Times New Roman" w:cs="Times New Roman" w:eastAsia="Times New Roman" w:hint="default"/>
                <w:sz w:val="21"/>
                <w:szCs w:val="21"/>
              </w:rPr>
            </w:pPr>
            <w:r>
              <w:rPr>
                <w:rFonts w:ascii="Times New Roman"/>
                <w:w w:val="95"/>
                <w:sz w:val="21"/>
              </w:rPr>
              <w:t>25,713,273.85</w:t>
            </w:r>
            <w:r>
              <w:rPr>
                <w:rFonts w:ascii="Times New Roman"/>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21"/>
                <w:szCs w:val="21"/>
              </w:rPr>
            </w:pPr>
            <w:r>
              <w:rPr>
                <w:rFonts w:ascii="Times New Roman"/>
                <w:w w:val="95"/>
                <w:sz w:val="21"/>
              </w:rPr>
              <w:t>88.00</w:t>
            </w:r>
            <w:r>
              <w:rPr>
                <w:rFonts w:ascii="Times New Roman"/>
                <w:sz w:val="21"/>
              </w:rPr>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Times New Roman" w:hAnsi="Times New Roman" w:cs="Times New Roman" w:eastAsia="Times New Roman" w:hint="default"/>
                <w:sz w:val="21"/>
                <w:szCs w:val="21"/>
              </w:rPr>
            </w:pPr>
            <w:r>
              <w:rPr>
                <w:rFonts w:ascii="Times New Roman"/>
                <w:w w:val="95"/>
                <w:sz w:val="21"/>
              </w:rPr>
              <w:t>7,471,747.90</w:t>
            </w:r>
            <w:r>
              <w:rPr>
                <w:rFonts w:ascii="Times New Roman"/>
                <w:sz w:val="21"/>
              </w:rPr>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right="6"/>
              <w:jc w:val="right"/>
              <w:rPr>
                <w:rFonts w:ascii="Times New Roman" w:hAnsi="Times New Roman" w:cs="Times New Roman" w:eastAsia="Times New Roman" w:hint="default"/>
                <w:sz w:val="21"/>
                <w:szCs w:val="21"/>
              </w:rPr>
            </w:pPr>
            <w:r>
              <w:rPr>
                <w:rFonts w:ascii="Times New Roman"/>
                <w:w w:val="95"/>
                <w:sz w:val="21"/>
              </w:rPr>
              <w:t>80.48</w:t>
            </w:r>
            <w:r>
              <w:rPr>
                <w:rFonts w:ascii="Times New Roman"/>
                <w:sz w:val="21"/>
              </w:rPr>
            </w:r>
          </w:p>
        </w:tc>
      </w:tr>
      <w:tr>
        <w:trPr>
          <w:trHeight w:val="362"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21"/>
                <w:szCs w:val="21"/>
              </w:rPr>
            </w:pPr>
            <w:r>
              <w:rPr>
                <w:rFonts w:ascii="Times New Roman"/>
                <w:w w:val="95"/>
                <w:sz w:val="21"/>
              </w:rPr>
              <w:t>2,660,614.76</w:t>
            </w:r>
            <w:r>
              <w:rPr>
                <w:rFonts w:ascii="Times New Roman"/>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spacing w:val="-1"/>
                <w:sz w:val="21"/>
              </w:rPr>
              <w:t>9.10</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21"/>
                <w:szCs w:val="21"/>
              </w:rPr>
            </w:pPr>
            <w:r>
              <w:rPr>
                <w:rFonts w:ascii="Times New Roman"/>
                <w:w w:val="95"/>
                <w:sz w:val="21"/>
              </w:rPr>
              <w:t>1,179,772.00</w:t>
            </w:r>
            <w:r>
              <w:rPr>
                <w:rFonts w:ascii="Times New Roman"/>
                <w:sz w:val="21"/>
              </w:rPr>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21"/>
                <w:szCs w:val="21"/>
              </w:rPr>
            </w:pPr>
            <w:r>
              <w:rPr>
                <w:rFonts w:ascii="Times New Roman"/>
                <w:w w:val="95"/>
                <w:sz w:val="21"/>
              </w:rPr>
              <w:t>12.71</w:t>
            </w:r>
            <w:r>
              <w:rPr>
                <w:rFonts w:ascii="Times New Roman"/>
                <w:sz w:val="21"/>
              </w:rPr>
            </w:r>
          </w:p>
        </w:tc>
      </w:tr>
      <w:tr>
        <w:trPr>
          <w:trHeight w:val="362"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531,096.00</w:t>
            </w:r>
            <w:r>
              <w:rPr>
                <w:rFonts w:ascii="Times New Roman"/>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spacing w:val="-1"/>
                <w:sz w:val="21"/>
              </w:rPr>
              <w:t>1.82</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21"/>
                <w:szCs w:val="21"/>
              </w:rPr>
            </w:pPr>
            <w:r>
              <w:rPr>
                <w:rFonts w:ascii="Times New Roman"/>
                <w:w w:val="95"/>
                <w:sz w:val="21"/>
              </w:rPr>
              <w:t>86,569.00</w:t>
            </w:r>
            <w:r>
              <w:rPr>
                <w:rFonts w:ascii="Times New Roman"/>
                <w:sz w:val="21"/>
              </w:rPr>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21"/>
                <w:szCs w:val="21"/>
              </w:rPr>
            </w:pPr>
            <w:r>
              <w:rPr>
                <w:rFonts w:ascii="Times New Roman"/>
                <w:spacing w:val="-1"/>
                <w:sz w:val="21"/>
              </w:rPr>
              <w:t>0.93</w:t>
            </w:r>
          </w:p>
        </w:tc>
      </w:tr>
      <w:tr>
        <w:trPr>
          <w:trHeight w:val="362"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315,088.00</w:t>
            </w:r>
            <w:r>
              <w:rPr>
                <w:rFonts w:ascii="Times New Roman"/>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spacing w:val="-1"/>
                <w:sz w:val="21"/>
              </w:rPr>
              <w:t>1.08</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545,660.04</w:t>
            </w:r>
            <w:r>
              <w:rPr>
                <w:rFonts w:ascii="Times New Roman"/>
                <w:sz w:val="21"/>
              </w:rPr>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21"/>
                <w:szCs w:val="21"/>
              </w:rPr>
            </w:pPr>
            <w:r>
              <w:rPr>
                <w:rFonts w:ascii="Times New Roman"/>
                <w:spacing w:val="-1"/>
                <w:sz w:val="21"/>
              </w:rPr>
              <w:t>5.88</w:t>
            </w:r>
          </w:p>
        </w:tc>
      </w:tr>
      <w:tr>
        <w:trPr>
          <w:trHeight w:val="370" w:hRule="exact"/>
        </w:trPr>
        <w:tc>
          <w:tcPr>
            <w:tcW w:w="1363" w:type="dxa"/>
            <w:tcBorders>
              <w:top w:val="single" w:sz="6" w:space="0" w:color="000000"/>
              <w:left w:val="single" w:sz="6" w:space="0" w:color="000000"/>
              <w:bottom w:val="single" w:sz="12" w:space="0" w:color="000000"/>
              <w:right w:val="single" w:sz="6" w:space="0" w:color="000000"/>
            </w:tcBorders>
          </w:tcPr>
          <w:p>
            <w:pPr>
              <w:pStyle w:val="TableParagraph"/>
              <w:tabs>
                <w:tab w:pos="832" w:val="left" w:leader="none"/>
              </w:tabs>
              <w:spacing w:line="240" w:lineRule="auto" w:before="11"/>
              <w:ind w:left="307" w:right="0"/>
              <w:jc w:val="left"/>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21"/>
                <w:szCs w:val="21"/>
              </w:rPr>
            </w:pPr>
            <w:r>
              <w:rPr>
                <w:rFonts w:ascii="Times New Roman"/>
                <w:w w:val="95"/>
                <w:sz w:val="21"/>
              </w:rPr>
              <w:t>29,220,072.61</w:t>
            </w:r>
            <w:r>
              <w:rPr>
                <w:rFonts w:ascii="Times New Roman"/>
                <w:sz w:val="21"/>
              </w:rPr>
            </w:r>
          </w:p>
        </w:tc>
        <w:tc>
          <w:tcPr>
            <w:tcW w:w="1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20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21"/>
                <w:szCs w:val="21"/>
              </w:rPr>
            </w:pPr>
            <w:r>
              <w:rPr>
                <w:rFonts w:ascii="Times New Roman"/>
                <w:w w:val="95"/>
                <w:sz w:val="21"/>
              </w:rPr>
              <w:t>9,283,748.94</w:t>
            </w:r>
            <w:r>
              <w:rPr>
                <w:rFonts w:ascii="Times New Roman"/>
                <w:sz w:val="21"/>
              </w:rPr>
            </w:r>
          </w:p>
        </w:tc>
        <w:tc>
          <w:tcPr>
            <w:tcW w:w="17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79" w:top="1060" w:bottom="1160" w:left="1020" w:right="102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line="340" w:lineRule="auto" w:before="43"/>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组合中，采用余额百分比法计提坏账准备的其他应收款</w:t>
      </w:r>
    </w:p>
    <w:p>
      <w:pPr>
        <w:spacing w:line="340" w:lineRule="auto" w:before="39"/>
        <w:ind w:left="112"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1"/>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433" w:space="4396"/>
            <w:col w:w="1041"/>
          </w:cols>
        </w:sectPr>
      </w:pP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960"/>
        <w:gridCol w:w="2856"/>
        <w:gridCol w:w="2753"/>
      </w:tblGrid>
      <w:tr>
        <w:trPr>
          <w:trHeight w:val="401"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备用金、押金及保证金组合</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29,220,072.61</w:t>
            </w:r>
          </w:p>
        </w:tc>
        <w:tc>
          <w:tcPr>
            <w:tcW w:w="27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29,220,072.61</w:t>
            </w:r>
          </w:p>
        </w:tc>
        <w:tc>
          <w:tcPr>
            <w:tcW w:w="2753"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期末单项金额虽不重大但单项计提坏账准备的其他应收款</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2" w:right="0" w:firstLine="0"/>
        <w:jc w:val="left"/>
        <w:rPr>
          <w:rFonts w:ascii="Microsoft JhengHei" w:hAnsi="Microsoft JhengHei" w:cs="Microsoft JhengHei" w:eastAsia="Microsoft JhengHei" w:hint="default"/>
          <w:sz w:val="21"/>
          <w:szCs w:val="21"/>
        </w:rPr>
      </w:pPr>
      <w:bookmarkStart w:name="（2）其他应收款金额前五名单位情况" w:id="262"/>
      <w:bookmarkEnd w:id="262"/>
      <w:r>
        <w:rPr/>
      </w:r>
      <w:bookmarkStart w:name="3、长期股权投资" w:id="263"/>
      <w:bookmarkEnd w:id="263"/>
      <w:r>
        <w:rPr/>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）其他应收款金额前五名单位情况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9"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鄂尔多斯市东胜区信息 化委员会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14,929,750.00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51.09%</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定期存款利息收入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13.69%</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温州市城市管理与行政 执法局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1,290,230.26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4.42%</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1,112,873.50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宁波智慧城管中心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22,318,853.76</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76.38%</w:t>
            </w:r>
          </w:p>
        </w:tc>
      </w:tr>
    </w:tbl>
    <w:p>
      <w:pPr>
        <w:spacing w:line="240" w:lineRule="auto" w:before="5"/>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794"/>
        <w:gridCol w:w="799"/>
        <w:gridCol w:w="797"/>
        <w:gridCol w:w="799"/>
        <w:gridCol w:w="797"/>
        <w:gridCol w:w="799"/>
        <w:gridCol w:w="797"/>
        <w:gridCol w:w="799"/>
        <w:gridCol w:w="797"/>
        <w:gridCol w:w="799"/>
        <w:gridCol w:w="797"/>
        <w:gridCol w:w="799"/>
      </w:tblGrid>
      <w:tr>
        <w:trPr>
          <w:trHeight w:val="355"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3"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02" w:right="29"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6"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1"/>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6"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上海政通 信息科技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北京数字</w:t>
            </w: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政通信息 技术有限</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武汉智慧 政通科技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北京汉王 智通科技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81,200,00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81,200,00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81,200,00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113,200,0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111,200,0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113,200,0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after="0"/>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spacing w:line="333" w:lineRule="exact" w:before="0"/>
        <w:ind w:left="119" w:right="0" w:firstLine="0"/>
        <w:jc w:val="left"/>
        <w:rPr>
          <w:rFonts w:ascii="Microsoft JhengHei" w:hAnsi="Microsoft JhengHei" w:cs="Microsoft JhengHei" w:eastAsia="Microsoft JhengHei" w:hint="default"/>
          <w:sz w:val="21"/>
          <w:szCs w:val="21"/>
        </w:rPr>
      </w:pPr>
      <w:bookmarkStart w:name="4、营业收入和营业成本" w:id="264"/>
      <w:bookmarkEnd w:id="264"/>
      <w:r>
        <w:rPr/>
      </w:r>
      <w:bookmarkStart w:name="（1）营业收入" w:id="265"/>
      <w:bookmarkEnd w:id="265"/>
      <w:r>
        <w:rPr/>
      </w:r>
      <w:bookmarkStart w:name="（2）主营业务（分行业）" w:id="266"/>
      <w:bookmarkEnd w:id="266"/>
      <w:r>
        <w:rPr/>
      </w:r>
      <w:bookmarkStart w:name="（3）主营业务（分产品）" w:id="267"/>
      <w:bookmarkEnd w:id="267"/>
      <w:r>
        <w:rPr/>
      </w:r>
      <w:bookmarkStart w:name="（4）主营业务（分地区）" w:id="268"/>
      <w:bookmarkEnd w:id="268"/>
      <w:r>
        <w:rPr/>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、营业收入和营业成本</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525"/>
        <w:gridCol w:w="3456"/>
        <w:gridCol w:w="3588"/>
      </w:tblGrid>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221,941,115.51</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121,064,146.62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36,000.00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221,977,115.51</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121,076,146.62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97,765,107.24</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45,781,495.89</w:t>
            </w:r>
          </w:p>
        </w:tc>
      </w:tr>
    </w:tbl>
    <w:p>
      <w:pPr>
        <w:spacing w:line="240" w:lineRule="auto" w:before="2"/>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）主营业务（分行业）</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智慧城市管理领域</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204,000,889.58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91,048,093.77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106,785,263.79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42,747,330.49</w:t>
            </w:r>
          </w:p>
        </w:tc>
      </w:tr>
      <w:tr>
        <w:trPr>
          <w:trHeight w:val="715"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国土资源管理与城市规划领 域</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17,940,225.93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6,717,013.47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14,278,882.83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3,034,165.40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221,941,115.51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97,765,107.24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121,064,146.62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45,781,495.89</w:t>
            </w:r>
          </w:p>
        </w:tc>
      </w:tr>
    </w:tbl>
    <w:p>
      <w:pPr>
        <w:spacing w:line="240" w:lineRule="auto" w:before="5"/>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）主营业务（分产品）</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164,907,298.40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55,248,074.66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89,740,279.53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22,913,067.82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22,016,458.87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16,965,461.38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9,945,314.63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8,648,712.22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35,017,358.24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25,551,571.20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21,378,552.46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14,219,715.85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221,941,115.51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97,765,107.24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121,064,146.62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45,781,495.89</w:t>
            </w:r>
          </w:p>
        </w:tc>
      </w:tr>
    </w:tbl>
    <w:p>
      <w:pPr>
        <w:spacing w:line="240" w:lineRule="auto" w:before="5"/>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）主营业务（分地区）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121,754,215.57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52,581,863.58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71,977,509.94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27,590,529.44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100,186,899.94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45,183,243.66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49,086,636.68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18,190,966.45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5）公司前五名客户的营业收入情况" w:id="269"/>
            <w:bookmarkEnd w:id="269"/>
            <w:r>
              <w:rPr/>
            </w:r>
            <w:bookmarkStart w:name="5、现金流量表补充资料" w:id="270"/>
            <w:bookmarkEnd w:id="270"/>
            <w:r>
              <w:rPr/>
            </w: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0" w:right="0"/>
              <w:jc w:val="left"/>
              <w:rPr>
                <w:rFonts w:ascii="Times New Roman" w:hAnsi="Times New Roman" w:cs="Times New Roman" w:eastAsia="Times New Roman" w:hint="default"/>
                <w:sz w:val="18"/>
                <w:szCs w:val="18"/>
              </w:rPr>
            </w:pPr>
            <w:r>
              <w:rPr>
                <w:rFonts w:ascii="Times New Roman"/>
                <w:sz w:val="18"/>
              </w:rPr>
              <w:t>221,941,115.51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2" w:right="0"/>
              <w:jc w:val="left"/>
              <w:rPr>
                <w:rFonts w:ascii="Times New Roman" w:hAnsi="Times New Roman" w:cs="Times New Roman" w:eastAsia="Times New Roman" w:hint="default"/>
                <w:sz w:val="18"/>
                <w:szCs w:val="18"/>
              </w:rPr>
            </w:pPr>
            <w:r>
              <w:rPr>
                <w:rFonts w:ascii="Times New Roman"/>
                <w:sz w:val="18"/>
              </w:rPr>
              <w:t>97,765,107.24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121,064,146.62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0" w:right="0"/>
              <w:jc w:val="left"/>
              <w:rPr>
                <w:rFonts w:ascii="Times New Roman" w:hAnsi="Times New Roman" w:cs="Times New Roman" w:eastAsia="Times New Roman" w:hint="default"/>
                <w:sz w:val="18"/>
                <w:szCs w:val="18"/>
              </w:rPr>
            </w:pPr>
            <w:r>
              <w:rPr>
                <w:rFonts w:ascii="Times New Roman"/>
                <w:sz w:val="18"/>
              </w:rPr>
              <w:t>45,781,495.89</w:t>
            </w:r>
          </w:p>
        </w:tc>
      </w:tr>
    </w:tbl>
    <w:p>
      <w:pPr>
        <w:spacing w:line="240" w:lineRule="auto" w:before="5"/>
        <w:rPr>
          <w:rFonts w:ascii="宋体" w:hAnsi="宋体" w:cs="宋体" w:eastAsia="宋体" w:hint="default"/>
          <w:sz w:val="19"/>
          <w:szCs w:val="19"/>
        </w:rPr>
      </w:pPr>
    </w:p>
    <w:p>
      <w:pPr>
        <w:spacing w:line="333"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）公司前五名客户的营业收入情况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4783"/>
        <w:gridCol w:w="2923"/>
        <w:gridCol w:w="1862"/>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2"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洛阳市城市监察管理局</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13,907,807.69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天津市滨海新区环境保护和市容管理局</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11,148,717.91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云南省国土资源厅</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8,634,187.99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大武口区住房保障和城市管理局</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8,289,878.42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温州市城市管理与行政执法局</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8,619,537.39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50,600,129.40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9"/>
        <w:rPr>
          <w:rFonts w:ascii="宋体" w:hAnsi="宋体" w:cs="宋体" w:eastAsia="宋体" w:hint="default"/>
          <w:sz w:val="21"/>
          <w:szCs w:val="21"/>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5052"/>
        <w:gridCol w:w="2258"/>
        <w:gridCol w:w="2258"/>
      </w:tblGrid>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72,213,281.56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51,922,557.18</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4,967,269.26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2,833,181.86</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4,309,752.33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2,883,269.43</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4,812,150.00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577,200.00</w:t>
            </w:r>
          </w:p>
        </w:tc>
      </w:tr>
      <w:tr>
        <w:trPr>
          <w:trHeight w:val="71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4,241.24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2,379.15</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-498,325.96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-443,389.96</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-418,453.48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721,977.04</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-79,274,178.32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-46,320,176.41</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25,136,435.88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2,067,420.81</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31,252,172.51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14,244,419.10</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644,266,979.59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733,927,198.84</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733,927,198.84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772,358,395.19</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-89,660,219.25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-38,431,196.35</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79" w:header="745" w:top="1060" w:bottom="1160" w:left="1020" w:right="1020"/>
          <w:pgNumType w:start="13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bookmarkStart w:name="十三、补充资料" w:id="271"/>
      <w:bookmarkEnd w:id="271"/>
      <w:r>
        <w:rPr>
          <w:b w:val="0"/>
          <w:bCs w:val="0"/>
        </w:rPr>
      </w:r>
      <w:bookmarkStart w:name="1、净资产收益率及每股收益" w:id="272"/>
      <w:bookmarkEnd w:id="272"/>
      <w:r>
        <w:rPr>
          <w:b w:val="0"/>
          <w:bCs w:val="0"/>
        </w:rPr>
      </w:r>
      <w:bookmarkStart w:name="2、公司主要会计报表项目的异常情况及原因的说明" w:id="273"/>
      <w:bookmarkEnd w:id="273"/>
      <w:r>
        <w:rPr>
          <w:b w:val="0"/>
          <w:bCs w:val="0"/>
        </w:rPr>
      </w:r>
      <w:r>
        <w:rPr/>
        <w:t>十三、补充资料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、净资产收益率及每股收益</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540"/>
        <w:gridCol w:w="2177"/>
        <w:gridCol w:w="1915"/>
        <w:gridCol w:w="1937"/>
      </w:tblGrid>
      <w:tr>
        <w:trPr>
          <w:trHeight w:val="403" w:hRule="exact"/>
        </w:trPr>
        <w:tc>
          <w:tcPr>
            <w:tcW w:w="35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1" w:hRule="exact"/>
        </w:trPr>
        <w:tc>
          <w:tcPr>
            <w:tcW w:w="3540" w:type="dxa"/>
            <w:vMerge/>
            <w:tcBorders>
              <w:left w:val="single" w:sz="4" w:space="0" w:color="000000"/>
              <w:bottom w:val="single" w:sz="4" w:space="0" w:color="000000"/>
              <w:right w:val="single" w:sz="4" w:space="0" w:color="000000"/>
            </w:tcBorders>
            <w:shd w:val="clear" w:color="auto" w:fill="D3D3D3"/>
          </w:tcPr>
          <w:p>
            <w:pPr/>
          </w:p>
        </w:tc>
        <w:tc>
          <w:tcPr>
            <w:tcW w:w="2177"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03"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0.86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0.84</w:t>
            </w:r>
          </w:p>
        </w:tc>
      </w:tr>
      <w:tr>
        <w:trPr>
          <w:trHeight w:val="713"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0.82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w:t>
            </w:r>
          </w:p>
        </w:tc>
      </w:tr>
    </w:tbl>
    <w:p>
      <w:pPr>
        <w:spacing w:line="240" w:lineRule="auto" w:before="5"/>
        <w:rPr>
          <w:rFonts w:ascii="宋体" w:hAnsi="宋体" w:cs="宋体" w:eastAsia="宋体" w:hint="default"/>
          <w:sz w:val="19"/>
          <w:szCs w:val="19"/>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、公司主要会计报表项目的异常情况及原因的说明</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before="0"/>
        <w:ind w:left="595" w:right="0"/>
        <w:jc w:val="left"/>
      </w:pPr>
      <w:r>
        <w:rPr/>
        <w:t>1、货币资金 </w:t>
      </w:r>
      <w:r>
        <w:rPr>
          <w:spacing w:val="-2"/>
        </w:rPr>
        <w:t>货币资金2012年12月31日年末数为666,714,686.65元，比年初数减少9.43%，其主要原因</w:t>
      </w:r>
    </w:p>
    <w:p>
      <w:pPr>
        <w:pStyle w:val="BodyText"/>
        <w:spacing w:line="357" w:lineRule="auto"/>
        <w:ind w:left="595" w:right="2774" w:hanging="483"/>
        <w:jc w:val="left"/>
      </w:pPr>
      <w:r>
        <w:rPr/>
        <w:t>是：销售商品收到的现金增加，同时投资活动现金流出增加所致。 2、应收票据</w:t>
      </w:r>
    </w:p>
    <w:p>
      <w:pPr>
        <w:pStyle w:val="BodyText"/>
        <w:spacing w:line="357" w:lineRule="auto"/>
        <w:ind w:right="132" w:firstLine="482"/>
        <w:jc w:val="left"/>
      </w:pPr>
      <w:r>
        <w:rPr/>
        <w:t>应收票据2012年12月31日年末数为1,016,400.00元，比年初数减少35.79%，其主要原因 是：应收票据到期承兑。</w:t>
      </w:r>
    </w:p>
    <w:p>
      <w:pPr>
        <w:pStyle w:val="BodyText"/>
        <w:spacing w:line="357" w:lineRule="auto"/>
        <w:ind w:left="595" w:right="0"/>
        <w:jc w:val="left"/>
      </w:pPr>
      <w:r>
        <w:rPr/>
        <w:t>3、应收账款 </w:t>
      </w:r>
      <w:r>
        <w:rPr>
          <w:spacing w:val="-2"/>
        </w:rPr>
        <w:t>应收账款2012年12月31日年末数为153,805,696.38元，比年初数增加106.75%，其主要原</w:t>
      </w:r>
    </w:p>
    <w:p>
      <w:pPr>
        <w:pStyle w:val="BodyText"/>
        <w:spacing w:line="357" w:lineRule="auto"/>
        <w:ind w:right="494"/>
        <w:jc w:val="left"/>
      </w:pPr>
      <w:r>
        <w:rPr/>
        <w:t>因是：销售增加使应收账款增加56,549,485.39元，新增合并范围子公司使应收账款增加 22,862,990.63元。</w:t>
      </w:r>
    </w:p>
    <w:p>
      <w:pPr>
        <w:pStyle w:val="BodyText"/>
        <w:spacing w:line="357" w:lineRule="auto"/>
        <w:ind w:left="595" w:right="131"/>
        <w:jc w:val="left"/>
      </w:pPr>
      <w:r>
        <w:rPr/>
        <w:t>4、预付款项 预付款项2012年12月31日年末数为1,344,500.00元，比年初数减少30.71%，其主要原因</w:t>
      </w:r>
    </w:p>
    <w:p>
      <w:pPr>
        <w:pStyle w:val="BodyText"/>
        <w:spacing w:line="357" w:lineRule="auto"/>
        <w:ind w:left="595" w:right="6854" w:hanging="483"/>
        <w:jc w:val="left"/>
      </w:pPr>
      <w:r>
        <w:rPr/>
        <w:t>是：本期预付采购款减少。 5、其他应收款</w:t>
      </w:r>
    </w:p>
    <w:p>
      <w:pPr>
        <w:pStyle w:val="BodyText"/>
        <w:spacing w:line="357" w:lineRule="auto"/>
        <w:ind w:right="132" w:firstLine="482"/>
        <w:jc w:val="left"/>
      </w:pPr>
      <w:r>
        <w:rPr/>
        <w:t>其他应收款2012年12月31日年末数为36,739,890.15元，比年初数增加295.74%，其主要 原因是：本期押金增加较多。</w:t>
      </w:r>
    </w:p>
    <w:p>
      <w:pPr>
        <w:pStyle w:val="BodyText"/>
        <w:spacing w:line="357" w:lineRule="auto"/>
        <w:ind w:left="595" w:right="131"/>
        <w:jc w:val="left"/>
      </w:pPr>
      <w:r>
        <w:rPr/>
        <w:t>6、存货 存货2012年12月31日年末数为51,379,637.45元，比年初数增加2,656.01%，其主要原因</w:t>
      </w:r>
    </w:p>
    <w:p>
      <w:pPr>
        <w:pStyle w:val="BodyText"/>
        <w:spacing w:line="357" w:lineRule="auto"/>
        <w:ind w:left="595" w:right="5414" w:hanging="483"/>
        <w:jc w:val="left"/>
      </w:pPr>
      <w:r>
        <w:rPr/>
        <w:t>是：期末新增纳入合并范围子公司所致。 7、在建工程</w:t>
      </w:r>
    </w:p>
    <w:p>
      <w:pPr>
        <w:spacing w:after="0" w:line="357"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right="0" w:firstLine="482"/>
        <w:jc w:val="left"/>
      </w:pPr>
      <w:r>
        <w:rPr>
          <w:spacing w:val="-2"/>
        </w:rPr>
        <w:t>在建工程2012年12月31日年末数为28,395,592.47元，比年初数增加63.45%，其主要原因</w:t>
      </w:r>
      <w:r>
        <w:rPr/>
        <w:t> 是武汉办事处购置房屋预付款所致。</w:t>
      </w:r>
    </w:p>
    <w:p>
      <w:pPr>
        <w:pStyle w:val="BodyText"/>
        <w:spacing w:line="357" w:lineRule="auto"/>
        <w:ind w:left="595" w:right="131"/>
        <w:jc w:val="left"/>
      </w:pPr>
      <w:r>
        <w:rPr/>
        <w:t>8、无形资产 无形资产2012年12月31日年末数为101,502,987.73元，比年初数增加3205.96%，其主要</w:t>
      </w:r>
    </w:p>
    <w:p>
      <w:pPr>
        <w:pStyle w:val="BodyText"/>
        <w:spacing w:line="357" w:lineRule="auto"/>
        <w:ind w:right="134"/>
        <w:jc w:val="left"/>
      </w:pPr>
      <w:r>
        <w:rPr/>
        <w:t>原因是：募集资金投资项目达到预定可使用状态，转为无形资产；本期新纳入合并范围子公 司增加无形资产。</w:t>
      </w:r>
    </w:p>
    <w:p>
      <w:pPr>
        <w:pStyle w:val="BodyText"/>
        <w:spacing w:line="357" w:lineRule="auto"/>
        <w:ind w:left="595" w:right="0"/>
        <w:jc w:val="left"/>
      </w:pPr>
      <w:r>
        <w:rPr/>
        <w:t>9、开发支出 </w:t>
      </w:r>
      <w:r>
        <w:rPr>
          <w:spacing w:val="-2"/>
        </w:rPr>
        <w:t>开发支出2012年12月31日年末数为11,157,706.50元，比年初数减少58.28%，其主要原因</w:t>
      </w:r>
    </w:p>
    <w:p>
      <w:pPr>
        <w:pStyle w:val="BodyText"/>
        <w:spacing w:line="357" w:lineRule="auto"/>
        <w:ind w:left="595" w:right="2534" w:hanging="483"/>
        <w:jc w:val="left"/>
      </w:pPr>
      <w:r>
        <w:rPr/>
        <w:t>是：募集资金投资项目达到预定可使用状态，同转为无形资产所致。 10、商誉</w:t>
      </w:r>
    </w:p>
    <w:p>
      <w:pPr>
        <w:pStyle w:val="BodyText"/>
        <w:spacing w:line="357" w:lineRule="auto"/>
        <w:ind w:right="0" w:firstLine="482"/>
        <w:jc w:val="left"/>
      </w:pPr>
      <w:r>
        <w:rPr>
          <w:spacing w:val="-2"/>
          <w:w w:val="95"/>
        </w:rPr>
        <w:t>商誉2012年12月31日年末数为27,283,004.88元，比年初数增加100.00%，其主要原因是：</w:t>
      </w:r>
      <w:r>
        <w:rPr>
          <w:w w:val="50"/>
        </w:rPr>
        <w:t> </w:t>
      </w:r>
      <w:r>
        <w:rPr/>
        <w:t>年末通过非同一控制下合并子公司形成。</w:t>
      </w:r>
    </w:p>
    <w:p>
      <w:pPr>
        <w:pStyle w:val="BodyText"/>
        <w:spacing w:line="357" w:lineRule="auto"/>
        <w:ind w:left="595" w:right="0"/>
        <w:jc w:val="left"/>
      </w:pPr>
      <w:r>
        <w:rPr/>
        <w:t>11、递延所得税资产 </w:t>
      </w:r>
      <w:r>
        <w:rPr>
          <w:spacing w:val="-2"/>
        </w:rPr>
        <w:t>递延所得税资产2012年12月31日年末数为4,778,279.00元，比年初数增加483.20%，其主</w:t>
      </w:r>
    </w:p>
    <w:p>
      <w:pPr>
        <w:pStyle w:val="BodyText"/>
        <w:spacing w:line="357" w:lineRule="auto"/>
        <w:ind w:left="595" w:right="3014" w:hanging="483"/>
        <w:jc w:val="left"/>
      </w:pPr>
      <w:r>
        <w:rPr/>
        <w:t>要原因是：坏账准备增加，以及资产摊销与税法差异增加所致。 12、应付账款</w:t>
      </w:r>
    </w:p>
    <w:p>
      <w:pPr>
        <w:pStyle w:val="BodyText"/>
        <w:spacing w:line="357" w:lineRule="auto"/>
        <w:ind w:right="132" w:firstLine="482"/>
        <w:jc w:val="left"/>
      </w:pPr>
      <w:r>
        <w:rPr/>
        <w:t>应付账款2012年12月31日年末数为41,400,062.05元，比年初数增加3,524.43%，其主要 原因是：期末新增纳入合并范围子公司及应付项目数据款增加所致。</w:t>
      </w:r>
    </w:p>
    <w:p>
      <w:pPr>
        <w:pStyle w:val="BodyText"/>
        <w:spacing w:line="357" w:lineRule="auto"/>
        <w:ind w:left="595" w:right="0"/>
        <w:jc w:val="left"/>
      </w:pPr>
      <w:r>
        <w:rPr/>
        <w:t>13、预收款项 </w:t>
      </w:r>
      <w:r>
        <w:rPr>
          <w:spacing w:val="-2"/>
        </w:rPr>
        <w:t>预收款项2012年12月31日年末数为5,179,440.79元，比年初数增加100.00%，其主要原因</w:t>
      </w:r>
    </w:p>
    <w:p>
      <w:pPr>
        <w:pStyle w:val="BodyText"/>
        <w:spacing w:line="357" w:lineRule="auto"/>
        <w:ind w:left="595" w:right="4214" w:hanging="483"/>
        <w:jc w:val="left"/>
      </w:pPr>
      <w:r>
        <w:rPr/>
        <w:t>是：本期新纳入合并范围子公司增加无形资产所致。 14、应付职工薪酬</w:t>
      </w:r>
    </w:p>
    <w:p>
      <w:pPr>
        <w:pStyle w:val="BodyText"/>
        <w:spacing w:line="357" w:lineRule="auto"/>
        <w:ind w:right="132" w:firstLine="482"/>
        <w:jc w:val="left"/>
      </w:pPr>
      <w:r>
        <w:rPr/>
        <w:t>应付职工薪酬2012年12月31日年末数为5,601,541.27元，比年初数增加55.55%，其主要 原因是：期末新增纳入合并范围子公司所致。</w:t>
      </w:r>
    </w:p>
    <w:p>
      <w:pPr>
        <w:pStyle w:val="BodyText"/>
        <w:spacing w:line="357" w:lineRule="auto"/>
        <w:ind w:left="595" w:right="0"/>
        <w:jc w:val="left"/>
      </w:pPr>
      <w:r>
        <w:rPr/>
        <w:t>15、其他应付款 </w:t>
      </w:r>
      <w:r>
        <w:rPr>
          <w:spacing w:val="-2"/>
        </w:rPr>
        <w:t>其他应付款2012年12月31日年末数为62,528,907.72元，比年初数增加6813.30%，其主要</w:t>
      </w:r>
    </w:p>
    <w:p>
      <w:pPr>
        <w:pStyle w:val="BodyText"/>
        <w:spacing w:line="240" w:lineRule="auto"/>
        <w:ind w:right="0"/>
        <w:jc w:val="left"/>
      </w:pPr>
      <w:r>
        <w:rPr/>
        <w:t>原因是：应付投资款32,480,000.00元，同时期末新增纳入合并范围子公司所致.</w:t>
      </w:r>
    </w:p>
    <w:p>
      <w:pPr>
        <w:pStyle w:val="BodyText"/>
        <w:spacing w:line="357" w:lineRule="auto" w:before="154"/>
        <w:ind w:left="595" w:right="111"/>
        <w:jc w:val="left"/>
      </w:pPr>
      <w:r>
        <w:rPr/>
        <w:t>16、专项应付款 </w:t>
      </w:r>
      <w:r>
        <w:rPr>
          <w:spacing w:val="-2"/>
        </w:rPr>
        <w:t>专项应付款2012年12月31日年末数为96,000.00元，比年初数减少51.42%，其他主要原因</w:t>
      </w:r>
    </w:p>
    <w:p>
      <w:pPr>
        <w:spacing w:after="0" w:line="357"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left="595" w:right="7094" w:hanging="483"/>
        <w:jc w:val="left"/>
      </w:pPr>
      <w:r>
        <w:rPr/>
        <w:t>是：课题费用支出所致。 17、股本</w:t>
      </w:r>
    </w:p>
    <w:p>
      <w:pPr>
        <w:pStyle w:val="BodyText"/>
        <w:spacing w:line="357" w:lineRule="auto"/>
        <w:ind w:left="595" w:right="2171"/>
        <w:jc w:val="left"/>
      </w:pPr>
      <w:r>
        <w:rPr/>
        <w:t>股本2012年12月31日年末数为84,000,000.00元，比年初数无变化。 18、资本公积</w:t>
      </w:r>
    </w:p>
    <w:p>
      <w:pPr>
        <w:pStyle w:val="BodyText"/>
        <w:spacing w:line="357" w:lineRule="auto"/>
        <w:ind w:right="0" w:firstLine="482"/>
        <w:jc w:val="left"/>
      </w:pPr>
      <w:r>
        <w:rPr>
          <w:spacing w:val="-2"/>
        </w:rPr>
        <w:t>资本公积2012年12月31日年末数为697,228,339.68元，比年初数增加0.45%，其主要原因</w:t>
      </w:r>
      <w:r>
        <w:rPr/>
        <w:t> 是：本年股权激励增加资本公积所致。</w:t>
      </w:r>
    </w:p>
    <w:p>
      <w:pPr>
        <w:pStyle w:val="BodyText"/>
        <w:spacing w:line="357" w:lineRule="auto"/>
        <w:ind w:left="595" w:right="0"/>
        <w:jc w:val="left"/>
      </w:pPr>
      <w:r>
        <w:rPr/>
        <w:t>19、盈余公积 </w:t>
      </w:r>
      <w:r>
        <w:rPr>
          <w:spacing w:val="-2"/>
        </w:rPr>
        <w:t>盈余公积2012年12月31日年末数为21,677,599.48元，比年初数增加49.95%，其主要原因</w:t>
      </w:r>
    </w:p>
    <w:p>
      <w:pPr>
        <w:pStyle w:val="BodyText"/>
        <w:spacing w:line="357" w:lineRule="auto"/>
        <w:ind w:left="595" w:right="5774" w:hanging="483"/>
        <w:jc w:val="left"/>
      </w:pPr>
      <w:r>
        <w:rPr/>
        <w:t>是：公司按净利润10%提取盈余公积。 20、营业收入</w:t>
      </w:r>
    </w:p>
    <w:p>
      <w:pPr>
        <w:pStyle w:val="BodyText"/>
        <w:spacing w:line="357" w:lineRule="auto"/>
        <w:ind w:right="132" w:firstLine="482"/>
        <w:jc w:val="left"/>
      </w:pPr>
      <w:r>
        <w:rPr/>
        <w:t>营业收入2012年度发生数为221,977,115.51元，比上年数增加83.34%，其主要原因是： 数字化城市管理领域本年收入增加所致。</w:t>
      </w:r>
    </w:p>
    <w:p>
      <w:pPr>
        <w:pStyle w:val="BodyText"/>
        <w:spacing w:line="357" w:lineRule="auto"/>
        <w:ind w:left="595" w:right="131"/>
        <w:jc w:val="left"/>
      </w:pPr>
      <w:r>
        <w:rPr/>
        <w:t>21、营业成本 营业成本2012年度发生数为97,765,107.24元，比上年数增加113.55%，其主要原因是：</w:t>
      </w:r>
    </w:p>
    <w:p>
      <w:pPr>
        <w:pStyle w:val="BodyText"/>
        <w:spacing w:line="357" w:lineRule="auto"/>
        <w:ind w:left="595" w:right="5414" w:hanging="483"/>
        <w:jc w:val="left"/>
      </w:pPr>
      <w:r>
        <w:rPr/>
        <w:t>软件销售成本与技术服务成本增加所致。 22、销售费用</w:t>
      </w:r>
    </w:p>
    <w:p>
      <w:pPr>
        <w:pStyle w:val="BodyText"/>
        <w:spacing w:line="357" w:lineRule="auto"/>
        <w:ind w:right="132" w:firstLine="482"/>
        <w:jc w:val="left"/>
      </w:pPr>
      <w:r>
        <w:rPr/>
        <w:t>销售费用2012年度发生数为18,453,471.92元，比上年数增加3.49%，其主要原因是：销 售人员工资增加，业务招待费增加所致。</w:t>
      </w:r>
    </w:p>
    <w:p>
      <w:pPr>
        <w:pStyle w:val="BodyText"/>
        <w:spacing w:line="357" w:lineRule="auto"/>
        <w:ind w:left="595" w:right="111"/>
        <w:jc w:val="left"/>
      </w:pPr>
      <w:r>
        <w:rPr/>
        <w:t>23、管理费用 </w:t>
      </w:r>
      <w:r>
        <w:rPr>
          <w:spacing w:val="-2"/>
        </w:rPr>
        <w:t>管理费用2012年度发生数为48,608,503.61元，比上年数增加90.31%，其主要原因是：技</w:t>
      </w:r>
    </w:p>
    <w:p>
      <w:pPr>
        <w:pStyle w:val="BodyText"/>
        <w:spacing w:line="357" w:lineRule="auto"/>
        <w:ind w:left="595" w:right="2054" w:hanging="483"/>
        <w:jc w:val="left"/>
      </w:pPr>
      <w:r>
        <w:rPr/>
        <w:t>术开发费用、职工薪酬、无形资产摊销以及股份支付成本费用增加所致。 24、财务费用</w:t>
      </w:r>
    </w:p>
    <w:p>
      <w:pPr>
        <w:pStyle w:val="BodyText"/>
        <w:spacing w:line="357" w:lineRule="auto"/>
        <w:ind w:right="132" w:firstLine="482"/>
        <w:jc w:val="left"/>
      </w:pPr>
      <w:r>
        <w:rPr/>
        <w:t>财务费用2012年度发生数为-19,852,555.24元，比上年数减少15.07%，其主要原因是： 募集资金利息收入的增加。</w:t>
      </w:r>
    </w:p>
    <w:p>
      <w:pPr>
        <w:pStyle w:val="BodyText"/>
        <w:spacing w:line="357" w:lineRule="auto"/>
        <w:ind w:left="595" w:right="0"/>
        <w:jc w:val="left"/>
      </w:pPr>
      <w:r>
        <w:rPr/>
        <w:t>25、资产减值损失 </w:t>
      </w:r>
      <w:r>
        <w:rPr>
          <w:spacing w:val="-2"/>
          <w:w w:val="95"/>
        </w:rPr>
        <w:t>资产减值损失2012年度发生数为4,967,269.26元，比上年数增加75.32%，其主要原因是：</w:t>
      </w:r>
      <w:r>
        <w:rPr>
          <w:spacing w:val="-2"/>
        </w:rPr>
      </w:r>
    </w:p>
    <w:p>
      <w:pPr>
        <w:pStyle w:val="BodyText"/>
        <w:spacing w:line="357" w:lineRule="auto"/>
        <w:ind w:left="595" w:right="7094" w:hanging="483"/>
        <w:jc w:val="left"/>
      </w:pPr>
      <w:r>
        <w:rPr/>
        <w:t>应收账款余额增加所致。 26、营业外收入</w:t>
      </w:r>
    </w:p>
    <w:p>
      <w:pPr>
        <w:pStyle w:val="BodyText"/>
        <w:spacing w:line="240" w:lineRule="auto"/>
        <w:ind w:left="595" w:right="0"/>
        <w:jc w:val="left"/>
      </w:pPr>
      <w:r>
        <w:rPr>
          <w:w w:val="95"/>
        </w:rPr>
        <w:t>营业外收入2012年度发生数为11,143,122.95元，比上年数减少35.51%，其主要原因是：</w:t>
      </w:r>
      <w:r>
        <w:rPr/>
      </w:r>
    </w:p>
    <w:p>
      <w:pPr>
        <w:spacing w:after="0" w:line="240" w:lineRule="auto"/>
        <w:jc w:val="left"/>
        <w:sectPr>
          <w:pgSz w:w="11910" w:h="16840"/>
          <w:pgMar w:header="745" w:footer="979" w:top="1060" w:bottom="1160" w:left="1020" w:right="1020"/>
        </w:sectPr>
      </w:pPr>
    </w:p>
    <w:p>
      <w:pPr>
        <w:spacing w:line="240" w:lineRule="auto" w:before="6"/>
        <w:rPr>
          <w:rFonts w:ascii="宋体" w:hAnsi="宋体" w:cs="宋体" w:eastAsia="宋体" w:hint="default"/>
          <w:sz w:val="29"/>
          <w:szCs w:val="29"/>
        </w:rPr>
      </w:pPr>
    </w:p>
    <w:p>
      <w:pPr>
        <w:pStyle w:val="BodyText"/>
        <w:spacing w:line="357" w:lineRule="auto" w:before="26"/>
        <w:ind w:left="595" w:right="6854" w:hanging="483"/>
        <w:jc w:val="left"/>
      </w:pPr>
      <w:r>
        <w:rPr/>
        <w:t>本年增值税返还减少所致。 27、营业外支出</w:t>
      </w:r>
    </w:p>
    <w:p>
      <w:pPr>
        <w:pStyle w:val="BodyText"/>
        <w:spacing w:line="357" w:lineRule="auto"/>
        <w:ind w:right="132" w:firstLine="482"/>
        <w:jc w:val="left"/>
      </w:pPr>
      <w:r>
        <w:rPr/>
        <w:t>营业外支出2012年度发生数为4,241.24元，比上年数增加65.40%，其主要原因是：处置 固定资产增加。</w:t>
      </w:r>
    </w:p>
    <w:p>
      <w:pPr>
        <w:pStyle w:val="BodyText"/>
        <w:spacing w:line="357" w:lineRule="auto"/>
        <w:ind w:left="595" w:right="131"/>
        <w:jc w:val="left"/>
      </w:pPr>
      <w:r>
        <w:rPr/>
        <w:t>28、所得税费用 所得税费用2012年度发生数为7,851,514.89元，比上年数减少11.23%，其主要原因是：</w:t>
      </w:r>
    </w:p>
    <w:p>
      <w:pPr>
        <w:pStyle w:val="BodyText"/>
        <w:spacing w:line="240" w:lineRule="auto"/>
        <w:ind w:right="0"/>
        <w:jc w:val="left"/>
      </w:pPr>
      <w:r>
        <w:rPr/>
        <w:t>本年所得税税率降为10%。</w:t>
      </w:r>
    </w:p>
    <w:p>
      <w:pPr>
        <w:spacing w:after="0" w:line="240" w:lineRule="auto"/>
        <w:jc w:val="left"/>
        <w:sectPr>
          <w:pgSz w:w="11910" w:h="16840"/>
          <w:pgMar w:header="745"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456" w:lineRule="exact"/>
        <w:ind w:right="2390"/>
        <w:jc w:val="center"/>
        <w:rPr>
          <w:b w:val="0"/>
          <w:bCs w:val="0"/>
        </w:rPr>
      </w:pPr>
      <w:bookmarkStart w:name="第十节备查文件目录" w:id="274"/>
      <w:bookmarkEnd w:id="274"/>
      <w:r>
        <w:rPr>
          <w:b w:val="0"/>
          <w:bCs w:val="0"/>
        </w:rPr>
      </w:r>
      <w:bookmarkStart w:name="_bookmark9" w:id="275"/>
      <w:bookmarkEnd w:id="275"/>
      <w:r>
        <w:rPr>
          <w:b w:val="0"/>
          <w:bCs w:val="0"/>
        </w:rPr>
      </w:r>
      <w:r>
        <w:rPr/>
        <w:t>第十节 </w:t>
      </w:r>
      <w:r>
        <w:rPr>
          <w:spacing w:val="6"/>
        </w:rPr>
        <w:t> </w:t>
      </w:r>
      <w:r>
        <w:rPr/>
        <w:t>备查文件目录</w:t>
      </w:r>
      <w:r>
        <w:rPr>
          <w:b w:val="0"/>
          <w:bCs w:val="0"/>
        </w:rPr>
      </w:r>
    </w:p>
    <w:p>
      <w:pPr>
        <w:spacing w:line="240" w:lineRule="auto" w:before="15"/>
        <w:rPr>
          <w:rFonts w:ascii="Microsoft JhengHei" w:hAnsi="Microsoft JhengHei" w:cs="Microsoft JhengHei" w:eastAsia="Microsoft JhengHei" w:hint="default"/>
          <w:b/>
          <w:bCs/>
          <w:sz w:val="29"/>
          <w:szCs w:val="29"/>
        </w:rPr>
      </w:pPr>
    </w:p>
    <w:p>
      <w:pPr>
        <w:spacing w:line="316" w:lineRule="auto" w:before="0"/>
        <w:ind w:left="112" w:right="734" w:firstLine="0"/>
        <w:jc w:val="left"/>
        <w:rPr>
          <w:rFonts w:ascii="宋体" w:hAnsi="宋体" w:cs="宋体" w:eastAsia="宋体" w:hint="default"/>
          <w:sz w:val="18"/>
          <w:szCs w:val="18"/>
        </w:rPr>
      </w:pPr>
      <w:r>
        <w:rPr>
          <w:rFonts w:ascii="宋体" w:hAnsi="宋体" w:cs="宋体" w:eastAsia="宋体" w:hint="default"/>
          <w:sz w:val="18"/>
          <w:szCs w:val="18"/>
        </w:rPr>
        <w:t>一、载有公司法定代表人、主管会计工作负责人、公司会计机构负责人（会计主管人员）签名并盖章的财务报表。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年年度报告文件原件。</w:t>
      </w:r>
    </w:p>
    <w:p>
      <w:pPr>
        <w:spacing w:line="316" w:lineRule="auto" w:before="0"/>
        <w:ind w:left="112" w:right="5774" w:firstLine="0"/>
        <w:jc w:val="left"/>
        <w:rPr>
          <w:rFonts w:ascii="宋体" w:hAnsi="宋体" w:cs="宋体" w:eastAsia="宋体" w:hint="default"/>
          <w:sz w:val="18"/>
          <w:szCs w:val="18"/>
        </w:rPr>
      </w:pPr>
      <w:r>
        <w:rPr>
          <w:rFonts w:ascii="宋体" w:hAnsi="宋体" w:cs="宋体" w:eastAsia="宋体" w:hint="default"/>
          <w:sz w:val="18"/>
          <w:szCs w:val="18"/>
        </w:rPr>
        <w:t>五、其他相关资料。 以上备查文件的备置地点：公司董事会秘书办公室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BodyText"/>
        <w:spacing w:line="240" w:lineRule="auto" w:before="0"/>
        <w:ind w:left="6391" w:right="0"/>
        <w:jc w:val="left"/>
      </w:pPr>
      <w:r>
        <w:rPr/>
        <w:t>北京数字政通科技股份有限公司</w:t>
      </w:r>
    </w:p>
    <w:p>
      <w:pPr>
        <w:pStyle w:val="BodyText"/>
        <w:spacing w:line="357" w:lineRule="auto" w:before="154"/>
        <w:ind w:left="7831" w:right="95" w:hanging="240"/>
        <w:jc w:val="left"/>
      </w:pPr>
      <w:r>
        <w:rPr/>
        <w:t>法定代表人：吴强华 2013年4月16日</w:t>
      </w:r>
    </w:p>
    <w:sectPr>
      <w:pgSz w:w="11910" w:h="16840"/>
      <w:pgMar w:header="745" w:footer="979" w:top="106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37939pt;width:6.5pt;height:11pt;mso-position-horizontal-relative:page;mso-position-vertical-relative:page;z-index:-689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88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88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88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5pt;height:11pt;mso-position-horizontal-relative:page;mso-position-vertical-relative:page;z-index:-688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957947pt;width:17.4pt;height:11pt;mso-position-horizontal-relative:page;mso-position-vertical-relative:page;z-index:-688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5pt;height:11pt;mso-position-horizontal-relative:page;mso-position-vertical-relative:page;z-index:-688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5pt;height:11pt;mso-position-horizontal-relative:page;mso-position-vertical-relative:page;z-index:-688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1.957947pt;width:8.5pt;height:11pt;mso-position-horizontal-relative:page;mso-position-vertical-relative:page;z-index:-689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2pt;height:11pt;mso-position-horizontal-relative:page;mso-position-vertical-relative:page;z-index:-689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89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89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89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89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88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88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265648pt;width:204.45pt;height:11.5pt;mso-position-horizontal-relative:page;mso-position-vertical-relative:page;z-index:-689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12"/>
    </w:pPr>
    <w:rPr>
      <w:rFonts w:ascii="宋体" w:hAnsi="宋体" w:eastAsia="宋体"/>
      <w:sz w:val="18"/>
      <w:szCs w:val="18"/>
    </w:rPr>
  </w:style>
  <w:style w:styleId="BodyText" w:type="paragraph">
    <w:name w:val="Body Text"/>
    <w:basedOn w:val="Normal"/>
    <w:uiPriority w:val="1"/>
    <w:qFormat/>
    <w:pPr>
      <w:spacing w:before="36"/>
      <w:ind w:left="112"/>
    </w:pPr>
    <w:rPr>
      <w:rFonts w:ascii="宋体" w:hAnsi="宋体" w:eastAsia="宋体"/>
      <w:sz w:val="24"/>
      <w:szCs w:val="24"/>
    </w:rPr>
  </w:style>
  <w:style w:styleId="Heading1" w:type="paragraph">
    <w:name w:val="Heading 1"/>
    <w:basedOn w:val="Normal"/>
    <w:uiPriority w:val="1"/>
    <w:qFormat/>
    <w:pPr>
      <w:ind w:left="2390"/>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12"/>
      <w:outlineLvl w:val="2"/>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egova.com.cn/" TargetMode="External"/><Relationship Id="rId10" Type="http://schemas.openxmlformats.org/officeDocument/2006/relationships/hyperlink" Target="http://weibo.com/egova300075" TargetMode="External"/><Relationship Id="rId11" Type="http://schemas.openxmlformats.org/officeDocument/2006/relationships/hyperlink" Target="mailto:egova@egova.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footer" Target="footer4.xml"/><Relationship Id="rId16" Type="http://schemas.openxmlformats.org/officeDocument/2006/relationships/image" Target="media/image3.jpeg"/><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4.jpeg"/><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北京数字政通科技股份有限公司</dc:creator>
  <dc:title>北京数字政通科技股份有限公司2012年度报告全文</dc:title>
  <dcterms:created xsi:type="dcterms:W3CDTF">2020-05-04T01:43:31Z</dcterms:created>
  <dcterms:modified xsi:type="dcterms:W3CDTF">2020-05-04T01:43:31Z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2013-04-17T00:00:00Z</vt:filetime>
  </property>
  <property fmtid="{D5CDD505-2E9C-101B-9397-08002B2CF9AE}" pid="3" name="Creator">
    <vt:lpwstr>WPS Office 个人版</vt:lpwstr>
  </property>
  <property fmtid="{D5CDD505-2E9C-101B-9397-08002B2CF9AE}" pid="4" name="LastSaved">
    <vt:filetime>2013-04-17T00:00:00Z</vt:filetime>
  </property>
</Properties>
</file>