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819" w:line="1" w:lineRule="exact"/>
      </w:pPr>
    </w:p>
    <w:p>
      <w:pPr>
        <w:widowControl w:val="0"/>
        <w:jc w:val="center"/>
        <w:rPr>
          <w:sz w:val="2"/>
          <w:szCs w:val="2"/>
        </w:rPr>
      </w:pPr>
      <w:r>
        <w:drawing>
          <wp:inline>
            <wp:extent cx="5370830" cy="21520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70830" cy="2152015"/>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北京数字政通科技股份有限公司</w:t>
      </w:r>
    </w:p>
    <w:p>
      <w:pPr>
        <w:pStyle w:val="Style8"/>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2"/>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2014-008</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ind w:left="0" w:right="0"/>
        <w:jc w:val="both"/>
      </w:pPr>
      <w:bookmarkStart w:id="6" w:name="bookmark6"/>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6"/>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公司负责人吴强华、主管会计工作负责人殷小敏及会计机构负责人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向华声明：保证年度报告中财务报告的真实、准确、完整。</w:t>
      </w:r>
    </w:p>
    <w:p>
      <w:pPr>
        <w:pStyle w:val="Style16"/>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10" w:right="1109" w:bottom="2266"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6"/>
        <w:keepNext w:val="0"/>
        <w:keepLines w:val="0"/>
        <w:widowControl w:val="0"/>
        <w:shd w:val="clear" w:color="auto" w:fill="auto"/>
        <w:bidi w:val="0"/>
        <w:spacing w:before="1500" w:after="16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pos="824" w:val="left"/>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11"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31"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50"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9"/>
        <w:keepNext w:val="0"/>
        <w:keepLines w:val="0"/>
        <w:widowControl w:val="0"/>
        <w:shd w:val="clear" w:color="auto" w:fill="auto"/>
        <w:tabs>
          <w:tab w:pos="824" w:val="left"/>
          <w:tab w:leader="dot" w:pos="9613" w:val="right"/>
        </w:tabs>
        <w:bidi w:val="0"/>
        <w:spacing w:before="0" w:line="240" w:lineRule="auto"/>
        <w:ind w:left="0" w:right="0" w:firstLine="0"/>
        <w:jc w:val="left"/>
      </w:pPr>
      <w:hyperlink w:anchor="bookmark124"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19"/>
        <w:keepNext w:val="0"/>
        <w:keepLines w:val="0"/>
        <w:widowControl w:val="0"/>
        <w:shd w:val="clear" w:color="auto" w:fill="auto"/>
        <w:tabs>
          <w:tab w:pos="824" w:val="left"/>
          <w:tab w:leader="dot" w:pos="9613" w:val="right"/>
        </w:tabs>
        <w:bidi w:val="0"/>
        <w:spacing w:before="0" w:line="240" w:lineRule="auto"/>
        <w:ind w:left="0" w:right="0" w:firstLine="0"/>
        <w:jc w:val="left"/>
      </w:pPr>
      <w:hyperlink w:anchor="bookmark187"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246"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287"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9"/>
        <w:keepNext w:val="0"/>
        <w:keepLines w:val="0"/>
        <w:widowControl w:val="0"/>
        <w:shd w:val="clear" w:color="auto" w:fill="auto"/>
        <w:tabs>
          <w:tab w:pos="824" w:val="left"/>
          <w:tab w:leader="dot" w:pos="9613" w:val="right"/>
        </w:tabs>
        <w:bidi w:val="0"/>
        <w:spacing w:before="0" w:line="240" w:lineRule="auto"/>
        <w:ind w:left="0" w:right="0" w:firstLine="0"/>
        <w:jc w:val="left"/>
      </w:pPr>
      <w:hyperlink w:anchor="bookmark318" w:tooltip="Current Document">
        <w:r>
          <w:rPr>
            <w:color w:val="000000"/>
            <w:spacing w:val="0"/>
            <w:w w:val="100"/>
            <w:position w:val="0"/>
          </w:rPr>
          <w:t>第九节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950" w:tooltip="Current Document">
        <w:r>
          <w:rPr>
            <w:color w:val="000000"/>
            <w:spacing w:val="0"/>
            <w:w w:val="100"/>
            <w:position w:val="0"/>
          </w:rPr>
          <w:t>第十节备查文件目录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141</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公司、本公司、数字政通、发行人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保荐机构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招商证券股份有限公司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上市规则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北京数字政通科技股份有限公司监事会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汉王智通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北京汉王智通科技有限公司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北京数字政通信息技术有限公司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上海政通信息科技有限公司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武汉子公司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武汉智慧政通科技有限公司</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12" w:name="bookmark12"/>
      <w:r>
        <w:rPr>
          <w:color w:val="000000"/>
          <w:spacing w:val="0"/>
          <w:w w:val="100"/>
          <w:position w:val="0"/>
        </w:rPr>
        <w:t>第二节公司基本情况简介</w:t>
      </w:r>
      <w:bookmarkEnd w:id="10"/>
      <w:bookmarkEnd w:id="11"/>
      <w:bookmarkEnd w:id="12"/>
    </w:p>
    <w:p>
      <w:pPr>
        <w:pStyle w:val="Style26"/>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rPr>
        <w:t>一</w:t>
      </w:r>
      <w:bookmarkEnd w:id="16"/>
      <w:r>
        <w:rPr>
          <w:color w:val="000000"/>
          <w:spacing w:val="0"/>
          <w:w w:val="100"/>
          <w:position w:val="0"/>
        </w:rPr>
        <w:t>、公司信息</w:t>
      </w:r>
      <w:bookmarkEnd w:id="14"/>
      <w:bookmarkEnd w:id="15"/>
      <w:bookmarkEnd w:id="17"/>
      <w:bookmarkEnd w:id="13"/>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eGOVA Co,. 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北京市海淀区西直门北大街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号枫蓝国际中心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1805</w:t>
            </w:r>
            <w:r>
              <w:rPr>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北京市海淀区西直门北大街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号枫蓝国际中心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"http://www.egova.com.cn" </w:instrText>
            </w:r>
            <w:r>
              <w:fldChar w:fldCharType="separate"/>
            </w:r>
            <w:r>
              <w:rPr>
                <w:rFonts w:ascii="Times New Roman" w:eastAsia="Times New Roman" w:hAnsi="Times New Roman" w:cs="Times New Roman"/>
                <w:color w:val="000000"/>
                <w:spacing w:val="0"/>
                <w:w w:val="100"/>
                <w:position w:val="0"/>
                <w:sz w:val="18"/>
                <w:szCs w:val="18"/>
              </w:rPr>
              <w:t>www.egova.com.cn</w:t>
            </w:r>
            <w:r>
              <w:fldChar w:fldCharType="end"/>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公司聘请的会计师事务所名称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北京市东城区永定门西滨河路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号楼中海地产广场西塔</w:t>
            </w:r>
            <w:r>
              <w:rPr>
                <w:rFonts w:ascii="Times New Roman" w:eastAsia="Times New Roman" w:hAnsi="Times New Roman" w:cs="Times New Roman"/>
                <w:color w:val="000000"/>
                <w:spacing w:val="0"/>
                <w:w w:val="100"/>
                <w:position w:val="0"/>
                <w:sz w:val="18"/>
                <w:szCs w:val="18"/>
              </w:rPr>
              <w:t>5-11</w:t>
            </w:r>
            <w:r>
              <w:rPr>
                <w:color w:val="000000"/>
                <w:spacing w:val="0"/>
                <w:w w:val="100"/>
                <w:position w:val="0"/>
                <w:sz w:val="17"/>
                <w:szCs w:val="17"/>
              </w:rPr>
              <w:t>层</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许菲</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北京市海淀区西直门北大街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号枫蓝国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北京市海淀区西直门北大街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号枫蓝国</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010-62212336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010-62212336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010-62212336-656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010-62212336-656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egova@egova. com.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公司董事会秘书办公室</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、公司历史沿革</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企业法人营业执照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组织机构代码</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110108003382370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110108801160143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80116014-3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股份公司成立登记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110108003382370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110108801160143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80116014-3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公司首次发行股票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110108003382370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110108801160143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80116014-3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注册资本、注册地址 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110108003382370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110108801160143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80116014-3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注册资本、注册地 址、经营范围变更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北京市工商行政管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110108003382370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110108801160143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80116014-3</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30" w:name="bookmark30"/>
      <w:bookmarkStart w:id="31" w:name="bookmark31"/>
      <w:bookmarkStart w:id="32" w:name="bookmark32"/>
      <w:r>
        <w:rPr>
          <w:color w:val="000000"/>
          <w:spacing w:val="0"/>
          <w:w w:val="100"/>
          <w:position w:val="0"/>
        </w:rPr>
        <w:t>第三节会计数据和财务指标摘要</w:t>
      </w:r>
      <w:bookmarkEnd w:id="30"/>
      <w:bookmarkEnd w:id="31"/>
      <w:bookmarkEnd w:id="32"/>
    </w:p>
    <w:p>
      <w:pPr>
        <w:pStyle w:val="Style26"/>
        <w:keepNext/>
        <w:keepLines/>
        <w:widowControl w:val="0"/>
        <w:shd w:val="clear" w:color="auto" w:fill="auto"/>
        <w:bidi w:val="0"/>
        <w:spacing w:before="0" w:after="220" w:line="240" w:lineRule="auto"/>
        <w:ind w:left="0" w:right="0" w:firstLine="0"/>
        <w:jc w:val="left"/>
      </w:pPr>
      <w:bookmarkStart w:id="33" w:name="bookmark33"/>
      <w:bookmarkStart w:id="34" w:name="bookmark34"/>
      <w:bookmarkStart w:id="35" w:name="bookmark35"/>
      <w:bookmarkStart w:id="36" w:name="bookmark36"/>
      <w:bookmarkStart w:id="37" w:name="bookmark37"/>
      <w:r>
        <w:rPr>
          <w:color w:val="000000"/>
          <w:spacing w:val="0"/>
          <w:w w:val="100"/>
          <w:position w:val="0"/>
        </w:rPr>
        <w:t>一</w:t>
      </w:r>
      <w:bookmarkEnd w:id="36"/>
      <w:r>
        <w:rPr>
          <w:color w:val="000000"/>
          <w:spacing w:val="0"/>
          <w:w w:val="100"/>
          <w:position w:val="0"/>
        </w:rPr>
        <w:t>、主要会计数据和财务指标</w:t>
      </w:r>
      <w:bookmarkEnd w:id="34"/>
      <w:bookmarkEnd w:id="35"/>
      <w:bookmarkEnd w:id="37"/>
      <w:bookmarkEnd w:id="33"/>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221,977,115.51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83.06%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121,076,146.62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营业成本（元）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246,590,562.38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97,765,107.24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45,781,495.89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62,744,618.59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68,942,571.26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43,501,107.53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利润总额（元）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94,168,499.16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80,081,452.97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60,776,090.34</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归属于上市公司普通股股东的净 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94,035,979.70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72,229,938.08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51,931,011.79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归属于上市公司普通股股东的扣 除非经常性损益后的净利润（元）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103,962,676.95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69,072,253.20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47,255,641.01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13,570,193.04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21,197,217.03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14,222,873.71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本年末比上年末增减</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期末总股本（股）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1,259,512,565.52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1,128,684,426.71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918,069,152.91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199,209,123.34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148,553,364.34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19,620,342.25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归属于上市公司普通股股东的所 有者权益（元）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1,037,715,788.44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957,023,778.74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898,448,810.66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bl>
    <w:p>
      <w:pPr>
        <w:pStyle w:val="Style26"/>
        <w:keepNext/>
        <w:keepLines/>
        <w:widowControl w:val="0"/>
        <w:shd w:val="clear" w:color="auto" w:fill="auto"/>
        <w:bidi w:val="0"/>
        <w:spacing w:before="0" w:after="38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rPr>
        <w:t>二</w:t>
      </w:r>
      <w:bookmarkEnd w:id="40"/>
      <w:r>
        <w:rPr>
          <w:color w:val="000000"/>
          <w:spacing w:val="0"/>
          <w:w w:val="100"/>
          <w:position w:val="0"/>
        </w:rPr>
        <w:t>、非经常性损益的项目及金额</w:t>
      </w:r>
      <w:bookmarkEnd w:id="38"/>
      <w:bookmarkEnd w:id="39"/>
      <w:bookmarkEnd w:id="41"/>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2,468,928.00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3,512,780.00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5,502,815.36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-23,271,695.10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主要是由于收购汉王 智通公司的资产评估 过程中存货产生了评 估增值，而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年该 部分存货已实现销 售，相应的评估增值 一并结转损益。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-5,564,541.26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350,853.88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825,065.43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-5,231,631.40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-9,926,697.25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3,157,684.88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4,675,370.78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469" w:lineRule="exact"/>
        <w:ind w:left="0" w:right="0" w:firstLine="0"/>
        <w:jc w:val="both"/>
      </w:pPr>
      <w:bookmarkStart w:id="42" w:name="bookmark42"/>
      <w:bookmarkStart w:id="43" w:name="bookmark43"/>
      <w:bookmarkStart w:id="44" w:name="bookmark44"/>
      <w:bookmarkStart w:id="45" w:name="bookmark45"/>
      <w:r>
        <w:rPr>
          <w:color w:val="000000"/>
          <w:spacing w:val="0"/>
          <w:w w:val="100"/>
          <w:position w:val="0"/>
        </w:rPr>
        <w:t>三</w:t>
      </w:r>
      <w:bookmarkEnd w:id="44"/>
      <w:r>
        <w:rPr>
          <w:color w:val="000000"/>
          <w:spacing w:val="0"/>
          <w:w w:val="100"/>
          <w:position w:val="0"/>
        </w:rPr>
        <w:t>、重大风险提示</w:t>
      </w:r>
      <w:bookmarkEnd w:id="42"/>
      <w:bookmarkEnd w:id="43"/>
      <w:bookmarkEnd w:id="45"/>
    </w:p>
    <w:p>
      <w:pPr>
        <w:pStyle w:val="Style32"/>
        <w:keepNext w:val="0"/>
        <w:keepLines w:val="0"/>
        <w:widowControl w:val="0"/>
        <w:shd w:val="clear" w:color="auto" w:fill="auto"/>
        <w:tabs>
          <w:tab w:pos="878" w:val="left"/>
        </w:tabs>
        <w:bidi w:val="0"/>
        <w:spacing w:before="0" w:after="0" w:line="469" w:lineRule="exact"/>
        <w:ind w:left="0" w:right="0" w:firstLine="500"/>
        <w:jc w:val="both"/>
      </w:pPr>
      <w:bookmarkStart w:id="46" w:name="bookmark46"/>
      <w:r>
        <w:rPr>
          <w:color w:val="000000"/>
          <w:spacing w:val="0"/>
          <w:w w:val="100"/>
          <w:position w:val="0"/>
          <w:sz w:val="24"/>
          <w:szCs w:val="24"/>
        </w:rPr>
        <w:t>1</w:t>
      </w:r>
      <w:bookmarkEnd w:id="46"/>
      <w:r>
        <w:rPr>
          <w:color w:val="000000"/>
          <w:spacing w:val="0"/>
          <w:w w:val="100"/>
          <w:position w:val="0"/>
        </w:rPr>
        <w:t>、</w:t>
        <w:tab/>
        <w:t>依赖政府采购风险</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公司产品主要是各级政府（部、省、市、区、县政府）的数字化城市管理平台以及国土、 规划等政府主管部门的专用管理信息系统。客户定位于各级政府（部、省、市、区、县政府） 部门，虽然街道、乡镇、城市各个专业部门（如执法、污水、供水、园林、海塘、公路等）、 大型企业也是公司的目标用户群，但目前公司销售收入主要来源于政府采购，项目均通过各 级政府招投标过程获得。面对尚不明朗的宏观经济形势，地方政府和行业主管部门可能存在 财政紧缩、推迟或减少对电子政务系统的投入，未来将会对公司的经营产生一定影响。</w:t>
      </w:r>
    </w:p>
    <w:p>
      <w:pPr>
        <w:pStyle w:val="Style32"/>
        <w:keepNext w:val="0"/>
        <w:keepLines w:val="0"/>
        <w:widowControl w:val="0"/>
        <w:shd w:val="clear" w:color="auto" w:fill="auto"/>
        <w:tabs>
          <w:tab w:pos="892" w:val="left"/>
        </w:tabs>
        <w:bidi w:val="0"/>
        <w:spacing w:before="0" w:after="0" w:line="469" w:lineRule="exact"/>
        <w:ind w:left="0" w:right="0" w:firstLine="500"/>
        <w:jc w:val="both"/>
      </w:pPr>
      <w:bookmarkStart w:id="47" w:name="bookmark47"/>
      <w:r>
        <w:rPr>
          <w:color w:val="000000"/>
          <w:spacing w:val="0"/>
          <w:w w:val="100"/>
          <w:position w:val="0"/>
          <w:sz w:val="24"/>
          <w:szCs w:val="24"/>
        </w:rPr>
        <w:t>2</w:t>
      </w:r>
      <w:bookmarkEnd w:id="47"/>
      <w:r>
        <w:rPr>
          <w:color w:val="000000"/>
          <w:spacing w:val="0"/>
          <w:w w:val="100"/>
          <w:position w:val="0"/>
        </w:rPr>
        <w:t>、</w:t>
        <w:tab/>
        <w:t>市场竞争加剧的风险</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公司在传统数字城市管理领域有着较强的市场竞争力，但随着智慧城市建设的高速发展, 数字政通的业务也在不断延伸，将不可避免的与更多规模和实力更强的行业公司进行竞争， 市场竞争呈逐步加剧的态势，如果公司在发展过程中不能持续保持技术领先优势以及不断提 </w:t>
      </w:r>
      <w:r>
        <w:rPr>
          <w:color w:val="000000"/>
          <w:spacing w:val="0"/>
          <w:w w:val="100"/>
          <w:position w:val="0"/>
        </w:rPr>
        <w:t>升市场营销和本地化服务能力，将有可能面临市场份额下滑，技术、服务能力被竞争对手超 越的风险，同时可能会导致毛利率下降的风险。</w:t>
      </w:r>
    </w:p>
    <w:p>
      <w:pPr>
        <w:pStyle w:val="Style32"/>
        <w:keepNext w:val="0"/>
        <w:keepLines w:val="0"/>
        <w:widowControl w:val="0"/>
        <w:shd w:val="clear" w:color="auto" w:fill="auto"/>
        <w:bidi w:val="0"/>
        <w:spacing w:before="0" w:after="0" w:line="461" w:lineRule="exact"/>
        <w:ind w:left="0" w:right="0" w:firstLine="480"/>
        <w:jc w:val="left"/>
      </w:pPr>
      <w:bookmarkStart w:id="48" w:name="bookmark48"/>
      <w:r>
        <w:rPr>
          <w:color w:val="000000"/>
          <w:spacing w:val="0"/>
          <w:w w:val="100"/>
          <w:position w:val="0"/>
          <w:sz w:val="24"/>
          <w:szCs w:val="24"/>
        </w:rPr>
        <w:t>3</w:t>
      </w:r>
      <w:bookmarkEnd w:id="48"/>
      <w:r>
        <w:rPr>
          <w:color w:val="000000"/>
          <w:spacing w:val="0"/>
          <w:w w:val="100"/>
          <w:position w:val="0"/>
        </w:rPr>
        <w:t>、核心技术人员流失风险</w:t>
      </w:r>
    </w:p>
    <w:p>
      <w:pPr>
        <w:pStyle w:val="Style32"/>
        <w:keepNext w:val="0"/>
        <w:keepLines w:val="0"/>
        <w:widowControl w:val="0"/>
        <w:shd w:val="clear" w:color="auto" w:fill="auto"/>
        <w:bidi w:val="0"/>
        <w:spacing w:before="0" w:after="0" w:line="461" w:lineRule="exact"/>
        <w:ind w:left="0" w:right="0" w:firstLine="480"/>
        <w:jc w:val="both"/>
        <w:sectPr>
          <w:footnotePr>
            <w:pos w:val="pageBottom"/>
            <w:numFmt w:val="decimal"/>
            <w:numRestart w:val="continuous"/>
          </w:footnotePr>
          <w:pgSz w:w="11900" w:h="16840"/>
          <w:pgMar w:top="1350" w:right="1065" w:bottom="1480" w:left="1033" w:header="0" w:footer="3" w:gutter="0"/>
          <w:cols w:space="720"/>
          <w:noEndnote/>
          <w:rtlGutter w:val="0"/>
          <w:docGrid w:linePitch="360"/>
        </w:sectPr>
      </w:pPr>
      <w:r>
        <w:rPr>
          <w:color w:val="000000"/>
          <w:spacing w:val="0"/>
          <w:w w:val="100"/>
          <w:position w:val="0"/>
        </w:rPr>
        <w:t>软件行业属于智力密集型行业，核心技术人员对公司的产品创新、持续发展起着关键的 作用，核心技术人员的稳定对公司的发展具有重要影响。经过多年发展，公司现已拥有一支 高素质的技术人员队伍，为了吸引和稳定现有核心技术团队，公司已建立完善的知识管理体 系，采取了一系列吸引和稳定核心技术人员的措施，包括实施股权激励计划，提高核心技术 人员福利待遇、增加培训机会、创造良好的工作和文化氛围等，努力维护技术团队的稳定发 展，但考虑到软件行业技术变革速度快、人员流动率偏高的特点，未来如果公司的核心技术 团队流失率过高，将不利于公司各项经营目标的实现，对公司未来发展将产生不利影响。</w:t>
      </w:r>
    </w:p>
    <w:p>
      <w:pPr>
        <w:pStyle w:val="Style8"/>
        <w:keepNext/>
        <w:keepLines/>
        <w:widowControl w:val="0"/>
        <w:shd w:val="clear" w:color="auto" w:fill="auto"/>
        <w:bidi w:val="0"/>
        <w:spacing w:before="640" w:after="360" w:line="240" w:lineRule="auto"/>
        <w:ind w:left="0" w:right="0" w:firstLine="0"/>
        <w:jc w:val="center"/>
      </w:pPr>
      <w:bookmarkStart w:id="49" w:name="bookmark49"/>
      <w:bookmarkStart w:id="50" w:name="bookmark50"/>
      <w:bookmarkStart w:id="51" w:name="bookmark51"/>
      <w:r>
        <w:rPr>
          <w:color w:val="000000"/>
          <w:spacing w:val="0"/>
          <w:w w:val="100"/>
          <w:position w:val="0"/>
        </w:rPr>
        <w:t>第四节董事会报告</w:t>
      </w:r>
      <w:bookmarkEnd w:id="49"/>
      <w:bookmarkEnd w:id="50"/>
      <w:bookmarkEnd w:id="51"/>
    </w:p>
    <w:p>
      <w:pPr>
        <w:pStyle w:val="Style32"/>
        <w:keepNext w:val="0"/>
        <w:keepLines w:val="0"/>
        <w:widowControl w:val="0"/>
        <w:shd w:val="clear" w:color="auto" w:fill="auto"/>
        <w:bidi w:val="0"/>
        <w:spacing w:before="0" w:after="360" w:line="470" w:lineRule="exact"/>
        <w:ind w:left="0" w:right="0" w:firstLine="0"/>
        <w:jc w:val="left"/>
      </w:pPr>
      <w:bookmarkStart w:id="52" w:name="bookmark52"/>
      <w:bookmarkStart w:id="53" w:name="bookmark53"/>
      <w:r>
        <w:rPr>
          <w:b/>
          <w:bCs/>
          <w:color w:val="000000"/>
          <w:spacing w:val="0"/>
          <w:w w:val="100"/>
          <w:position w:val="0"/>
        </w:rPr>
        <w:t>一</w:t>
      </w:r>
      <w:bookmarkEnd w:id="53"/>
      <w:r>
        <w:rPr>
          <w:b/>
          <w:bCs/>
          <w:color w:val="000000"/>
          <w:spacing w:val="0"/>
          <w:w w:val="100"/>
          <w:position w:val="0"/>
        </w:rPr>
        <w:t>、管理层讨论与分析</w:t>
      </w:r>
      <w:bookmarkEnd w:id="52"/>
    </w:p>
    <w:p>
      <w:pPr>
        <w:pStyle w:val="Style32"/>
        <w:keepNext w:val="0"/>
        <w:keepLines w:val="0"/>
        <w:widowControl w:val="0"/>
        <w:shd w:val="clear" w:color="auto" w:fill="auto"/>
        <w:bidi w:val="0"/>
        <w:spacing w:before="0" w:after="180" w:line="240" w:lineRule="auto"/>
        <w:ind w:left="0" w:right="0" w:firstLine="0"/>
        <w:jc w:val="left"/>
        <w:rPr>
          <w:sz w:val="20"/>
          <w:szCs w:val="20"/>
        </w:rPr>
      </w:pPr>
      <w:bookmarkStart w:id="54" w:name="bookmark54"/>
      <w:r>
        <w:rPr>
          <w:rFonts w:ascii="Times New Roman" w:eastAsia="Times New Roman" w:hAnsi="Times New Roman" w:cs="Times New Roman"/>
          <w:b/>
          <w:bCs/>
          <w:color w:val="000000"/>
          <w:spacing w:val="0"/>
          <w:w w:val="100"/>
          <w:position w:val="0"/>
          <w:sz w:val="20"/>
          <w:szCs w:val="20"/>
        </w:rPr>
        <w:t>1</w:t>
      </w:r>
      <w:bookmarkEnd w:id="54"/>
      <w:r>
        <w:rPr>
          <w:b/>
          <w:bCs/>
          <w:color w:val="000000"/>
          <w:spacing w:val="0"/>
          <w:w w:val="100"/>
          <w:position w:val="0"/>
          <w:sz w:val="20"/>
          <w:szCs w:val="20"/>
        </w:rPr>
        <w:t>、报告期内主要业务回顾</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2013</w:t>
      </w:r>
      <w:r>
        <w:rPr>
          <w:color w:val="000000"/>
          <w:spacing w:val="0"/>
          <w:w w:val="100"/>
          <w:position w:val="0"/>
        </w:rPr>
        <w:t>年，公司实现营业收入</w:t>
      </w:r>
      <w:r>
        <w:rPr>
          <w:color w:val="000000"/>
          <w:spacing w:val="0"/>
          <w:w w:val="100"/>
          <w:position w:val="0"/>
          <w:sz w:val="24"/>
          <w:szCs w:val="24"/>
        </w:rPr>
        <w:t>40,635.71</w:t>
      </w:r>
      <w:r>
        <w:rPr>
          <w:color w:val="000000"/>
          <w:spacing w:val="0"/>
          <w:w w:val="100"/>
          <w:position w:val="0"/>
        </w:rPr>
        <w:t>万元，比上年同期增长</w:t>
      </w:r>
      <w:r>
        <w:rPr>
          <w:color w:val="000000"/>
          <w:spacing w:val="0"/>
          <w:w w:val="100"/>
          <w:position w:val="0"/>
          <w:sz w:val="24"/>
          <w:szCs w:val="24"/>
        </w:rPr>
        <w:t xml:space="preserve">83. </w:t>
      </w:r>
      <w:r>
        <w:rPr>
          <w:color w:val="000000"/>
          <w:spacing w:val="0"/>
          <w:w w:val="100"/>
          <w:position w:val="0"/>
          <w:sz w:val="24"/>
          <w:szCs w:val="24"/>
        </w:rPr>
        <w:t>06%；</w:t>
      </w:r>
      <w:r>
        <w:rPr>
          <w:color w:val="000000"/>
          <w:spacing w:val="0"/>
          <w:w w:val="100"/>
          <w:position w:val="0"/>
        </w:rPr>
        <w:t xml:space="preserve">实现利润总额 </w:t>
      </w:r>
      <w:r>
        <w:rPr>
          <w:color w:val="000000"/>
          <w:spacing w:val="0"/>
          <w:w w:val="100"/>
          <w:position w:val="0"/>
          <w:sz w:val="24"/>
          <w:szCs w:val="24"/>
        </w:rPr>
        <w:t>9,416.85</w:t>
      </w:r>
      <w:r>
        <w:rPr>
          <w:color w:val="000000"/>
          <w:spacing w:val="0"/>
          <w:w w:val="100"/>
          <w:position w:val="0"/>
        </w:rPr>
        <w:t>万元，比上年同期增长</w:t>
      </w:r>
      <w:r>
        <w:rPr>
          <w:color w:val="000000"/>
          <w:spacing w:val="0"/>
          <w:w w:val="100"/>
          <w:position w:val="0"/>
          <w:sz w:val="24"/>
          <w:szCs w:val="24"/>
        </w:rPr>
        <w:t>17.59%</w:t>
      </w:r>
      <w:r>
        <w:rPr>
          <w:color w:val="000000"/>
          <w:spacing w:val="0"/>
          <w:w w:val="100"/>
          <w:position w:val="0"/>
        </w:rPr>
        <w:t>；归属于上市公司股东的净利润</w:t>
      </w:r>
      <w:r>
        <w:rPr>
          <w:color w:val="000000"/>
          <w:spacing w:val="0"/>
          <w:w w:val="100"/>
          <w:position w:val="0"/>
          <w:sz w:val="24"/>
          <w:szCs w:val="24"/>
        </w:rPr>
        <w:t>9,403.6</w:t>
      </w:r>
      <w:r>
        <w:rPr>
          <w:color w:val="000000"/>
          <w:spacing w:val="0"/>
          <w:w w:val="100"/>
          <w:position w:val="0"/>
        </w:rPr>
        <w:t>万元，比上年 同期增长</w:t>
      </w:r>
      <w:r>
        <w:rPr>
          <w:color w:val="000000"/>
          <w:spacing w:val="0"/>
          <w:w w:val="100"/>
          <w:position w:val="0"/>
          <w:sz w:val="24"/>
          <w:szCs w:val="24"/>
        </w:rPr>
        <w:t>30.19%；</w:t>
      </w:r>
      <w:r>
        <w:rPr>
          <w:color w:val="000000"/>
          <w:spacing w:val="0"/>
          <w:w w:val="100"/>
          <w:position w:val="0"/>
        </w:rPr>
        <w:t>归属于上市公司股东的扣除非经常性损益后的净利润</w:t>
      </w:r>
      <w:r>
        <w:rPr>
          <w:color w:val="000000"/>
          <w:spacing w:val="0"/>
          <w:w w:val="100"/>
          <w:position w:val="0"/>
          <w:sz w:val="24"/>
          <w:szCs w:val="24"/>
        </w:rPr>
        <w:t>10,396.3</w:t>
      </w:r>
      <w:r>
        <w:rPr>
          <w:color w:val="000000"/>
          <w:spacing w:val="0"/>
          <w:w w:val="100"/>
          <w:position w:val="0"/>
        </w:rPr>
        <w:t>万元，比上 年同期增长</w:t>
      </w:r>
      <w:r>
        <w:rPr>
          <w:color w:val="000000"/>
          <w:spacing w:val="0"/>
          <w:w w:val="100"/>
          <w:position w:val="0"/>
          <w:sz w:val="24"/>
          <w:szCs w:val="24"/>
        </w:rPr>
        <w:t>50.51%；</w:t>
      </w:r>
      <w:r>
        <w:rPr>
          <w:color w:val="000000"/>
          <w:spacing w:val="0"/>
          <w:w w:val="100"/>
          <w:position w:val="0"/>
        </w:rPr>
        <w:t>新签合同额</w:t>
      </w:r>
      <w:r>
        <w:rPr>
          <w:color w:val="000000"/>
          <w:spacing w:val="0"/>
          <w:w w:val="100"/>
          <w:position w:val="0"/>
          <w:sz w:val="24"/>
          <w:szCs w:val="24"/>
        </w:rPr>
        <w:t>57,871</w:t>
      </w:r>
      <w:r>
        <w:rPr>
          <w:color w:val="000000"/>
          <w:spacing w:val="0"/>
          <w:w w:val="100"/>
          <w:position w:val="0"/>
        </w:rPr>
        <w:t>万元，比上年同期增长</w:t>
      </w:r>
      <w:r>
        <w:rPr>
          <w:color w:val="000000"/>
          <w:spacing w:val="0"/>
          <w:w w:val="100"/>
          <w:position w:val="0"/>
          <w:sz w:val="24"/>
          <w:szCs w:val="24"/>
        </w:rPr>
        <w:t>103.46%</w:t>
      </w:r>
      <w:r>
        <w:rPr>
          <w:color w:val="000000"/>
          <w:spacing w:val="0"/>
          <w:w w:val="100"/>
          <w:position w:val="0"/>
        </w:rPr>
        <w:t>。</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公司在报告期内的总体经营情况概述如下：</w:t>
      </w:r>
    </w:p>
    <w:p>
      <w:pPr>
        <w:pStyle w:val="Style32"/>
        <w:keepNext w:val="0"/>
        <w:keepLines w:val="0"/>
        <w:widowControl w:val="0"/>
        <w:shd w:val="clear" w:color="auto" w:fill="auto"/>
        <w:tabs>
          <w:tab w:pos="1093" w:val="left"/>
        </w:tabs>
        <w:bidi w:val="0"/>
        <w:spacing w:before="0" w:after="0" w:line="470" w:lineRule="exact"/>
        <w:ind w:left="0" w:right="0" w:firstLine="480"/>
        <w:jc w:val="both"/>
      </w:pPr>
      <w:bookmarkStart w:id="55" w:name="bookmark55"/>
      <w:r>
        <w:rPr>
          <w:color w:val="000000"/>
          <w:spacing w:val="0"/>
          <w:w w:val="100"/>
          <w:position w:val="0"/>
        </w:rPr>
        <w:t>（</w:t>
      </w:r>
      <w:bookmarkEnd w:id="55"/>
      <w:r>
        <w:rPr>
          <w:color w:val="000000"/>
          <w:spacing w:val="0"/>
          <w:w w:val="100"/>
          <w:position w:val="0"/>
        </w:rPr>
        <w:t>一）</w:t>
        <w:tab/>
        <w:t>注重企业管理，管理质效全面提升</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随着公司市场规模的不断扩大，企业经营的风险和管理难度也在不断加大，因此，能否 进一步提高企业管理水平成为决定公司发展成败的关键因素。</w:t>
      </w:r>
      <w:r>
        <w:rPr>
          <w:color w:val="000000"/>
          <w:spacing w:val="0"/>
          <w:w w:val="100"/>
          <w:position w:val="0"/>
          <w:sz w:val="24"/>
          <w:szCs w:val="24"/>
        </w:rPr>
        <w:t>2013</w:t>
      </w:r>
      <w:r>
        <w:rPr>
          <w:color w:val="000000"/>
          <w:spacing w:val="0"/>
          <w:w w:val="100"/>
          <w:position w:val="0"/>
        </w:rPr>
        <w:t>年，公司提出了 “管理年” 的口号，全面规范、完善、提升各项管理制度，加强制度的执行力，强化风险防控理念，在 人力资源管理、财务管理、采购管理、研发管理、项目实施管理等各方面都推出了新的管理 办法和实施细则，同时强化了反馈和问责机制，增加考评体系的实时性和有效性。报告期内， 公司的管理质效得到了有效提升。</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2013</w:t>
      </w:r>
      <w:r>
        <w:rPr>
          <w:color w:val="000000"/>
          <w:spacing w:val="0"/>
          <w:w w:val="100"/>
          <w:position w:val="0"/>
        </w:rPr>
        <w:t>年，公司还进一步优化了营销大区的管理架构，将考核目标分解下放到全国各个营 销大区，形成与收入和利润目标相匹配的大区奖励机制，并鼓励各大区建设适合大区发展特 点的内部考核办法，充分调动基层组织的工作积极性，为公司整体实现业绩的可持续发展奠 定重要的基础。</w:t>
      </w:r>
    </w:p>
    <w:p>
      <w:pPr>
        <w:pStyle w:val="Style32"/>
        <w:keepNext w:val="0"/>
        <w:keepLines w:val="0"/>
        <w:widowControl w:val="0"/>
        <w:shd w:val="clear" w:color="auto" w:fill="auto"/>
        <w:tabs>
          <w:tab w:pos="1093" w:val="left"/>
        </w:tabs>
        <w:bidi w:val="0"/>
        <w:spacing w:before="0" w:after="0" w:line="470" w:lineRule="exact"/>
        <w:ind w:left="0" w:right="0" w:firstLine="480"/>
        <w:jc w:val="both"/>
      </w:pPr>
      <w:bookmarkStart w:id="56" w:name="bookmark56"/>
      <w:r>
        <w:rPr>
          <w:color w:val="000000"/>
          <w:spacing w:val="0"/>
          <w:w w:val="100"/>
          <w:position w:val="0"/>
        </w:rPr>
        <w:t>（</w:t>
      </w:r>
      <w:bookmarkEnd w:id="56"/>
      <w:r>
        <w:rPr>
          <w:color w:val="000000"/>
          <w:spacing w:val="0"/>
          <w:w w:val="100"/>
          <w:position w:val="0"/>
        </w:rPr>
        <w:t>二）</w:t>
        <w:tab/>
        <w:t>发布“精智</w:t>
      </w:r>
      <w:r>
        <w:rPr>
          <w:color w:val="000000"/>
          <w:spacing w:val="0"/>
          <w:w w:val="100"/>
          <w:position w:val="0"/>
          <w:sz w:val="24"/>
          <w:szCs w:val="24"/>
        </w:rPr>
        <w:t>2013</w:t>
      </w:r>
      <w:r>
        <w:rPr>
          <w:color w:val="000000"/>
          <w:spacing w:val="0"/>
          <w:w w:val="100"/>
          <w:position w:val="0"/>
        </w:rPr>
        <w:t>”系列产品，技术竞争力继续增强</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2013</w:t>
      </w:r>
      <w:r>
        <w:rPr>
          <w:color w:val="000000"/>
          <w:spacing w:val="0"/>
          <w:w w:val="100"/>
          <w:position w:val="0"/>
        </w:rPr>
        <w:t>年，公司发布智慧城市管理“精智</w:t>
      </w:r>
      <w:r>
        <w:rPr>
          <w:color w:val="000000"/>
          <w:spacing w:val="0"/>
          <w:w w:val="100"/>
          <w:position w:val="0"/>
          <w:sz w:val="24"/>
          <w:szCs w:val="24"/>
        </w:rPr>
        <w:t>2013”</w:t>
      </w:r>
      <w:r>
        <w:rPr>
          <w:color w:val="000000"/>
          <w:spacing w:val="0"/>
          <w:w w:val="100"/>
          <w:position w:val="0"/>
        </w:rPr>
        <w:t>系列软件产品，以“全景化、全移动、全 时空、物联化”为特征，继续引领行业的技术发展趋势，更好地满足客户新形势下的管理需 求。在数字化城市管理领域，公司根据客户需求继续完善各类产品，以</w:t>
      </w:r>
      <w:r>
        <w:rPr>
          <w:color w:val="000000"/>
          <w:spacing w:val="0"/>
          <w:w w:val="100"/>
          <w:position w:val="0"/>
          <w:sz w:val="24"/>
          <w:szCs w:val="24"/>
        </w:rPr>
        <w:t>9</w:t>
      </w:r>
      <w:r>
        <w:rPr>
          <w:color w:val="000000"/>
          <w:spacing w:val="0"/>
          <w:w w:val="100"/>
          <w:position w:val="0"/>
        </w:rPr>
        <w:t>个标准子系统、</w:t>
      </w:r>
      <w:r>
        <w:rPr>
          <w:color w:val="000000"/>
          <w:spacing w:val="0"/>
          <w:w w:val="100"/>
          <w:position w:val="0"/>
          <w:sz w:val="24"/>
          <w:szCs w:val="24"/>
        </w:rPr>
        <w:t>6</w:t>
      </w:r>
      <w:r>
        <w:rPr>
          <w:color w:val="000000"/>
          <w:spacing w:val="0"/>
          <w:w w:val="100"/>
          <w:position w:val="0"/>
        </w:rPr>
        <w:t>个 拓展子系统为基础的数字城管标准系统得到了全面升级；并新增户外广告管理、摊点亭棚管 理、停车场信息及诱导管理等拓展子系统，将数字城管系统向</w:t>
      </w:r>
      <w:r>
        <w:rPr>
          <w:color w:val="000000"/>
          <w:spacing w:val="0"/>
          <w:w w:val="100"/>
          <w:position w:val="0"/>
          <w:sz w:val="24"/>
          <w:szCs w:val="24"/>
        </w:rPr>
        <w:t>13</w:t>
      </w:r>
      <w:r>
        <w:rPr>
          <w:color w:val="000000"/>
          <w:spacing w:val="0"/>
          <w:w w:val="100"/>
          <w:position w:val="0"/>
        </w:rPr>
        <w:t>个专业分支领域进行了精细 化拓展；在智能在线监测方面，在原有的防汛、供水、供热、燃气等子系统全面产品化的基 础上，重新设计并研发了视频监控、北斗</w:t>
      </w:r>
      <w:r>
        <w:rPr>
          <w:color w:val="000000"/>
          <w:spacing w:val="0"/>
          <w:w w:val="100"/>
          <w:position w:val="0"/>
          <w:sz w:val="24"/>
          <w:szCs w:val="24"/>
        </w:rPr>
        <w:t>/GPS</w:t>
      </w:r>
      <w:r>
        <w:rPr>
          <w:color w:val="000000"/>
          <w:spacing w:val="0"/>
          <w:w w:val="100"/>
          <w:position w:val="0"/>
        </w:rPr>
        <w:t xml:space="preserve">监控、排水监测等子系统，产品线得到了进一 </w:t>
      </w:r>
      <w:r>
        <w:rPr>
          <w:color w:val="000000"/>
          <w:spacing w:val="0"/>
          <w:w w:val="100"/>
          <w:position w:val="0"/>
        </w:rPr>
        <w:t>步扩充；在移动互联方面，进一步升级全移动智能管控系统（智管通），推出市民通等系列 产品，通过</w:t>
      </w:r>
      <w:r>
        <w:rPr>
          <w:color w:val="000000"/>
          <w:spacing w:val="0"/>
          <w:w w:val="100"/>
          <w:position w:val="0"/>
          <w:sz w:val="24"/>
          <w:szCs w:val="24"/>
        </w:rPr>
        <w:t>7</w:t>
      </w:r>
      <w:r>
        <w:rPr>
          <w:color w:val="000000"/>
          <w:spacing w:val="0"/>
          <w:w w:val="100"/>
          <w:position w:val="0"/>
        </w:rPr>
        <w:t>个手机端产品和一个</w:t>
      </w:r>
      <w:r>
        <w:rPr>
          <w:color w:val="000000"/>
          <w:spacing w:val="0"/>
          <w:w w:val="100"/>
          <w:position w:val="0"/>
          <w:sz w:val="24"/>
          <w:szCs w:val="24"/>
        </w:rPr>
        <w:t>PAD</w:t>
      </w:r>
      <w:r>
        <w:rPr>
          <w:color w:val="000000"/>
          <w:spacing w:val="0"/>
          <w:w w:val="100"/>
          <w:position w:val="0"/>
        </w:rPr>
        <w:t>端产品，将市民与城市管理者更好地联系起来，更加有 效解决城市管理问题。</w:t>
      </w:r>
    </w:p>
    <w:p>
      <w:pPr>
        <w:pStyle w:val="Style32"/>
        <w:keepNext w:val="0"/>
        <w:keepLines w:val="0"/>
        <w:widowControl w:val="0"/>
        <w:shd w:val="clear" w:color="auto" w:fill="auto"/>
        <w:tabs>
          <w:tab w:pos="1070" w:val="left"/>
        </w:tabs>
        <w:bidi w:val="0"/>
        <w:spacing w:before="0" w:after="0" w:line="469" w:lineRule="exact"/>
        <w:ind w:left="0" w:right="0" w:firstLine="480"/>
        <w:jc w:val="both"/>
      </w:pPr>
      <w:bookmarkStart w:id="57" w:name="bookmark57"/>
      <w:r>
        <w:rPr>
          <w:color w:val="000000"/>
          <w:spacing w:val="0"/>
          <w:w w:val="100"/>
          <w:position w:val="0"/>
        </w:rPr>
        <w:t>（</w:t>
      </w:r>
      <w:bookmarkEnd w:id="57"/>
      <w:r>
        <w:rPr>
          <w:color w:val="000000"/>
          <w:spacing w:val="0"/>
          <w:w w:val="100"/>
          <w:position w:val="0"/>
        </w:rPr>
        <w:t>三）</w:t>
        <w:tab/>
        <w:t>推动市场宣传，提升品牌知名度</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报告期内，由国家住房和城乡建设部城市建设司主办，数字城市专业委员会数字城管学 组和宁波市城市管理局承办，公司协办的全国数字化城市管理培训班于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月在浙江省宁 波市举行，来自全国各省、自治区、直辖市住房和城乡建设部门、住房城乡建设部数字城管 试点城市及数字城管系统建设各相关城市的</w:t>
      </w:r>
      <w:r>
        <w:rPr>
          <w:color w:val="000000"/>
          <w:spacing w:val="0"/>
          <w:w w:val="100"/>
          <w:position w:val="0"/>
          <w:sz w:val="24"/>
          <w:szCs w:val="24"/>
        </w:rPr>
        <w:t>400</w:t>
      </w:r>
      <w:r>
        <w:rPr>
          <w:color w:val="000000"/>
          <w:spacing w:val="0"/>
          <w:w w:val="100"/>
          <w:position w:val="0"/>
        </w:rPr>
        <w:t>余名参会代表齐聚甬城，学习数字城管的国家 标准及行业标准，探讨数字城管建设的新技术、新模式，交流数字城管建设和运行的实践经 验。住房和城乡建设部城建司有关负责同志在会议中明确要求在智慧城市建设新形势下全国 各级城市管理部门要提升对数字城管工作重要性的认识，指出“数字城管是实现智慧城市的 最重要的基础”，并对如何在全国范围内进一步全面推进数字城管工作提出了具体的意见要 求。公司在会议期间展示了良好的品牌形象，并对推动全国数字城管市场宣传和拓展工作起 到了积极的促进作用。</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报告期内，公司在业务上的锐意进取精神和良好的经营业绩也得到了业界的广泛认同。 在“</w:t>
      </w:r>
      <w:r>
        <w:rPr>
          <w:color w:val="000000"/>
          <w:spacing w:val="0"/>
          <w:w w:val="100"/>
          <w:position w:val="0"/>
          <w:sz w:val="24"/>
          <w:szCs w:val="24"/>
        </w:rPr>
        <w:t>2013</w:t>
      </w:r>
      <w:r>
        <w:rPr>
          <w:color w:val="000000"/>
          <w:spacing w:val="0"/>
          <w:w w:val="100"/>
          <w:position w:val="0"/>
        </w:rPr>
        <w:t>中国软件大会”上，公司凭借其在智慧城市建设中的一贯优异表现，荣获了由中国 电子信息产业发展研究院和中国软件评测中心共同颁发的</w:t>
      </w:r>
      <w:r>
        <w:rPr>
          <w:color w:val="000000"/>
          <w:spacing w:val="0"/>
          <w:w w:val="100"/>
          <w:position w:val="0"/>
          <w:sz w:val="24"/>
          <w:szCs w:val="24"/>
        </w:rPr>
        <w:t>“2013</w:t>
      </w:r>
      <w:r>
        <w:rPr>
          <w:color w:val="000000"/>
          <w:spacing w:val="0"/>
          <w:w w:val="100"/>
          <w:position w:val="0"/>
        </w:rPr>
        <w:t>年度中国软件和信息服务智 慧城市领域杰出服务商”奖项；在国家产业服务平台“创新</w:t>
      </w:r>
      <w:r>
        <w:rPr>
          <w:color w:val="000000"/>
          <w:spacing w:val="0"/>
          <w:w w:val="100"/>
          <w:position w:val="0"/>
          <w:sz w:val="24"/>
          <w:szCs w:val="24"/>
        </w:rPr>
        <w:t>2013”</w:t>
      </w:r>
      <w:r>
        <w:rPr>
          <w:color w:val="000000"/>
          <w:spacing w:val="0"/>
          <w:w w:val="100"/>
          <w:position w:val="0"/>
        </w:rPr>
        <w:t>年终评选中，《创新网格 化社会服务管理平台》一举摘下</w:t>
      </w:r>
      <w:r>
        <w:rPr>
          <w:color w:val="000000"/>
          <w:spacing w:val="0"/>
          <w:w w:val="100"/>
          <w:position w:val="0"/>
          <w:sz w:val="24"/>
          <w:szCs w:val="24"/>
        </w:rPr>
        <w:t>“2013</w:t>
      </w:r>
      <w:r>
        <w:rPr>
          <w:color w:val="000000"/>
          <w:spacing w:val="0"/>
          <w:w w:val="100"/>
          <w:position w:val="0"/>
        </w:rPr>
        <w:t>年度社会服务管理最佳解决方案奖”奖项。一系列殊 荣的获得，也提高了公司品牌的知名度和美誉度。</w:t>
      </w:r>
    </w:p>
    <w:p>
      <w:pPr>
        <w:pStyle w:val="Style32"/>
        <w:keepNext w:val="0"/>
        <w:keepLines w:val="0"/>
        <w:widowControl w:val="0"/>
        <w:shd w:val="clear" w:color="auto" w:fill="auto"/>
        <w:tabs>
          <w:tab w:pos="1070" w:val="left"/>
        </w:tabs>
        <w:bidi w:val="0"/>
        <w:spacing w:before="0" w:after="0" w:line="469" w:lineRule="exact"/>
        <w:ind w:left="0" w:right="0" w:firstLine="480"/>
        <w:jc w:val="both"/>
      </w:pPr>
      <w:bookmarkStart w:id="58" w:name="bookmark58"/>
      <w:r>
        <w:rPr>
          <w:color w:val="000000"/>
          <w:spacing w:val="0"/>
          <w:w w:val="100"/>
          <w:position w:val="0"/>
        </w:rPr>
        <w:t>（</w:t>
      </w:r>
      <w:bookmarkEnd w:id="58"/>
      <w:r>
        <w:rPr>
          <w:color w:val="000000"/>
          <w:spacing w:val="0"/>
          <w:w w:val="100"/>
          <w:position w:val="0"/>
        </w:rPr>
        <w:t>四）</w:t>
        <w:tab/>
        <w:t>携手智通，业务整合拓发展</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2013</w:t>
      </w:r>
      <w:r>
        <w:rPr>
          <w:color w:val="000000"/>
          <w:spacing w:val="0"/>
          <w:w w:val="100"/>
          <w:position w:val="0"/>
        </w:rPr>
        <w:t>年，是公司与子公司汉王智通融合发展的第一年。这一年，通过推动管理、技术、 市场、财务等各方面资源的优化整合，公司之间建立了互信、互通的工作接口，形成了发展 的合力。报告期内，汉王智通实现净利润</w:t>
      </w:r>
      <w:r>
        <w:rPr>
          <w:color w:val="000000"/>
          <w:spacing w:val="0"/>
          <w:w w:val="100"/>
          <w:position w:val="0"/>
          <w:sz w:val="24"/>
          <w:szCs w:val="24"/>
        </w:rPr>
        <w:t>2,039.1</w:t>
      </w:r>
      <w:r>
        <w:rPr>
          <w:color w:val="000000"/>
          <w:spacing w:val="0"/>
          <w:w w:val="100"/>
          <w:position w:val="0"/>
        </w:rPr>
        <w:t>万元，较好的完成了</w:t>
      </w:r>
      <w:r>
        <w:rPr>
          <w:color w:val="000000"/>
          <w:spacing w:val="0"/>
          <w:w w:val="100"/>
          <w:position w:val="0"/>
          <w:sz w:val="24"/>
          <w:szCs w:val="24"/>
        </w:rPr>
        <w:t>2013</w:t>
      </w:r>
      <w:r>
        <w:rPr>
          <w:color w:val="000000"/>
          <w:spacing w:val="0"/>
          <w:w w:val="100"/>
          <w:position w:val="0"/>
        </w:rPr>
        <w:t>年的发展目标，在 智能交通、平安城市等领域的市场拓展中也取得了重大进展，新增云南省景洪市、普洱市， 吉林省吉林市、内蒙古自治区科右前旗、山东省寿光市、贵州省普定县等一批城市客户。</w:t>
      </w:r>
    </w:p>
    <w:p>
      <w:pPr>
        <w:pStyle w:val="Style3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报告期内，汉王智通加大研发力度，在核心技术方面新开发了车辆驾驶员人脸定位与切 分、车脸识别等新算法，研发出</w:t>
      </w:r>
      <w:r>
        <w:rPr>
          <w:color w:val="000000"/>
          <w:spacing w:val="0"/>
          <w:w w:val="100"/>
          <w:position w:val="0"/>
          <w:sz w:val="24"/>
          <w:szCs w:val="24"/>
        </w:rPr>
        <w:t>200</w:t>
      </w:r>
      <w:r>
        <w:rPr>
          <w:color w:val="000000"/>
          <w:spacing w:val="0"/>
          <w:w w:val="100"/>
          <w:position w:val="0"/>
        </w:rPr>
        <w:t>万像素高清高速路收费站一体机等一批新产品，公安指挥 调度平台、视频综合管控平台等软件在项目中也得到了更加广泛应用。</w:t>
      </w:r>
    </w:p>
    <w:p>
      <w:pPr>
        <w:pStyle w:val="Style3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报告期内，通过将汉王智通的智能高清视频技术与数字政通的城市管理平台软件相融合, 有效提升了对城市部件数据、社会管理数据、公安数据和交通数据等基础数据的整合能力， 其中汉王智通与母公司一起，共同承担了河南省济源市平安城市项目的方案设计和技术实施 工作，也标志着公司与汉王智通的业务融合取得了实质性的成果。</w:t>
      </w:r>
    </w:p>
    <w:p>
      <w:pPr>
        <w:pStyle w:val="Style32"/>
        <w:keepNext w:val="0"/>
        <w:keepLines w:val="0"/>
        <w:widowControl w:val="0"/>
        <w:shd w:val="clear" w:color="auto" w:fill="auto"/>
        <w:bidi w:val="0"/>
        <w:spacing w:before="0" w:after="0" w:line="468" w:lineRule="exact"/>
        <w:ind w:left="0" w:right="0" w:firstLine="480"/>
        <w:jc w:val="both"/>
      </w:pPr>
      <w:bookmarkStart w:id="59" w:name="bookmark59"/>
      <w:r>
        <w:rPr>
          <w:color w:val="000000"/>
          <w:spacing w:val="0"/>
          <w:w w:val="100"/>
          <w:position w:val="0"/>
        </w:rPr>
        <w:t>（</w:t>
      </w:r>
      <w:bookmarkEnd w:id="59"/>
      <w:r>
        <w:rPr>
          <w:color w:val="000000"/>
          <w:spacing w:val="0"/>
          <w:w w:val="100"/>
          <w:position w:val="0"/>
        </w:rPr>
        <w:t>五）谋求新发展实现新突破</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报告期内，面对智慧城市建设的新需求，为了能够更好的管理多维度、多时段、多模式 的信息，公司推出了全时空智慧城市综合信息平台解决方案。全时空平台采用统一时空的信 息管理技术，在一体化时空体系中还原各类信息在时间、空间、管理属性等多个维度的关联 关系，为智慧城市的各类应用提供一体化的综合信息服务。目前，全时空平台系统已经成功 运用在天津生态城项目和河北高速路项目中，使城市管理工作的智能化程度大大提高，高速 公路中的服务区管理和道路巡查管理更加可视、有效。</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报告期内，在城市管理运营服务领域，公司开发了应用空间信息动态更新系统和专项排 查治理系统，提高了在信息采集外包服务上的技术水平和竞争力。公司自主研发了移动视频 采集车，利用车巡+人巡的方式，完成对城市封闭道路、偏远区域、难点区域的全方位信息采 集；新推出的文明测评系统，对广场、主要商业大街、主干道等重点区域，通过实地考察、 问卷调查和材料审核等三种方式进行文明指数测评以及统计分析等工作。</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地下管线是城市基础设施重要组成部分，是城市规划建设管理的重要基础信息，被称为 城市的“生命线”。国务院领导在国务院常务会议中曾多次提及加强市政地下管网建设和改 造。报告期内，公司在地下综合管网领域取得了新的突破，公司中标北京通州区地下管网项 目，该项目以电子地图为基础，以空间信息数据和属性信息数据为资源，通过地下管线的探 测与普查，建设地下管线及城市部件数字化档案基础数据库，并通过地下管线数据的动态更 新机制，全面准确掌握地下管线信息，实现地下管线及城市部件的统一管理及共享，为城市 规划、建设、管理、设施安全运营提供支持。并且建立城市部件数字化管理模式，提高城市 管理效能，实现城市地下管线及城市部件管理的数字化、科学化和精细化。</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报告期内，公司进一步开发了公用事业服务质量监管系统，充分利用数字化城市管理成 功经验，采用物联网、无线数据传输、工程过程实时在线检测等技术手段，实现对供水、供 电、供气、供热等公用事业服务质量的监管。通过实时在线监测、自动报警等功能，第一时 间发现问题，通过数字城管的统一协调、高位监督机制，实现快速响应、及时处置，对提供 服务的企事业单位进行监督、评价、考核，以此达到优化服务质量和提高城市管理水平的目 </w:t>
      </w:r>
      <w:r>
        <w:rPr>
          <w:color w:val="000000"/>
          <w:spacing w:val="0"/>
          <w:w w:val="100"/>
          <w:position w:val="0"/>
        </w:rPr>
        <w:t>的。公司承建的廊坊市公用事业服务质量监管系统，已于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月正式部署，并接入</w:t>
      </w:r>
      <w:r>
        <w:rPr>
          <w:color w:val="000000"/>
          <w:spacing w:val="0"/>
          <w:w w:val="100"/>
          <w:position w:val="0"/>
          <w:sz w:val="24"/>
          <w:szCs w:val="24"/>
        </w:rPr>
        <w:t>20</w:t>
      </w:r>
      <w:r>
        <w:rPr>
          <w:color w:val="000000"/>
          <w:spacing w:val="0"/>
          <w:w w:val="100"/>
          <w:position w:val="0"/>
        </w:rPr>
        <w:t>个 小区的供水、供电、供气、供热的实时监测数据，计划在三到五年实现全廊坊市住宅小区的 全覆盖。</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报告期内，公司大力推动城管、社管一体化发展。实现了数字化城市管理为网格化社会 管理提供可借鉴的成功管理模式，网格化社会管理为数字化城市管理提供可持续的运行动力。 在湖北荆门市项目中，与客户共同设计出“一个平台、两大系统”（一个综合管理信息平台， 网格化社会管理和数字化城市管理两大系统）的总体建设方案，开创了以“四管两心”（即 社会管理、城市管理、治安管理、交通管理及监督中心、指挥中心）为主要内容的建设模式, 成功将网格化社会管理和数字化城市管理两大系统集成在一个平台上运行。随后，公司又将 这一模式成功延伸到青海省西宁市的项目中，为下一步在全国市场全面推广建立了重要的示 范基础。</w:t>
      </w:r>
    </w:p>
    <w:p>
      <w:pPr>
        <w:pStyle w:val="Style32"/>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报告期内，公司采用超募资金建设的全新一代基于</w:t>
      </w:r>
      <w:r>
        <w:rPr>
          <w:color w:val="000000"/>
          <w:spacing w:val="0"/>
          <w:w w:val="100"/>
          <w:position w:val="0"/>
          <w:sz w:val="24"/>
          <w:szCs w:val="24"/>
        </w:rPr>
        <w:t>Ladybug5</w:t>
      </w:r>
      <w:r>
        <w:rPr>
          <w:color w:val="000000"/>
          <w:spacing w:val="0"/>
          <w:w w:val="100"/>
          <w:position w:val="0"/>
        </w:rPr>
        <w:t>和</w:t>
      </w:r>
      <w:r>
        <w:rPr>
          <w:color w:val="000000"/>
          <w:spacing w:val="0"/>
          <w:w w:val="100"/>
          <w:position w:val="0"/>
          <w:sz w:val="24"/>
          <w:szCs w:val="24"/>
        </w:rPr>
        <w:t xml:space="preserve">Eyesis </w:t>
      </w:r>
      <w:r>
        <w:rPr>
          <w:color w:val="000000"/>
          <w:spacing w:val="0"/>
          <w:w w:val="100"/>
          <w:position w:val="0"/>
          <w:sz w:val="24"/>
          <w:szCs w:val="24"/>
        </w:rPr>
        <w:t xml:space="preserve">4 </w:t>
      </w:r>
      <w:r>
        <w:rPr>
          <w:color w:val="000000"/>
          <w:spacing w:val="0"/>
          <w:w w:val="100"/>
          <w:position w:val="0"/>
          <w:sz w:val="24"/>
          <w:szCs w:val="24"/>
        </w:rPr>
        <w:t>n</w:t>
      </w:r>
      <w:r>
        <w:rPr>
          <w:color w:val="000000"/>
          <w:spacing w:val="0"/>
          <w:w w:val="100"/>
          <w:position w:val="0"/>
        </w:rPr>
        <w:t>的激光采集车 正式投入使用。基于</w:t>
      </w:r>
      <w:r>
        <w:rPr>
          <w:color w:val="000000"/>
          <w:spacing w:val="0"/>
          <w:w w:val="100"/>
          <w:position w:val="0"/>
          <w:sz w:val="24"/>
          <w:szCs w:val="24"/>
        </w:rPr>
        <w:t>Ladybug5</w:t>
      </w:r>
      <w:r>
        <w:rPr>
          <w:color w:val="000000"/>
          <w:spacing w:val="0"/>
          <w:w w:val="100"/>
          <w:position w:val="0"/>
        </w:rPr>
        <w:t>的激光全景采集车，采用</w:t>
      </w:r>
      <w:r>
        <w:rPr>
          <w:color w:val="000000"/>
          <w:spacing w:val="0"/>
          <w:w w:val="100"/>
          <w:position w:val="0"/>
          <w:sz w:val="24"/>
          <w:szCs w:val="24"/>
        </w:rPr>
        <w:t>ladybug5</w:t>
      </w:r>
      <w:r>
        <w:rPr>
          <w:color w:val="000000"/>
          <w:spacing w:val="0"/>
          <w:w w:val="100"/>
          <w:position w:val="0"/>
        </w:rPr>
        <w:t>全景相机进行成像，分辨率 可达到</w:t>
      </w:r>
      <w:r>
        <w:rPr>
          <w:color w:val="000000"/>
          <w:spacing w:val="0"/>
          <w:w w:val="100"/>
          <w:position w:val="0"/>
          <w:sz w:val="24"/>
          <w:szCs w:val="24"/>
        </w:rPr>
        <w:t>8192X4096,</w:t>
      </w:r>
      <w:r>
        <w:rPr>
          <w:color w:val="000000"/>
          <w:spacing w:val="0"/>
          <w:w w:val="100"/>
          <w:position w:val="0"/>
        </w:rPr>
        <w:t>通过激光点云与定位定姿系统结合的方式，大幅度提升了量测的精度。 同时，激光点云数据与</w:t>
      </w:r>
      <w:r>
        <w:rPr>
          <w:color w:val="000000"/>
          <w:spacing w:val="0"/>
          <w:w w:val="100"/>
          <w:position w:val="0"/>
          <w:sz w:val="24"/>
          <w:szCs w:val="24"/>
        </w:rPr>
        <w:t>360°</w:t>
      </w:r>
      <w:r>
        <w:rPr>
          <w:color w:val="000000"/>
          <w:spacing w:val="0"/>
          <w:w w:val="100"/>
          <w:position w:val="0"/>
        </w:rPr>
        <w:t>全景影像之间的无缝融合，不但提升了城市实景影像的建设水平、 量测精度，还可以对采集的影像进行三维工程模型和三维地形模型建设；</w:t>
      </w:r>
      <w:r>
        <w:rPr>
          <w:color w:val="000000"/>
          <w:spacing w:val="0"/>
          <w:w w:val="100"/>
          <w:position w:val="0"/>
          <w:sz w:val="24"/>
          <w:szCs w:val="24"/>
        </w:rPr>
        <w:t>Eyesis4n</w:t>
      </w:r>
      <w:r>
        <w:rPr>
          <w:color w:val="000000"/>
          <w:spacing w:val="0"/>
          <w:w w:val="100"/>
          <w:position w:val="0"/>
        </w:rPr>
        <w:t>激光采集 车的全景及点云数据融合精度更高，分辨率可达到</w:t>
      </w:r>
      <w:r>
        <w:rPr>
          <w:color w:val="000000"/>
          <w:spacing w:val="0"/>
          <w:w w:val="100"/>
          <w:position w:val="0"/>
          <w:sz w:val="24"/>
          <w:szCs w:val="24"/>
        </w:rPr>
        <w:t>14268X7134,</w:t>
      </w:r>
      <w:r>
        <w:rPr>
          <w:color w:val="000000"/>
          <w:spacing w:val="0"/>
          <w:w w:val="100"/>
          <w:position w:val="0"/>
        </w:rPr>
        <w:t>且平台集成化程度高，数据 处理流程化，组装设计均自主完成。两款采集车实现了全景漫游、兴趣点反投、实景上报、 实景广告、实景部件、多媒体贴图等全方位应用。这两款产品的成功投产，进一步增强了公 司在城市管理全景化方面的竞争优势。</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60" w:name="bookmark60"/>
      <w:r>
        <w:rPr>
          <w:rFonts w:ascii="Times New Roman" w:eastAsia="Times New Roman" w:hAnsi="Times New Roman" w:cs="Times New Roman"/>
          <w:b/>
          <w:bCs/>
          <w:color w:val="000000"/>
          <w:spacing w:val="0"/>
          <w:w w:val="100"/>
          <w:position w:val="0"/>
          <w:sz w:val="20"/>
          <w:szCs w:val="20"/>
        </w:rPr>
        <w:t>2</w:t>
      </w:r>
      <w:bookmarkEnd w:id="60"/>
      <w:r>
        <w:rPr>
          <w:b/>
          <w:bCs/>
          <w:color w:val="000000"/>
          <w:spacing w:val="0"/>
          <w:w w:val="100"/>
          <w:position w:val="0"/>
          <w:sz w:val="20"/>
          <w:szCs w:val="20"/>
        </w:rPr>
        <w:t>、报告期内主要经营情况</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61" w:name="bookmark61"/>
      <w:r>
        <w:rPr>
          <w:b/>
          <w:bCs/>
          <w:color w:val="000000"/>
          <w:spacing w:val="0"/>
          <w:w w:val="100"/>
          <w:position w:val="0"/>
          <w:sz w:val="20"/>
          <w:szCs w:val="20"/>
        </w:rPr>
        <w:t>（</w:t>
      </w:r>
      <w:bookmarkEnd w:id="6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）主营业务分析</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概述</w:t>
      </w:r>
    </w:p>
    <w:p>
      <w:pPr>
        <w:pStyle w:val="Style32"/>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报告期内，公司实现主营业务收入</w:t>
      </w:r>
      <w:r>
        <w:rPr>
          <w:color w:val="000000"/>
          <w:spacing w:val="0"/>
          <w:w w:val="100"/>
          <w:position w:val="0"/>
          <w:sz w:val="24"/>
          <w:szCs w:val="24"/>
        </w:rPr>
        <w:t>406,357,113.32</w:t>
      </w:r>
      <w:r>
        <w:rPr>
          <w:color w:val="000000"/>
          <w:spacing w:val="0"/>
          <w:w w:val="100"/>
          <w:position w:val="0"/>
        </w:rPr>
        <w:t>万元，比上年同期增长</w:t>
      </w:r>
      <w:r>
        <w:rPr>
          <w:color w:val="000000"/>
          <w:spacing w:val="0"/>
          <w:w w:val="100"/>
          <w:position w:val="0"/>
          <w:sz w:val="24"/>
          <w:szCs w:val="24"/>
        </w:rPr>
        <w:t>83.06%，</w:t>
      </w:r>
      <w:r>
        <w:rPr>
          <w:color w:val="000000"/>
          <w:spacing w:val="0"/>
          <w:w w:val="100"/>
          <w:position w:val="0"/>
        </w:rPr>
        <w:t>其中， 母公司主营业务收入</w:t>
      </w:r>
      <w:r>
        <w:rPr>
          <w:color w:val="000000"/>
          <w:spacing w:val="0"/>
          <w:w w:val="100"/>
          <w:position w:val="0"/>
          <w:sz w:val="24"/>
          <w:szCs w:val="24"/>
        </w:rPr>
        <w:t>292,693,340.4</w:t>
      </w:r>
      <w:r>
        <w:rPr>
          <w:color w:val="000000"/>
          <w:spacing w:val="0"/>
          <w:w w:val="100"/>
          <w:position w:val="0"/>
        </w:rPr>
        <w:t>元，较上年同期增长</w:t>
      </w:r>
      <w:r>
        <w:rPr>
          <w:color w:val="000000"/>
          <w:spacing w:val="0"/>
          <w:w w:val="100"/>
          <w:position w:val="0"/>
          <w:sz w:val="24"/>
          <w:szCs w:val="24"/>
        </w:rPr>
        <w:t>31.86%，</w:t>
      </w:r>
      <w:r>
        <w:rPr>
          <w:color w:val="000000"/>
          <w:spacing w:val="0"/>
          <w:w w:val="100"/>
          <w:position w:val="0"/>
        </w:rPr>
        <w:t xml:space="preserve">汉王智通主营业务收入 </w:t>
      </w:r>
      <w:r>
        <w:rPr>
          <w:color w:val="000000"/>
          <w:spacing w:val="0"/>
          <w:w w:val="100"/>
          <w:position w:val="0"/>
          <w:sz w:val="24"/>
          <w:szCs w:val="24"/>
        </w:rPr>
        <w:t>113,663,772.92</w:t>
      </w:r>
      <w:r>
        <w:rPr>
          <w:color w:val="000000"/>
          <w:spacing w:val="0"/>
          <w:w w:val="100"/>
          <w:position w:val="0"/>
        </w:rPr>
        <w:t>元，主要原因是智慧城市管理领域行业持续景气，订单饱满，数字城管、智 能交通和平安城市业务保持快速增长；报告期内，公司营业成本</w:t>
      </w:r>
      <w:r>
        <w:rPr>
          <w:color w:val="000000"/>
          <w:spacing w:val="0"/>
          <w:w w:val="100"/>
          <w:position w:val="0"/>
          <w:sz w:val="24"/>
          <w:szCs w:val="24"/>
        </w:rPr>
        <w:t xml:space="preserve">246, </w:t>
      </w:r>
      <w:r>
        <w:rPr>
          <w:color w:val="000000"/>
          <w:spacing w:val="0"/>
          <w:w w:val="100"/>
          <w:position w:val="0"/>
          <w:sz w:val="24"/>
          <w:szCs w:val="24"/>
        </w:rPr>
        <w:t>590,562.38</w:t>
      </w:r>
      <w:r>
        <w:rPr>
          <w:color w:val="000000"/>
          <w:spacing w:val="0"/>
          <w:w w:val="100"/>
          <w:position w:val="0"/>
        </w:rPr>
        <w:t>元，较上年 同期增长</w:t>
      </w:r>
      <w:r>
        <w:rPr>
          <w:color w:val="000000"/>
          <w:spacing w:val="0"/>
          <w:w w:val="100"/>
          <w:position w:val="0"/>
          <w:sz w:val="24"/>
          <w:szCs w:val="24"/>
        </w:rPr>
        <w:t>152.23%,</w:t>
      </w:r>
      <w:r>
        <w:rPr>
          <w:color w:val="000000"/>
          <w:spacing w:val="0"/>
          <w:w w:val="100"/>
          <w:position w:val="0"/>
        </w:rPr>
        <w:t>其中，母公司营业成本</w:t>
      </w:r>
      <w:r>
        <w:rPr>
          <w:color w:val="000000"/>
          <w:spacing w:val="0"/>
          <w:w w:val="100"/>
          <w:position w:val="0"/>
          <w:sz w:val="24"/>
          <w:szCs w:val="24"/>
        </w:rPr>
        <w:t>154,519,508.19</w:t>
      </w:r>
      <w:r>
        <w:rPr>
          <w:color w:val="000000"/>
          <w:spacing w:val="0"/>
          <w:w w:val="100"/>
          <w:position w:val="0"/>
        </w:rPr>
        <w:t>元，较上年同期增长</w:t>
      </w:r>
      <w:r>
        <w:rPr>
          <w:color w:val="000000"/>
          <w:spacing w:val="0"/>
          <w:w w:val="100"/>
          <w:position w:val="0"/>
          <w:sz w:val="24"/>
          <w:szCs w:val="24"/>
        </w:rPr>
        <w:t>50.05%，</w:t>
      </w:r>
      <w:r>
        <w:rPr>
          <w:color w:val="000000"/>
          <w:spacing w:val="0"/>
          <w:w w:val="100"/>
          <w:position w:val="0"/>
        </w:rPr>
        <w:t xml:space="preserve">汉王 </w:t>
      </w:r>
      <w:r>
        <w:rPr>
          <w:color w:val="000000"/>
          <w:spacing w:val="0"/>
          <w:w w:val="100"/>
          <w:position w:val="0"/>
        </w:rPr>
        <w:t>智通营业成本</w:t>
      </w:r>
      <w:r>
        <w:rPr>
          <w:color w:val="000000"/>
          <w:spacing w:val="0"/>
          <w:w w:val="100"/>
          <w:position w:val="0"/>
          <w:sz w:val="24"/>
          <w:szCs w:val="24"/>
        </w:rPr>
        <w:t>68,799,359.09</w:t>
      </w:r>
      <w:r>
        <w:rPr>
          <w:color w:val="000000"/>
          <w:spacing w:val="0"/>
          <w:w w:val="100"/>
          <w:position w:val="0"/>
        </w:rPr>
        <w:t>元，营业成本增长较快的主要原因是收入快速增加使营业成本相 应增加，同时本期新合并了子公司汉王智通的营业成本；报告期内，销售费用、管理费用和 财务费用，较上年同期增加</w:t>
      </w:r>
      <w:r>
        <w:rPr>
          <w:color w:val="000000"/>
          <w:spacing w:val="0"/>
          <w:w w:val="100"/>
          <w:position w:val="0"/>
          <w:sz w:val="24"/>
          <w:szCs w:val="24"/>
        </w:rPr>
        <w:t>60.60%</w:t>
      </w:r>
      <w:r>
        <w:rPr>
          <w:color w:val="000000"/>
          <w:spacing w:val="0"/>
          <w:w w:val="100"/>
          <w:position w:val="0"/>
        </w:rPr>
        <w:t>、</w:t>
      </w:r>
      <w:r>
        <w:rPr>
          <w:color w:val="000000"/>
          <w:spacing w:val="0"/>
          <w:w w:val="100"/>
          <w:position w:val="0"/>
          <w:sz w:val="24"/>
          <w:szCs w:val="24"/>
        </w:rPr>
        <w:t>48.02%</w:t>
      </w:r>
      <w:r>
        <w:rPr>
          <w:color w:val="000000"/>
          <w:spacing w:val="0"/>
          <w:w w:val="100"/>
          <w:position w:val="0"/>
        </w:rPr>
        <w:t>和</w:t>
      </w:r>
      <w:r>
        <w:rPr>
          <w:color w:val="000000"/>
          <w:spacing w:val="0"/>
          <w:w w:val="100"/>
          <w:position w:val="0"/>
          <w:sz w:val="24"/>
          <w:szCs w:val="24"/>
        </w:rPr>
        <w:t>34.35%</w:t>
      </w:r>
      <w:r>
        <w:rPr>
          <w:color w:val="000000"/>
          <w:spacing w:val="0"/>
          <w:w w:val="100"/>
          <w:position w:val="0"/>
        </w:rPr>
        <w:t>，主要原因是随着收入规模的增加，费 用相应增加，同时增加合并汉王智通报表所致；报告期内，公司研发投入</w:t>
      </w:r>
      <w:r>
        <w:rPr>
          <w:color w:val="000000"/>
          <w:spacing w:val="0"/>
          <w:w w:val="100"/>
          <w:position w:val="0"/>
          <w:sz w:val="24"/>
          <w:szCs w:val="24"/>
        </w:rPr>
        <w:t>43,670,685.47</w:t>
      </w:r>
      <w:r>
        <w:rPr>
          <w:color w:val="000000"/>
          <w:spacing w:val="0"/>
          <w:w w:val="100"/>
          <w:position w:val="0"/>
        </w:rPr>
        <w:t>元， 较上年同期增加</w:t>
      </w:r>
      <w:r>
        <w:rPr>
          <w:color w:val="000000"/>
          <w:spacing w:val="0"/>
          <w:w w:val="100"/>
          <w:position w:val="0"/>
          <w:sz w:val="24"/>
          <w:szCs w:val="24"/>
        </w:rPr>
        <w:t>16.98%,</w:t>
      </w:r>
      <w:r>
        <w:rPr>
          <w:color w:val="000000"/>
          <w:spacing w:val="0"/>
          <w:w w:val="100"/>
          <w:position w:val="0"/>
        </w:rPr>
        <w:t xml:space="preserve">主要原因是公司持续加大科研投入力度，相应研发人员的数量和工 资水平都有所增加，同时研发设备折旧增加；报告期内，公司经营活动产生的现金流量净额 </w:t>
      </w:r>
      <w:r>
        <w:rPr>
          <w:color w:val="000000"/>
          <w:spacing w:val="0"/>
          <w:w w:val="100"/>
          <w:position w:val="0"/>
          <w:sz w:val="24"/>
          <w:szCs w:val="24"/>
        </w:rPr>
        <w:t>13,570,193.04</w:t>
      </w:r>
      <w:r>
        <w:rPr>
          <w:color w:val="000000"/>
          <w:spacing w:val="0"/>
          <w:w w:val="100"/>
          <w:position w:val="0"/>
        </w:rPr>
        <w:t>元，较上年同期减少</w:t>
      </w:r>
      <w:r>
        <w:rPr>
          <w:color w:val="000000"/>
          <w:spacing w:val="0"/>
          <w:w w:val="100"/>
          <w:position w:val="0"/>
          <w:sz w:val="24"/>
          <w:szCs w:val="24"/>
        </w:rPr>
        <w:t>35.98%，</w:t>
      </w:r>
      <w:r>
        <w:rPr>
          <w:color w:val="000000"/>
          <w:spacing w:val="0"/>
          <w:w w:val="100"/>
          <w:position w:val="0"/>
        </w:rPr>
        <w:t xml:space="preserve">主要原因是子公司汉王智通采购商品支付的现金 较多，对合并报表产生影响，扣除子公司影响后，母公司经营活动产生的现金流量净额 </w:t>
      </w:r>
      <w:r>
        <w:rPr>
          <w:color w:val="000000"/>
          <w:spacing w:val="0"/>
          <w:w w:val="100"/>
          <w:position w:val="0"/>
          <w:sz w:val="24"/>
          <w:szCs w:val="24"/>
        </w:rPr>
        <w:t>82,273,658.4</w:t>
      </w:r>
      <w:r>
        <w:rPr>
          <w:color w:val="000000"/>
          <w:spacing w:val="0"/>
          <w:w w:val="100"/>
          <w:position w:val="0"/>
          <w:sz w:val="24"/>
          <w:szCs w:val="24"/>
        </w:rPr>
        <w:t>2</w:t>
      </w:r>
      <w:r>
        <w:rPr>
          <w:color w:val="000000"/>
          <w:spacing w:val="0"/>
          <w:w w:val="100"/>
          <w:position w:val="0"/>
        </w:rPr>
        <w:t>元，较上年同期增长</w:t>
      </w:r>
      <w:r>
        <w:rPr>
          <w:color w:val="000000"/>
          <w:spacing w:val="0"/>
          <w:w w:val="100"/>
          <w:position w:val="0"/>
          <w:sz w:val="24"/>
          <w:szCs w:val="24"/>
        </w:rPr>
        <w:t>163.26%</w:t>
      </w:r>
      <w:r>
        <w:rPr>
          <w:color w:val="000000"/>
          <w:spacing w:val="0"/>
          <w:w w:val="100"/>
          <w:position w:val="0"/>
        </w:rPr>
        <w:t>。</w:t>
      </w:r>
    </w:p>
    <w:p>
      <w:pPr>
        <w:pStyle w:val="Style28"/>
        <w:keepNext w:val="0"/>
        <w:keepLines w:val="0"/>
        <w:widowControl w:val="0"/>
        <w:shd w:val="clear" w:color="auto" w:fill="auto"/>
        <w:tabs>
          <w:tab w:pos="289" w:val="left"/>
        </w:tabs>
        <w:bidi w:val="0"/>
        <w:spacing w:before="0" w:after="200" w:line="240" w:lineRule="auto"/>
        <w:ind w:left="0" w:right="0" w:firstLine="0"/>
        <w:jc w:val="both"/>
      </w:pPr>
      <w:bookmarkStart w:id="62" w:name="bookmark62"/>
      <w:r>
        <w:rPr>
          <w:rFonts w:ascii="Times New Roman" w:eastAsia="Times New Roman" w:hAnsi="Times New Roman" w:cs="Times New Roman"/>
          <w:color w:val="000000"/>
          <w:spacing w:val="0"/>
          <w:w w:val="100"/>
          <w:position w:val="0"/>
          <w:sz w:val="18"/>
          <w:szCs w:val="18"/>
        </w:rPr>
        <w:t>2</w:t>
      </w:r>
      <w:bookmarkEnd w:id="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32"/>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报告期利润构成或利润来源没有发生重大变化。</w:t>
      </w:r>
    </w:p>
    <w:p>
      <w:pPr>
        <w:pStyle w:val="Style38"/>
        <w:keepNext w:val="0"/>
        <w:keepLines w:val="0"/>
        <w:widowControl w:val="0"/>
        <w:shd w:val="clear" w:color="auto" w:fill="auto"/>
        <w:tabs>
          <w:tab w:pos="1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收入</w:t>
      </w: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同比增减情况</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221,977,115.51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8"/>
        <w:keepNext w:val="0"/>
        <w:keepLines w:val="0"/>
        <w:widowControl w:val="0"/>
        <w:shd w:val="clear" w:color="auto" w:fill="auto"/>
        <w:bidi w:val="0"/>
        <w:spacing w:before="0" w:after="200" w:line="473" w:lineRule="exact"/>
        <w:ind w:left="0" w:right="0" w:firstLine="0"/>
        <w:jc w:val="left"/>
        <w:rPr>
          <w:sz w:val="22"/>
          <w:szCs w:val="22"/>
        </w:rPr>
      </w:pPr>
      <w:r>
        <w:rPr>
          <w:color w:val="000000"/>
          <w:spacing w:val="0"/>
          <w:w w:val="100"/>
          <w:position w:val="0"/>
          <w:sz w:val="22"/>
          <w:szCs w:val="22"/>
        </w:rPr>
        <w:t>报告期内，营业收入同比增加</w:t>
      </w:r>
      <w:r>
        <w:rPr>
          <w:color w:val="000000"/>
          <w:spacing w:val="0"/>
          <w:w w:val="100"/>
          <w:position w:val="0"/>
          <w:sz w:val="24"/>
          <w:szCs w:val="24"/>
        </w:rPr>
        <w:t>83.06%，</w:t>
      </w:r>
      <w:r>
        <w:rPr>
          <w:color w:val="000000"/>
          <w:spacing w:val="0"/>
          <w:w w:val="100"/>
          <w:position w:val="0"/>
          <w:sz w:val="22"/>
          <w:szCs w:val="22"/>
        </w:rPr>
        <w:t>其主要原因是国家大力发展扶持智慧城市领域相 关建设，公司锐意进取，主营业务保持持续增长，同时控股子公司汉王智通发展迅速，成为 公司发展新的增长点。</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数量分散的订单情况</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widowControl w:val="0"/>
        <w:spacing w:after="59" w:line="1" w:lineRule="exact"/>
      </w:pP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占营业成本比重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占营业成本比重</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91,272,550.04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55,248,074.66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90,783,082.09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16,965,461.38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w:t>
            </w:r>
          </w:p>
        </w:tc>
      </w:tr>
    </w:tbl>
    <w:p>
      <w:pPr>
        <w:spacing w:lineRule="exact" w:line="1"/>
        <w:rPr>
          <w:sz w:val="2"/>
          <w:szCs w:val="2"/>
        </w:rPr>
      </w:pPr>
      <w:r>
        <w:br w:type="page"/>
      </w:r>
    </w:p>
    <w:tbl>
      <w:tblPr>
        <w:tblOverlap w:val="never"/>
        <w:jc w:val="left"/>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64,534,930.25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25,551,571.20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29,635,857.69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18,453,471.92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68,186,482.35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48,608,503.61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-13,032,710.66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-19,852,555.24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利息收入减少</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652,149.35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7,851,514.89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非同一控制下企业合并产生的暂时 性差异减少，导致递延所得税负债减 少。</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32"/>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2013</w:t>
      </w:r>
      <w:r>
        <w:rPr>
          <w:color w:val="000000"/>
          <w:spacing w:val="0"/>
          <w:w w:val="100"/>
          <w:position w:val="0"/>
        </w:rPr>
        <w:t>年，公司为了进一步增强核心技术与产品的竞争能力，继续加强了研发投入，</w:t>
      </w:r>
      <w:r>
        <w:rPr>
          <w:color w:val="000000"/>
          <w:spacing w:val="0"/>
          <w:w w:val="100"/>
          <w:position w:val="0"/>
          <w:sz w:val="24"/>
          <w:szCs w:val="24"/>
        </w:rPr>
        <w:t xml:space="preserve">2013 </w:t>
      </w:r>
      <w:r>
        <w:rPr>
          <w:color w:val="000000"/>
          <w:spacing w:val="0"/>
          <w:w w:val="100"/>
          <w:position w:val="0"/>
        </w:rPr>
        <w:t>年研发费用总额为</w:t>
      </w:r>
      <w:r>
        <w:rPr>
          <w:color w:val="000000"/>
          <w:spacing w:val="0"/>
          <w:w w:val="100"/>
          <w:position w:val="0"/>
          <w:sz w:val="24"/>
          <w:szCs w:val="24"/>
        </w:rPr>
        <w:t xml:space="preserve">43, </w:t>
      </w:r>
      <w:r>
        <w:rPr>
          <w:color w:val="000000"/>
          <w:spacing w:val="0"/>
          <w:w w:val="100"/>
          <w:position w:val="0"/>
          <w:sz w:val="24"/>
          <w:szCs w:val="24"/>
        </w:rPr>
        <w:t>670,685.47</w:t>
      </w:r>
      <w:r>
        <w:rPr>
          <w:color w:val="000000"/>
          <w:spacing w:val="0"/>
          <w:w w:val="100"/>
          <w:position w:val="0"/>
        </w:rPr>
        <w:t>元，较上年同期增长</w:t>
      </w:r>
      <w:r>
        <w:rPr>
          <w:color w:val="000000"/>
          <w:spacing w:val="0"/>
          <w:w w:val="100"/>
          <w:position w:val="0"/>
          <w:sz w:val="24"/>
          <w:szCs w:val="24"/>
        </w:rPr>
        <w:t>16.98%,</w:t>
      </w:r>
      <w:r>
        <w:rPr>
          <w:color w:val="000000"/>
          <w:spacing w:val="0"/>
          <w:w w:val="100"/>
          <w:position w:val="0"/>
        </w:rPr>
        <w:t>其中母子公司研发费用资本化 金额合计为</w:t>
      </w:r>
      <w:r>
        <w:rPr>
          <w:color w:val="000000"/>
          <w:spacing w:val="0"/>
          <w:w w:val="100"/>
          <w:position w:val="0"/>
          <w:sz w:val="24"/>
          <w:szCs w:val="24"/>
        </w:rPr>
        <w:t>20,294,985.26</w:t>
      </w:r>
      <w:r>
        <w:rPr>
          <w:color w:val="000000"/>
          <w:spacing w:val="0"/>
          <w:w w:val="100"/>
          <w:position w:val="0"/>
        </w:rPr>
        <w:t>元，费用化金额合计为</w:t>
      </w:r>
      <w:r>
        <w:rPr>
          <w:color w:val="000000"/>
          <w:spacing w:val="0"/>
          <w:w w:val="100"/>
          <w:position w:val="0"/>
          <w:sz w:val="24"/>
          <w:szCs w:val="24"/>
        </w:rPr>
        <w:t>23,215,700.21</w:t>
      </w:r>
      <w:r>
        <w:rPr>
          <w:color w:val="000000"/>
          <w:spacing w:val="0"/>
          <w:w w:val="100"/>
          <w:position w:val="0"/>
        </w:rPr>
        <w:t>元，研发投入占销售收入比 例为</w:t>
      </w:r>
      <w:r>
        <w:rPr>
          <w:color w:val="000000"/>
          <w:spacing w:val="0"/>
          <w:w w:val="100"/>
          <w:position w:val="0"/>
          <w:sz w:val="24"/>
          <w:szCs w:val="24"/>
        </w:rPr>
        <w:t>10.75%</w:t>
      </w:r>
      <w:r>
        <w:rPr>
          <w:color w:val="000000"/>
          <w:spacing w:val="0"/>
          <w:w w:val="100"/>
          <w:position w:val="0"/>
        </w:rPr>
        <w:t>。</w:t>
      </w:r>
      <w:r>
        <w:rPr>
          <w:color w:val="000000"/>
          <w:spacing w:val="0"/>
          <w:w w:val="100"/>
          <w:position w:val="0"/>
          <w:sz w:val="24"/>
          <w:szCs w:val="24"/>
        </w:rPr>
        <w:t>2014</w:t>
      </w:r>
      <w:r>
        <w:rPr>
          <w:color w:val="000000"/>
          <w:spacing w:val="0"/>
          <w:w w:val="100"/>
          <w:position w:val="0"/>
        </w:rPr>
        <w:t>年，公司将进一步加大研发力度，重点开展智慧城市相关业务的产品开发 和建设，在移动互联、物联网、视频管理、三维实景、北斗导航等技术领域上继续加大研发 投入。报告期内，公司取得</w:t>
      </w:r>
      <w:r>
        <w:rPr>
          <w:color w:val="000000"/>
          <w:spacing w:val="0"/>
          <w:w w:val="100"/>
          <w:position w:val="0"/>
          <w:sz w:val="24"/>
          <w:szCs w:val="24"/>
        </w:rPr>
        <w:t>13</w:t>
      </w:r>
      <w:r>
        <w:rPr>
          <w:color w:val="000000"/>
          <w:spacing w:val="0"/>
          <w:w w:val="100"/>
          <w:position w:val="0"/>
        </w:rPr>
        <w:t>项软件著作权，具体如下：</w:t>
      </w:r>
    </w:p>
    <w:tbl>
      <w:tblPr>
        <w:tblOverlap w:val="never"/>
        <w:jc w:val="center"/>
        <w:tblLayout w:type="fixed"/>
      </w:tblPr>
      <w:tblGrid>
        <w:gridCol w:w="5131"/>
        <w:gridCol w:w="2976"/>
        <w:gridCol w:w="2419"/>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资质名称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发证日期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证书编号</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北斗兼容城管通软件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2013SR101419</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北斗兼容处置通软件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2013SR101439</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北斗兼容指挥通软件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2013SR101436</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北斗兼容实景信息采集处理系统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2013SR101432</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网格化城市管理卫星技术综合应用服务平台</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2013SR101655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eGova</w:t>
            </w:r>
            <w:r>
              <w:rPr>
                <w:color w:val="000000"/>
                <w:spacing w:val="0"/>
                <w:w w:val="100"/>
                <w:position w:val="0"/>
                <w:sz w:val="20"/>
                <w:szCs w:val="20"/>
              </w:rPr>
              <w:t>房地产市场信息监管系统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2013SR133528</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eGova</w:t>
            </w:r>
            <w:r>
              <w:rPr>
                <w:color w:val="000000"/>
                <w:spacing w:val="0"/>
                <w:w w:val="100"/>
                <w:position w:val="0"/>
                <w:sz w:val="20"/>
                <w:szCs w:val="20"/>
              </w:rPr>
              <w:t>个人住房信息系统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2013SR135407</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地下管网综合管理系统</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2013.11.07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2013SR121259</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汉王智通公路车辆智能监测记录系统软件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2013SR037609</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汉王智通车身颜色识别软件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2014SR029830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汉王智通车型识别软件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2014SR012846</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汉王智通嵌入式车辆违法检测软件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2014SR013048</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汉王智通嵌入式视频车辆检测抓拍软件</w:t>
            </w:r>
            <w:r>
              <w:rPr>
                <w:rFonts w:ascii="Times New Roman" w:eastAsia="Times New Roman" w:hAnsi="Times New Roman" w:cs="Times New Roman"/>
                <w:color w:val="000000"/>
                <w:spacing w:val="0"/>
                <w:w w:val="100"/>
                <w:position w:val="0"/>
                <w:sz w:val="20"/>
                <w:szCs w:val="20"/>
              </w:rPr>
              <w:t>V1.0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2014-1-28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2014SR012833</w:t>
            </w:r>
          </w:p>
        </w:tc>
      </w:tr>
    </w:tbl>
    <w:p>
      <w:pPr>
        <w:widowControl w:val="0"/>
        <w:spacing w:after="3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43,670,685.47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37,331,966.14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31,031,283.77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w:t>
            </w:r>
          </w:p>
        </w:tc>
      </w:tr>
    </w:tbl>
    <w:p>
      <w:pPr>
        <w:spacing w:lineRule="exact" w:line="1"/>
        <w:rPr>
          <w:sz w:val="2"/>
          <w:szCs w:val="2"/>
        </w:rPr>
      </w:pPr>
      <w:r>
        <w:br w:type="page"/>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20,294,985.26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11,157,706.50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15,181,122.99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48.92%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29.23%</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研发投入资本化率增加主要是公司加大研发投入和合并范围增加所致。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424,007,551.64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222,401,907.82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410,437,358.60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201,204,690.79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103.99%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13,570,193.04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21,197,217.03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31,710,058.46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73,802,595.23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-31,607,308.46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-73,800,495.23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57.17%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84,394,955.10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50,448,666.67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200.29%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33,946,288.43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495.39%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15,909,173.01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-69,403,278.20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122.92%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456" w:lineRule="exact"/>
        <w:ind w:left="0" w:right="0" w:firstLine="500"/>
        <w:jc w:val="left"/>
      </w:pPr>
      <w:r>
        <w:rPr>
          <w:color w:val="000000"/>
          <w:spacing w:val="0"/>
          <w:w w:val="100"/>
          <w:position w:val="0"/>
        </w:rPr>
        <w:t>报告期内，经营活动现金流入小计增加，主要是销售收入、合并范围增加所致。</w:t>
      </w:r>
    </w:p>
    <w:p>
      <w:pPr>
        <w:pStyle w:val="Style32"/>
        <w:keepNext w:val="0"/>
        <w:keepLines w:val="0"/>
        <w:widowControl w:val="0"/>
        <w:shd w:val="clear" w:color="auto" w:fill="auto"/>
        <w:bidi w:val="0"/>
        <w:spacing w:before="0" w:after="0" w:line="456" w:lineRule="exact"/>
        <w:ind w:left="0" w:right="0" w:firstLine="500"/>
        <w:jc w:val="left"/>
      </w:pPr>
      <w:r>
        <w:rPr>
          <w:color w:val="000000"/>
          <w:spacing w:val="0"/>
          <w:w w:val="100"/>
          <w:position w:val="0"/>
        </w:rPr>
        <w:t>报告期内，投资活动现金流入小计增加，主要是处置固定资产所致。</w:t>
      </w:r>
    </w:p>
    <w:p>
      <w:pPr>
        <w:pStyle w:val="Style32"/>
        <w:keepNext w:val="0"/>
        <w:keepLines w:val="0"/>
        <w:widowControl w:val="0"/>
        <w:shd w:val="clear" w:color="auto" w:fill="auto"/>
        <w:bidi w:val="0"/>
        <w:spacing w:before="0" w:after="200" w:line="456" w:lineRule="exact"/>
        <w:ind w:left="0" w:right="0" w:firstLine="500"/>
        <w:jc w:val="left"/>
      </w:pPr>
      <w:r>
        <w:rPr>
          <w:color w:val="000000"/>
          <w:spacing w:val="0"/>
          <w:w w:val="100"/>
          <w:position w:val="0"/>
        </w:rPr>
        <w:t>报告期内，筹资活动现金流出小计增加，主要是购买股权跨期支付对价</w:t>
      </w:r>
      <w:r>
        <w:rPr>
          <w:color w:val="000000"/>
          <w:spacing w:val="0"/>
          <w:w w:val="100"/>
          <w:position w:val="0"/>
          <w:sz w:val="24"/>
          <w:szCs w:val="24"/>
        </w:rPr>
        <w:t xml:space="preserve">32,480,000.00 </w:t>
      </w:r>
      <w:r>
        <w:rPr>
          <w:color w:val="000000"/>
          <w:spacing w:val="0"/>
          <w:w w:val="100"/>
          <w:position w:val="0"/>
        </w:rPr>
        <w:t>元，以及子公司新增短期借款利息</w:t>
      </w:r>
      <w:r>
        <w:rPr>
          <w:color w:val="000000"/>
          <w:spacing w:val="0"/>
          <w:w w:val="100"/>
          <w:position w:val="0"/>
          <w:sz w:val="24"/>
          <w:szCs w:val="24"/>
        </w:rPr>
        <w:t>1,168,666.67</w:t>
      </w:r>
      <w:r>
        <w:rPr>
          <w:color w:val="000000"/>
          <w:spacing w:val="0"/>
          <w:w w:val="100"/>
          <w:position w:val="0"/>
        </w:rPr>
        <w:t>元所致。</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left"/>
        <w:tblLayout w:type="fixed"/>
      </w:tblPr>
      <w:tblGrid>
        <w:gridCol w:w="4267"/>
        <w:gridCol w:w="531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83,199,823.87</w:t>
            </w:r>
          </w:p>
        </w:tc>
      </w:tr>
    </w:tbl>
    <w:tbl>
      <w:tblPr>
        <w:tblOverlap w:val="never"/>
        <w:jc w:val="left"/>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w:t>
            </w:r>
          </w:p>
        </w:tc>
      </w:tr>
    </w:tbl>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3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公司主要供应商情况</w:t>
      </w:r>
    </w:p>
    <w:p>
      <w:pPr>
        <w:widowControl w:val="0"/>
        <w:spacing w:after="79" w:line="1" w:lineRule="exact"/>
      </w:pPr>
    </w:p>
    <w:tbl>
      <w:tblPr>
        <w:tblOverlap w:val="never"/>
        <w:jc w:val="left"/>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27,067,171.91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报告期内，公司贯彻执行在招股说明书上表明的未来发展规划，充分发挥管理、人才、 技术、经验、客户等方面的优势，在公司既定的数字化城市管理、数字化社会管理、规划和 国土发展领域，开发新的技术与应用需求，不断完善公司的核心产品，强化公司数据与应用 的融合服务能力，从纵向、横向两个方面延伸行业应用领域，提高盈利能力，增强企业的核 心竞争力。同时，子公司汉王智通业务发展迅速，在智能交通、平安城市领域取得了重要突 破，为公司持续发展奠定了基础。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前期披露的发展战略和经营计划在报告期内的进展情况</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公司较好的完成了</w:t>
      </w:r>
      <w:r>
        <w:rPr>
          <w:color w:val="000000"/>
          <w:spacing w:val="0"/>
          <w:w w:val="100"/>
          <w:position w:val="0"/>
          <w:sz w:val="24"/>
          <w:szCs w:val="24"/>
        </w:rPr>
        <w:t>2013</w:t>
      </w:r>
      <w:r>
        <w:rPr>
          <w:color w:val="000000"/>
          <w:spacing w:val="0"/>
          <w:w w:val="100"/>
          <w:position w:val="0"/>
        </w:rPr>
        <w:t>年度发展目标，报告期内，公司加大研发力度，增强创新能力， 充分利用公司现有的客户资源，进一步加强了市场拓展力度，不断提高市场占有率，提升了 公司持续盈利能力。公司进一步建立、健全和完善管理制度，优化业务流程，提升信息化管 理水平，优化销售、工程一体的大区管理模式和网格化研发任务管理系统，注重核心人才的 培养，构建公司文化理念，通过各种方式激励员工积极性，为公司发展贡献力量。</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报告期内，公司大力推进智慧城市管理相关的业务发展，为客户提供更加丰富的行业应 用解决方案、项目建设方案及技术支持，建设本地服务团队，配合政府保稳定、保民生、保 增长的目标，帮助相关政府部门做到协同运作，更好的把握城市信息化整体需求，推进智慧 政务、智慧民生、智慧产业的同步发展，助力客户实现提升政府执政形象、提高办公效率、 改善人民生活质量的目的。</w:t>
      </w:r>
    </w:p>
    <w:p>
      <w:pPr>
        <w:pStyle w:val="Style32"/>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公司进一步优化资源配置，通过加强运营管理和业务整合，将数字政通的数字城管、社 会管理的软件服务和基础数据、信息采集的数据服务，与汉王智通的智能交通、平安城市的 软件服务和智能识别高清摄像机的硬件设施相结合，把城市部件数据、社会管理数据、公安 数据和交通数据等基础数据进行有效的整合，打造智慧城市管理核心平台。</w:t>
      </w:r>
      <w:r>
        <w:br w:type="page"/>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w:t>
      </w:r>
      <w:bookmarkEnd w:id="65"/>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63"/>
      <w:bookmarkEnd w:id="64"/>
      <w:bookmarkEnd w:id="66"/>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28"/>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智慧城市管理领域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389,663,610.23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148,562,190.70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国土资源管理与城市规划领域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16,693,503.09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11,204,360.24</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220,835,012.05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129,562,462.01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100,845,671.50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10,062,589.41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84,676,429.77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20,141,499.52</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234,945,950.48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80,283,060.00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171,411,162.84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79,483,490.94</w:t>
            </w: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79" w:line="1" w:lineRule="exact"/>
      </w:pP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right"/>
              <w:rPr>
                <w:sz w:val="17"/>
                <w:szCs w:val="17"/>
              </w:rPr>
            </w:pPr>
            <w:r>
              <w:rPr>
                <w:color w:val="000000"/>
                <w:spacing w:val="0"/>
                <w:w w:val="100"/>
                <w:position w:val="0"/>
                <w:sz w:val="17"/>
                <w:szCs w:val="17"/>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智慧城市管理领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389,663,610.23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241,101,419.53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国土资源管理与 城市规划领域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16,693,503.09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5,489,142.85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220,835,012.05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91,272,550.04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100,845,671.50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90,783,082.09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84,676,429.77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64,534,930.25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234,945,950.48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154,662,890.48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171,411,162.84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91,927,671.90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w:t>
      </w:r>
      <w:bookmarkEnd w:id="69"/>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67"/>
      <w:bookmarkEnd w:id="68"/>
      <w:bookmarkEnd w:id="70"/>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378"/>
        <w:gridCol w:w="1162"/>
        <w:gridCol w:w="413"/>
        <w:gridCol w:w="653"/>
        <w:gridCol w:w="1195"/>
        <w:gridCol w:w="413"/>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比重增减</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例</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例</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689,294,474.0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666,714,686.65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206,278,465.6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153,805,820.12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41,089,024.60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51,379,637.45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84,627,100.13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44,565,921.76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1,891,807.89</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28,395,592.47</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比重增减</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84,394,955.10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tabs>
          <w:tab w:pos="493" w:val="left"/>
        </w:tabs>
        <w:bidi w:val="0"/>
        <w:spacing w:before="0" w:after="44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w:t>
      </w:r>
      <w:bookmarkEnd w:id="73"/>
      <w:r>
        <w:rPr>
          <w:rFonts w:ascii="Times New Roman" w:eastAsia="Times New Roman" w:hAnsi="Times New Roman" w:cs="Times New Roman"/>
          <w:color w:val="000000"/>
          <w:spacing w:val="0"/>
          <w:w w:val="100"/>
          <w:position w:val="0"/>
        </w:rPr>
        <w:t>4</w:t>
      </w:r>
      <w:r>
        <w:rPr>
          <w:color w:val="000000"/>
          <w:spacing w:val="0"/>
          <w:w w:val="100"/>
          <w:position w:val="0"/>
        </w:rPr>
        <w:t>）</w:t>
        <w:tab/>
        <w:t>公司竞争能力重大变化分析</w:t>
      </w:r>
      <w:bookmarkEnd w:id="71"/>
      <w:bookmarkEnd w:id="72"/>
      <w:bookmarkEnd w:id="74"/>
    </w:p>
    <w:p>
      <w:pPr>
        <w:pStyle w:val="Style50"/>
        <w:keepNext/>
        <w:keepLines/>
        <w:widowControl w:val="0"/>
        <w:shd w:val="clear" w:color="auto" w:fill="auto"/>
        <w:bidi w:val="0"/>
        <w:spacing w:before="0" w:line="240" w:lineRule="auto"/>
        <w:ind w:left="0" w:right="0"/>
        <w:jc w:val="left"/>
      </w:pPr>
      <w:bookmarkStart w:id="75" w:name="bookmark75"/>
      <w:bookmarkStart w:id="76" w:name="bookmark76"/>
      <w:bookmarkStart w:id="77" w:name="bookmark77"/>
      <w:r>
        <w:rPr>
          <w:color w:val="000000"/>
          <w:spacing w:val="0"/>
          <w:w w:val="100"/>
          <w:position w:val="0"/>
        </w:rPr>
        <w:t>报告期内，公司核心竞争能力没有发生重大变化。</w:t>
      </w:r>
      <w:bookmarkEnd w:id="75"/>
      <w:bookmarkEnd w:id="76"/>
      <w:bookmarkEnd w:id="77"/>
    </w:p>
    <w:p>
      <w:pPr>
        <w:pStyle w:val="Style47"/>
        <w:keepNext/>
        <w:keepLines/>
        <w:widowControl w:val="0"/>
        <w:shd w:val="clear" w:color="auto" w:fill="auto"/>
        <w:tabs>
          <w:tab w:pos="493" w:val="left"/>
        </w:tabs>
        <w:bidi w:val="0"/>
        <w:spacing w:before="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w:t>
      </w:r>
      <w:bookmarkEnd w:id="80"/>
      <w:r>
        <w:rPr>
          <w:rFonts w:ascii="Times New Roman" w:eastAsia="Times New Roman" w:hAnsi="Times New Roman" w:cs="Times New Roman"/>
          <w:color w:val="000000"/>
          <w:spacing w:val="0"/>
          <w:w w:val="100"/>
          <w:position w:val="0"/>
        </w:rPr>
        <w:t>5</w:t>
      </w:r>
      <w:r>
        <w:rPr>
          <w:color w:val="000000"/>
          <w:spacing w:val="0"/>
          <w:w w:val="100"/>
          <w:position w:val="0"/>
        </w:rPr>
        <w:t>）</w:t>
        <w:tab/>
        <w:t>投资状况分析</w:t>
      </w:r>
      <w:bookmarkEnd w:id="78"/>
      <w:bookmarkEnd w:id="79"/>
      <w:bookmarkEnd w:id="81"/>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募集资金总体使用情况</w:t>
      </w:r>
    </w:p>
    <w:p>
      <w:pPr>
        <w:pStyle w:val="Style3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left"/>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682"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公司上市募集资金总额</w:t>
            </w:r>
            <w:r>
              <w:rPr>
                <w:rFonts w:ascii="Times New Roman" w:eastAsia="Times New Roman" w:hAnsi="Times New Roman" w:cs="Times New Roman"/>
                <w:color w:val="000000"/>
                <w:spacing w:val="0"/>
                <w:w w:val="100"/>
                <w:position w:val="0"/>
                <w:sz w:val="18"/>
                <w:szCs w:val="18"/>
              </w:rPr>
              <w:t>75,600</w:t>
            </w:r>
            <w:r>
              <w:rPr>
                <w:color w:val="000000"/>
                <w:spacing w:val="0"/>
                <w:w w:val="100"/>
                <w:position w:val="0"/>
                <w:sz w:val="17"/>
                <w:szCs w:val="17"/>
              </w:rPr>
              <w:t>万元，根据中瑞岳华会计师事务所出具的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中瑞岳华验字【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093</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的验资报告， 在扣除全部承销及保荐等费用</w:t>
            </w:r>
            <w:r>
              <w:rPr>
                <w:rFonts w:ascii="Times New Roman" w:eastAsia="Times New Roman" w:hAnsi="Times New Roman" w:cs="Times New Roman"/>
                <w:color w:val="000000"/>
                <w:spacing w:val="0"/>
                <w:w w:val="100"/>
                <w:position w:val="0"/>
                <w:sz w:val="18"/>
                <w:szCs w:val="18"/>
              </w:rPr>
              <w:t>4,452.00</w:t>
            </w:r>
            <w:r>
              <w:rPr>
                <w:color w:val="000000"/>
                <w:spacing w:val="0"/>
                <w:w w:val="100"/>
                <w:position w:val="0"/>
                <w:sz w:val="17"/>
                <w:szCs w:val="17"/>
              </w:rPr>
              <w:t>万元和其他发行费用</w:t>
            </w:r>
            <w:r>
              <w:rPr>
                <w:rFonts w:ascii="Times New Roman" w:eastAsia="Times New Roman" w:hAnsi="Times New Roman" w:cs="Times New Roman"/>
                <w:color w:val="000000"/>
                <w:spacing w:val="0"/>
                <w:w w:val="100"/>
                <w:position w:val="0"/>
                <w:sz w:val="18"/>
                <w:szCs w:val="18"/>
              </w:rPr>
              <w:t>892.70</w:t>
            </w:r>
            <w:r>
              <w:rPr>
                <w:color w:val="000000"/>
                <w:spacing w:val="0"/>
                <w:w w:val="100"/>
                <w:position w:val="0"/>
                <w:sz w:val="17"/>
                <w:szCs w:val="17"/>
              </w:rPr>
              <w:t>万元后，实际募集资金净额为</w:t>
            </w:r>
            <w:r>
              <w:rPr>
                <w:rFonts w:ascii="Times New Roman" w:eastAsia="Times New Roman" w:hAnsi="Times New Roman" w:cs="Times New Roman"/>
                <w:color w:val="000000"/>
                <w:spacing w:val="0"/>
                <w:w w:val="100"/>
                <w:position w:val="0"/>
                <w:sz w:val="18"/>
                <w:szCs w:val="18"/>
              </w:rPr>
              <w:t>70,255.30</w:t>
            </w:r>
            <w:r>
              <w:rPr>
                <w:color w:val="000000"/>
                <w:spacing w:val="0"/>
                <w:w w:val="100"/>
                <w:position w:val="0"/>
                <w:sz w:val="17"/>
                <w:szCs w:val="17"/>
              </w:rPr>
              <w:t>万元，超募资</w:t>
            </w:r>
          </w:p>
        </w:tc>
      </w:tr>
    </w:tbl>
    <w:p>
      <w:pPr>
        <w:spacing w:lineRule="exact" w:line="1"/>
        <w:rPr>
          <w:sz w:val="2"/>
          <w:szCs w:val="2"/>
        </w:rPr>
      </w:pPr>
      <w:r>
        <w:br w:type="page"/>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12" w:lineRule="exact"/>
        <w:ind w:left="0" w:right="0" w:firstLine="0"/>
        <w:jc w:val="left"/>
      </w:pP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566,973,000.00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日，公司累计投入募集资金总额</w:t>
      </w:r>
      <w:r>
        <w:rPr>
          <w:rFonts w:ascii="Times New Roman" w:eastAsia="Times New Roman" w:hAnsi="Times New Roman" w:cs="Times New Roman"/>
          <w:color w:val="000000"/>
          <w:spacing w:val="0"/>
          <w:w w:val="100"/>
          <w:position w:val="0"/>
          <w:sz w:val="18"/>
          <w:szCs w:val="18"/>
        </w:rPr>
        <w:t>40,920.50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数字城管系统 项目累计投入</w:t>
      </w:r>
      <w:r>
        <w:rPr>
          <w:rFonts w:ascii="Times New Roman" w:eastAsia="Times New Roman" w:hAnsi="Times New Roman" w:cs="Times New Roman"/>
          <w:color w:val="000000"/>
          <w:spacing w:val="0"/>
          <w:w w:val="100"/>
          <w:position w:val="0"/>
          <w:sz w:val="18"/>
          <w:szCs w:val="18"/>
        </w:rPr>
        <w:t>3,980.59</w:t>
      </w:r>
      <w:r>
        <w:rPr>
          <w:color w:val="000000"/>
          <w:spacing w:val="0"/>
          <w:w w:val="100"/>
          <w:position w:val="0"/>
        </w:rPr>
        <w:t>万元;数字社区管理与服务系统项目累计投入</w:t>
      </w:r>
      <w:r>
        <w:rPr>
          <w:rFonts w:ascii="Times New Roman" w:eastAsia="Times New Roman" w:hAnsi="Times New Roman" w:cs="Times New Roman"/>
          <w:color w:val="000000"/>
          <w:spacing w:val="0"/>
          <w:w w:val="100"/>
          <w:position w:val="0"/>
          <w:sz w:val="18"/>
          <w:szCs w:val="18"/>
        </w:rPr>
        <w:t>2,828.01</w:t>
      </w:r>
      <w:r>
        <w:rPr>
          <w:color w:val="000000"/>
          <w:spacing w:val="0"/>
          <w:w w:val="100"/>
          <w:position w:val="0"/>
        </w:rPr>
        <w:t>万元;专业网格化系统项目累计投入</w:t>
      </w:r>
      <w:r>
        <w:rPr>
          <w:rFonts w:ascii="Times New Roman" w:eastAsia="Times New Roman" w:hAnsi="Times New Roman" w:cs="Times New Roman"/>
          <w:color w:val="000000"/>
          <w:spacing w:val="0"/>
          <w:w w:val="100"/>
          <w:position w:val="0"/>
          <w:sz w:val="18"/>
          <w:szCs w:val="18"/>
        </w:rPr>
        <w:t xml:space="preserve">2,228.74 </w:t>
      </w:r>
      <w:r>
        <w:rPr>
          <w:color w:val="000000"/>
          <w:spacing w:val="0"/>
          <w:w w:val="100"/>
          <w:position w:val="0"/>
        </w:rPr>
        <w:t>万元；金土工程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监管系统研发项目累计投入</w:t>
      </w:r>
      <w:r>
        <w:rPr>
          <w:rFonts w:ascii="Times New Roman" w:eastAsia="Times New Roman" w:hAnsi="Times New Roman" w:cs="Times New Roman"/>
          <w:color w:val="000000"/>
          <w:spacing w:val="0"/>
          <w:w w:val="100"/>
          <w:position w:val="0"/>
          <w:sz w:val="18"/>
          <w:szCs w:val="18"/>
        </w:rPr>
        <w:t>3,090.44</w:t>
      </w:r>
      <w:r>
        <w:rPr>
          <w:color w:val="000000"/>
          <w:spacing w:val="0"/>
          <w:w w:val="100"/>
          <w:position w:val="0"/>
        </w:rPr>
        <w:t>万元；超募资金投入项目中，基于</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rPr>
        <w:t>的车载激光扫 描系统研制、集成和应用项目累计投入</w:t>
      </w:r>
      <w:r>
        <w:rPr>
          <w:rFonts w:ascii="Times New Roman" w:eastAsia="Times New Roman" w:hAnsi="Times New Roman" w:cs="Times New Roman"/>
          <w:color w:val="000000"/>
          <w:spacing w:val="0"/>
          <w:w w:val="100"/>
          <w:position w:val="0"/>
          <w:sz w:val="18"/>
          <w:szCs w:val="18"/>
        </w:rPr>
        <w:t>1,480.32</w:t>
      </w:r>
      <w:r>
        <w:rPr>
          <w:color w:val="000000"/>
          <w:spacing w:val="0"/>
          <w:w w:val="100"/>
          <w:position w:val="0"/>
        </w:rPr>
        <w:t>万元；武汉研发中心项目累计投入</w:t>
      </w:r>
      <w:r>
        <w:rPr>
          <w:rFonts w:ascii="Times New Roman" w:eastAsia="Times New Roman" w:hAnsi="Times New Roman" w:cs="Times New Roman"/>
          <w:color w:val="000000"/>
          <w:spacing w:val="0"/>
          <w:w w:val="100"/>
          <w:position w:val="0"/>
          <w:sz w:val="18"/>
          <w:szCs w:val="18"/>
        </w:rPr>
        <w:t>3,953.25</w:t>
      </w:r>
      <w:r>
        <w:rPr>
          <w:color w:val="000000"/>
          <w:spacing w:val="0"/>
          <w:w w:val="100"/>
          <w:position w:val="0"/>
        </w:rPr>
        <w:t>万元；设立北京子公司累计投 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万元；收购收购汉王智通</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股权累计投入</w:t>
      </w:r>
      <w:r>
        <w:rPr>
          <w:rFonts w:ascii="Times New Roman" w:eastAsia="Times New Roman" w:hAnsi="Times New Roman" w:cs="Times New Roman"/>
          <w:color w:val="000000"/>
          <w:spacing w:val="0"/>
          <w:w w:val="100"/>
          <w:position w:val="0"/>
          <w:sz w:val="18"/>
          <w:szCs w:val="18"/>
        </w:rPr>
        <w:t>8,120</w:t>
      </w:r>
      <w:r>
        <w:rPr>
          <w:color w:val="000000"/>
          <w:spacing w:val="0"/>
          <w:w w:val="100"/>
          <w:position w:val="0"/>
        </w:rPr>
        <w:t>万元；补充流动资金累计投入</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募集资金承诺项目情况</w:t>
      </w:r>
    </w:p>
    <w:p>
      <w:pPr>
        <w:pStyle w:val="Style3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left"/>
        <w:tblLayout w:type="fixed"/>
      </w:tblPr>
      <w:tblGrid>
        <w:gridCol w:w="1642"/>
        <w:gridCol w:w="725"/>
        <w:gridCol w:w="720"/>
        <w:gridCol w:w="720"/>
        <w:gridCol w:w="720"/>
        <w:gridCol w:w="720"/>
        <w:gridCol w:w="725"/>
        <w:gridCol w:w="720"/>
        <w:gridCol w:w="720"/>
        <w:gridCol w:w="725"/>
        <w:gridCol w:w="720"/>
        <w:gridCol w:w="73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 募资金投向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5" w:lineRule="exact"/>
              <w:ind w:left="0" w:right="0" w:firstLine="0"/>
              <w:jc w:val="center"/>
              <w:rPr>
                <w:sz w:val="17"/>
                <w:szCs w:val="17"/>
              </w:rPr>
            </w:pPr>
            <w:r>
              <w:rPr>
                <w:color w:val="000000"/>
                <w:spacing w:val="0"/>
                <w:w w:val="100"/>
                <w:position w:val="0"/>
                <w:sz w:val="17"/>
                <w:szCs w:val="17"/>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 xml:space="preserve">截止报 告期末 累计实 现的效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 行性是 否发生 重大变</w:t>
            </w:r>
          </w:p>
          <w:p>
            <w:pPr>
              <w:pStyle w:val="Style22"/>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数字城管 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数字社区管理与服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务系统项目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专业网格化系统项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金土工程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一张图</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监管系统研发项目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结余募投项目资金 补充流动资金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16,472.3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sz w:val="17"/>
                <w:szCs w:val="17"/>
              </w:rPr>
              <w:t>的车 载激光扫描系统研 制、集成和应用项目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武汉研发中心项目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收购北京汉王智通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设立全资子公司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left"/>
        <w:tblLayout w:type="fixed"/>
      </w:tblPr>
      <w:tblGrid>
        <w:gridCol w:w="1642"/>
        <w:gridCol w:w="725"/>
        <w:gridCol w:w="720"/>
        <w:gridCol w:w="720"/>
        <w:gridCol w:w="720"/>
        <w:gridCol w:w="720"/>
        <w:gridCol w:w="725"/>
        <w:gridCol w:w="720"/>
        <w:gridCol w:w="720"/>
        <w:gridCol w:w="725"/>
        <w:gridCol w:w="720"/>
        <w:gridCol w:w="7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31,532.4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31,532.4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3,122.36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46,881.3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40,902.5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、超募资金项目中，基于</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sz w:val="17"/>
                <w:szCs w:val="17"/>
              </w:rPr>
              <w:t>的车载激光扫描系统研制、集成和应用项目完成时间调整至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日第二届董事会第十三次会议审议通过。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、超募资金项目中，</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年武汉研发中心项目已完成房屋建设及入住验收，目前开发商正在办理房屋产权证书等手续，尚有尾 款未付。</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 大变化的情况说明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 途及使用进展情况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539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、公司首次公开发行所募得超募资金为</w:t>
            </w:r>
            <w:r>
              <w:rPr>
                <w:rFonts w:ascii="Times New Roman" w:eastAsia="Times New Roman" w:hAnsi="Times New Roman" w:cs="Times New Roman"/>
                <w:color w:val="000000"/>
                <w:spacing w:val="0"/>
                <w:w w:val="100"/>
                <w:position w:val="0"/>
                <w:sz w:val="18"/>
                <w:szCs w:val="18"/>
              </w:rPr>
              <w:t>566,973,000.00</w:t>
            </w:r>
            <w:r>
              <w:rPr>
                <w:color w:val="000000"/>
                <w:spacing w:val="0"/>
                <w:w w:val="100"/>
                <w:position w:val="0"/>
                <w:sz w:val="17"/>
                <w:szCs w:val="17"/>
              </w:rPr>
              <w:t>元人民币。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日，公司第一 届董事会第十四次会议审议通过了《关于使用超募资金建设基于</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sz w:val="17"/>
                <w:szCs w:val="17"/>
              </w:rPr>
              <w:t>的车载激光扫描系统研制、 集成和应用项目的议案》，公司使用</w:t>
            </w:r>
            <w:r>
              <w:rPr>
                <w:rFonts w:ascii="Times New Roman" w:eastAsia="Times New Roman" w:hAnsi="Times New Roman" w:cs="Times New Roman"/>
                <w:color w:val="000000"/>
                <w:spacing w:val="0"/>
                <w:w w:val="100"/>
                <w:position w:val="0"/>
                <w:sz w:val="18"/>
                <w:szCs w:val="18"/>
              </w:rPr>
              <w:t>4,627.72</w:t>
            </w:r>
            <w:r>
              <w:rPr>
                <w:color w:val="000000"/>
                <w:spacing w:val="0"/>
                <w:w w:val="100"/>
                <w:position w:val="0"/>
                <w:sz w:val="17"/>
                <w:szCs w:val="17"/>
              </w:rPr>
              <w:t>万元超募资金建设基于</w:t>
            </w:r>
            <w:r>
              <w:rPr>
                <w:rFonts w:ascii="Times New Roman" w:eastAsia="Times New Roman" w:hAnsi="Times New Roman" w:cs="Times New Roman"/>
                <w:color w:val="000000"/>
                <w:spacing w:val="0"/>
                <w:w w:val="100"/>
                <w:position w:val="0"/>
                <w:sz w:val="18"/>
                <w:szCs w:val="18"/>
              </w:rPr>
              <w:t>Ladybug3</w:t>
            </w:r>
            <w:r>
              <w:rPr>
                <w:color w:val="000000"/>
                <w:spacing w:val="0"/>
                <w:w w:val="100"/>
                <w:position w:val="0"/>
                <w:sz w:val="17"/>
                <w:szCs w:val="17"/>
              </w:rPr>
              <w:t>的车载激光扫描系统 研制、集成和应用项目。截止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日，该项目已投入</w:t>
            </w:r>
            <w:r>
              <w:rPr>
                <w:rFonts w:ascii="Times New Roman" w:eastAsia="Times New Roman" w:hAnsi="Times New Roman" w:cs="Times New Roman"/>
                <w:color w:val="000000"/>
                <w:spacing w:val="0"/>
                <w:w w:val="100"/>
                <w:position w:val="0"/>
                <w:sz w:val="18"/>
                <w:szCs w:val="18"/>
              </w:rPr>
              <w:t>1,480.32</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日，公司第一届董事会第二十一次会议审议通过《关于利用部分超募资金投资设立武汉研发中心的议 案》，公司拟使用</w:t>
            </w:r>
            <w:r>
              <w:rPr>
                <w:rFonts w:ascii="Times New Roman" w:eastAsia="Times New Roman" w:hAnsi="Times New Roman" w:cs="Times New Roman"/>
                <w:color w:val="000000"/>
                <w:spacing w:val="0"/>
                <w:w w:val="100"/>
                <w:position w:val="0"/>
                <w:sz w:val="18"/>
                <w:szCs w:val="18"/>
              </w:rPr>
              <w:t>4,464.69</w:t>
            </w:r>
            <w:r>
              <w:rPr>
                <w:color w:val="000000"/>
                <w:spacing w:val="0"/>
                <w:w w:val="100"/>
                <w:position w:val="0"/>
                <w:sz w:val="17"/>
                <w:szCs w:val="17"/>
              </w:rPr>
              <w:t>万元超募资金在湖北省武汉市东湖高新区光谷金融港内投资设立武汉研发 中心，截止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日，该项目已投入</w:t>
            </w:r>
            <w:r>
              <w:rPr>
                <w:rFonts w:ascii="Times New Roman" w:eastAsia="Times New Roman" w:hAnsi="Times New Roman" w:cs="Times New Roman"/>
                <w:color w:val="000000"/>
                <w:spacing w:val="0"/>
                <w:w w:val="100"/>
                <w:position w:val="0"/>
                <w:sz w:val="18"/>
                <w:szCs w:val="18"/>
              </w:rPr>
              <w:t>3,953.25</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月审议通过了使用部分 超募资金永久性补充流动资金的议案，使用</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万元超募资金永久补充流动资金，有利于缓解流动 资金的需求压力，提升募集资金使用效率。截止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日，已完成超募资金补充流动资金。</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日，公司第二届董事会第五次会议审议通过《关于使用部分超募资金设立全资子公 司的议案》。为了进一步充分利用公司的技术和市场优势，提高超募资金的使用效率</w:t>
            </w:r>
            <w:r>
              <w:rPr>
                <w:color w:val="000000"/>
                <w:spacing w:val="0"/>
                <w:w w:val="100"/>
                <w:position w:val="0"/>
                <w:sz w:val="18"/>
                <w:szCs w:val="18"/>
              </w:rPr>
              <w:t>，</w:t>
            </w:r>
            <w:r>
              <w:rPr>
                <w:color w:val="000000"/>
                <w:spacing w:val="0"/>
                <w:w w:val="100"/>
                <w:position w:val="0"/>
                <w:sz w:val="17"/>
                <w:szCs w:val="17"/>
              </w:rPr>
              <w:t>及为了更好地开 展公司各项业务和取得与之对应的业务资质，公司使用超募资金投资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sz w:val="17"/>
                <w:szCs w:val="17"/>
              </w:rPr>
              <w:t>万元设立北京数字政通信 息技术有限公司，公司已完成子公司的工商登记工作。</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年第三次临时 股东大会审议通过使用超募资金</w:t>
            </w:r>
            <w:r>
              <w:rPr>
                <w:rFonts w:ascii="Times New Roman" w:eastAsia="Times New Roman" w:hAnsi="Times New Roman" w:cs="Times New Roman"/>
                <w:color w:val="000000"/>
                <w:spacing w:val="0"/>
                <w:w w:val="100"/>
                <w:position w:val="0"/>
                <w:sz w:val="18"/>
                <w:szCs w:val="18"/>
              </w:rPr>
              <w:t>10,440</w:t>
            </w:r>
            <w:r>
              <w:rPr>
                <w:color w:val="000000"/>
                <w:spacing w:val="0"/>
                <w:w w:val="100"/>
                <w:position w:val="0"/>
                <w:sz w:val="17"/>
                <w:szCs w:val="17"/>
              </w:rPr>
              <w:t>万元收购汉王科技股份有限公司全资子公司北京汉王智通科 技有限公司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的股权，此次收购是为了加强公司在智慧城市顶层设计领域的技术实力，并在智能交 通和平安城市领域内挖掘新的业务成长点，完善和增加公司的产品线，提升专业技术服务能力。截止 报告期末，公司已按合同约定支付</w:t>
            </w:r>
            <w:r>
              <w:rPr>
                <w:rFonts w:ascii="Times New Roman" w:eastAsia="Times New Roman" w:hAnsi="Times New Roman" w:cs="Times New Roman"/>
                <w:color w:val="000000"/>
                <w:spacing w:val="0"/>
                <w:w w:val="100"/>
                <w:position w:val="0"/>
                <w:sz w:val="18"/>
                <w:szCs w:val="18"/>
              </w:rPr>
              <w:t>8,120</w:t>
            </w:r>
            <w:r>
              <w:rPr>
                <w:color w:val="000000"/>
                <w:spacing w:val="0"/>
                <w:w w:val="100"/>
                <w:position w:val="0"/>
                <w:sz w:val="17"/>
                <w:szCs w:val="17"/>
              </w:rPr>
              <w:t>万元。</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募集资金投资项目 实施地点变更情况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 实施方式调整情况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募集资金投资项目 先期投入及置换情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用闲置募集资金暂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时补充流动资金情</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642"/>
        <w:gridCol w:w="7949"/>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项目实施出现募集 资金结余的金额及 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日，公司四项承诺募投项目均已达到预定可使用状态。截止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募集资金结余（含募集资金专户利息）共计</w:t>
            </w:r>
            <w:r>
              <w:rPr>
                <w:rFonts w:ascii="Times New Roman" w:eastAsia="Times New Roman" w:hAnsi="Times New Roman" w:cs="Times New Roman"/>
                <w:color w:val="000000"/>
                <w:spacing w:val="0"/>
                <w:w w:val="100"/>
                <w:position w:val="0"/>
                <w:sz w:val="18"/>
                <w:szCs w:val="18"/>
              </w:rPr>
              <w:t>3,176.69</w:t>
            </w:r>
            <w:r>
              <w:rPr>
                <w:color w:val="000000"/>
                <w:spacing w:val="0"/>
                <w:w w:val="100"/>
                <w:position w:val="0"/>
                <w:sz w:val="17"/>
                <w:szCs w:val="17"/>
              </w:rPr>
              <w:t>万元。出现结余的主要原因是募投项目建设过程 中，公司充分结合现有的设备配置与自身的技术优势和经验，对募投项目的研发和生产环节进行优化， 使得研发测试和生产设备的固定资产投入较计划投入大幅减少，减少了项目总开支。同时，在项目建 设过程中，公司坚持谨慎、节约的原则，对市场进行充分调研，在保证项目质量的前提下，对部分设 备进行集中采购，降低设备采购成本。</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存放于募集资金专户。</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w:t>
      </w:r>
      <w:bookmarkEnd w:id="84"/>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82"/>
      <w:bookmarkEnd w:id="83"/>
      <w:bookmarkEnd w:id="85"/>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80"/>
        <w:gridCol w:w="941"/>
        <w:gridCol w:w="946"/>
        <w:gridCol w:w="941"/>
        <w:gridCol w:w="941"/>
        <w:gridCol w:w="946"/>
        <w:gridCol w:w="941"/>
        <w:gridCol w:w="806"/>
        <w:gridCol w:w="108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主要产品 或服务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总资产</w:t>
            </w:r>
          </w:p>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净资产</w:t>
            </w:r>
          </w:p>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营业收入</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营业利润</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净利润（元）</w:t>
            </w:r>
          </w:p>
        </w:tc>
      </w:tr>
      <w:tr>
        <w:trPr>
          <w:trHeight w:val="53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上海政通 信息科技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 件领域内 的技术开 发、技术咨 询、技术服 务、技术转 让，图文设 计、制作， 商务信息 咨询（除经 纪），计算 机软硬件 销售，从事 货物进出 口及技术 的进出口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2,026,780.1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2,026,780.1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-3,927.73</w:t>
            </w:r>
          </w:p>
        </w:tc>
      </w:tr>
      <w:tr>
        <w:trPr>
          <w:trHeight w:val="19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武汉智慧 政通科技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软件和信 息技术服 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 件研发、转 让、技术咨 询服务；图 文设计、制 作；商务信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10,004,544.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10,004,544.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2,442.12</w:t>
            </w:r>
          </w:p>
        </w:tc>
      </w:tr>
    </w:tbl>
    <w:p>
      <w:pPr>
        <w:spacing w:lineRule="exact" w:line="1"/>
        <w:rPr>
          <w:sz w:val="2"/>
          <w:szCs w:val="2"/>
        </w:rPr>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息咨询；货 物及技术 进出口（不 含国家禁 止或限制 进出口的 货物及技 术）；计算 机软件硬 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北京数字 政通信息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软件和信 息技术服 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计算机软 件研发、技 术转让、技 术咨询、技 术服务；计 算机系统 集成；电脑 图文设计、 制作；经济 信息咨询</w:t>
            </w:r>
          </w:p>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（需行政 许可项目 除外）；投 资及投资 管理；货物 进出口、技 术进出口、 代理进出 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20,000,000 </w:t>
            </w: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19,994,307.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19,994,307.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-12,692.73</w:t>
            </w:r>
          </w:p>
        </w:tc>
      </w:tr>
      <w:tr>
        <w:trPr>
          <w:trHeight w:val="415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北京汉王 智通科技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软件和信 息技术服 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高速公路 领域的收 费系统、称 重系统、超 速布控系 统及安防 领域的城 市卡口监 控系统、电 子警察系 统、停车场 车辆管理 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40,000,000 </w:t>
            </w: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186,497,22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37,237,986.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113,663,77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16,486,63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20,390,923.4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32"/>
        <w:keepNext w:val="0"/>
        <w:keepLines w:val="0"/>
        <w:widowControl w:val="0"/>
        <w:shd w:val="clear" w:color="auto" w:fill="auto"/>
        <w:tabs>
          <w:tab w:pos="858" w:val="left"/>
        </w:tabs>
        <w:bidi w:val="0"/>
        <w:spacing w:before="0" w:after="0" w:line="472" w:lineRule="exact"/>
        <w:ind w:left="0" w:right="0" w:firstLine="480"/>
        <w:jc w:val="both"/>
      </w:pPr>
      <w:bookmarkStart w:id="86" w:name="bookmark86"/>
      <w:r>
        <w:rPr>
          <w:color w:val="000000"/>
          <w:spacing w:val="0"/>
          <w:w w:val="100"/>
          <w:position w:val="0"/>
          <w:sz w:val="24"/>
          <w:szCs w:val="24"/>
        </w:rPr>
        <w:t>1</w:t>
      </w:r>
      <w:bookmarkEnd w:id="86"/>
      <w:r>
        <w:rPr>
          <w:color w:val="000000"/>
          <w:spacing w:val="0"/>
          <w:w w:val="100"/>
          <w:position w:val="0"/>
        </w:rPr>
        <w:t>、</w:t>
        <w:tab/>
        <w:t>上海政通信息科技有限公司</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上海政通信息科技有限公司为公司全资子公司，该公司成立于</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13</w:t>
      </w:r>
      <w:r>
        <w:rPr>
          <w:color w:val="000000"/>
          <w:spacing w:val="0"/>
          <w:w w:val="100"/>
          <w:position w:val="0"/>
        </w:rPr>
        <w:t>日，注册资本 为</w:t>
      </w:r>
      <w:r>
        <w:rPr>
          <w:color w:val="000000"/>
          <w:spacing w:val="0"/>
          <w:w w:val="100"/>
          <w:position w:val="0"/>
          <w:sz w:val="24"/>
          <w:szCs w:val="24"/>
        </w:rPr>
        <w:t>200</w:t>
      </w:r>
      <w:r>
        <w:rPr>
          <w:color w:val="000000"/>
          <w:spacing w:val="0"/>
          <w:w w:val="100"/>
          <w:position w:val="0"/>
        </w:rPr>
        <w:t>万元人民币。上海政通信息科技有限公司的经营范围为计算机软件领域内的技术开发、 技术咨询、技术服务、技术转让，图文设计、制作，商务信息咨询（除经纪），计算机软硬 件销售，从事货物进出口及技术的进出口业务（涉及行政许可的，凭许可经营）。</w:t>
      </w:r>
    </w:p>
    <w:p>
      <w:pPr>
        <w:pStyle w:val="Style32"/>
        <w:keepNext w:val="0"/>
        <w:keepLines w:val="0"/>
        <w:widowControl w:val="0"/>
        <w:shd w:val="clear" w:color="auto" w:fill="auto"/>
        <w:tabs>
          <w:tab w:pos="872" w:val="left"/>
        </w:tabs>
        <w:bidi w:val="0"/>
        <w:spacing w:before="0" w:after="0" w:line="472" w:lineRule="exact"/>
        <w:ind w:left="0" w:right="0" w:firstLine="480"/>
        <w:jc w:val="both"/>
      </w:pPr>
      <w:bookmarkStart w:id="87" w:name="bookmark87"/>
      <w:r>
        <w:rPr>
          <w:color w:val="000000"/>
          <w:spacing w:val="0"/>
          <w:w w:val="100"/>
          <w:position w:val="0"/>
          <w:sz w:val="24"/>
          <w:szCs w:val="24"/>
        </w:rPr>
        <w:t>2</w:t>
      </w:r>
      <w:bookmarkEnd w:id="87"/>
      <w:r>
        <w:rPr>
          <w:color w:val="000000"/>
          <w:spacing w:val="0"/>
          <w:w w:val="100"/>
          <w:position w:val="0"/>
        </w:rPr>
        <w:t>、</w:t>
        <w:tab/>
        <w:t>武汉智慧政通科技有限公司</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武汉智慧政通科技有限公司为公司全资子公司，该公司成立于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23</w:t>
      </w:r>
      <w:r>
        <w:rPr>
          <w:color w:val="000000"/>
          <w:spacing w:val="0"/>
          <w:w w:val="100"/>
          <w:position w:val="0"/>
        </w:rPr>
        <w:t>日，注册资本 为</w:t>
      </w:r>
      <w:r>
        <w:rPr>
          <w:color w:val="000000"/>
          <w:spacing w:val="0"/>
          <w:w w:val="100"/>
          <w:position w:val="0"/>
          <w:sz w:val="24"/>
          <w:szCs w:val="24"/>
        </w:rPr>
        <w:t>1,000</w:t>
      </w:r>
      <w:r>
        <w:rPr>
          <w:color w:val="000000"/>
          <w:spacing w:val="0"/>
          <w:w w:val="100"/>
          <w:position w:val="0"/>
        </w:rPr>
        <w:t>万元人民币。武汉智慧政通科技有限公司的经营范围为计算机软件研发、转让、技术 咨询服务；图文设计、制作；商务信息咨询；货物及技术进出口（不含国家禁止或限制进出 口的货物及技术）；计算机软件硬件销售。</w:t>
      </w:r>
    </w:p>
    <w:p>
      <w:pPr>
        <w:pStyle w:val="Style32"/>
        <w:keepNext w:val="0"/>
        <w:keepLines w:val="0"/>
        <w:widowControl w:val="0"/>
        <w:shd w:val="clear" w:color="auto" w:fill="auto"/>
        <w:tabs>
          <w:tab w:pos="872" w:val="left"/>
        </w:tabs>
        <w:bidi w:val="0"/>
        <w:spacing w:before="0" w:after="0" w:line="472" w:lineRule="exact"/>
        <w:ind w:left="0" w:right="0" w:firstLine="480"/>
        <w:jc w:val="both"/>
      </w:pPr>
      <w:bookmarkStart w:id="88" w:name="bookmark88"/>
      <w:r>
        <w:rPr>
          <w:color w:val="000000"/>
          <w:spacing w:val="0"/>
          <w:w w:val="100"/>
          <w:position w:val="0"/>
          <w:sz w:val="24"/>
          <w:szCs w:val="24"/>
        </w:rPr>
        <w:t>3</w:t>
      </w:r>
      <w:bookmarkEnd w:id="88"/>
      <w:r>
        <w:rPr>
          <w:color w:val="000000"/>
          <w:spacing w:val="0"/>
          <w:w w:val="100"/>
          <w:position w:val="0"/>
        </w:rPr>
        <w:t>、</w:t>
        <w:tab/>
        <w:t>北京数字政通信息技术有限公司</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北京数字政通信息技术有限公司为公司全资子公司，该公司成立于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19</w:t>
      </w:r>
      <w:r>
        <w:rPr>
          <w:color w:val="000000"/>
          <w:spacing w:val="0"/>
          <w:w w:val="100"/>
          <w:position w:val="0"/>
        </w:rPr>
        <w:t>日，注 册资本为</w:t>
      </w:r>
      <w:r>
        <w:rPr>
          <w:color w:val="000000"/>
          <w:spacing w:val="0"/>
          <w:w w:val="100"/>
          <w:position w:val="0"/>
          <w:sz w:val="24"/>
          <w:szCs w:val="24"/>
        </w:rPr>
        <w:t>2,000</w:t>
      </w:r>
      <w:r>
        <w:rPr>
          <w:color w:val="000000"/>
          <w:spacing w:val="0"/>
          <w:w w:val="100"/>
          <w:position w:val="0"/>
        </w:rPr>
        <w:t>万元人民币。北京数字政通信息技术有限公司的经营范围为计算机软件研发、 技术转让、技术咨询、技术服务；计算机系统集成；电脑图文设计、制作；经济信息咨询（需 行政许可项目除外）；投资及投资管理；货物进出口、技术进出口、代理进出口。</w:t>
      </w:r>
    </w:p>
    <w:p>
      <w:pPr>
        <w:pStyle w:val="Style32"/>
        <w:keepNext w:val="0"/>
        <w:keepLines w:val="0"/>
        <w:widowControl w:val="0"/>
        <w:shd w:val="clear" w:color="auto" w:fill="auto"/>
        <w:tabs>
          <w:tab w:pos="877" w:val="left"/>
        </w:tabs>
        <w:bidi w:val="0"/>
        <w:spacing w:before="0" w:after="0" w:line="466" w:lineRule="exact"/>
        <w:ind w:left="0" w:right="0" w:firstLine="480"/>
        <w:jc w:val="both"/>
      </w:pPr>
      <w:bookmarkStart w:id="89" w:name="bookmark89"/>
      <w:r>
        <w:rPr>
          <w:color w:val="000000"/>
          <w:spacing w:val="0"/>
          <w:w w:val="100"/>
          <w:position w:val="0"/>
          <w:sz w:val="24"/>
          <w:szCs w:val="24"/>
        </w:rPr>
        <w:t>4</w:t>
      </w:r>
      <w:bookmarkEnd w:id="89"/>
      <w:r>
        <w:rPr>
          <w:color w:val="000000"/>
          <w:spacing w:val="0"/>
          <w:w w:val="100"/>
          <w:position w:val="0"/>
        </w:rPr>
        <w:t>、</w:t>
        <w:tab/>
        <w:t>北京汉王智通科技有限公司</w:t>
      </w:r>
    </w:p>
    <w:p>
      <w:pPr>
        <w:pStyle w:val="Style32"/>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北京汉王智通科技有限公司为公司控股公司，公司持有其</w:t>
      </w:r>
      <w:r>
        <w:rPr>
          <w:color w:val="000000"/>
          <w:spacing w:val="0"/>
          <w:w w:val="100"/>
          <w:position w:val="0"/>
          <w:sz w:val="24"/>
          <w:szCs w:val="24"/>
        </w:rPr>
        <w:t>70%</w:t>
      </w:r>
      <w:r>
        <w:rPr>
          <w:color w:val="000000"/>
          <w:spacing w:val="0"/>
          <w:w w:val="100"/>
          <w:position w:val="0"/>
        </w:rPr>
        <w:t>股权，该公司成立于</w:t>
      </w:r>
      <w:r>
        <w:rPr>
          <w:color w:val="000000"/>
          <w:spacing w:val="0"/>
          <w:w w:val="100"/>
          <w:position w:val="0"/>
          <w:sz w:val="24"/>
          <w:szCs w:val="24"/>
        </w:rPr>
        <w:t xml:space="preserve">2010 </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4</w:t>
      </w:r>
      <w:r>
        <w:rPr>
          <w:color w:val="000000"/>
          <w:spacing w:val="0"/>
          <w:w w:val="100"/>
          <w:position w:val="0"/>
        </w:rPr>
        <w:t>日，注册资本为</w:t>
      </w:r>
      <w:r>
        <w:rPr>
          <w:color w:val="000000"/>
          <w:spacing w:val="0"/>
          <w:w w:val="100"/>
          <w:position w:val="0"/>
          <w:sz w:val="24"/>
          <w:szCs w:val="24"/>
        </w:rPr>
        <w:t>4,000</w:t>
      </w:r>
      <w:r>
        <w:rPr>
          <w:color w:val="000000"/>
          <w:spacing w:val="0"/>
          <w:w w:val="100"/>
          <w:position w:val="0"/>
        </w:rPr>
        <w:t>万元人民币。主营业务为高速公路领域的收费系统、称重系统、 超速布控系统及安防领域的城市卡口监控系统、电子警察系统、停车场车辆管理系统。本报 告期实现净利润</w:t>
      </w:r>
      <w:r>
        <w:rPr>
          <w:color w:val="000000"/>
          <w:spacing w:val="0"/>
          <w:w w:val="100"/>
          <w:position w:val="0"/>
          <w:sz w:val="24"/>
          <w:szCs w:val="24"/>
        </w:rPr>
        <w:t>20,390,923.45</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472" w:lineRule="exact"/>
        <w:ind w:left="0" w:right="0" w:firstLine="0"/>
        <w:jc w:val="both"/>
      </w:pPr>
      <w:bookmarkStart w:id="90" w:name="bookmark90"/>
      <w:bookmarkStart w:id="91" w:name="bookmark91"/>
      <w:bookmarkStart w:id="92" w:name="bookmark92"/>
      <w:bookmarkStart w:id="93" w:name="bookmark93"/>
      <w:r>
        <w:rPr>
          <w:color w:val="000000"/>
          <w:spacing w:val="0"/>
          <w:w w:val="100"/>
          <w:position w:val="0"/>
        </w:rPr>
        <w:t>二</w:t>
      </w:r>
      <w:bookmarkEnd w:id="92"/>
      <w:r>
        <w:rPr>
          <w:color w:val="000000"/>
          <w:spacing w:val="0"/>
          <w:w w:val="100"/>
          <w:position w:val="0"/>
        </w:rPr>
        <w:t>、公司未来发展的展望</w:t>
      </w:r>
      <w:bookmarkEnd w:id="90"/>
      <w:bookmarkEnd w:id="91"/>
      <w:bookmarkEnd w:id="93"/>
    </w:p>
    <w:p>
      <w:pPr>
        <w:pStyle w:val="Style32"/>
        <w:keepNext w:val="0"/>
        <w:keepLines w:val="0"/>
        <w:widowControl w:val="0"/>
        <w:shd w:val="clear" w:color="auto" w:fill="auto"/>
        <w:bidi w:val="0"/>
        <w:spacing w:before="0" w:after="0" w:line="472" w:lineRule="exact"/>
        <w:ind w:left="0" w:right="0" w:firstLine="480"/>
        <w:jc w:val="both"/>
      </w:pPr>
      <w:bookmarkStart w:id="94" w:name="bookmark94"/>
      <w:r>
        <w:rPr>
          <w:color w:val="000000"/>
          <w:spacing w:val="0"/>
          <w:w w:val="100"/>
          <w:position w:val="0"/>
        </w:rPr>
        <w:t>（</w:t>
      </w:r>
      <w:bookmarkEnd w:id="94"/>
      <w:r>
        <w:rPr>
          <w:color w:val="000000"/>
          <w:spacing w:val="0"/>
          <w:w w:val="100"/>
          <w:position w:val="0"/>
        </w:rPr>
        <w:t>一）所处行业的发展趋势</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智慧城市领域需求旺盛</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2013</w:t>
      </w:r>
      <w:r>
        <w:rPr>
          <w:color w:val="000000"/>
          <w:spacing w:val="0"/>
          <w:w w:val="100"/>
          <w:position w:val="0"/>
        </w:rPr>
        <w:t>年，住房和城乡建设部先后公布两批共计</w:t>
      </w:r>
      <w:r>
        <w:rPr>
          <w:color w:val="000000"/>
          <w:spacing w:val="0"/>
          <w:w w:val="100"/>
          <w:position w:val="0"/>
          <w:sz w:val="24"/>
          <w:szCs w:val="24"/>
        </w:rPr>
        <w:t>193</w:t>
      </w:r>
      <w:r>
        <w:rPr>
          <w:color w:val="000000"/>
          <w:spacing w:val="0"/>
          <w:w w:val="100"/>
          <w:position w:val="0"/>
        </w:rPr>
        <w:t>个国家智慧城市试点，其中包括省会城 市/地级市</w:t>
      </w:r>
      <w:r>
        <w:rPr>
          <w:color w:val="000000"/>
          <w:spacing w:val="0"/>
          <w:w w:val="100"/>
          <w:position w:val="0"/>
          <w:sz w:val="24"/>
          <w:szCs w:val="24"/>
        </w:rPr>
        <w:t>76</w:t>
      </w:r>
      <w:r>
        <w:rPr>
          <w:color w:val="000000"/>
          <w:spacing w:val="0"/>
          <w:w w:val="100"/>
          <w:position w:val="0"/>
        </w:rPr>
        <w:t>个，城区、县及县级市</w:t>
      </w:r>
      <w:r>
        <w:rPr>
          <w:color w:val="000000"/>
          <w:spacing w:val="0"/>
          <w:w w:val="100"/>
          <w:position w:val="0"/>
          <w:sz w:val="24"/>
          <w:szCs w:val="24"/>
        </w:rPr>
        <w:t>75</w:t>
      </w:r>
      <w:r>
        <w:rPr>
          <w:color w:val="000000"/>
          <w:spacing w:val="0"/>
          <w:w w:val="100"/>
          <w:position w:val="0"/>
        </w:rPr>
        <w:t>个，新区</w:t>
      </w:r>
      <w:r>
        <w:rPr>
          <w:color w:val="000000"/>
          <w:spacing w:val="0"/>
          <w:w w:val="100"/>
          <w:position w:val="0"/>
          <w:sz w:val="24"/>
          <w:szCs w:val="24"/>
        </w:rPr>
        <w:t>34</w:t>
      </w:r>
      <w:r>
        <w:rPr>
          <w:color w:val="000000"/>
          <w:spacing w:val="0"/>
          <w:w w:val="100"/>
          <w:position w:val="0"/>
        </w:rPr>
        <w:t>个，镇</w:t>
      </w:r>
      <w:r>
        <w:rPr>
          <w:color w:val="000000"/>
          <w:spacing w:val="0"/>
          <w:w w:val="100"/>
          <w:position w:val="0"/>
          <w:sz w:val="24"/>
          <w:szCs w:val="24"/>
        </w:rPr>
        <w:t>8</w:t>
      </w:r>
      <w:r>
        <w:rPr>
          <w:color w:val="000000"/>
          <w:spacing w:val="0"/>
          <w:w w:val="100"/>
          <w:position w:val="0"/>
        </w:rPr>
        <w:t>个，涵盖大中小城市和许多城区、 新区、城镇，涵盖中部、西部、长三角、珠三角、环渤海湾地区等地域，涵盖资源型、旅游 型、商贸型、综合型等多种类型的城市，在国内地方城市中具有典型性和广泛的代表性。</w:t>
      </w:r>
      <w:r>
        <w:rPr>
          <w:color w:val="000000"/>
          <w:spacing w:val="0"/>
          <w:w w:val="100"/>
          <w:position w:val="0"/>
          <w:sz w:val="24"/>
          <w:szCs w:val="24"/>
        </w:rPr>
        <w:t xml:space="preserve">193 </w:t>
      </w:r>
      <w:r>
        <w:rPr>
          <w:color w:val="000000"/>
          <w:spacing w:val="0"/>
          <w:w w:val="100"/>
          <w:position w:val="0"/>
        </w:rPr>
        <w:t>个试点共涉及重点项目近</w:t>
      </w:r>
      <w:r>
        <w:rPr>
          <w:color w:val="000000"/>
          <w:spacing w:val="0"/>
          <w:w w:val="100"/>
          <w:position w:val="0"/>
          <w:sz w:val="24"/>
          <w:szCs w:val="24"/>
        </w:rPr>
        <w:t>2600</w:t>
      </w:r>
      <w:r>
        <w:rPr>
          <w:color w:val="000000"/>
          <w:spacing w:val="0"/>
          <w:w w:val="100"/>
          <w:position w:val="0"/>
        </w:rPr>
        <w:t>个，资金需求总额超过万亿元。</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根据《国家智慧城市（区、镇）试点指标体系（试行）》的四个一级指标对项目按照“保 障体系与基础设施”、“智慧建设与宜居”、“智慧管理与服务”、“智慧产业与经济”对 项目进行分类，其中“智慧管理与服务”类项目数量最多，“保障体系与基础设施”类项目 的总投资额最高，而项目主要集中在城市公共信息平台、城市管理、市政基础设施建设与安 全运行、城乡规划、建筑节能、便民服务和产业发展等领域。在保障体系与基础设施类项目 中，城市公共信息平台、城市公共基础数据库和网络基础设施建设排前三；在智慧建设与宜 居类项目中，数字化城市管理、水务系统、地下管线与空间综合管理、城乡规划、绿色建筑 等是重点。</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智能交通应发展黄金期</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交通既是城市规划和土地利用的重要内容，又是城市日常运行的支撑，更是老百姓生活 和工作的依托。《国家新型城镇化规划</w:t>
      </w:r>
      <w:r>
        <w:rPr>
          <w:color w:val="000000"/>
          <w:spacing w:val="0"/>
          <w:w w:val="100"/>
          <w:position w:val="0"/>
          <w:sz w:val="24"/>
          <w:szCs w:val="24"/>
        </w:rPr>
        <w:t>（2014-2020</w:t>
      </w:r>
      <w:r>
        <w:rPr>
          <w:color w:val="000000"/>
          <w:spacing w:val="0"/>
          <w:w w:val="100"/>
          <w:position w:val="0"/>
        </w:rPr>
        <w:t>年）》明确提出，城镇化建设要走智能、绿 色、低碳的道路。那么对于交通来说，不仅需要建设更多的基础设施，更需要应用高科技改 善交通系统效率，节能减排。数据显示，中国财政支出在智能交通系统上的投资额从</w:t>
      </w:r>
      <w:r>
        <w:rPr>
          <w:color w:val="000000"/>
          <w:spacing w:val="0"/>
          <w:w w:val="100"/>
          <w:position w:val="0"/>
          <w:sz w:val="24"/>
          <w:szCs w:val="24"/>
        </w:rPr>
        <w:t>2006</w:t>
      </w:r>
      <w:r>
        <w:rPr>
          <w:color w:val="000000"/>
          <w:spacing w:val="0"/>
          <w:w w:val="100"/>
          <w:position w:val="0"/>
        </w:rPr>
        <w:t>年 的</w:t>
      </w:r>
      <w:r>
        <w:rPr>
          <w:color w:val="000000"/>
          <w:spacing w:val="0"/>
          <w:w w:val="100"/>
          <w:position w:val="0"/>
          <w:sz w:val="24"/>
          <w:szCs w:val="24"/>
        </w:rPr>
        <w:t>182</w:t>
      </w:r>
      <w:r>
        <w:rPr>
          <w:color w:val="000000"/>
          <w:spacing w:val="0"/>
          <w:w w:val="100"/>
          <w:position w:val="0"/>
        </w:rPr>
        <w:t>亿元增长到</w:t>
      </w:r>
      <w:r>
        <w:rPr>
          <w:color w:val="000000"/>
          <w:spacing w:val="0"/>
          <w:w w:val="100"/>
          <w:position w:val="0"/>
          <w:sz w:val="24"/>
          <w:szCs w:val="24"/>
        </w:rPr>
        <w:t>2010</w:t>
      </w:r>
      <w:r>
        <w:rPr>
          <w:color w:val="000000"/>
          <w:spacing w:val="0"/>
          <w:w w:val="100"/>
          <w:position w:val="0"/>
        </w:rPr>
        <w:t>年的</w:t>
      </w:r>
      <w:r>
        <w:rPr>
          <w:color w:val="000000"/>
          <w:spacing w:val="0"/>
          <w:w w:val="100"/>
          <w:position w:val="0"/>
          <w:sz w:val="24"/>
          <w:szCs w:val="24"/>
        </w:rPr>
        <w:t>481</w:t>
      </w:r>
      <w:r>
        <w:rPr>
          <w:color w:val="000000"/>
          <w:spacing w:val="0"/>
          <w:w w:val="100"/>
          <w:position w:val="0"/>
        </w:rPr>
        <w:t>亿元，业内人士普遍预计，到</w:t>
      </w:r>
      <w:r>
        <w:rPr>
          <w:color w:val="000000"/>
          <w:spacing w:val="0"/>
          <w:w w:val="100"/>
          <w:position w:val="0"/>
          <w:sz w:val="24"/>
          <w:szCs w:val="24"/>
        </w:rPr>
        <w:t>2015</w:t>
      </w:r>
      <w:r>
        <w:rPr>
          <w:color w:val="000000"/>
          <w:spacing w:val="0"/>
          <w:w w:val="100"/>
          <w:position w:val="0"/>
        </w:rPr>
        <w:t>年这一数字将达到</w:t>
      </w:r>
      <w:r>
        <w:rPr>
          <w:color w:val="000000"/>
          <w:spacing w:val="0"/>
          <w:w w:val="100"/>
          <w:position w:val="0"/>
          <w:sz w:val="24"/>
          <w:szCs w:val="24"/>
        </w:rPr>
        <w:t>1500</w:t>
      </w:r>
      <w:r>
        <w:rPr>
          <w:color w:val="000000"/>
          <w:spacing w:val="0"/>
          <w:w w:val="100"/>
          <w:position w:val="0"/>
        </w:rPr>
        <w:t>亿元。</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平安城市建设提速，安防产业快速发展</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伴随着我国城镇化的持续推进，以及政府对平安城市、智慧城市建设的高度重视，安防 产品行业的市场规模仍将不断扩大。</w:t>
      </w:r>
      <w:r>
        <w:rPr>
          <w:color w:val="000000"/>
          <w:spacing w:val="0"/>
          <w:w w:val="100"/>
          <w:position w:val="0"/>
          <w:sz w:val="24"/>
          <w:szCs w:val="24"/>
        </w:rPr>
        <w:t>2013</w:t>
      </w:r>
      <w:r>
        <w:rPr>
          <w:color w:val="000000"/>
          <w:spacing w:val="0"/>
          <w:w w:val="100"/>
          <w:position w:val="0"/>
        </w:rPr>
        <w:t xml:space="preserve">年平安城市建设带动国内安防监控市场规模将达到 </w:t>
      </w:r>
      <w:r>
        <w:rPr>
          <w:color w:val="000000"/>
          <w:spacing w:val="0"/>
          <w:w w:val="100"/>
          <w:position w:val="0"/>
          <w:sz w:val="24"/>
          <w:szCs w:val="24"/>
        </w:rPr>
        <w:t>700</w:t>
      </w:r>
      <w:r>
        <w:rPr>
          <w:color w:val="000000"/>
          <w:spacing w:val="0"/>
          <w:w w:val="100"/>
          <w:position w:val="0"/>
        </w:rPr>
        <w:t>亿，到</w:t>
      </w:r>
      <w:r>
        <w:rPr>
          <w:color w:val="000000"/>
          <w:spacing w:val="0"/>
          <w:w w:val="100"/>
          <w:position w:val="0"/>
          <w:sz w:val="24"/>
          <w:szCs w:val="24"/>
        </w:rPr>
        <w:t>2015</w:t>
      </w:r>
      <w:r>
        <w:rPr>
          <w:color w:val="000000"/>
          <w:spacing w:val="0"/>
          <w:w w:val="100"/>
          <w:position w:val="0"/>
        </w:rPr>
        <w:t>年，安防产业总产值目标有望达到</w:t>
      </w:r>
      <w:r>
        <w:rPr>
          <w:color w:val="000000"/>
          <w:spacing w:val="0"/>
          <w:w w:val="100"/>
          <w:position w:val="0"/>
          <w:sz w:val="24"/>
          <w:szCs w:val="24"/>
        </w:rPr>
        <w:t>5000</w:t>
      </w:r>
      <w:r>
        <w:rPr>
          <w:color w:val="000000"/>
          <w:spacing w:val="0"/>
          <w:w w:val="100"/>
          <w:position w:val="0"/>
        </w:rPr>
        <w:t>亿元，。而在“平安城市”的建设中， 其核心城市报警与监控系统，也是社会治安防控体系的重要组成部分，伴随着平安城市的推 进，安防产业链将充分受益。据测算，</w:t>
      </w:r>
      <w:r>
        <w:rPr>
          <w:color w:val="000000"/>
          <w:spacing w:val="0"/>
          <w:w w:val="100"/>
          <w:position w:val="0"/>
          <w:sz w:val="24"/>
          <w:szCs w:val="24"/>
        </w:rPr>
        <w:t>2009</w:t>
      </w:r>
      <w:r>
        <w:rPr>
          <w:color w:val="000000"/>
          <w:spacing w:val="0"/>
          <w:w w:val="100"/>
          <w:position w:val="0"/>
        </w:rPr>
        <w:t>年至今，平安城市在全国</w:t>
      </w:r>
      <w:r>
        <w:rPr>
          <w:color w:val="000000"/>
          <w:spacing w:val="0"/>
          <w:w w:val="100"/>
          <w:position w:val="0"/>
          <w:sz w:val="24"/>
          <w:szCs w:val="24"/>
        </w:rPr>
        <w:t>477</w:t>
      </w:r>
      <w:r>
        <w:rPr>
          <w:color w:val="000000"/>
          <w:spacing w:val="0"/>
          <w:w w:val="100"/>
          <w:position w:val="0"/>
        </w:rPr>
        <w:t>个城市和重点单位建 立了试点，建设系统</w:t>
      </w:r>
      <w:r>
        <w:rPr>
          <w:color w:val="000000"/>
          <w:spacing w:val="0"/>
          <w:w w:val="100"/>
          <w:position w:val="0"/>
          <w:sz w:val="24"/>
          <w:szCs w:val="24"/>
        </w:rPr>
        <w:t>29.8</w:t>
      </w:r>
      <w:r>
        <w:rPr>
          <w:color w:val="000000"/>
          <w:spacing w:val="0"/>
          <w:w w:val="100"/>
          <w:position w:val="0"/>
        </w:rPr>
        <w:t>万余套，摄像机</w:t>
      </w:r>
      <w:r>
        <w:rPr>
          <w:color w:val="000000"/>
          <w:spacing w:val="0"/>
          <w:w w:val="100"/>
          <w:position w:val="0"/>
          <w:sz w:val="24"/>
          <w:szCs w:val="24"/>
        </w:rPr>
        <w:t>273.5</w:t>
      </w:r>
      <w:r>
        <w:rPr>
          <w:color w:val="000000"/>
          <w:spacing w:val="0"/>
          <w:w w:val="100"/>
          <w:position w:val="0"/>
        </w:rPr>
        <w:t>万台，超过之前</w:t>
      </w:r>
      <w:r>
        <w:rPr>
          <w:color w:val="000000"/>
          <w:spacing w:val="0"/>
          <w:w w:val="100"/>
          <w:position w:val="0"/>
          <w:sz w:val="24"/>
          <w:szCs w:val="24"/>
        </w:rPr>
        <w:t>20</w:t>
      </w:r>
      <w:r>
        <w:rPr>
          <w:color w:val="000000"/>
          <w:spacing w:val="0"/>
          <w:w w:val="100"/>
          <w:position w:val="0"/>
        </w:rPr>
        <w:t>年的总和，全国</w:t>
      </w:r>
      <w:r>
        <w:rPr>
          <w:color w:val="000000"/>
          <w:spacing w:val="0"/>
          <w:w w:val="100"/>
          <w:position w:val="0"/>
          <w:sz w:val="24"/>
          <w:szCs w:val="24"/>
        </w:rPr>
        <w:t>2/3</w:t>
      </w:r>
      <w:r>
        <w:rPr>
          <w:color w:val="000000"/>
          <w:spacing w:val="0"/>
          <w:w w:val="100"/>
          <w:position w:val="0"/>
        </w:rPr>
        <w:t>省普及 了视频系统联网和信息系统整合。有关研究指出，</w:t>
      </w:r>
      <w:r>
        <w:rPr>
          <w:color w:val="000000"/>
          <w:spacing w:val="0"/>
          <w:w w:val="100"/>
          <w:position w:val="0"/>
          <w:sz w:val="24"/>
          <w:szCs w:val="24"/>
        </w:rPr>
        <w:t>2014-2018</w:t>
      </w:r>
      <w:r>
        <w:rPr>
          <w:color w:val="000000"/>
          <w:spacing w:val="0"/>
          <w:w w:val="100"/>
          <w:position w:val="0"/>
        </w:rPr>
        <w:t>年智慧城市项目将进入第二轮实 施周期，总投资接近</w:t>
      </w:r>
      <w:r>
        <w:rPr>
          <w:color w:val="000000"/>
          <w:spacing w:val="0"/>
          <w:w w:val="100"/>
          <w:position w:val="0"/>
          <w:sz w:val="24"/>
          <w:szCs w:val="24"/>
        </w:rPr>
        <w:t>3</w:t>
      </w:r>
      <w:r>
        <w:rPr>
          <w:color w:val="000000"/>
          <w:spacing w:val="0"/>
          <w:w w:val="100"/>
          <w:position w:val="0"/>
        </w:rPr>
        <w:t>万亿规模，而高清视频监控将进入</w:t>
      </w:r>
      <w:r>
        <w:rPr>
          <w:color w:val="000000"/>
          <w:spacing w:val="0"/>
          <w:w w:val="100"/>
          <w:position w:val="0"/>
          <w:sz w:val="24"/>
          <w:szCs w:val="24"/>
        </w:rPr>
        <w:t>20%-50%</w:t>
      </w:r>
      <w:r>
        <w:rPr>
          <w:color w:val="000000"/>
          <w:spacing w:val="0"/>
          <w:w w:val="100"/>
          <w:position w:val="0"/>
        </w:rPr>
        <w:t>的高速渗透阶段。</w:t>
      </w:r>
    </w:p>
    <w:p>
      <w:pPr>
        <w:pStyle w:val="Style32"/>
        <w:keepNext w:val="0"/>
        <w:keepLines w:val="0"/>
        <w:widowControl w:val="0"/>
        <w:shd w:val="clear" w:color="auto" w:fill="auto"/>
        <w:bidi w:val="0"/>
        <w:spacing w:before="0" w:after="0" w:line="466" w:lineRule="exact"/>
        <w:ind w:left="0" w:right="0" w:firstLine="480"/>
        <w:jc w:val="both"/>
      </w:pPr>
      <w:bookmarkStart w:id="95" w:name="bookmark95"/>
      <w:r>
        <w:rPr>
          <w:color w:val="000000"/>
          <w:spacing w:val="0"/>
          <w:w w:val="100"/>
          <w:position w:val="0"/>
        </w:rPr>
        <w:t>（</w:t>
      </w:r>
      <w:bookmarkEnd w:id="95"/>
      <w:r>
        <w:rPr>
          <w:color w:val="000000"/>
          <w:spacing w:val="0"/>
          <w:w w:val="100"/>
          <w:position w:val="0"/>
        </w:rPr>
        <w:t>二）公司未来发展规划</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铸就核心竞争力</w:t>
      </w:r>
    </w:p>
    <w:p>
      <w:pPr>
        <w:pStyle w:val="Style32"/>
        <w:keepNext w:val="0"/>
        <w:keepLines w:val="0"/>
        <w:widowControl w:val="0"/>
        <w:shd w:val="clear" w:color="auto" w:fill="auto"/>
        <w:bidi w:val="0"/>
        <w:spacing w:before="0" w:after="0" w:line="466" w:lineRule="exact"/>
        <w:ind w:left="0" w:right="0" w:firstLine="480"/>
        <w:jc w:val="both"/>
      </w:pPr>
      <w:bookmarkStart w:id="96" w:name="bookmark96"/>
      <w:r>
        <w:rPr>
          <w:color w:val="000000"/>
          <w:spacing w:val="0"/>
          <w:w w:val="100"/>
          <w:position w:val="0"/>
          <w:sz w:val="24"/>
          <w:szCs w:val="24"/>
        </w:rPr>
        <w:t>1</w:t>
      </w:r>
      <w:bookmarkEnd w:id="96"/>
      <w:r>
        <w:rPr>
          <w:color w:val="000000"/>
          <w:spacing w:val="0"/>
          <w:w w:val="100"/>
          <w:position w:val="0"/>
        </w:rPr>
        <w:t>、公司将大力推进基于移动互联的智慧城管平台，从市民、城市管理者的信息采集环节 到执法管理部门的处置、执法、考评体系，再到全方位的数据展现，逐步将各个步骤集于移 动互联应用平台中，实现多业务的移动化、互联化整合。</w:t>
      </w:r>
    </w:p>
    <w:p>
      <w:pPr>
        <w:pStyle w:val="Style32"/>
        <w:keepNext w:val="0"/>
        <w:keepLines w:val="0"/>
        <w:widowControl w:val="0"/>
        <w:shd w:val="clear" w:color="auto" w:fill="auto"/>
        <w:tabs>
          <w:tab w:pos="877" w:val="left"/>
        </w:tabs>
        <w:bidi w:val="0"/>
        <w:spacing w:before="0" w:after="0" w:line="471" w:lineRule="exact"/>
        <w:ind w:left="0" w:right="0" w:firstLine="500"/>
        <w:jc w:val="both"/>
      </w:pPr>
      <w:bookmarkStart w:id="97" w:name="bookmark97"/>
      <w:r>
        <w:rPr>
          <w:color w:val="000000"/>
          <w:spacing w:val="0"/>
          <w:w w:val="100"/>
          <w:position w:val="0"/>
          <w:sz w:val="24"/>
          <w:szCs w:val="24"/>
        </w:rPr>
        <w:t>2</w:t>
      </w:r>
      <w:bookmarkEnd w:id="97"/>
      <w:r>
        <w:rPr>
          <w:color w:val="000000"/>
          <w:spacing w:val="0"/>
          <w:w w:val="100"/>
          <w:position w:val="0"/>
        </w:rPr>
        <w:t>、</w:t>
        <w:tab/>
        <w:t>加大对社区业务、地下管网业务、网格化安全监控、公用事业监测、文明测评等新业 务的技术研发投入，大力发展新客户，促进新业务的快速发展，为公司发展增添新的竞争力。</w:t>
      </w:r>
    </w:p>
    <w:p>
      <w:pPr>
        <w:pStyle w:val="Style32"/>
        <w:keepNext w:val="0"/>
        <w:keepLines w:val="0"/>
        <w:widowControl w:val="0"/>
        <w:shd w:val="clear" w:color="auto" w:fill="auto"/>
        <w:tabs>
          <w:tab w:pos="877" w:val="left"/>
        </w:tabs>
        <w:bidi w:val="0"/>
        <w:spacing w:before="0" w:after="0" w:line="471" w:lineRule="exact"/>
        <w:ind w:left="0" w:right="0" w:firstLine="500"/>
        <w:jc w:val="both"/>
      </w:pPr>
      <w:bookmarkStart w:id="98" w:name="bookmark98"/>
      <w:r>
        <w:rPr>
          <w:color w:val="000000"/>
          <w:spacing w:val="0"/>
          <w:w w:val="100"/>
          <w:position w:val="0"/>
          <w:sz w:val="24"/>
          <w:szCs w:val="24"/>
        </w:rPr>
        <w:t>3</w:t>
      </w:r>
      <w:bookmarkEnd w:id="98"/>
      <w:r>
        <w:rPr>
          <w:color w:val="000000"/>
          <w:spacing w:val="0"/>
          <w:w w:val="100"/>
          <w:position w:val="0"/>
        </w:rPr>
        <w:t>、</w:t>
        <w:tab/>
        <w:t>打造安防领域的整体解决方案，从智能分析、应用平台、一体化产品和移动产品等四 方面，形成安防领域的整体解决方案。</w:t>
      </w:r>
    </w:p>
    <w:p>
      <w:pPr>
        <w:pStyle w:val="Style32"/>
        <w:keepNext w:val="0"/>
        <w:keepLines w:val="0"/>
        <w:widowControl w:val="0"/>
        <w:shd w:val="clear" w:color="auto" w:fill="auto"/>
        <w:tabs>
          <w:tab w:pos="877" w:val="left"/>
        </w:tabs>
        <w:bidi w:val="0"/>
        <w:spacing w:before="0" w:after="0" w:line="471" w:lineRule="exact"/>
        <w:ind w:left="0" w:right="0" w:firstLine="500"/>
        <w:jc w:val="both"/>
      </w:pPr>
      <w:bookmarkStart w:id="99" w:name="bookmark99"/>
      <w:r>
        <w:rPr>
          <w:color w:val="000000"/>
          <w:spacing w:val="0"/>
          <w:w w:val="100"/>
          <w:position w:val="0"/>
          <w:sz w:val="24"/>
          <w:szCs w:val="24"/>
        </w:rPr>
        <w:t>4</w:t>
      </w:r>
      <w:bookmarkEnd w:id="99"/>
      <w:r>
        <w:rPr>
          <w:color w:val="000000"/>
          <w:spacing w:val="0"/>
          <w:w w:val="100"/>
          <w:position w:val="0"/>
        </w:rPr>
        <w:t>、</w:t>
        <w:tab/>
        <w:t>力争成为国内领先的“智能泊车”解决方案提供商，推出专业的停车场管理智能一体 机，形成一体化的智能停车场解决方案和基于云平台的静态交通解决方案。</w:t>
      </w:r>
    </w:p>
    <w:p>
      <w:pPr>
        <w:pStyle w:val="Style32"/>
        <w:keepNext w:val="0"/>
        <w:keepLines w:val="0"/>
        <w:widowControl w:val="0"/>
        <w:shd w:val="clear" w:color="auto" w:fill="auto"/>
        <w:bidi w:val="0"/>
        <w:spacing w:before="0" w:after="0" w:line="471" w:lineRule="exact"/>
        <w:ind w:left="0" w:right="0" w:firstLine="500"/>
        <w:jc w:val="both"/>
      </w:pPr>
      <w:r>
        <w:rPr>
          <w:color w:val="000000"/>
          <w:spacing w:val="0"/>
          <w:w w:val="100"/>
          <w:position w:val="0"/>
        </w:rPr>
        <w:t>继续完善营销体系</w:t>
      </w:r>
    </w:p>
    <w:p>
      <w:pPr>
        <w:pStyle w:val="Style32"/>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2014</w:t>
      </w:r>
      <w:r>
        <w:rPr>
          <w:color w:val="000000"/>
          <w:spacing w:val="0"/>
          <w:w w:val="100"/>
          <w:position w:val="0"/>
        </w:rPr>
        <w:t>年是公司的“营销年”</w:t>
      </w:r>
      <w:r>
        <w:rPr>
          <w:color w:val="000000"/>
          <w:spacing w:val="0"/>
          <w:w w:val="100"/>
          <w:position w:val="0"/>
          <w:sz w:val="24"/>
          <w:szCs w:val="24"/>
        </w:rPr>
        <w:t>，</w:t>
      </w:r>
      <w:r>
        <w:rPr>
          <w:color w:val="000000"/>
          <w:spacing w:val="0"/>
          <w:w w:val="100"/>
          <w:position w:val="0"/>
        </w:rPr>
        <w:t>公司将进一步加强完善营销体系的建设，注重建立持续销 售系统，关心客户的需求和企业的永续经营。将各项业务“精耕细作”，精细化市场营销体 系是公司发展的必由之路。公司将持续推进市场调研和推广工作，完善培训、销售体系，优 化行业资源管理，推动公司品牌影响力。</w:t>
      </w:r>
    </w:p>
    <w:p>
      <w:pPr>
        <w:pStyle w:val="Style32"/>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加强企业文化建设</w:t>
      </w:r>
    </w:p>
    <w:p>
      <w:pPr>
        <w:pStyle w:val="Style32"/>
        <w:keepNext w:val="0"/>
        <w:keepLines w:val="0"/>
        <w:widowControl w:val="0"/>
        <w:shd w:val="clear" w:color="auto" w:fill="auto"/>
        <w:bidi w:val="0"/>
        <w:spacing w:before="0" w:after="200" w:line="471" w:lineRule="exact"/>
        <w:ind w:left="0" w:right="0" w:firstLine="500"/>
        <w:jc w:val="both"/>
      </w:pPr>
      <w:r>
        <w:rPr>
          <w:color w:val="000000"/>
          <w:spacing w:val="0"/>
          <w:w w:val="100"/>
          <w:position w:val="0"/>
        </w:rPr>
        <w:t>公司将进一步推进企业文化精神建设，在管理制度、日常工作和人才选拔中，将“责任、 创新、诚信、人和”的企业文化落到实处。深化内部管理改革，在责权利下放的同时，针对 各种管理弊端坚决零容忍。进一步优化各部门资源配置，在营销体系中实现突破，在研发团 队中建立以研发组为单位的管理体系，通过一系列的制度制订、改革和完善，促进公司持续 快速的发展。</w:t>
      </w:r>
    </w:p>
    <w:p>
      <w:pPr>
        <w:pStyle w:val="Style26"/>
        <w:keepNext/>
        <w:keepLines/>
        <w:widowControl w:val="0"/>
        <w:shd w:val="clear" w:color="auto" w:fill="auto"/>
        <w:tabs>
          <w:tab w:pos="522" w:val="left"/>
        </w:tabs>
        <w:bidi w:val="0"/>
        <w:spacing w:before="0" w:after="200" w:line="471" w:lineRule="exact"/>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三</w:t>
      </w:r>
      <w:bookmarkEnd w:id="102"/>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00"/>
      <w:bookmarkEnd w:id="101"/>
      <w:bookmarkEnd w:id="103"/>
    </w:p>
    <w:p>
      <w:pPr>
        <w:pStyle w:val="Style32"/>
        <w:keepNext w:val="0"/>
        <w:keepLines w:val="0"/>
        <w:widowControl w:val="0"/>
        <w:shd w:val="clear" w:color="auto" w:fill="auto"/>
        <w:bidi w:val="0"/>
        <w:spacing w:before="0" w:after="200" w:line="471" w:lineRule="exact"/>
        <w:ind w:left="0" w:right="0" w:firstLine="500"/>
        <w:jc w:val="both"/>
      </w:pPr>
      <w:r>
        <w:rPr>
          <w:color w:val="000000"/>
          <w:spacing w:val="0"/>
          <w:w w:val="100"/>
          <w:position w:val="0"/>
        </w:rPr>
        <w:t>不适用</w:t>
      </w:r>
    </w:p>
    <w:p>
      <w:pPr>
        <w:pStyle w:val="Style26"/>
        <w:keepNext/>
        <w:keepLines/>
        <w:widowControl w:val="0"/>
        <w:shd w:val="clear" w:color="auto" w:fill="auto"/>
        <w:tabs>
          <w:tab w:pos="522" w:val="left"/>
        </w:tabs>
        <w:bidi w:val="0"/>
        <w:spacing w:before="0" w:after="200" w:line="471" w:lineRule="exact"/>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四</w:t>
      </w:r>
      <w:bookmarkEnd w:id="106"/>
      <w:r>
        <w:rPr>
          <w:color w:val="000000"/>
          <w:spacing w:val="0"/>
          <w:w w:val="100"/>
          <w:position w:val="0"/>
        </w:rPr>
        <w:t>、</w:t>
        <w:tab/>
        <w:t>董事会关于报告期会计政策、会计估计变更或重要前期差错更正的说明</w:t>
      </w:r>
      <w:bookmarkEnd w:id="104"/>
      <w:bookmarkEnd w:id="105"/>
      <w:bookmarkEnd w:id="107"/>
    </w:p>
    <w:p>
      <w:pPr>
        <w:pStyle w:val="Style32"/>
        <w:keepNext w:val="0"/>
        <w:keepLines w:val="0"/>
        <w:widowControl w:val="0"/>
        <w:shd w:val="clear" w:color="auto" w:fill="auto"/>
        <w:bidi w:val="0"/>
        <w:spacing w:before="0" w:after="200" w:line="471" w:lineRule="exact"/>
        <w:ind w:left="0" w:right="0" w:firstLine="500"/>
        <w:jc w:val="both"/>
      </w:pPr>
      <w:r>
        <w:rPr>
          <w:color w:val="000000"/>
          <w:spacing w:val="0"/>
          <w:w w:val="100"/>
          <w:position w:val="0"/>
        </w:rPr>
        <w:t>不适用</w:t>
      </w:r>
    </w:p>
    <w:p>
      <w:pPr>
        <w:pStyle w:val="Style26"/>
        <w:keepNext/>
        <w:keepLines/>
        <w:widowControl w:val="0"/>
        <w:shd w:val="clear" w:color="auto" w:fill="auto"/>
        <w:tabs>
          <w:tab w:pos="522" w:val="left"/>
        </w:tabs>
        <w:bidi w:val="0"/>
        <w:spacing w:before="0" w:after="380" w:line="471" w:lineRule="exact"/>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五</w:t>
      </w:r>
      <w:bookmarkEnd w:id="110"/>
      <w:r>
        <w:rPr>
          <w:color w:val="000000"/>
          <w:spacing w:val="0"/>
          <w:w w:val="100"/>
          <w:position w:val="0"/>
        </w:rPr>
        <w:t>、</w:t>
        <w:tab/>
        <w:t>公司利润分配及分红派息情况</w:t>
      </w:r>
      <w:bookmarkEnd w:id="108"/>
      <w:bookmarkEnd w:id="109"/>
      <w:bookmarkEnd w:id="11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466" w:lineRule="exact"/>
        <w:ind w:left="0" w:right="0" w:firstLine="500"/>
        <w:jc w:val="both"/>
      </w:pPr>
      <w:r>
        <w:rPr>
          <w:color w:val="000000"/>
          <w:spacing w:val="0"/>
          <w:w w:val="100"/>
          <w:position w:val="0"/>
        </w:rPr>
        <w:t>公司一直严格按照《公司章程》中关于现金分红政策和股东大会对利润分配方案的决议 执行现金分红。报告期内，公司现金分红政策的制定及执行情况，符合《公司章程》的规定, 分红标准和比例明确清晰，相关决策程序完备，独立董事尽职履责，充分维护了中小股东的</w:t>
        <w:br w:type="page"/>
      </w:r>
      <w:r>
        <w:rPr>
          <w:color w:val="000000"/>
          <w:spacing w:val="0"/>
          <w:w w:val="100"/>
          <w:position w:val="0"/>
        </w:rPr>
        <w:t>合法权益。</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pStyle w:val="Style28"/>
        <w:keepNext w:val="0"/>
        <w:keepLines w:val="0"/>
        <w:widowControl w:val="0"/>
        <w:shd w:val="clear" w:color="auto" w:fill="auto"/>
        <w:bidi w:val="0"/>
        <w:spacing w:before="0" w:after="18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221,827,556.50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经瑞华会计师事务所（特殊普通合伙）审计确认，公司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年实现归属母公司股东净利润</w:t>
            </w:r>
            <w:r>
              <w:rPr>
                <w:rFonts w:ascii="Times New Roman" w:eastAsia="Times New Roman" w:hAnsi="Times New Roman" w:cs="Times New Roman"/>
                <w:color w:val="000000"/>
                <w:spacing w:val="0"/>
                <w:w w:val="100"/>
                <w:position w:val="0"/>
                <w:sz w:val="18"/>
                <w:szCs w:val="18"/>
              </w:rPr>
              <w:t>94,035,979.70</w:t>
            </w:r>
            <w:r>
              <w:rPr>
                <w:color w:val="000000"/>
                <w:spacing w:val="0"/>
                <w:w w:val="100"/>
                <w:position w:val="0"/>
                <w:sz w:val="17"/>
                <w:szCs w:val="17"/>
              </w:rPr>
              <w:t>元，按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%计提 法定公积金</w:t>
            </w:r>
            <w:r>
              <w:rPr>
                <w:rFonts w:ascii="Times New Roman" w:eastAsia="Times New Roman" w:hAnsi="Times New Roman" w:cs="Times New Roman"/>
                <w:color w:val="000000"/>
                <w:spacing w:val="0"/>
                <w:w w:val="100"/>
                <w:position w:val="0"/>
                <w:sz w:val="18"/>
                <w:szCs w:val="18"/>
              </w:rPr>
              <w:t>9,526,262.78</w:t>
            </w:r>
            <w:r>
              <w:rPr>
                <w:color w:val="000000"/>
                <w:spacing w:val="0"/>
                <w:w w:val="100"/>
                <w:position w:val="0"/>
                <w:sz w:val="17"/>
                <w:szCs w:val="17"/>
              </w:rPr>
              <w:t>元，加上上年初未分配利润</w:t>
            </w:r>
            <w:r>
              <w:rPr>
                <w:rFonts w:ascii="Times New Roman" w:eastAsia="Times New Roman" w:hAnsi="Times New Roman" w:cs="Times New Roman"/>
                <w:color w:val="000000"/>
                <w:spacing w:val="0"/>
                <w:w w:val="100"/>
                <w:position w:val="0"/>
                <w:sz w:val="18"/>
                <w:szCs w:val="18"/>
              </w:rPr>
              <w:t>154,117,839.58</w:t>
            </w:r>
            <w:r>
              <w:rPr>
                <w:color w:val="000000"/>
                <w:spacing w:val="0"/>
                <w:w w:val="100"/>
                <w:position w:val="0"/>
                <w:sz w:val="17"/>
                <w:szCs w:val="17"/>
              </w:rPr>
              <w:t>元，并扣除</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年度股东股利</w:t>
            </w:r>
            <w:r>
              <w:rPr>
                <w:rFonts w:ascii="Times New Roman" w:eastAsia="Times New Roman" w:hAnsi="Times New Roman" w:cs="Times New Roman"/>
                <w:color w:val="000000"/>
                <w:spacing w:val="0"/>
                <w:w w:val="100"/>
                <w:position w:val="0"/>
                <w:sz w:val="18"/>
                <w:szCs w:val="18"/>
              </w:rPr>
              <w:t>16,800,000.00</w:t>
            </w:r>
            <w:r>
              <w:rPr>
                <w:color w:val="000000"/>
                <w:spacing w:val="0"/>
                <w:w w:val="100"/>
                <w:position w:val="0"/>
                <w:sz w:val="17"/>
                <w:szCs w:val="17"/>
              </w:rPr>
              <w:t xml:space="preserve">元，截至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日，可供股东分配的利润为</w:t>
            </w:r>
            <w:r>
              <w:rPr>
                <w:rFonts w:ascii="Times New Roman" w:eastAsia="Times New Roman" w:hAnsi="Times New Roman" w:cs="Times New Roman"/>
                <w:color w:val="000000"/>
                <w:spacing w:val="0"/>
                <w:w w:val="100"/>
                <w:position w:val="0"/>
                <w:sz w:val="18"/>
                <w:szCs w:val="18"/>
              </w:rPr>
              <w:t>221,827,556.50</w:t>
            </w:r>
            <w:r>
              <w:rPr>
                <w:color w:val="000000"/>
                <w:spacing w:val="0"/>
                <w:w w:val="100"/>
                <w:position w:val="0"/>
                <w:sz w:val="17"/>
                <w:szCs w:val="17"/>
              </w:rPr>
              <w:t>元。公司拟以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日公司总股本</w:t>
            </w:r>
            <w:r>
              <w:rPr>
                <w:rFonts w:ascii="Times New Roman" w:eastAsia="Times New Roman" w:hAnsi="Times New Roman" w:cs="Times New Roman"/>
                <w:color w:val="000000"/>
                <w:spacing w:val="0"/>
                <w:w w:val="100"/>
                <w:position w:val="0"/>
                <w:sz w:val="18"/>
                <w:szCs w:val="18"/>
              </w:rPr>
              <w:t>126,000,000</w:t>
            </w:r>
            <w:r>
              <w:rPr>
                <w:color w:val="000000"/>
                <w:spacing w:val="0"/>
                <w:w w:val="100"/>
                <w:position w:val="0"/>
                <w:sz w:val="17"/>
                <w:szCs w:val="17"/>
              </w:rPr>
              <w:t>股为 基数，向全体股东，向全体股东每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元（含税），共计派发现金红利</w:t>
            </w:r>
            <w:r>
              <w:rPr>
                <w:rFonts w:ascii="Times New Roman" w:eastAsia="Times New Roman" w:hAnsi="Times New Roman" w:cs="Times New Roman"/>
                <w:color w:val="000000"/>
                <w:spacing w:val="0"/>
                <w:w w:val="100"/>
                <w:position w:val="0"/>
                <w:sz w:val="18"/>
                <w:szCs w:val="18"/>
              </w:rPr>
              <w:t>25,200,000.00</w:t>
            </w:r>
            <w:r>
              <w:rPr>
                <w:color w:val="000000"/>
                <w:spacing w:val="0"/>
                <w:w w:val="100"/>
                <w:position w:val="0"/>
                <w:sz w:val="17"/>
                <w:szCs w:val="17"/>
              </w:rPr>
              <w:t>元，剩余未分配利润 结转以后年度分配。同时以资本公积向全体股东每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股，合计转增股本</w:t>
            </w:r>
            <w:r>
              <w:rPr>
                <w:rFonts w:ascii="Times New Roman" w:eastAsia="Times New Roman" w:hAnsi="Times New Roman" w:cs="Times New Roman"/>
                <w:color w:val="000000"/>
                <w:spacing w:val="0"/>
                <w:w w:val="100"/>
                <w:position w:val="0"/>
                <w:sz w:val="18"/>
                <w:szCs w:val="18"/>
              </w:rPr>
              <w:t>63,000,000</w:t>
            </w:r>
            <w:r>
              <w:rPr>
                <w:color w:val="000000"/>
                <w:spacing w:val="0"/>
                <w:w w:val="100"/>
                <w:position w:val="0"/>
                <w:sz w:val="17"/>
                <w:szCs w:val="17"/>
              </w:rPr>
              <w:t>股。转增股本后公司总股本 变更为</w:t>
            </w:r>
            <w:r>
              <w:rPr>
                <w:rFonts w:ascii="Times New Roman" w:eastAsia="Times New Roman" w:hAnsi="Times New Roman" w:cs="Times New Roman"/>
                <w:color w:val="000000"/>
                <w:spacing w:val="0"/>
                <w:w w:val="100"/>
                <w:position w:val="0"/>
                <w:sz w:val="18"/>
                <w:szCs w:val="18"/>
              </w:rPr>
              <w:t>189,000,000</w:t>
            </w:r>
            <w:r>
              <w:rPr>
                <w:color w:val="000000"/>
                <w:spacing w:val="0"/>
                <w:w w:val="100"/>
                <w:position w:val="0"/>
                <w:sz w:val="17"/>
                <w:szCs w:val="17"/>
              </w:rPr>
              <w:t>股。</w:t>
            </w:r>
          </w:p>
        </w:tc>
      </w:tr>
    </w:tbl>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32"/>
        <w:keepNext w:val="0"/>
        <w:keepLines w:val="0"/>
        <w:widowControl w:val="0"/>
        <w:shd w:val="clear" w:color="auto" w:fill="auto"/>
        <w:tabs>
          <w:tab w:pos="872" w:val="left"/>
        </w:tabs>
        <w:bidi w:val="0"/>
        <w:spacing w:before="0" w:after="0" w:line="470" w:lineRule="exact"/>
        <w:ind w:left="0" w:right="0" w:firstLine="480"/>
        <w:jc w:val="both"/>
      </w:pPr>
      <w:bookmarkStart w:id="112" w:name="bookmark112"/>
      <w:r>
        <w:rPr>
          <w:color w:val="000000"/>
          <w:spacing w:val="0"/>
          <w:w w:val="100"/>
          <w:position w:val="0"/>
          <w:sz w:val="24"/>
          <w:szCs w:val="24"/>
        </w:rPr>
        <w:t>1</w:t>
      </w:r>
      <w:bookmarkEnd w:id="112"/>
      <w:r>
        <w:rPr>
          <w:color w:val="000000"/>
          <w:spacing w:val="0"/>
          <w:w w:val="100"/>
          <w:position w:val="0"/>
        </w:rPr>
        <w:t>、</w:t>
        <w:tab/>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日，公司召开</w:t>
      </w:r>
      <w:r>
        <w:rPr>
          <w:color w:val="000000"/>
          <w:spacing w:val="0"/>
          <w:w w:val="100"/>
          <w:position w:val="0"/>
          <w:sz w:val="24"/>
          <w:szCs w:val="24"/>
        </w:rPr>
        <w:t>2011</w:t>
      </w:r>
      <w:r>
        <w:rPr>
          <w:color w:val="000000"/>
          <w:spacing w:val="0"/>
          <w:w w:val="100"/>
          <w:position w:val="0"/>
        </w:rPr>
        <w:t>年度股东大会，审议通过了</w:t>
      </w:r>
      <w:r>
        <w:rPr>
          <w:color w:val="000000"/>
          <w:spacing w:val="0"/>
          <w:w w:val="100"/>
          <w:position w:val="0"/>
          <w:sz w:val="24"/>
          <w:szCs w:val="24"/>
        </w:rPr>
        <w:t>2011</w:t>
      </w:r>
      <w:r>
        <w:rPr>
          <w:color w:val="000000"/>
          <w:spacing w:val="0"/>
          <w:w w:val="100"/>
          <w:position w:val="0"/>
        </w:rPr>
        <w:t>年度利润分配方案：公 司以总股本</w:t>
      </w:r>
      <w:r>
        <w:rPr>
          <w:color w:val="000000"/>
          <w:spacing w:val="0"/>
          <w:w w:val="100"/>
          <w:position w:val="0"/>
          <w:sz w:val="24"/>
          <w:szCs w:val="24"/>
        </w:rPr>
        <w:t>84,000,000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 xml:space="preserve">2. </w:t>
      </w:r>
      <w:r>
        <w:rPr>
          <w:color w:val="000000"/>
          <w:spacing w:val="0"/>
          <w:w w:val="100"/>
          <w:position w:val="0"/>
          <w:sz w:val="24"/>
          <w:szCs w:val="24"/>
        </w:rPr>
        <w:t>00</w:t>
      </w:r>
      <w:r>
        <w:rPr>
          <w:color w:val="000000"/>
          <w:spacing w:val="0"/>
          <w:w w:val="100"/>
          <w:position w:val="0"/>
        </w:rPr>
        <w:t>元（含税），共计派 发现金红利</w:t>
      </w:r>
      <w:r>
        <w:rPr>
          <w:color w:val="000000"/>
          <w:spacing w:val="0"/>
          <w:w w:val="100"/>
          <w:position w:val="0"/>
          <w:sz w:val="24"/>
          <w:szCs w:val="24"/>
        </w:rPr>
        <w:t>16,800,000</w:t>
      </w:r>
      <w:r>
        <w:rPr>
          <w:color w:val="000000"/>
          <w:spacing w:val="0"/>
          <w:w w:val="100"/>
          <w:position w:val="0"/>
        </w:rPr>
        <w:t>元。</w:t>
      </w:r>
    </w:p>
    <w:p>
      <w:pPr>
        <w:pStyle w:val="Style32"/>
        <w:keepNext w:val="0"/>
        <w:keepLines w:val="0"/>
        <w:widowControl w:val="0"/>
        <w:shd w:val="clear" w:color="auto" w:fill="auto"/>
        <w:tabs>
          <w:tab w:pos="392" w:val="left"/>
        </w:tabs>
        <w:bidi w:val="0"/>
        <w:spacing w:before="0" w:after="0" w:line="470" w:lineRule="exact"/>
        <w:ind w:left="0" w:right="0" w:firstLine="480"/>
        <w:jc w:val="both"/>
      </w:pPr>
      <w:bookmarkStart w:id="113" w:name="bookmark113"/>
      <w:r>
        <w:rPr>
          <w:color w:val="000000"/>
          <w:spacing w:val="0"/>
          <w:w w:val="100"/>
          <w:position w:val="0"/>
          <w:sz w:val="24"/>
          <w:szCs w:val="24"/>
        </w:rPr>
        <w:t>2</w:t>
      </w:r>
      <w:bookmarkEnd w:id="113"/>
      <w:r>
        <w:rPr>
          <w:color w:val="000000"/>
          <w:spacing w:val="0"/>
          <w:w w:val="100"/>
          <w:position w:val="0"/>
        </w:rPr>
        <w:t>、</w:t>
        <w:tab/>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16</w:t>
      </w:r>
      <w:r>
        <w:rPr>
          <w:color w:val="000000"/>
          <w:spacing w:val="0"/>
          <w:w w:val="100"/>
          <w:position w:val="0"/>
        </w:rPr>
        <w:t>日，公司召开第二届董事会第八次会议，审议通过了</w:t>
      </w:r>
      <w:r>
        <w:rPr>
          <w:color w:val="000000"/>
          <w:spacing w:val="0"/>
          <w:w w:val="100"/>
          <w:position w:val="0"/>
          <w:sz w:val="24"/>
          <w:szCs w:val="24"/>
        </w:rPr>
        <w:t>2012</w:t>
      </w:r>
      <w:r>
        <w:rPr>
          <w:color w:val="000000"/>
          <w:spacing w:val="0"/>
          <w:w w:val="100"/>
          <w:position w:val="0"/>
        </w:rPr>
        <w:t xml:space="preserve">年度利润分配 </w:t>
      </w:r>
      <w:r>
        <w:rPr>
          <w:color w:val="000000"/>
          <w:spacing w:val="0"/>
          <w:w w:val="100"/>
          <w:position w:val="0"/>
        </w:rPr>
        <w:t>方案：经中瑞岳华会计师事务所有限公司审计确认，公司</w:t>
      </w:r>
      <w:r>
        <w:rPr>
          <w:color w:val="000000"/>
          <w:spacing w:val="0"/>
          <w:w w:val="100"/>
          <w:position w:val="0"/>
          <w:sz w:val="24"/>
          <w:szCs w:val="24"/>
        </w:rPr>
        <w:t>2012</w:t>
      </w:r>
      <w:r>
        <w:rPr>
          <w:color w:val="000000"/>
          <w:spacing w:val="0"/>
          <w:w w:val="100"/>
          <w:position w:val="0"/>
        </w:rPr>
        <w:t xml:space="preserve">年实现归属母公司股东净利润 </w:t>
      </w:r>
      <w:r>
        <w:rPr>
          <w:color w:val="000000"/>
          <w:spacing w:val="0"/>
          <w:w w:val="100"/>
          <w:position w:val="0"/>
          <w:sz w:val="24"/>
          <w:szCs w:val="24"/>
        </w:rPr>
        <w:t>72,229,938.08</w:t>
      </w:r>
      <w:r>
        <w:rPr>
          <w:color w:val="000000"/>
          <w:spacing w:val="0"/>
          <w:w w:val="100"/>
          <w:position w:val="0"/>
        </w:rPr>
        <w:t>元，按</w:t>
      </w:r>
      <w:r>
        <w:rPr>
          <w:color w:val="000000"/>
          <w:spacing w:val="0"/>
          <w:w w:val="100"/>
          <w:position w:val="0"/>
          <w:sz w:val="24"/>
          <w:szCs w:val="24"/>
        </w:rPr>
        <w:t xml:space="preserve">10 </w:t>
      </w:r>
      <w:r>
        <w:rPr>
          <w:color w:val="000000"/>
          <w:spacing w:val="0"/>
          <w:w w:val="100"/>
          <w:position w:val="0"/>
        </w:rPr>
        <w:t>%计提法定公积金</w:t>
      </w:r>
      <w:r>
        <w:rPr>
          <w:color w:val="000000"/>
          <w:spacing w:val="0"/>
          <w:w w:val="100"/>
          <w:position w:val="0"/>
          <w:sz w:val="24"/>
          <w:szCs w:val="24"/>
        </w:rPr>
        <w:t>7,221,328.16</w:t>
      </w:r>
      <w:r>
        <w:rPr>
          <w:color w:val="000000"/>
          <w:spacing w:val="0"/>
          <w:w w:val="100"/>
          <w:position w:val="0"/>
        </w:rPr>
        <w:t xml:space="preserve">元，加上上年初未分配利润 </w:t>
      </w:r>
      <w:r>
        <w:rPr>
          <w:color w:val="000000"/>
          <w:spacing w:val="0"/>
          <w:w w:val="100"/>
          <w:position w:val="0"/>
          <w:sz w:val="24"/>
          <w:szCs w:val="24"/>
        </w:rPr>
        <w:t>105,909,229.66</w:t>
      </w:r>
      <w:r>
        <w:rPr>
          <w:color w:val="000000"/>
          <w:spacing w:val="0"/>
          <w:w w:val="100"/>
          <w:position w:val="0"/>
        </w:rPr>
        <w:t>元，并扣除</w:t>
      </w:r>
      <w:r>
        <w:rPr>
          <w:color w:val="000000"/>
          <w:spacing w:val="0"/>
          <w:w w:val="100"/>
          <w:position w:val="0"/>
          <w:sz w:val="24"/>
          <w:szCs w:val="24"/>
        </w:rPr>
        <w:t>2011</w:t>
      </w:r>
      <w:r>
        <w:rPr>
          <w:color w:val="000000"/>
          <w:spacing w:val="0"/>
          <w:w w:val="100"/>
          <w:position w:val="0"/>
        </w:rPr>
        <w:t>年度股东股利</w:t>
      </w:r>
      <w:r>
        <w:rPr>
          <w:color w:val="000000"/>
          <w:spacing w:val="0"/>
          <w:w w:val="100"/>
          <w:position w:val="0"/>
          <w:sz w:val="24"/>
          <w:szCs w:val="24"/>
        </w:rPr>
        <w:t>16,800,000.0</w:t>
      </w:r>
      <w:r>
        <w:rPr>
          <w:color w:val="000000"/>
          <w:spacing w:val="0"/>
          <w:w w:val="100"/>
          <w:position w:val="0"/>
          <w:sz w:val="24"/>
          <w:szCs w:val="24"/>
        </w:rPr>
        <w:t>0</w:t>
      </w:r>
      <w:r>
        <w:rPr>
          <w:color w:val="000000"/>
          <w:spacing w:val="0"/>
          <w:w w:val="100"/>
          <w:position w:val="0"/>
        </w:rPr>
        <w:t>元,截至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日，可供 股东分配的利润为</w:t>
      </w:r>
      <w:r>
        <w:rPr>
          <w:color w:val="000000"/>
          <w:spacing w:val="0"/>
          <w:w w:val="100"/>
          <w:position w:val="0"/>
          <w:sz w:val="24"/>
          <w:szCs w:val="24"/>
        </w:rPr>
        <w:t xml:space="preserve">154, </w:t>
      </w:r>
      <w:r>
        <w:rPr>
          <w:color w:val="000000"/>
          <w:spacing w:val="0"/>
          <w:w w:val="100"/>
          <w:position w:val="0"/>
          <w:sz w:val="24"/>
          <w:szCs w:val="24"/>
        </w:rPr>
        <w:t>117,839.58</w:t>
      </w:r>
      <w:r>
        <w:rPr>
          <w:color w:val="000000"/>
          <w:spacing w:val="0"/>
          <w:w w:val="100"/>
          <w:position w:val="0"/>
        </w:rPr>
        <w:t>元。公司以总股本</w:t>
      </w:r>
      <w:r>
        <w:rPr>
          <w:color w:val="000000"/>
          <w:spacing w:val="0"/>
          <w:w w:val="100"/>
          <w:position w:val="0"/>
          <w:sz w:val="24"/>
          <w:szCs w:val="24"/>
        </w:rPr>
        <w:t>84,000,000</w:t>
      </w:r>
      <w:r>
        <w:rPr>
          <w:color w:val="000000"/>
          <w:spacing w:val="0"/>
          <w:w w:val="100"/>
          <w:position w:val="0"/>
        </w:rPr>
        <w:t>股为基数，向全体股东每</w:t>
      </w:r>
      <w:r>
        <w:rPr>
          <w:color w:val="000000"/>
          <w:spacing w:val="0"/>
          <w:w w:val="100"/>
          <w:position w:val="0"/>
          <w:sz w:val="24"/>
          <w:szCs w:val="24"/>
        </w:rPr>
        <w:t xml:space="preserve">10 </w:t>
      </w:r>
      <w:r>
        <w:rPr>
          <w:color w:val="000000"/>
          <w:spacing w:val="0"/>
          <w:w w:val="100"/>
          <w:position w:val="0"/>
        </w:rPr>
        <w:t>股派发现金红利</w:t>
      </w:r>
      <w:r>
        <w:rPr>
          <w:color w:val="000000"/>
          <w:spacing w:val="0"/>
          <w:w w:val="100"/>
          <w:position w:val="0"/>
          <w:sz w:val="24"/>
          <w:szCs w:val="24"/>
        </w:rPr>
        <w:t>2</w:t>
      </w:r>
      <w:r>
        <w:rPr>
          <w:color w:val="000000"/>
          <w:spacing w:val="0"/>
          <w:w w:val="100"/>
          <w:position w:val="0"/>
        </w:rPr>
        <w:t>元（含税）</w:t>
      </w:r>
      <w:r>
        <w:rPr>
          <w:color w:val="000000"/>
          <w:spacing w:val="0"/>
          <w:w w:val="100"/>
          <w:position w:val="0"/>
          <w:sz w:val="24"/>
          <w:szCs w:val="24"/>
        </w:rPr>
        <w:t>，</w:t>
      </w:r>
      <w:r>
        <w:rPr>
          <w:color w:val="000000"/>
          <w:spacing w:val="0"/>
          <w:w w:val="100"/>
          <w:position w:val="0"/>
        </w:rPr>
        <w:t>共计派发现金红利</w:t>
      </w:r>
      <w:r>
        <w:rPr>
          <w:color w:val="000000"/>
          <w:spacing w:val="0"/>
          <w:w w:val="100"/>
          <w:position w:val="0"/>
          <w:sz w:val="24"/>
          <w:szCs w:val="24"/>
        </w:rPr>
        <w:t>16,800,000</w:t>
      </w:r>
      <w:r>
        <w:rPr>
          <w:color w:val="000000"/>
          <w:spacing w:val="0"/>
          <w:w w:val="100"/>
          <w:position w:val="0"/>
        </w:rPr>
        <w:t>元，剩余未分配利润结转以后年 度分配。同时以资本公积向全体股东每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股，合计转增股本</w:t>
      </w:r>
      <w:r>
        <w:rPr>
          <w:color w:val="000000"/>
          <w:spacing w:val="0"/>
          <w:w w:val="100"/>
          <w:position w:val="0"/>
          <w:sz w:val="24"/>
          <w:szCs w:val="24"/>
        </w:rPr>
        <w:t>42,000,000.00</w:t>
      </w:r>
      <w:r>
        <w:rPr>
          <w:color w:val="000000"/>
          <w:spacing w:val="0"/>
          <w:w w:val="100"/>
          <w:position w:val="0"/>
        </w:rPr>
        <w:t>股。转增 股本后公司总股本变更为</w:t>
      </w:r>
      <w:r>
        <w:rPr>
          <w:color w:val="000000"/>
          <w:spacing w:val="0"/>
          <w:w w:val="100"/>
          <w:position w:val="0"/>
          <w:sz w:val="24"/>
          <w:szCs w:val="24"/>
        </w:rPr>
        <w:t>126,000,000</w:t>
      </w:r>
      <w:r>
        <w:rPr>
          <w:color w:val="000000"/>
          <w:spacing w:val="0"/>
          <w:w w:val="100"/>
          <w:position w:val="0"/>
        </w:rPr>
        <w:t>股。</w:t>
      </w:r>
    </w:p>
    <w:p>
      <w:pPr>
        <w:pStyle w:val="Style32"/>
        <w:keepNext w:val="0"/>
        <w:keepLines w:val="0"/>
        <w:widowControl w:val="0"/>
        <w:shd w:val="clear" w:color="auto" w:fill="auto"/>
        <w:bidi w:val="0"/>
        <w:spacing w:before="0" w:after="200" w:line="467" w:lineRule="exact"/>
        <w:ind w:left="0" w:right="0" w:firstLine="480"/>
        <w:jc w:val="both"/>
      </w:pPr>
      <w:bookmarkStart w:id="114" w:name="bookmark114"/>
      <w:r>
        <w:rPr>
          <w:color w:val="000000"/>
          <w:spacing w:val="0"/>
          <w:w w:val="100"/>
          <w:position w:val="0"/>
          <w:sz w:val="24"/>
          <w:szCs w:val="24"/>
        </w:rPr>
        <w:t>3</w:t>
      </w:r>
      <w:bookmarkEnd w:id="114"/>
      <w:r>
        <w:rPr>
          <w:color w:val="000000"/>
          <w:spacing w:val="0"/>
          <w:w w:val="100"/>
          <w:position w:val="0"/>
        </w:rPr>
        <w:t>、</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日，公司召开第二届董事会第十九次会议，审议分配预案如下：公司以 总股本</w:t>
      </w:r>
      <w:r>
        <w:rPr>
          <w:color w:val="000000"/>
          <w:spacing w:val="0"/>
          <w:w w:val="100"/>
          <w:position w:val="0"/>
          <w:sz w:val="24"/>
          <w:szCs w:val="24"/>
        </w:rPr>
        <w:t>126,000,000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2</w:t>
      </w:r>
      <w:r>
        <w:rPr>
          <w:color w:val="000000"/>
          <w:spacing w:val="0"/>
          <w:w w:val="100"/>
          <w:position w:val="0"/>
        </w:rPr>
        <w:t>元（含税），共计派发现金 红利</w:t>
      </w:r>
      <w:r>
        <w:rPr>
          <w:color w:val="000000"/>
          <w:spacing w:val="0"/>
          <w:w w:val="100"/>
          <w:position w:val="0"/>
          <w:sz w:val="24"/>
          <w:szCs w:val="24"/>
        </w:rPr>
        <w:t>25,200,000</w:t>
      </w:r>
      <w:r>
        <w:rPr>
          <w:color w:val="000000"/>
          <w:spacing w:val="0"/>
          <w:w w:val="100"/>
          <w:position w:val="0"/>
        </w:rPr>
        <w:t>元，剩余未分配利润结转以后年度分配。同时以资本公积向全体股东每</w:t>
      </w:r>
      <w:r>
        <w:rPr>
          <w:color w:val="000000"/>
          <w:spacing w:val="0"/>
          <w:w w:val="100"/>
          <w:position w:val="0"/>
          <w:sz w:val="24"/>
          <w:szCs w:val="24"/>
        </w:rPr>
        <w:t>10</w:t>
      </w:r>
      <w:r>
        <w:rPr>
          <w:color w:val="000000"/>
          <w:spacing w:val="0"/>
          <w:w w:val="100"/>
          <w:position w:val="0"/>
        </w:rPr>
        <w:t>股 转增</w:t>
      </w:r>
      <w:r>
        <w:rPr>
          <w:color w:val="000000"/>
          <w:spacing w:val="0"/>
          <w:w w:val="100"/>
          <w:position w:val="0"/>
          <w:sz w:val="24"/>
          <w:szCs w:val="24"/>
        </w:rPr>
        <w:t>5</w:t>
      </w:r>
      <w:r>
        <w:rPr>
          <w:color w:val="000000"/>
          <w:spacing w:val="0"/>
          <w:w w:val="100"/>
          <w:position w:val="0"/>
        </w:rPr>
        <w:t>股，合计转增股本</w:t>
      </w:r>
      <w:r>
        <w:rPr>
          <w:color w:val="000000"/>
          <w:spacing w:val="0"/>
          <w:w w:val="100"/>
          <w:position w:val="0"/>
          <w:sz w:val="24"/>
          <w:szCs w:val="24"/>
        </w:rPr>
        <w:t>63,000,000</w:t>
      </w:r>
      <w:r>
        <w:rPr>
          <w:color w:val="000000"/>
          <w:spacing w:val="0"/>
          <w:w w:val="100"/>
          <w:position w:val="0"/>
        </w:rPr>
        <w:t>股。转增股本后公司总股本变更为</w:t>
      </w:r>
      <w:r>
        <w:rPr>
          <w:color w:val="000000"/>
          <w:spacing w:val="0"/>
          <w:w w:val="100"/>
          <w:position w:val="0"/>
          <w:sz w:val="24"/>
          <w:szCs w:val="24"/>
        </w:rPr>
        <w:t>189,000,000</w:t>
      </w:r>
      <w:r>
        <w:rPr>
          <w:color w:val="000000"/>
          <w:spacing w:val="0"/>
          <w:w w:val="100"/>
          <w:position w:val="0"/>
        </w:rPr>
        <w:t>股。</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公司近三年现金分红情况表</w:t>
      </w:r>
    </w:p>
    <w:p>
      <w:pPr>
        <w:pStyle w:val="Style38"/>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94,035,979.70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72,229,938.08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51,931,011.79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公司报告期内盈利且母公司未分配利润为正但未提出现金红利分配预案</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after="199" w:line="1" w:lineRule="exact"/>
      </w:pPr>
    </w:p>
    <w:p>
      <w:pPr>
        <w:pStyle w:val="Style26"/>
        <w:keepNext/>
        <w:keepLines/>
        <w:widowControl w:val="0"/>
        <w:shd w:val="clear" w:color="auto" w:fill="auto"/>
        <w:bidi w:val="0"/>
        <w:spacing w:before="0" w:after="200"/>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六</w:t>
      </w:r>
      <w:bookmarkEnd w:id="117"/>
      <w:r>
        <w:rPr>
          <w:color w:val="000000"/>
          <w:spacing w:val="0"/>
          <w:w w:val="100"/>
          <w:position w:val="0"/>
        </w:rPr>
        <w:t>、内幕信息知情人管理制度的建立和执行情况</w:t>
      </w:r>
      <w:bookmarkEnd w:id="115"/>
      <w:bookmarkEnd w:id="116"/>
      <w:bookmarkEnd w:id="118"/>
    </w:p>
    <w:p>
      <w:pPr>
        <w:pStyle w:val="Style32"/>
        <w:keepNext w:val="0"/>
        <w:keepLines w:val="0"/>
        <w:widowControl w:val="0"/>
        <w:shd w:val="clear" w:color="auto" w:fill="auto"/>
        <w:bidi w:val="0"/>
        <w:spacing w:before="0" w:after="0" w:line="469" w:lineRule="exact"/>
        <w:ind w:left="0" w:right="0" w:firstLine="480"/>
        <w:jc w:val="both"/>
      </w:pPr>
      <w:bookmarkStart w:id="119" w:name="bookmark119"/>
      <w:r>
        <w:rPr>
          <w:color w:val="000000"/>
          <w:spacing w:val="0"/>
          <w:w w:val="100"/>
          <w:position w:val="0"/>
        </w:rPr>
        <w:t>（</w:t>
      </w:r>
      <w:bookmarkEnd w:id="119"/>
      <w:r>
        <w:rPr>
          <w:color w:val="000000"/>
          <w:spacing w:val="0"/>
          <w:w w:val="100"/>
          <w:position w:val="0"/>
        </w:rPr>
        <w:t>一）内幕信息知情人管理制度的制定</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为了规范公司的内幕信息管理，加强内幕信息保密工作，维护信息披露公开、公平、公 正原则，根据《中华人民共和国公司法》、《中华人民共和国证券法》、《深圳证券交易所 创业板股票上市规则》等有关法律、法规、规范性文件及《上市公司建立内幕信息知情人登 记管理制度的规定》、《公司章程》等有关规定，公司制定了《内幕信息知情人备案登记制 度》、《重大信息内部报告制度》、《董事、监事和高级管理人员持有和买卖本公司股票管 理制度》。</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为了进一步完善内幕信息管理制度，公司于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8</w:t>
      </w:r>
      <w:r>
        <w:rPr>
          <w:color w:val="000000"/>
          <w:spacing w:val="0"/>
          <w:w w:val="100"/>
          <w:position w:val="0"/>
        </w:rPr>
        <w:t xml:space="preserve">日召开第一届董事会第二十四次 会议，根据中国证监会《关于上市公司建立内幕信息知情人登记管理制度的规定》（证监会 </w:t>
      </w:r>
      <w:r>
        <w:rPr>
          <w:color w:val="000000"/>
          <w:spacing w:val="0"/>
          <w:w w:val="100"/>
          <w:position w:val="0"/>
        </w:rPr>
        <w:t>公告</w:t>
      </w:r>
      <w:r>
        <w:rPr>
          <w:color w:val="000000"/>
          <w:spacing w:val="0"/>
          <w:w w:val="100"/>
          <w:position w:val="0"/>
          <w:sz w:val="24"/>
          <w:szCs w:val="24"/>
        </w:rPr>
        <w:t>[2011]3</w:t>
      </w:r>
      <w:r>
        <w:rPr>
          <w:color w:val="000000"/>
          <w:spacing w:val="0"/>
          <w:w w:val="100"/>
          <w:position w:val="0"/>
        </w:rPr>
        <w:t>。号）的文件要求，公司对照文件对《内幕信息知情人登记管理制度》进行了梳 理、自查，并对制度进行了修订、完善。制度详见</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10</w:t>
      </w:r>
      <w:r>
        <w:rPr>
          <w:color w:val="000000"/>
          <w:spacing w:val="0"/>
          <w:w w:val="100"/>
          <w:position w:val="0"/>
        </w:rPr>
        <w:t xml:space="preserve">日刊登在巨潮资讯网 </w:t>
      </w:r>
      <w:r>
        <w:rPr>
          <w:color w:val="000000"/>
          <w:spacing w:val="0"/>
          <w:w w:val="100"/>
          <w:position w:val="0"/>
          <w:sz w:val="24"/>
          <w:szCs w:val="24"/>
        </w:rPr>
        <w:t>（</w:t>
      </w:r>
      <w:r>
        <w:rPr>
          <w:color w:val="000000"/>
          <w:spacing w:val="0"/>
          <w:w w:val="100"/>
          <w:position w:val="0"/>
          <w:sz w:val="24"/>
          <w:szCs w:val="24"/>
        </w:rPr>
        <w:t>http://www.cninfo.com.cn）</w:t>
      </w:r>
      <w:r>
        <w:rPr>
          <w:color w:val="000000"/>
          <w:spacing w:val="0"/>
          <w:w w:val="100"/>
          <w:position w:val="0"/>
        </w:rPr>
        <w:t>上的《内幕信息知情人登记管理制度》。</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为了进一步提高公司的规范治理水平，健全、完善适应公司管理需要的内部控制制度， 更加全面地覆盖公司业务活动和内部管理的各个方面和环节。公司于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24</w:t>
      </w:r>
      <w:r>
        <w:rPr>
          <w:color w:val="000000"/>
          <w:spacing w:val="0"/>
          <w:w w:val="100"/>
          <w:position w:val="0"/>
        </w:rPr>
        <w:t>日召开第二 届董事会第三次会议，审议通过《投资者接待工作管理制度》，制度详见</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25</w:t>
      </w:r>
      <w:r>
        <w:rPr>
          <w:color w:val="000000"/>
          <w:spacing w:val="0"/>
          <w:w w:val="100"/>
          <w:position w:val="0"/>
        </w:rPr>
        <w:t>日中 国证监会指定的创业板信息披露网站（</w:t>
      </w:r>
      <w:r>
        <w:rPr>
          <w:color w:val="000000"/>
          <w:spacing w:val="0"/>
          <w:w w:val="100"/>
          <w:position w:val="0"/>
          <w:sz w:val="24"/>
          <w:szCs w:val="24"/>
        </w:rPr>
        <w:t>www.cninfo.com.cn）</w:t>
      </w:r>
      <w:r>
        <w:rPr>
          <w:color w:val="000000"/>
          <w:spacing w:val="0"/>
          <w:w w:val="100"/>
          <w:position w:val="0"/>
        </w:rPr>
        <w:t>。</w:t>
      </w:r>
    </w:p>
    <w:p>
      <w:pPr>
        <w:pStyle w:val="Style32"/>
        <w:keepNext w:val="0"/>
        <w:keepLines w:val="0"/>
        <w:widowControl w:val="0"/>
        <w:shd w:val="clear" w:color="auto" w:fill="auto"/>
        <w:tabs>
          <w:tab w:pos="1105" w:val="left"/>
        </w:tabs>
        <w:bidi w:val="0"/>
        <w:spacing w:before="0" w:after="0" w:line="467" w:lineRule="exact"/>
        <w:ind w:left="0" w:right="0" w:firstLine="500"/>
        <w:jc w:val="both"/>
      </w:pPr>
      <w:bookmarkStart w:id="120" w:name="bookmark120"/>
      <w:r>
        <w:rPr>
          <w:color w:val="000000"/>
          <w:spacing w:val="0"/>
          <w:w w:val="100"/>
          <w:position w:val="0"/>
        </w:rPr>
        <w:t>（</w:t>
      </w:r>
      <w:bookmarkEnd w:id="120"/>
      <w:r>
        <w:rPr>
          <w:color w:val="000000"/>
          <w:spacing w:val="0"/>
          <w:w w:val="100"/>
          <w:position w:val="0"/>
        </w:rPr>
        <w:t>二）</w:t>
        <w:tab/>
        <w:t>内幕信息知情人管理制度的执行情况</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报告期内，公司严格遵守内幕信息保密制度，严格规范信息传递流程，在定期报告披露 期间，对于未公开信息，公司董事会办公室都会严格控制知情人范围并组织相关内幕信息知 情人填写《内幕信息知情人登记表》，如实、完整记录上述信息在公开前的所有内幕信息知 情人名单，以及知情人知悉内幕信息的时间。经公司董事会办公室核实无误后，按照相关法 规规定在向深交所和证监局报送定期报告相关资料的同时报备内幕信息知情人登记情况。</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在定期报告及重大事项披露期间，公司尽量避免接待投资者的调研，努力做好定期报告 及重大事项披露期间的信息保密工作。在日常接待投资者调研时，根据公司《投资者接待工 作管理制度》，证券事务部负责履行相关的信息保密工作程序。在进行调研前，先对调研人 员的个人信息进行备案，同时要求签署投资者（机构）承诺书，并承诺在对外出具报告前需 经上市公司董事会办公室认可。在调研过程中，证券事务部人员认真做好相关会议记录，按 照相关规定填制投资者关系活动记录表，并将投资者关系活动记录表在深交所指定的网站、 公司网站进行公布。</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在其他重大事项未披露前，公司及相关信息披露义务人采取保密措施，签订相关保密协 议，以保证信息处于可控范围。</w:t>
      </w:r>
    </w:p>
    <w:p>
      <w:pPr>
        <w:pStyle w:val="Style32"/>
        <w:keepNext w:val="0"/>
        <w:keepLines w:val="0"/>
        <w:widowControl w:val="0"/>
        <w:shd w:val="clear" w:color="auto" w:fill="auto"/>
        <w:tabs>
          <w:tab w:pos="1105" w:val="left"/>
        </w:tabs>
        <w:bidi w:val="0"/>
        <w:spacing w:before="0" w:after="0" w:line="467" w:lineRule="exact"/>
        <w:ind w:left="0" w:right="0" w:firstLine="500"/>
        <w:jc w:val="both"/>
      </w:pPr>
      <w:bookmarkStart w:id="121" w:name="bookmark121"/>
      <w:r>
        <w:rPr>
          <w:color w:val="000000"/>
          <w:spacing w:val="0"/>
          <w:w w:val="100"/>
          <w:position w:val="0"/>
        </w:rPr>
        <w:t>（</w:t>
      </w:r>
      <w:bookmarkEnd w:id="121"/>
      <w:r>
        <w:rPr>
          <w:color w:val="000000"/>
          <w:spacing w:val="0"/>
          <w:w w:val="100"/>
          <w:position w:val="0"/>
        </w:rPr>
        <w:t>三）</w:t>
        <w:tab/>
        <w:t>报告期内自查内幕信息知情人涉嫌内幕交易以及监管部门的查处和整改情况</w:t>
      </w:r>
    </w:p>
    <w:p>
      <w:pPr>
        <w:pStyle w:val="Style32"/>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报告期公司严格执行了上述制度，未发生内幕信息知情人买卖本公司股票及其衍生品种 的情况；公司及相关人员未发生因内幕信息知情人登记管理制度执行或涉嫌内幕交易被监管 部门采取监管措施及行政处罚的情况。</w:t>
      </w:r>
    </w:p>
    <w:p>
      <w:pPr>
        <w:pStyle w:val="Style32"/>
        <w:keepNext w:val="0"/>
        <w:keepLines w:val="0"/>
        <w:widowControl w:val="0"/>
        <w:shd w:val="clear" w:color="auto" w:fill="auto"/>
        <w:bidi w:val="0"/>
        <w:spacing w:before="0" w:after="320" w:line="467" w:lineRule="exact"/>
        <w:ind w:left="0" w:right="0" w:firstLine="0"/>
        <w:jc w:val="both"/>
      </w:pPr>
      <w:bookmarkStart w:id="122" w:name="bookmark122"/>
      <w:r>
        <w:rPr>
          <w:b/>
          <w:bCs/>
          <w:color w:val="000000"/>
          <w:spacing w:val="0"/>
          <w:w w:val="100"/>
          <w:position w:val="0"/>
        </w:rPr>
        <w:t>七</w:t>
      </w:r>
      <w:bookmarkEnd w:id="122"/>
      <w:r>
        <w:rPr>
          <w:b/>
          <w:bCs/>
          <w:color w:val="000000"/>
          <w:spacing w:val="0"/>
          <w:w w:val="100"/>
          <w:position w:val="0"/>
        </w:rPr>
        <w:t>、报告期内接待调研、沟通、采访等活动登记表</w:t>
      </w:r>
    </w:p>
    <w:tbl>
      <w:tblPr>
        <w:tblOverlap w:val="never"/>
        <w:jc w:val="center"/>
        <w:tblLayout w:type="fixed"/>
      </w:tblPr>
      <w:tblGrid>
        <w:gridCol w:w="1502"/>
        <w:gridCol w:w="1498"/>
        <w:gridCol w:w="1498"/>
        <w:gridCol w:w="1498"/>
        <w:gridCol w:w="1498"/>
        <w:gridCol w:w="2093"/>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谈论的主要内容及提供的 资料</w:t>
            </w:r>
          </w:p>
        </w:tc>
      </w:tr>
    </w:tbl>
    <w:p>
      <w:pPr>
        <w:spacing w:lineRule="exact" w:line="1"/>
        <w:rPr>
          <w:sz w:val="2"/>
          <w:szCs w:val="2"/>
        </w:rPr>
      </w:pPr>
      <w:r>
        <w:br w:type="page"/>
      </w:r>
    </w:p>
    <w:tbl>
      <w:tblPr>
        <w:tblOverlap w:val="never"/>
        <w:jc w:val="center"/>
        <w:tblLayout w:type="fixed"/>
      </w:tblPr>
      <w:tblGrid>
        <w:gridCol w:w="1502"/>
        <w:gridCol w:w="1498"/>
        <w:gridCol w:w="1498"/>
        <w:gridCol w:w="1498"/>
        <w:gridCol w:w="1498"/>
        <w:gridCol w:w="2093"/>
      </w:tblGrid>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海富通基金管理有 限公司，泰康资产 管理有限公司，中 富投资集团，宏源 证券股份有限公 司，招商证券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年总体发展情况 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年度总体规划。</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JP</w:t>
            </w:r>
            <w:r>
              <w:rPr>
                <w:color w:val="000000"/>
                <w:spacing w:val="0"/>
                <w:w w:val="100"/>
                <w:position w:val="0"/>
                <w:sz w:val="17"/>
                <w:szCs w:val="17"/>
              </w:rPr>
              <w:t>摩根公司、中信 证券股份有限公司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公司基本情况介绍和近期 发展状况。</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国金证券、东兴证 券、方正证券、日 信证券、中信建投、 国都证券、海通证 券、泰达宏利基金、 英大财险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公司发展状况和产品介 绍。</w:t>
            </w:r>
          </w:p>
        </w:tc>
      </w:tr>
      <w:tr>
        <w:trPr>
          <w:trHeight w:val="2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 xml:space="preserve">申银万国、银华基 金、博时基金、嘉 实基金、方正富邦 基金、国润创投、 五矿资本、兵工财 务有限责任公司、 </w:t>
            </w:r>
            <w:r>
              <w:rPr>
                <w:rFonts w:ascii="Times New Roman" w:eastAsia="Times New Roman" w:hAnsi="Times New Roman" w:cs="Times New Roman"/>
                <w:color w:val="000000"/>
                <w:spacing w:val="0"/>
                <w:w w:val="100"/>
                <w:position w:val="0"/>
                <w:sz w:val="18"/>
                <w:szCs w:val="18"/>
              </w:rPr>
              <w:t>Ace Capital,LLC</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公司收购汉王智通的影响 和近期业务发展情况。</w:t>
            </w:r>
          </w:p>
        </w:tc>
      </w:tr>
    </w:tbl>
    <w:p>
      <w:pPr>
        <w:sectPr>
          <w:footnotePr>
            <w:pos w:val="pageBottom"/>
            <w:numFmt w:val="decimal"/>
            <w:numRestart w:val="continuous"/>
          </w:footnotePr>
          <w:pgSz w:w="11900" w:h="16840"/>
          <w:pgMar w:top="1326" w:right="508" w:bottom="1480" w:left="852" w:header="0" w:footer="3" w:gutter="0"/>
          <w:cols w:space="720"/>
          <w:noEndnote/>
          <w:rtlGutter w:val="0"/>
          <w:docGrid w:linePitch="360"/>
        </w:sectPr>
      </w:pPr>
    </w:p>
    <w:p>
      <w:pPr>
        <w:pStyle w:val="Style8"/>
        <w:keepNext/>
        <w:keepLines/>
        <w:widowControl w:val="0"/>
        <w:shd w:val="clear" w:color="auto" w:fill="auto"/>
        <w:bidi w:val="0"/>
        <w:spacing w:before="580" w:after="340" w:line="240" w:lineRule="auto"/>
        <w:ind w:left="0" w:right="0" w:firstLine="0"/>
        <w:jc w:val="center"/>
      </w:pPr>
      <w:bookmarkStart w:id="123" w:name="bookmark123"/>
      <w:bookmarkStart w:id="124" w:name="bookmark124"/>
      <w:bookmarkStart w:id="125" w:name="bookmark125"/>
      <w:r>
        <w:rPr>
          <w:color w:val="000000"/>
          <w:spacing w:val="0"/>
          <w:w w:val="100"/>
          <w:position w:val="0"/>
        </w:rPr>
        <w:t>第五节重要事项</w:t>
      </w:r>
      <w:bookmarkEnd w:id="123"/>
      <w:bookmarkEnd w:id="124"/>
      <w:bookmarkEnd w:id="125"/>
    </w:p>
    <w:p>
      <w:pPr>
        <w:pStyle w:val="Style26"/>
        <w:keepNext/>
        <w:keepLines/>
        <w:widowControl w:val="0"/>
        <w:shd w:val="clear" w:color="auto" w:fill="auto"/>
        <w:tabs>
          <w:tab w:pos="517" w:val="left"/>
        </w:tabs>
        <w:bidi w:val="0"/>
        <w:spacing w:before="0" w:after="340" w:line="475" w:lineRule="exact"/>
        <w:ind w:left="0" w:right="0" w:firstLine="0"/>
        <w:jc w:val="left"/>
      </w:pPr>
      <w:bookmarkStart w:id="126" w:name="bookmark126"/>
      <w:bookmarkStart w:id="127" w:name="bookmark127"/>
      <w:bookmarkStart w:id="128" w:name="bookmark128"/>
      <w:bookmarkStart w:id="129" w:name="bookmark129"/>
      <w:bookmarkStart w:id="130" w:name="bookmark130"/>
      <w:r>
        <w:rPr>
          <w:color w:val="000000"/>
          <w:spacing w:val="0"/>
          <w:w w:val="100"/>
          <w:position w:val="0"/>
        </w:rPr>
        <w:t>一</w:t>
      </w:r>
      <w:bookmarkEnd w:id="129"/>
      <w:r>
        <w:rPr>
          <w:color w:val="000000"/>
          <w:spacing w:val="0"/>
          <w:w w:val="100"/>
          <w:position w:val="0"/>
        </w:rPr>
        <w:t>、</w:t>
        <w:tab/>
        <w:t>重大诉讼仲裁事项</w:t>
      </w:r>
      <w:bookmarkEnd w:id="127"/>
      <w:bookmarkEnd w:id="128"/>
      <w:bookmarkEnd w:id="130"/>
      <w:bookmarkEnd w:id="12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00" w:line="475" w:lineRule="exact"/>
        <w:ind w:left="0" w:right="0" w:firstLine="480"/>
        <w:jc w:val="left"/>
      </w:pPr>
      <w:r>
        <w:rPr>
          <w:color w:val="000000"/>
          <w:spacing w:val="0"/>
          <w:w w:val="100"/>
          <w:position w:val="0"/>
        </w:rPr>
        <w:t>本年度公司无重大诉讼、仲裁事项。</w:t>
      </w:r>
    </w:p>
    <w:p>
      <w:pPr>
        <w:pStyle w:val="Style26"/>
        <w:keepNext/>
        <w:keepLines/>
        <w:widowControl w:val="0"/>
        <w:shd w:val="clear" w:color="auto" w:fill="auto"/>
        <w:tabs>
          <w:tab w:pos="517" w:val="left"/>
        </w:tabs>
        <w:bidi w:val="0"/>
        <w:spacing w:before="0" w:after="200" w:line="475"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二</w:t>
      </w:r>
      <w:bookmarkEnd w:id="133"/>
      <w:r>
        <w:rPr>
          <w:color w:val="000000"/>
          <w:spacing w:val="0"/>
          <w:w w:val="100"/>
          <w:position w:val="0"/>
        </w:rPr>
        <w:t>、</w:t>
        <w:tab/>
        <w:t>公司股权激励的实施情况及其影响</w:t>
      </w:r>
      <w:bookmarkEnd w:id="131"/>
      <w:bookmarkEnd w:id="132"/>
      <w:bookmarkEnd w:id="134"/>
    </w:p>
    <w:p>
      <w:pPr>
        <w:pStyle w:val="Style32"/>
        <w:keepNext w:val="0"/>
        <w:keepLines w:val="0"/>
        <w:widowControl w:val="0"/>
        <w:shd w:val="clear" w:color="auto" w:fill="auto"/>
        <w:bidi w:val="0"/>
        <w:spacing w:before="0" w:after="0" w:line="475" w:lineRule="exact"/>
        <w:ind w:left="0" w:right="0" w:firstLine="480"/>
        <w:jc w:val="both"/>
      </w:pPr>
      <w:bookmarkStart w:id="135" w:name="bookmark135"/>
      <w:r>
        <w:rPr>
          <w:color w:val="000000"/>
          <w:spacing w:val="0"/>
          <w:w w:val="100"/>
          <w:position w:val="0"/>
        </w:rPr>
        <w:t>（</w:t>
      </w:r>
      <w:bookmarkEnd w:id="135"/>
      <w:r>
        <w:rPr>
          <w:color w:val="000000"/>
          <w:spacing w:val="0"/>
          <w:w w:val="100"/>
          <w:position w:val="0"/>
        </w:rPr>
        <w:t>一）公司股权激励的基本情况</w:t>
      </w:r>
    </w:p>
    <w:p>
      <w:pPr>
        <w:pStyle w:val="Style32"/>
        <w:keepNext w:val="0"/>
        <w:keepLines w:val="0"/>
        <w:widowControl w:val="0"/>
        <w:shd w:val="clear" w:color="auto" w:fill="auto"/>
        <w:tabs>
          <w:tab w:pos="877" w:val="left"/>
        </w:tabs>
        <w:bidi w:val="0"/>
        <w:spacing w:before="0" w:after="0" w:line="475" w:lineRule="exact"/>
        <w:ind w:left="0" w:right="0" w:firstLine="480"/>
        <w:jc w:val="both"/>
      </w:pPr>
      <w:bookmarkStart w:id="136" w:name="bookmark136"/>
      <w:r>
        <w:rPr>
          <w:color w:val="000000"/>
          <w:spacing w:val="0"/>
          <w:w w:val="100"/>
          <w:position w:val="0"/>
          <w:sz w:val="24"/>
          <w:szCs w:val="24"/>
        </w:rPr>
        <w:t>1</w:t>
      </w:r>
      <w:bookmarkEnd w:id="136"/>
      <w:r>
        <w:rPr>
          <w:color w:val="000000"/>
          <w:spacing w:val="0"/>
          <w:w w:val="100"/>
          <w:position w:val="0"/>
        </w:rPr>
        <w:t>、</w:t>
        <w:tab/>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12</w:t>
      </w:r>
      <w:r>
        <w:rPr>
          <w:color w:val="000000"/>
          <w:spacing w:val="0"/>
          <w:w w:val="100"/>
          <w:position w:val="0"/>
        </w:rPr>
        <w:t>日，公司第一届董事会第十九次会议审议通过的《北京数字政通科技 股份有限公司股票期权激励计划（草案）》，公司独立董事对此发表了独立意见；</w:t>
      </w:r>
    </w:p>
    <w:p>
      <w:pPr>
        <w:pStyle w:val="Style32"/>
        <w:keepNext w:val="0"/>
        <w:keepLines w:val="0"/>
        <w:widowControl w:val="0"/>
        <w:shd w:val="clear" w:color="auto" w:fill="auto"/>
        <w:tabs>
          <w:tab w:pos="877" w:val="left"/>
        </w:tabs>
        <w:bidi w:val="0"/>
        <w:spacing w:before="0" w:after="0" w:line="475" w:lineRule="exact"/>
        <w:ind w:left="0" w:right="0" w:firstLine="480"/>
        <w:jc w:val="both"/>
      </w:pPr>
      <w:bookmarkStart w:id="137" w:name="bookmark137"/>
      <w:r>
        <w:rPr>
          <w:color w:val="000000"/>
          <w:spacing w:val="0"/>
          <w:w w:val="100"/>
          <w:position w:val="0"/>
          <w:sz w:val="24"/>
          <w:szCs w:val="24"/>
        </w:rPr>
        <w:t>2</w:t>
      </w:r>
      <w:bookmarkEnd w:id="137"/>
      <w:r>
        <w:rPr>
          <w:color w:val="000000"/>
          <w:spacing w:val="0"/>
          <w:w w:val="100"/>
          <w:position w:val="0"/>
        </w:rPr>
        <w:t>、</w:t>
        <w:tab/>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12</w:t>
      </w:r>
      <w:r>
        <w:rPr>
          <w:color w:val="000000"/>
          <w:spacing w:val="0"/>
          <w:w w:val="100"/>
          <w:position w:val="0"/>
        </w:rPr>
        <w:t>日，公司第一届监事会第十次会议审议通过了《北京数字政通科技股 份有限公司股票期权激励计划（草案）》，并认为激励对象名单符合公司股票期权激励计划</w:t>
      </w:r>
    </w:p>
    <w:p>
      <w:pPr>
        <w:pStyle w:val="Style32"/>
        <w:keepNext w:val="0"/>
        <w:keepLines w:val="0"/>
        <w:widowControl w:val="0"/>
        <w:shd w:val="clear" w:color="auto" w:fill="auto"/>
        <w:bidi w:val="0"/>
        <w:spacing w:before="0" w:after="0" w:line="509" w:lineRule="exact"/>
        <w:ind w:left="0" w:right="0" w:firstLine="0"/>
        <w:jc w:val="both"/>
      </w:pPr>
      <w:r>
        <w:rPr>
          <w:color w:val="000000"/>
          <w:spacing w:val="0"/>
          <w:w w:val="100"/>
          <w:position w:val="0"/>
        </w:rPr>
        <w:t>（草案）规定的激励对象范围，其作为公司股票期权激励计划激励对象的主体资格合法、有 效；</w:t>
      </w:r>
    </w:p>
    <w:p>
      <w:pPr>
        <w:pStyle w:val="Style32"/>
        <w:keepNext w:val="0"/>
        <w:keepLines w:val="0"/>
        <w:widowControl w:val="0"/>
        <w:shd w:val="clear" w:color="auto" w:fill="auto"/>
        <w:tabs>
          <w:tab w:pos="872" w:val="left"/>
        </w:tabs>
        <w:bidi w:val="0"/>
        <w:spacing w:before="0" w:after="0" w:line="473" w:lineRule="exact"/>
        <w:ind w:left="0" w:right="0" w:firstLine="480"/>
        <w:jc w:val="both"/>
      </w:pPr>
      <w:bookmarkStart w:id="138" w:name="bookmark138"/>
      <w:r>
        <w:rPr>
          <w:color w:val="000000"/>
          <w:spacing w:val="0"/>
          <w:w w:val="100"/>
          <w:position w:val="0"/>
          <w:sz w:val="24"/>
          <w:szCs w:val="24"/>
        </w:rPr>
        <w:t>3</w:t>
      </w:r>
      <w:bookmarkEnd w:id="138"/>
      <w:r>
        <w:rPr>
          <w:color w:val="000000"/>
          <w:spacing w:val="0"/>
          <w:w w:val="100"/>
          <w:position w:val="0"/>
        </w:rPr>
        <w:t>、</w:t>
        <w:tab/>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日，公司第一届董事会</w:t>
      </w:r>
      <w:r>
        <w:rPr>
          <w:color w:val="000000"/>
          <w:spacing w:val="0"/>
          <w:w w:val="100"/>
          <w:position w:val="0"/>
          <w:sz w:val="24"/>
          <w:szCs w:val="24"/>
        </w:rPr>
        <w:t>2011</w:t>
      </w:r>
      <w:r>
        <w:rPr>
          <w:color w:val="000000"/>
          <w:spacing w:val="0"/>
          <w:w w:val="100"/>
          <w:position w:val="0"/>
        </w:rPr>
        <w:t>年第一次临时会议审议通过了《北京数 字政通科技股份有限公司股票期权激励计划（草案修订稿）》，并已报中国证监会审核无异 议。公司独立董事对此修订稿发表了独立意见；</w:t>
      </w:r>
    </w:p>
    <w:p>
      <w:pPr>
        <w:pStyle w:val="Style32"/>
        <w:keepNext w:val="0"/>
        <w:keepLines w:val="0"/>
        <w:widowControl w:val="0"/>
        <w:shd w:val="clear" w:color="auto" w:fill="auto"/>
        <w:tabs>
          <w:tab w:pos="877" w:val="left"/>
        </w:tabs>
        <w:bidi w:val="0"/>
        <w:spacing w:before="0" w:after="0" w:line="473" w:lineRule="exact"/>
        <w:ind w:left="0" w:right="0" w:firstLine="480"/>
        <w:jc w:val="both"/>
      </w:pPr>
      <w:bookmarkStart w:id="139" w:name="bookmark139"/>
      <w:r>
        <w:rPr>
          <w:color w:val="000000"/>
          <w:spacing w:val="0"/>
          <w:w w:val="100"/>
          <w:position w:val="0"/>
          <w:sz w:val="24"/>
          <w:szCs w:val="24"/>
        </w:rPr>
        <w:t>4</w:t>
      </w:r>
      <w:bookmarkEnd w:id="139"/>
      <w:r>
        <w:rPr>
          <w:color w:val="000000"/>
          <w:spacing w:val="0"/>
          <w:w w:val="100"/>
          <w:position w:val="0"/>
        </w:rPr>
        <w:t>、</w:t>
        <w:tab/>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日，公司第一届监事会</w:t>
      </w:r>
      <w:r>
        <w:rPr>
          <w:color w:val="000000"/>
          <w:spacing w:val="0"/>
          <w:w w:val="100"/>
          <w:position w:val="0"/>
          <w:sz w:val="24"/>
          <w:szCs w:val="24"/>
        </w:rPr>
        <w:t>2011</w:t>
      </w:r>
      <w:r>
        <w:rPr>
          <w:color w:val="000000"/>
          <w:spacing w:val="0"/>
          <w:w w:val="100"/>
          <w:position w:val="0"/>
        </w:rPr>
        <w:t>年第一次临时会议审议通过了《北京数 字政通科技股份有限公司股票期权激励计划（草案修订稿）》，且认为激励对象名单符合《股 票期权激励计划》规定的激励对象范围，其作为公司股票期权激励计划激励对象的主体资格 合法、有效；</w:t>
      </w:r>
    </w:p>
    <w:p>
      <w:pPr>
        <w:pStyle w:val="Style32"/>
        <w:keepNext w:val="0"/>
        <w:keepLines w:val="0"/>
        <w:widowControl w:val="0"/>
        <w:shd w:val="clear" w:color="auto" w:fill="auto"/>
        <w:tabs>
          <w:tab w:pos="882" w:val="left"/>
        </w:tabs>
        <w:bidi w:val="0"/>
        <w:spacing w:before="0" w:after="0" w:line="490" w:lineRule="exact"/>
        <w:ind w:left="0" w:right="0" w:firstLine="480"/>
        <w:jc w:val="both"/>
      </w:pPr>
      <w:bookmarkStart w:id="140" w:name="bookmark140"/>
      <w:r>
        <w:rPr>
          <w:color w:val="000000"/>
          <w:spacing w:val="0"/>
          <w:w w:val="100"/>
          <w:position w:val="0"/>
          <w:sz w:val="24"/>
          <w:szCs w:val="24"/>
        </w:rPr>
        <w:t>5</w:t>
      </w:r>
      <w:bookmarkEnd w:id="140"/>
      <w:r>
        <w:rPr>
          <w:color w:val="000000"/>
          <w:spacing w:val="0"/>
          <w:w w:val="100"/>
          <w:position w:val="0"/>
        </w:rPr>
        <w:t>、</w:t>
        <w:tab/>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5</w:t>
      </w:r>
      <w:r>
        <w:rPr>
          <w:color w:val="000000"/>
          <w:spacing w:val="0"/>
          <w:w w:val="100"/>
          <w:position w:val="0"/>
        </w:rPr>
        <w:t>日，公司</w:t>
      </w:r>
      <w:r>
        <w:rPr>
          <w:color w:val="000000"/>
          <w:spacing w:val="0"/>
          <w:w w:val="100"/>
          <w:position w:val="0"/>
          <w:sz w:val="24"/>
          <w:szCs w:val="24"/>
        </w:rPr>
        <w:t>2012</w:t>
      </w:r>
      <w:r>
        <w:rPr>
          <w:color w:val="000000"/>
          <w:spacing w:val="0"/>
          <w:w w:val="100"/>
          <w:position w:val="0"/>
        </w:rPr>
        <w:t>年第一次临时股东大会逐项审议通过了《北京数字政通 科技股份有限公司股票期权激励计划（草案修订稿）》；</w:t>
      </w:r>
    </w:p>
    <w:p>
      <w:pPr>
        <w:pStyle w:val="Style32"/>
        <w:keepNext w:val="0"/>
        <w:keepLines w:val="0"/>
        <w:widowControl w:val="0"/>
        <w:shd w:val="clear" w:color="auto" w:fill="auto"/>
        <w:tabs>
          <w:tab w:pos="877" w:val="left"/>
        </w:tabs>
        <w:bidi w:val="0"/>
        <w:spacing w:before="0" w:after="0" w:line="478" w:lineRule="exact"/>
        <w:ind w:left="0" w:right="0" w:firstLine="480"/>
        <w:jc w:val="both"/>
      </w:pPr>
      <w:bookmarkStart w:id="141" w:name="bookmark141"/>
      <w:r>
        <w:rPr>
          <w:color w:val="000000"/>
          <w:spacing w:val="0"/>
          <w:w w:val="100"/>
          <w:position w:val="0"/>
          <w:sz w:val="24"/>
          <w:szCs w:val="24"/>
        </w:rPr>
        <w:t>6</w:t>
      </w:r>
      <w:bookmarkEnd w:id="141"/>
      <w:r>
        <w:rPr>
          <w:color w:val="000000"/>
          <w:spacing w:val="0"/>
          <w:w w:val="100"/>
          <w:position w:val="0"/>
        </w:rPr>
        <w:t>、</w:t>
        <w:tab/>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日，公司第一届董事会</w:t>
      </w:r>
      <w:r>
        <w:rPr>
          <w:color w:val="000000"/>
          <w:spacing w:val="0"/>
          <w:w w:val="100"/>
          <w:position w:val="0"/>
          <w:sz w:val="24"/>
          <w:szCs w:val="24"/>
        </w:rPr>
        <w:t>2012</w:t>
      </w:r>
      <w:r>
        <w:rPr>
          <w:color w:val="000000"/>
          <w:spacing w:val="0"/>
          <w:w w:val="100"/>
          <w:position w:val="0"/>
        </w:rPr>
        <w:t>年第一次临时会议审议通过了《关于公司 股权激励计划所涉股票期权首期授予的议案》，独立董事关于公司股票期权激励计划所涉首 次期权授予相关事项发表了独立意见。</w:t>
      </w:r>
    </w:p>
    <w:p>
      <w:pPr>
        <w:pStyle w:val="Style32"/>
        <w:keepNext w:val="0"/>
        <w:keepLines w:val="0"/>
        <w:widowControl w:val="0"/>
        <w:shd w:val="clear" w:color="auto" w:fill="auto"/>
        <w:tabs>
          <w:tab w:pos="882" w:val="left"/>
        </w:tabs>
        <w:bidi w:val="0"/>
        <w:spacing w:before="0" w:after="0" w:line="475" w:lineRule="exact"/>
        <w:ind w:left="0" w:right="0" w:firstLine="480"/>
        <w:jc w:val="both"/>
      </w:pPr>
      <w:bookmarkStart w:id="142" w:name="bookmark142"/>
      <w:r>
        <w:rPr>
          <w:color w:val="000000"/>
          <w:spacing w:val="0"/>
          <w:w w:val="100"/>
          <w:position w:val="0"/>
          <w:sz w:val="24"/>
          <w:szCs w:val="24"/>
        </w:rPr>
        <w:t>7</w:t>
      </w:r>
      <w:bookmarkEnd w:id="142"/>
      <w:r>
        <w:rPr>
          <w:color w:val="000000"/>
          <w:spacing w:val="0"/>
          <w:w w:val="100"/>
          <w:position w:val="0"/>
        </w:rPr>
        <w:t>、</w:t>
        <w:tab/>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日，公司第一届监事会</w:t>
      </w:r>
      <w:r>
        <w:rPr>
          <w:color w:val="000000"/>
          <w:spacing w:val="0"/>
          <w:w w:val="100"/>
          <w:position w:val="0"/>
          <w:sz w:val="24"/>
          <w:szCs w:val="24"/>
        </w:rPr>
        <w:t>2012</w:t>
      </w:r>
      <w:r>
        <w:rPr>
          <w:color w:val="000000"/>
          <w:spacing w:val="0"/>
          <w:w w:val="100"/>
          <w:position w:val="0"/>
        </w:rPr>
        <w:t xml:space="preserve">年第一次临时会议审议通过了《关于公司 股权激励计划所涉股票期权首期授予的议案》，认为首次获授股票期权的激励对象作为公司 股票期权激励计划激励对象的主体资格合法、有效，同意激励对象按照《股票期权激励计划》 </w:t>
      </w:r>
      <w:r>
        <w:rPr>
          <w:color w:val="000000"/>
          <w:spacing w:val="0"/>
          <w:w w:val="100"/>
          <w:position w:val="0"/>
        </w:rPr>
        <w:t>有关规定获授股票期权。</w:t>
      </w:r>
    </w:p>
    <w:p>
      <w:pPr>
        <w:pStyle w:val="Style32"/>
        <w:keepNext w:val="0"/>
        <w:keepLines w:val="0"/>
        <w:widowControl w:val="0"/>
        <w:shd w:val="clear" w:color="auto" w:fill="auto"/>
        <w:tabs>
          <w:tab w:pos="877" w:val="left"/>
        </w:tabs>
        <w:bidi w:val="0"/>
        <w:spacing w:before="0" w:after="0" w:line="472" w:lineRule="exact"/>
        <w:ind w:left="0" w:right="0" w:firstLine="500"/>
        <w:jc w:val="both"/>
      </w:pPr>
      <w:bookmarkStart w:id="143" w:name="bookmark143"/>
      <w:r>
        <w:rPr>
          <w:color w:val="000000"/>
          <w:spacing w:val="0"/>
          <w:w w:val="100"/>
          <w:position w:val="0"/>
          <w:sz w:val="24"/>
          <w:szCs w:val="24"/>
        </w:rPr>
        <w:t>8</w:t>
      </w:r>
      <w:bookmarkEnd w:id="143"/>
      <w:r>
        <w:rPr>
          <w:color w:val="000000"/>
          <w:spacing w:val="0"/>
          <w:w w:val="100"/>
          <w:position w:val="0"/>
        </w:rPr>
        <w:t>、</w:t>
        <w:tab/>
        <w:t>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日分别召开第二届董事会第六次会议、第二届监事会第五次 会议审议通过《关于公司首期股票期权激励计划预留期权授予相关事项的议案》。计划于</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日向</w:t>
      </w:r>
      <w:r>
        <w:rPr>
          <w:color w:val="000000"/>
          <w:spacing w:val="0"/>
          <w:w w:val="100"/>
          <w:position w:val="0"/>
          <w:sz w:val="24"/>
          <w:szCs w:val="24"/>
        </w:rPr>
        <w:t>18</w:t>
      </w:r>
      <w:r>
        <w:rPr>
          <w:color w:val="000000"/>
          <w:spacing w:val="0"/>
          <w:w w:val="100"/>
          <w:position w:val="0"/>
        </w:rPr>
        <w:t>名激励对象授出</w:t>
      </w:r>
      <w:r>
        <w:rPr>
          <w:color w:val="000000"/>
          <w:spacing w:val="0"/>
          <w:w w:val="100"/>
          <w:position w:val="0"/>
          <w:sz w:val="24"/>
          <w:szCs w:val="24"/>
        </w:rPr>
        <w:t>18.00</w:t>
      </w:r>
      <w:r>
        <w:rPr>
          <w:color w:val="000000"/>
          <w:spacing w:val="0"/>
          <w:w w:val="100"/>
          <w:position w:val="0"/>
        </w:rPr>
        <w:t>万份预留期权，行权价格为</w:t>
      </w:r>
      <w:r>
        <w:rPr>
          <w:color w:val="000000"/>
          <w:spacing w:val="0"/>
          <w:w w:val="100"/>
          <w:position w:val="0"/>
          <w:sz w:val="24"/>
          <w:szCs w:val="24"/>
        </w:rPr>
        <w:t>25.42</w:t>
      </w:r>
      <w:r>
        <w:rPr>
          <w:color w:val="000000"/>
          <w:spacing w:val="0"/>
          <w:w w:val="100"/>
          <w:position w:val="0"/>
        </w:rPr>
        <w:t>元。</w:t>
      </w:r>
    </w:p>
    <w:p>
      <w:pPr>
        <w:pStyle w:val="Style32"/>
        <w:keepNext w:val="0"/>
        <w:keepLines w:val="0"/>
        <w:widowControl w:val="0"/>
        <w:shd w:val="clear" w:color="auto" w:fill="auto"/>
        <w:tabs>
          <w:tab w:pos="877" w:val="left"/>
        </w:tabs>
        <w:bidi w:val="0"/>
        <w:spacing w:before="0" w:after="0" w:line="472" w:lineRule="exact"/>
        <w:ind w:left="0" w:right="0" w:firstLine="500"/>
        <w:jc w:val="both"/>
      </w:pPr>
      <w:bookmarkStart w:id="144" w:name="bookmark144"/>
      <w:r>
        <w:rPr>
          <w:color w:val="000000"/>
          <w:spacing w:val="0"/>
          <w:w w:val="100"/>
          <w:position w:val="0"/>
          <w:sz w:val="24"/>
          <w:szCs w:val="24"/>
        </w:rPr>
        <w:t>9</w:t>
      </w:r>
      <w:bookmarkEnd w:id="144"/>
      <w:r>
        <w:rPr>
          <w:color w:val="000000"/>
          <w:spacing w:val="0"/>
          <w:w w:val="100"/>
          <w:position w:val="0"/>
        </w:rPr>
        <w:t>、</w:t>
        <w:tab/>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4</w:t>
      </w:r>
      <w:r>
        <w:rPr>
          <w:color w:val="000000"/>
          <w:spacing w:val="0"/>
          <w:w w:val="100"/>
          <w:position w:val="0"/>
        </w:rPr>
        <w:t>日，公司第二届董事会第十一次会议审议通过了《关于调整股票期权数量 及行权价格的议案》，根据《北京数字政通科技股份有限公司股票期权激励计划（草案修订 稿），对股权激励价格和数量做出了调整。</w:t>
      </w:r>
    </w:p>
    <w:p>
      <w:pPr>
        <w:pStyle w:val="Style32"/>
        <w:keepNext w:val="0"/>
        <w:keepLines w:val="0"/>
        <w:widowControl w:val="0"/>
        <w:shd w:val="clear" w:color="auto" w:fill="auto"/>
        <w:bidi w:val="0"/>
        <w:spacing w:before="0" w:after="0" w:line="472" w:lineRule="exact"/>
        <w:ind w:left="0" w:right="0" w:firstLine="500"/>
        <w:jc w:val="both"/>
      </w:pPr>
      <w:bookmarkStart w:id="145" w:name="bookmark145"/>
      <w:r>
        <w:rPr>
          <w:color w:val="000000"/>
          <w:spacing w:val="0"/>
          <w:w w:val="100"/>
          <w:position w:val="0"/>
        </w:rPr>
        <w:t>（</w:t>
      </w:r>
      <w:bookmarkEnd w:id="145"/>
      <w:r>
        <w:rPr>
          <w:color w:val="000000"/>
          <w:spacing w:val="0"/>
          <w:w w:val="100"/>
          <w:position w:val="0"/>
        </w:rPr>
        <w:t>二）公司股权激励的行权情况</w:t>
      </w:r>
    </w:p>
    <w:p>
      <w:pPr>
        <w:pStyle w:val="Style32"/>
        <w:keepNext w:val="0"/>
        <w:keepLines w:val="0"/>
        <w:widowControl w:val="0"/>
        <w:shd w:val="clear" w:color="auto" w:fill="auto"/>
        <w:tabs>
          <w:tab w:pos="878" w:val="left"/>
        </w:tabs>
        <w:bidi w:val="0"/>
        <w:spacing w:before="0" w:after="0" w:line="472" w:lineRule="exact"/>
        <w:ind w:left="0" w:right="0" w:firstLine="500"/>
        <w:jc w:val="both"/>
      </w:pPr>
      <w:bookmarkStart w:id="146" w:name="bookmark146"/>
      <w:r>
        <w:rPr>
          <w:color w:val="000000"/>
          <w:spacing w:val="0"/>
          <w:w w:val="100"/>
          <w:position w:val="0"/>
          <w:sz w:val="24"/>
          <w:szCs w:val="24"/>
        </w:rPr>
        <w:t>1</w:t>
      </w:r>
      <w:bookmarkEnd w:id="146"/>
      <w:r>
        <w:rPr>
          <w:color w:val="000000"/>
          <w:spacing w:val="0"/>
          <w:w w:val="100"/>
          <w:position w:val="0"/>
        </w:rPr>
        <w:t>、</w:t>
        <w:tab/>
        <w:t>报告期内，公司股权激励计划尚处于等待期，未进行行权。</w:t>
      </w:r>
    </w:p>
    <w:p>
      <w:pPr>
        <w:pStyle w:val="Style32"/>
        <w:keepNext w:val="0"/>
        <w:keepLines w:val="0"/>
        <w:widowControl w:val="0"/>
        <w:shd w:val="clear" w:color="auto" w:fill="auto"/>
        <w:tabs>
          <w:tab w:pos="877" w:val="left"/>
        </w:tabs>
        <w:bidi w:val="0"/>
        <w:spacing w:before="0" w:after="100" w:line="472" w:lineRule="exact"/>
        <w:ind w:left="0" w:right="0" w:firstLine="500"/>
        <w:jc w:val="both"/>
      </w:pPr>
      <w:bookmarkStart w:id="147" w:name="bookmark147"/>
      <w:r>
        <w:rPr>
          <w:color w:val="000000"/>
          <w:spacing w:val="0"/>
          <w:w w:val="100"/>
          <w:position w:val="0"/>
          <w:sz w:val="24"/>
          <w:szCs w:val="24"/>
        </w:rPr>
        <w:t>2</w:t>
      </w:r>
      <w:bookmarkEnd w:id="147"/>
      <w:r>
        <w:rPr>
          <w:color w:val="000000"/>
          <w:spacing w:val="0"/>
          <w:w w:val="100"/>
          <w:position w:val="0"/>
        </w:rPr>
        <w:t>、</w:t>
        <w:tab/>
        <w:t>公司《股票期权激励计划》的规定，获授股票期权的行权条件：本计划首次授予（包 括预留股份）在</w:t>
      </w:r>
      <w:r>
        <w:rPr>
          <w:color w:val="000000"/>
          <w:spacing w:val="0"/>
          <w:w w:val="100"/>
          <w:position w:val="0"/>
          <w:sz w:val="24"/>
          <w:szCs w:val="24"/>
        </w:rPr>
        <w:t>2012-2014</w:t>
      </w:r>
      <w:r>
        <w:rPr>
          <w:color w:val="000000"/>
          <w:spacing w:val="0"/>
          <w:w w:val="100"/>
          <w:position w:val="0"/>
        </w:rPr>
        <w:t>年的</w:t>
      </w:r>
      <w:r>
        <w:rPr>
          <w:color w:val="000000"/>
          <w:spacing w:val="0"/>
          <w:w w:val="100"/>
          <w:position w:val="0"/>
          <w:sz w:val="24"/>
          <w:szCs w:val="24"/>
        </w:rPr>
        <w:t>3</w:t>
      </w:r>
      <w:r>
        <w:rPr>
          <w:color w:val="000000"/>
          <w:spacing w:val="0"/>
          <w:w w:val="100"/>
          <w:position w:val="0"/>
        </w:rPr>
        <w:t>个会计年度中，分年度进行绩效考核并行权，每个会计年度 考核一次，以达到绩效考核目标作为激励对象的行权条件。各年度绩效考核目标如表所示：</w:t>
      </w:r>
    </w:p>
    <w:tbl>
      <w:tblPr>
        <w:tblOverlap w:val="never"/>
        <w:jc w:val="left"/>
        <w:tblLayout w:type="fixed"/>
      </w:tblPr>
      <w:tblGrid>
        <w:gridCol w:w="2102"/>
        <w:gridCol w:w="644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行权期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业绩考核目标</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第一个行权期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相比</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年度净利润增长率不低于</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年加权平均净资 产收益率不低于</w:t>
            </w:r>
            <w:r>
              <w:rPr>
                <w:rFonts w:ascii="Times New Roman" w:eastAsia="Times New Roman" w:hAnsi="Times New Roman" w:cs="Times New Roman"/>
                <w:color w:val="000000"/>
                <w:spacing w:val="0"/>
                <w:w w:val="100"/>
                <w:position w:val="0"/>
                <w:sz w:val="20"/>
                <w:szCs w:val="20"/>
              </w:rPr>
              <w:t>6.0%</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第二个行权期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相比</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年度净利润增长率不低于</w:t>
            </w: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年加权平均净资 产收益率不低于</w:t>
            </w:r>
            <w:r>
              <w:rPr>
                <w:rFonts w:ascii="Times New Roman" w:eastAsia="Times New Roman" w:hAnsi="Times New Roman" w:cs="Times New Roman"/>
                <w:color w:val="000000"/>
                <w:spacing w:val="0"/>
                <w:w w:val="100"/>
                <w:position w:val="0"/>
                <w:sz w:val="20"/>
                <w:szCs w:val="20"/>
              </w:rPr>
              <w:t>6.5%</w:t>
            </w:r>
          </w:p>
        </w:tc>
      </w:tr>
      <w:tr>
        <w:trPr>
          <w:trHeight w:val="66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第三个行权期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4709" w:val="left"/>
              </w:tabs>
              <w:bidi w:val="0"/>
              <w:spacing w:before="0" w:after="60" w:line="240" w:lineRule="auto"/>
              <w:ind w:left="0" w:right="0" w:firstLine="0"/>
              <w:jc w:val="left"/>
              <w:rPr>
                <w:sz w:val="20"/>
                <w:szCs w:val="20"/>
              </w:rPr>
            </w:pPr>
            <w:r>
              <w:rPr>
                <w:color w:val="000000"/>
                <w:spacing w:val="0"/>
                <w:w w:val="100"/>
                <w:position w:val="0"/>
                <w:sz w:val="20"/>
                <w:szCs w:val="20"/>
              </w:rPr>
              <w:t>相比</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年度净利润增长率不低于</w:t>
            </w:r>
            <w:r>
              <w:rPr>
                <w:rFonts w:ascii="Times New Roman" w:eastAsia="Times New Roman" w:hAnsi="Times New Roman" w:cs="Times New Roman"/>
                <w:color w:val="000000"/>
                <w:spacing w:val="0"/>
                <w:w w:val="100"/>
                <w:position w:val="0"/>
                <w:sz w:val="20"/>
                <w:szCs w:val="20"/>
              </w:rPr>
              <w:t>107%</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年加权平均净</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资产收益率不低于</w:t>
            </w:r>
            <w:r>
              <w:rPr>
                <w:rFonts w:ascii="Times New Roman" w:eastAsia="Times New Roman" w:hAnsi="Times New Roman" w:cs="Times New Roman"/>
                <w:color w:val="000000"/>
                <w:spacing w:val="0"/>
                <w:w w:val="100"/>
                <w:position w:val="0"/>
                <w:sz w:val="20"/>
                <w:szCs w:val="20"/>
              </w:rPr>
              <w:t>7.0%</w:t>
            </w:r>
          </w:p>
        </w:tc>
      </w:tr>
    </w:tbl>
    <w:p>
      <w:pPr>
        <w:pStyle w:val="Style3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注：本业绩考核目标中的“净利润”是指归属于上市公司股东的扣除非经常性损益的净 利润；“加权平均净资产收益率”是指扣除非经常性损益后的加权平均净资产收益率。</w:t>
      </w:r>
    </w:p>
    <w:p>
      <w:pPr>
        <w:pStyle w:val="Style3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以上假设行权时对应年报已出，如行权时对应年报未出，则激励对象须等待对应年报出 具时方可行权。</w:t>
      </w:r>
    </w:p>
    <w:p>
      <w:pPr>
        <w:pStyle w:val="Style3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若公司发生再融资行为，“净资产”为再融资当年扣除该次再融资数额后的净资产值， “净利润”为归属于上市公司股东的扣除非经常性损益的净利润，因再融资募投项目所产生 的净利润将从融资当年净利润中扣除。</w:t>
      </w:r>
    </w:p>
    <w:p>
      <w:pPr>
        <w:pStyle w:val="Style3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由本次股权激励产生的期权成本将在经常性损益中列支。如公司业绩考核达不到上述条 件，则激励对象相对应行权期所获授的可行权数量由公司注销。</w:t>
      </w:r>
    </w:p>
    <w:p>
      <w:pPr>
        <w:pStyle w:val="Style32"/>
        <w:keepNext w:val="0"/>
        <w:keepLines w:val="0"/>
        <w:widowControl w:val="0"/>
        <w:shd w:val="clear" w:color="auto" w:fill="auto"/>
        <w:bidi w:val="0"/>
        <w:spacing w:before="0" w:after="0" w:line="472" w:lineRule="exact"/>
        <w:ind w:left="0" w:right="0" w:firstLine="500"/>
        <w:jc w:val="both"/>
      </w:pPr>
      <w:r>
        <w:rPr>
          <w:color w:val="000000"/>
          <w:spacing w:val="0"/>
          <w:w w:val="100"/>
          <w:position w:val="0"/>
        </w:rPr>
        <w:t>除此之外，股票期权等待期内，各年度归属于上市公司股东的净利润及归属于上市公司 股东的扣除非经常性损益的净利润均不得低于授权日前最近三个会计年度的平均水平且不得 为负。</w:t>
      </w:r>
    </w:p>
    <w:p>
      <w:pPr>
        <w:pStyle w:val="Style3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若根据《北京数字政通科技股份有限公司股票期权激励计划实施考核办法》，激励对象 考核不合格，则其相对应行权期所获授的但尚未行权的股票期权即被取消。</w:t>
      </w:r>
    </w:p>
    <w:p>
      <w:pPr>
        <w:pStyle w:val="Style32"/>
        <w:keepNext w:val="0"/>
        <w:keepLines w:val="0"/>
        <w:widowControl w:val="0"/>
        <w:shd w:val="clear" w:color="auto" w:fill="auto"/>
        <w:bidi w:val="0"/>
        <w:spacing w:before="0" w:after="0" w:line="478" w:lineRule="exact"/>
        <w:ind w:left="0" w:right="0" w:firstLine="500"/>
        <w:jc w:val="left"/>
      </w:pPr>
      <w:bookmarkStart w:id="148" w:name="bookmark148"/>
      <w:r>
        <w:rPr>
          <w:color w:val="000000"/>
          <w:spacing w:val="0"/>
          <w:w w:val="100"/>
          <w:position w:val="0"/>
          <w:sz w:val="24"/>
          <w:szCs w:val="24"/>
        </w:rPr>
        <w:t>3</w:t>
      </w:r>
      <w:bookmarkEnd w:id="148"/>
      <w:r>
        <w:rPr>
          <w:color w:val="000000"/>
          <w:spacing w:val="0"/>
          <w:w w:val="100"/>
          <w:position w:val="0"/>
        </w:rPr>
        <w:t>、根据公司</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2013</w:t>
      </w:r>
      <w:r>
        <w:rPr>
          <w:color w:val="000000"/>
          <w:spacing w:val="0"/>
          <w:w w:val="100"/>
          <w:position w:val="0"/>
        </w:rPr>
        <w:t>年年度报告中披露的数据，公司第一期股票期权行权条件满足, 激励对象将等到授予日起</w:t>
      </w:r>
      <w:r>
        <w:rPr>
          <w:color w:val="000000"/>
          <w:spacing w:val="0"/>
          <w:w w:val="100"/>
          <w:position w:val="0"/>
          <w:sz w:val="24"/>
          <w:szCs w:val="24"/>
        </w:rPr>
        <w:t>24</w:t>
      </w:r>
      <w:r>
        <w:rPr>
          <w:color w:val="000000"/>
          <w:spacing w:val="0"/>
          <w:w w:val="100"/>
          <w:position w:val="0"/>
        </w:rPr>
        <w:t>个月后的首个交易日，根据相关规定择期安排行权，相关事项经 相关程序进行行权。</w:t>
      </w:r>
    </w:p>
    <w:p>
      <w:pPr>
        <w:pStyle w:val="Style32"/>
        <w:keepNext w:val="0"/>
        <w:keepLines w:val="0"/>
        <w:widowControl w:val="0"/>
        <w:shd w:val="clear" w:color="auto" w:fill="auto"/>
        <w:bidi w:val="0"/>
        <w:spacing w:before="0" w:after="0" w:line="478" w:lineRule="exact"/>
        <w:ind w:left="0" w:right="0" w:firstLine="500"/>
        <w:jc w:val="left"/>
      </w:pPr>
      <w:bookmarkStart w:id="149" w:name="bookmark149"/>
      <w:r>
        <w:rPr>
          <w:color w:val="000000"/>
          <w:spacing w:val="0"/>
          <w:w w:val="100"/>
          <w:position w:val="0"/>
        </w:rPr>
        <w:t>（</w:t>
      </w:r>
      <w:bookmarkEnd w:id="149"/>
      <w:r>
        <w:rPr>
          <w:color w:val="000000"/>
          <w:spacing w:val="0"/>
          <w:w w:val="100"/>
          <w:position w:val="0"/>
        </w:rPr>
        <w:t>三）公司股权激励计划实施的影响</w:t>
      </w:r>
    </w:p>
    <w:p>
      <w:pPr>
        <w:pStyle w:val="Style32"/>
        <w:keepNext w:val="0"/>
        <w:keepLines w:val="0"/>
        <w:widowControl w:val="0"/>
        <w:shd w:val="clear" w:color="auto" w:fill="auto"/>
        <w:bidi w:val="0"/>
        <w:spacing w:before="0" w:after="0" w:line="478" w:lineRule="exact"/>
        <w:ind w:left="0" w:right="0" w:firstLine="500"/>
        <w:jc w:val="left"/>
      </w:pPr>
      <w:r>
        <w:rPr>
          <w:color w:val="000000"/>
          <w:spacing w:val="0"/>
          <w:w w:val="100"/>
          <w:position w:val="0"/>
        </w:rPr>
        <w:t>报告期内，公司期权成本</w:t>
      </w:r>
      <w:r>
        <w:rPr>
          <w:color w:val="000000"/>
          <w:spacing w:val="0"/>
          <w:w w:val="100"/>
          <w:position w:val="0"/>
          <w:sz w:val="24"/>
          <w:szCs w:val="24"/>
        </w:rPr>
        <w:t>3,456,030.00</w:t>
      </w:r>
      <w:r>
        <w:rPr>
          <w:color w:val="000000"/>
          <w:spacing w:val="0"/>
          <w:w w:val="100"/>
          <w:position w:val="0"/>
        </w:rPr>
        <w:t>元已摊销计入相关成本费用。</w:t>
      </w:r>
    </w:p>
    <w:p>
      <w:pPr>
        <w:pStyle w:val="Style32"/>
        <w:keepNext w:val="0"/>
        <w:keepLines w:val="0"/>
        <w:widowControl w:val="0"/>
        <w:shd w:val="clear" w:color="auto" w:fill="auto"/>
        <w:bidi w:val="0"/>
        <w:spacing w:before="0" w:after="80" w:line="478" w:lineRule="exact"/>
        <w:ind w:left="0" w:right="0" w:firstLine="500"/>
        <w:jc w:val="left"/>
      </w:pPr>
      <w:r>
        <w:rPr>
          <w:color w:val="000000"/>
          <w:spacing w:val="0"/>
          <w:w w:val="100"/>
          <w:position w:val="0"/>
        </w:rPr>
        <w:t>股权激励事项临时报告披露网站查询</w:t>
      </w:r>
    </w:p>
    <w:tbl>
      <w:tblPr>
        <w:tblOverlap w:val="never"/>
        <w:jc w:val="center"/>
        <w:tblLayout w:type="fixed"/>
      </w:tblPr>
      <w:tblGrid>
        <w:gridCol w:w="4123"/>
        <w:gridCol w:w="1982"/>
        <w:gridCol w:w="3552"/>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临时公告名称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临时公告披露索引</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关于首期股票期权激励计划预留期权登记完成公告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http://www. cninfo. com. cn/</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关于调整股票期权数量及行权价格的公告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http://www. cninfo. com. cn/</w:t>
            </w:r>
          </w:p>
        </w:tc>
      </w:tr>
    </w:tbl>
    <w:p>
      <w:pPr>
        <w:widowControl w:val="0"/>
        <w:spacing w:after="679" w:line="1" w:lineRule="exact"/>
      </w:pPr>
    </w:p>
    <w:p>
      <w:pPr>
        <w:pStyle w:val="Style26"/>
        <w:keepNext/>
        <w:keepLines/>
        <w:widowControl w:val="0"/>
        <w:shd w:val="clear" w:color="auto" w:fill="auto"/>
        <w:bidi w:val="0"/>
        <w:spacing w:before="0" w:after="38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三</w:t>
      </w:r>
      <w:bookmarkEnd w:id="152"/>
      <w:r>
        <w:rPr>
          <w:color w:val="000000"/>
          <w:spacing w:val="0"/>
          <w:w w:val="100"/>
          <w:position w:val="0"/>
        </w:rPr>
        <w:t>、重大关联交易</w:t>
      </w:r>
      <w:bookmarkEnd w:id="150"/>
      <w:bookmarkEnd w:id="151"/>
      <w:bookmarkEnd w:id="153"/>
    </w:p>
    <w:p>
      <w:pPr>
        <w:pStyle w:val="Style47"/>
        <w:keepNext/>
        <w:keepLines/>
        <w:widowControl w:val="0"/>
        <w:shd w:val="clear" w:color="auto" w:fill="auto"/>
        <w:bidi w:val="0"/>
        <w:spacing w:before="0" w:after="32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、与日常经营相关的关联交易</w:t>
      </w:r>
      <w:bookmarkEnd w:id="154"/>
      <w:bookmarkEnd w:id="155"/>
      <w:bookmarkEnd w:id="157"/>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关联交易</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关联交易 定价原则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关联交易 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关联交易 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关联交易 结算方式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可获得的 同类交易 市价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汉王制造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1,262.29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79" w:line="1" w:lineRule="exact"/>
      </w:pPr>
    </w:p>
    <w:tbl>
      <w:tblPr>
        <w:tblOverlap w:val="never"/>
        <w:jc w:val="center"/>
        <w:tblLayout w:type="fixed"/>
      </w:tblPr>
      <w:tblGrid>
        <w:gridCol w:w="2208"/>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向关联方销售产品和提供劳务</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向关联方采购产品和接受劳务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交易金额（万元）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占同类交易金额的比例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交易金额（万元）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汉王制造科技有限公司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其中：报告期内公司向控股股东及其子公司销售产品或提供劳务的关联交易金额万元。</w:t>
      </w:r>
    </w:p>
    <w:p>
      <w:pPr>
        <w:pStyle w:val="Style47"/>
        <w:keepNext/>
        <w:keepLines/>
        <w:widowControl w:val="0"/>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、关联债权债务往来</w:t>
      </w:r>
      <w:bookmarkEnd w:id="158"/>
      <w:bookmarkEnd w:id="159"/>
      <w:bookmarkEnd w:id="161"/>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742"/>
        <w:gridCol w:w="1118"/>
        <w:gridCol w:w="1118"/>
        <w:gridCol w:w="1123"/>
        <w:gridCol w:w="1118"/>
        <w:gridCol w:w="1118"/>
        <w:gridCol w:w="1118"/>
        <w:gridCol w:w="112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债权债务类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是否存在非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期初余额（万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期末余额（万</w:t>
            </w:r>
          </w:p>
        </w:tc>
      </w:tr>
    </w:tbl>
    <w:p>
      <w:pPr>
        <w:spacing w:lineRule="exact" w:line="1"/>
        <w:rPr>
          <w:sz w:val="2"/>
          <w:szCs w:val="2"/>
        </w:rPr>
      </w:pPr>
      <w:r>
        <w:br w:type="page"/>
      </w:r>
    </w:p>
    <w:tbl>
      <w:tblPr>
        <w:tblOverlap w:val="never"/>
        <w:jc w:val="center"/>
        <w:tblLayout w:type="fixed"/>
      </w:tblPr>
      <w:tblGrid>
        <w:gridCol w:w="1742"/>
        <w:gridCol w:w="1118"/>
        <w:gridCol w:w="1118"/>
        <w:gridCol w:w="1123"/>
        <w:gridCol w:w="1118"/>
        <w:gridCol w:w="1118"/>
        <w:gridCol w:w="1118"/>
        <w:gridCol w:w="112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经营性资金 占用</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应收关联方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汉王科技股份有限公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应收关联方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汉王科技股份有限公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应付关联方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汉王制造有限公司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应付关联方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汉王科技股份有限公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应付关联方</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2,602.32</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四</w:t>
      </w:r>
      <w:bookmarkEnd w:id="164"/>
      <w:r>
        <w:rPr>
          <w:color w:val="000000"/>
          <w:spacing w:val="0"/>
          <w:w w:val="100"/>
          <w:position w:val="0"/>
        </w:rPr>
        <w:t>、重大合同及其履行情况</w:t>
      </w:r>
      <w:bookmarkEnd w:id="162"/>
      <w:bookmarkEnd w:id="163"/>
      <w:bookmarkEnd w:id="165"/>
    </w:p>
    <w:p>
      <w:pPr>
        <w:pStyle w:val="Style47"/>
        <w:keepNext/>
        <w:keepLines/>
        <w:widowControl w:val="0"/>
        <w:shd w:val="clear" w:color="auto" w:fill="auto"/>
        <w:bidi w:val="0"/>
        <w:spacing w:before="0" w:after="34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、担保情况</w:t>
      </w:r>
      <w:bookmarkEnd w:id="166"/>
      <w:bookmarkEnd w:id="167"/>
      <w:bookmarkEnd w:id="16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北京汉王智通科技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北京汉王智通科技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北京汉王智通科技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 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报告期内对子公司担保实际 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8,439.5</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6,560.5</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公司担保总额（即前两大项的合计）</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sz w:val="17"/>
                <w:szCs w:val="17"/>
              </w:rPr>
              <w:t>）</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8,439.5</w:t>
            </w:r>
          </w:p>
        </w:tc>
      </w:tr>
    </w:tbl>
    <w:p>
      <w:pPr>
        <w:spacing w:lineRule="exact" w:line="1"/>
        <w:rPr>
          <w:sz w:val="2"/>
          <w:szCs w:val="2"/>
        </w:rPr>
      </w:pPr>
      <w:r>
        <w:br w:type="page"/>
      </w:r>
    </w:p>
    <w:tbl>
      <w:tblPr>
        <w:tblOverlap w:val="never"/>
        <w:jc w:val="center"/>
        <w:tblLayout w:type="fixed"/>
      </w:tblPr>
      <w:tblGrid>
        <w:gridCol w:w="2549"/>
        <w:gridCol w:w="2150"/>
        <w:gridCol w:w="2275"/>
        <w:gridCol w:w="261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6,560.5</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sz w:val="17"/>
                <w:szCs w:val="17"/>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 务担保金额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采用复合方式担保的具体情况说明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五</w:t>
      </w:r>
      <w:bookmarkEnd w:id="172"/>
      <w:r>
        <w:rPr>
          <w:color w:val="000000"/>
          <w:spacing w:val="0"/>
          <w:w w:val="100"/>
          <w:position w:val="0"/>
        </w:rPr>
        <w:t>、承诺事项履行情况</w:t>
      </w:r>
      <w:bookmarkEnd w:id="170"/>
      <w:bookmarkEnd w:id="171"/>
      <w:bookmarkEnd w:id="173"/>
    </w:p>
    <w:p>
      <w:pPr>
        <w:pStyle w:val="Style47"/>
        <w:keepNext/>
        <w:keepLines/>
        <w:widowControl w:val="0"/>
        <w:shd w:val="clear" w:color="auto" w:fill="auto"/>
        <w:bidi w:val="0"/>
        <w:spacing w:before="0" w:after="34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174"/>
      <w:bookmarkEnd w:id="175"/>
      <w:bookmarkEnd w:id="177"/>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2899"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数字政通承诺 不为激励对象 依股票期权激 励计划获取有 关权益提供贷 款以及其他任 何形式的财务 资助，包括为其 贷款提供担保。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公司首次股权 激励计划有效 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截至报告期末， 公司遵守了所 做的承诺</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数字政通承诺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 主要股东或实 际控制人及其 配偶、直系亲属 均未参与本激 励计划。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公司首次股权 激励计划有效 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截至报告期末， 公司遵守了所 做的承诺</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本公司董事长 及实际控制人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自公司股票上 市之日起三十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自公司股票上 市之日起三十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正常履行，未出 现任何违反该</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六个月内，不转 让、抵押、质押 或在该股份上 设定任何其他 形式的限制或 他项权利，不委 托他人管理本 人本次发行前 已持有的公司 股份，也不由公 司回购该部分 股份；本人在任 职期间每年转 让的股份不得 超过本人所持 有公司股份总 数的百分之二 十五；本人离职 后半年内，不转 让本人所持有 的公司股份。严 格遵守《公司 法》、《公司章 程》、《关联交易 制度》、《股东大 会议事规则》、</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《董事会议事 规则》等规定， 避免和减少关 联交易，自觉维 护发行人及全 体股东的利益， 将不利用本人 在发行人中的 股东地位在关 联交易中谋取 不正当利益。如 发行人必须与 本人控制的企 业进行关联交 易，均严格履行 相关法律程序， 遵照市场公平 交易的原则进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六个月</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承诺的情况</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行，将促使交易 的价格、相关协 议条款和交易 条件公平合理， 不会要求发行 人给予与第三 人的条件相比 更优惠的条件。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副董事长、总 裁、持股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 上股东许欣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自公司股票上 市之日起三十 六个月内，不转 让、抵押、质押 或在该股份上 设定任何其他 形式的限制或 他项权利，不委 托他人管理本 人本次发行前 已持有的公司 股份，也不由公 司回购该部分 股份；本人在任 职期间每年转 让的股份不得 超过本人所持 有公司股份总 数的百分之二 十五；本人离职 后半年内，不转 让本人所持有 的公司股份。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自公司股票上 市之日起三十 六个月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正常履行，未出 现任何违反该 承诺的情况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承诺是否及时履行</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未完成履行的具体原因及下一步计划</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六</w:t>
      </w:r>
      <w:bookmarkEnd w:id="180"/>
      <w:r>
        <w:rPr>
          <w:color w:val="000000"/>
          <w:spacing w:val="0"/>
          <w:w w:val="100"/>
          <w:position w:val="0"/>
        </w:rPr>
        <w:t>、聘任、解聘会计师事务所情况</w:t>
      </w:r>
      <w:bookmarkEnd w:id="178"/>
      <w:bookmarkEnd w:id="179"/>
      <w:bookmarkEnd w:id="181"/>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r>
    </w:tbl>
    <w:tbl>
      <w:tblPr>
        <w:tblOverlap w:val="never"/>
        <w:jc w:val="center"/>
        <w:tblLayout w:type="fixed"/>
      </w:tblPr>
      <w:tblGrid>
        <w:gridCol w:w="3893"/>
        <w:gridCol w:w="569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齐桂华、薛东升</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60" w:line="326" w:lineRule="exact"/>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七</w:t>
      </w:r>
      <w:bookmarkEnd w:id="184"/>
      <w:r>
        <w:rPr>
          <w:color w:val="000000"/>
          <w:spacing w:val="0"/>
          <w:w w:val="100"/>
          <w:position w:val="0"/>
        </w:rPr>
        <w:t>、上市公司及其董事、监事、高级管理人员、公司股东、实际控制人和收购人处罚及整改 情况</w:t>
      </w:r>
      <w:bookmarkEnd w:id="182"/>
      <w:bookmarkEnd w:id="183"/>
      <w:bookmarkEnd w:id="18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上市公司及其子公司是否被列入环保部门公布的污染严重企业名单</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35" w:right="1044" w:bottom="1460"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8"/>
        <w:keepNext/>
        <w:keepLines/>
        <w:widowControl w:val="0"/>
        <w:shd w:val="clear" w:color="auto" w:fill="auto"/>
        <w:bidi w:val="0"/>
        <w:spacing w:before="600" w:after="540" w:line="240" w:lineRule="auto"/>
        <w:ind w:left="0" w:right="0" w:firstLine="0"/>
        <w:jc w:val="center"/>
      </w:pPr>
      <w:bookmarkStart w:id="186" w:name="bookmark186"/>
      <w:bookmarkStart w:id="187" w:name="bookmark187"/>
      <w:bookmarkStart w:id="188" w:name="bookmark188"/>
      <w:r>
        <w:rPr>
          <w:color w:val="000000"/>
          <w:spacing w:val="0"/>
          <w:w w:val="100"/>
          <w:position w:val="0"/>
        </w:rPr>
        <w:t>第六节股份变动及股东情况</w:t>
      </w:r>
      <w:bookmarkEnd w:id="186"/>
      <w:bookmarkEnd w:id="187"/>
      <w:bookmarkEnd w:id="188"/>
    </w:p>
    <w:p>
      <w:pPr>
        <w:pStyle w:val="Style26"/>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bookmarkStart w:id="193" w:name="bookmark193"/>
      <w:r>
        <w:rPr>
          <w:color w:val="000000"/>
          <w:spacing w:val="0"/>
          <w:w w:val="100"/>
          <w:position w:val="0"/>
        </w:rPr>
        <w:t>一</w:t>
      </w:r>
      <w:bookmarkEnd w:id="192"/>
      <w:r>
        <w:rPr>
          <w:color w:val="000000"/>
          <w:spacing w:val="0"/>
          <w:w w:val="100"/>
          <w:position w:val="0"/>
        </w:rPr>
        <w:t>、股份变动情况</w:t>
      </w:r>
      <w:bookmarkEnd w:id="190"/>
      <w:bookmarkEnd w:id="191"/>
      <w:bookmarkEnd w:id="193"/>
      <w:bookmarkEnd w:id="189"/>
    </w:p>
    <w:p>
      <w:pPr>
        <w:pStyle w:val="Style47"/>
        <w:keepNext/>
        <w:keepLines/>
        <w:widowControl w:val="0"/>
        <w:shd w:val="clear" w:color="auto" w:fill="auto"/>
        <w:bidi w:val="0"/>
        <w:spacing w:before="0" w:after="36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、股份变动情况</w:t>
      </w:r>
      <w:bookmarkEnd w:id="194"/>
      <w:bookmarkEnd w:id="195"/>
      <w:bookmarkEnd w:id="197"/>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88"/>
        <w:gridCol w:w="1752"/>
        <w:gridCol w:w="845"/>
        <w:gridCol w:w="845"/>
        <w:gridCol w:w="845"/>
        <w:gridCol w:w="840"/>
        <w:gridCol w:w="845"/>
        <w:gridCol w:w="840"/>
        <w:gridCol w:w="845"/>
        <w:gridCol w:w="816"/>
        <w:gridCol w:w="821"/>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公积金转</w:t>
            </w:r>
          </w:p>
          <w:p>
            <w:pPr>
              <w:pStyle w:val="Style2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48,428,88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有限售条件股份</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-3,810,172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52,239,05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48,428,88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其他内资持股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-3,810,172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r>
        <w:trPr>
          <w:trHeight w:val="403"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48,428,88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-2,647,608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25,857,03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45,810,17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77,571,11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bottom"/>
          </w:tcPr>
          <w:p>
            <w:pPr>
              <w:pStyle w:val="Style22"/>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rPr>
                <w:sz w:val="17"/>
                <w:szCs w:val="17"/>
              </w:rPr>
            </w:pPr>
            <w:r>
              <w:rPr>
                <w:color w:val="000000"/>
                <w:spacing w:val="0"/>
                <w:w w:val="100"/>
                <w:position w:val="0"/>
                <w:sz w:val="17"/>
                <w:szCs w:val="17"/>
              </w:rPr>
              <w:tab/>
              <w:tab/>
              <w:t xml:space="preserve"> 、</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尢限售条件股份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w:t>
            </w: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25,857,03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45,810,17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77,571,11</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w:t>
            </w:r>
          </w:p>
        </w:tc>
        <w:tc>
          <w:tcPr>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858" w:val="left"/>
        </w:tabs>
        <w:bidi w:val="0"/>
        <w:spacing w:before="0" w:after="0" w:line="466" w:lineRule="exact"/>
        <w:ind w:left="0" w:right="0" w:firstLine="480"/>
        <w:jc w:val="both"/>
      </w:pPr>
      <w:bookmarkStart w:id="198" w:name="bookmark198"/>
      <w:r>
        <w:rPr>
          <w:color w:val="000000"/>
          <w:spacing w:val="0"/>
          <w:w w:val="100"/>
          <w:position w:val="0"/>
          <w:sz w:val="24"/>
          <w:szCs w:val="24"/>
        </w:rPr>
        <w:t>1</w:t>
      </w:r>
      <w:bookmarkEnd w:id="198"/>
      <w:r>
        <w:rPr>
          <w:color w:val="000000"/>
          <w:spacing w:val="0"/>
          <w:w w:val="100"/>
          <w:position w:val="0"/>
        </w:rPr>
        <w:t>、</w:t>
        <w:tab/>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w:t>
      </w:r>
      <w:r>
        <w:rPr>
          <w:color w:val="000000"/>
          <w:spacing w:val="0"/>
          <w:w w:val="100"/>
          <w:position w:val="0"/>
        </w:rPr>
        <w:t>日，公司解除限售</w:t>
      </w:r>
      <w:r>
        <w:rPr>
          <w:color w:val="000000"/>
          <w:spacing w:val="0"/>
          <w:w w:val="100"/>
          <w:position w:val="0"/>
          <w:sz w:val="24"/>
          <w:szCs w:val="24"/>
        </w:rPr>
        <w:t>52,239,058</w:t>
      </w:r>
      <w:r>
        <w:rPr>
          <w:color w:val="000000"/>
          <w:spacing w:val="0"/>
          <w:w w:val="100"/>
          <w:position w:val="0"/>
        </w:rPr>
        <w:t>股。</w:t>
      </w:r>
    </w:p>
    <w:p>
      <w:pPr>
        <w:pStyle w:val="Style32"/>
        <w:keepNext w:val="0"/>
        <w:keepLines w:val="0"/>
        <w:widowControl w:val="0"/>
        <w:shd w:val="clear" w:color="auto" w:fill="auto"/>
        <w:tabs>
          <w:tab w:pos="877" w:val="left"/>
        </w:tabs>
        <w:bidi w:val="0"/>
        <w:spacing w:before="0" w:after="200" w:line="466" w:lineRule="exact"/>
        <w:ind w:left="0" w:right="0" w:firstLine="480"/>
        <w:jc w:val="both"/>
      </w:pPr>
      <w:bookmarkStart w:id="199" w:name="bookmark199"/>
      <w:r>
        <w:rPr>
          <w:color w:val="000000"/>
          <w:spacing w:val="0"/>
          <w:w w:val="100"/>
          <w:position w:val="0"/>
          <w:sz w:val="24"/>
          <w:szCs w:val="24"/>
        </w:rPr>
        <w:t>2</w:t>
      </w:r>
      <w:bookmarkEnd w:id="199"/>
      <w:r>
        <w:rPr>
          <w:color w:val="000000"/>
          <w:spacing w:val="0"/>
          <w:w w:val="100"/>
          <w:position w:val="0"/>
        </w:rPr>
        <w:t>、</w:t>
        <w:tab/>
        <w:t>公司</w:t>
      </w:r>
      <w:r>
        <w:rPr>
          <w:color w:val="000000"/>
          <w:spacing w:val="0"/>
          <w:w w:val="100"/>
          <w:position w:val="0"/>
          <w:sz w:val="24"/>
          <w:szCs w:val="24"/>
        </w:rPr>
        <w:t>2012</w:t>
      </w:r>
      <w:r>
        <w:rPr>
          <w:color w:val="000000"/>
          <w:spacing w:val="0"/>
          <w:w w:val="100"/>
          <w:position w:val="0"/>
        </w:rPr>
        <w:t>年度权益分配方案为：以公司现有总股本</w:t>
      </w:r>
      <w:r>
        <w:rPr>
          <w:color w:val="000000"/>
          <w:spacing w:val="0"/>
          <w:w w:val="100"/>
          <w:position w:val="0"/>
          <w:sz w:val="24"/>
          <w:szCs w:val="24"/>
        </w:rPr>
        <w:t>84,000,000</w:t>
      </w:r>
      <w:r>
        <w:rPr>
          <w:color w:val="000000"/>
          <w:spacing w:val="0"/>
          <w:w w:val="100"/>
          <w:position w:val="0"/>
        </w:rPr>
        <w:t>股为基数，向全体股东 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2</w:t>
      </w:r>
      <w:r>
        <w:rPr>
          <w:color w:val="000000"/>
          <w:spacing w:val="0"/>
          <w:w w:val="100"/>
          <w:position w:val="0"/>
        </w:rPr>
        <w:t>元(含税)；同时，以资本公积金向全体股东每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股。分红前本公司总股 本为</w:t>
      </w:r>
      <w:r>
        <w:rPr>
          <w:color w:val="000000"/>
          <w:spacing w:val="0"/>
          <w:w w:val="100"/>
          <w:position w:val="0"/>
          <w:sz w:val="24"/>
          <w:szCs w:val="24"/>
        </w:rPr>
        <w:t>84,000,000</w:t>
      </w:r>
      <w:r>
        <w:rPr>
          <w:color w:val="000000"/>
          <w:spacing w:val="0"/>
          <w:w w:val="100"/>
          <w:position w:val="0"/>
        </w:rPr>
        <w:t>股，分红后总股本增至</w:t>
      </w:r>
      <w:r>
        <w:rPr>
          <w:color w:val="000000"/>
          <w:spacing w:val="0"/>
          <w:w w:val="100"/>
          <w:position w:val="0"/>
          <w:sz w:val="24"/>
          <w:szCs w:val="24"/>
        </w:rPr>
        <w:t>126,000,000</w:t>
      </w:r>
      <w:r>
        <w:rPr>
          <w:color w:val="000000"/>
          <w:spacing w:val="0"/>
          <w:w w:val="100"/>
          <w:position w:val="0"/>
        </w:rPr>
        <w:t>股。</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00" w:line="485" w:lineRule="exact"/>
        <w:ind w:left="0" w:right="0" w:firstLine="480"/>
        <w:jc w:val="both"/>
      </w:pPr>
      <w:r>
        <w:rPr>
          <w:color w:val="000000"/>
          <w:spacing w:val="0"/>
          <w:w w:val="100"/>
          <w:position w:val="0"/>
        </w:rPr>
        <w:t>公司</w:t>
      </w:r>
      <w:r>
        <w:rPr>
          <w:color w:val="000000"/>
          <w:spacing w:val="0"/>
          <w:w w:val="100"/>
          <w:position w:val="0"/>
          <w:sz w:val="24"/>
          <w:szCs w:val="24"/>
        </w:rPr>
        <w:t>2012</w:t>
      </w:r>
      <w:r>
        <w:rPr>
          <w:color w:val="000000"/>
          <w:spacing w:val="0"/>
          <w:w w:val="100"/>
          <w:position w:val="0"/>
        </w:rPr>
        <w:t>年度利润分配方案已经公司第二届董事会第八次会议和</w:t>
      </w:r>
      <w:r>
        <w:rPr>
          <w:color w:val="000000"/>
          <w:spacing w:val="0"/>
          <w:w w:val="100"/>
          <w:position w:val="0"/>
          <w:sz w:val="24"/>
          <w:szCs w:val="24"/>
        </w:rPr>
        <w:t>2012</w:t>
      </w:r>
      <w:r>
        <w:rPr>
          <w:color w:val="000000"/>
          <w:spacing w:val="0"/>
          <w:w w:val="100"/>
          <w:position w:val="0"/>
        </w:rPr>
        <w:t>年年度股东大会审 议通过。</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keepLines/>
        <w:widowControl w:val="0"/>
        <w:shd w:val="clear" w:color="auto" w:fill="auto"/>
        <w:bidi w:val="0"/>
        <w:spacing w:before="0" w:after="220" w:line="470" w:lineRule="exact"/>
        <w:ind w:left="0" w:right="0" w:firstLine="480"/>
        <w:jc w:val="left"/>
      </w:pPr>
      <w:bookmarkStart w:id="200" w:name="bookmark200"/>
      <w:bookmarkStart w:id="201" w:name="bookmark201"/>
      <w:bookmarkStart w:id="202" w:name="bookmark202"/>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日，公司已完成</w:t>
      </w:r>
      <w:r>
        <w:rPr>
          <w:color w:val="000000"/>
          <w:spacing w:val="0"/>
          <w:w w:val="100"/>
          <w:position w:val="0"/>
          <w:sz w:val="24"/>
          <w:szCs w:val="24"/>
        </w:rPr>
        <w:t>2012</w:t>
      </w:r>
      <w:r>
        <w:rPr>
          <w:color w:val="000000"/>
          <w:spacing w:val="0"/>
          <w:w w:val="100"/>
          <w:position w:val="0"/>
        </w:rPr>
        <w:t>年度权益分派。公司总股本由</w:t>
      </w:r>
      <w:r>
        <w:rPr>
          <w:color w:val="000000"/>
          <w:spacing w:val="0"/>
          <w:w w:val="100"/>
          <w:position w:val="0"/>
          <w:sz w:val="24"/>
          <w:szCs w:val="24"/>
        </w:rPr>
        <w:t>84,000,000</w:t>
      </w:r>
      <w:r>
        <w:rPr>
          <w:color w:val="000000"/>
          <w:spacing w:val="0"/>
          <w:w w:val="100"/>
          <w:position w:val="0"/>
        </w:rPr>
        <w:t xml:space="preserve">股增加至 </w:t>
      </w:r>
      <w:r>
        <w:rPr>
          <w:color w:val="000000"/>
          <w:spacing w:val="0"/>
          <w:w w:val="100"/>
          <w:position w:val="0"/>
          <w:sz w:val="24"/>
          <w:szCs w:val="24"/>
        </w:rPr>
        <w:t>126,000,000</w:t>
      </w:r>
      <w:r>
        <w:rPr>
          <w:color w:val="000000"/>
          <w:spacing w:val="0"/>
          <w:w w:val="100"/>
          <w:position w:val="0"/>
        </w:rPr>
        <w:t>股。上述资本公积转增股份已过户登记。</w:t>
      </w:r>
      <w:bookmarkEnd w:id="200"/>
      <w:bookmarkEnd w:id="201"/>
      <w:bookmarkEnd w:id="20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0"/>
        <w:keepNext/>
        <w:keepLines/>
        <w:widowControl w:val="0"/>
        <w:shd w:val="clear" w:color="auto" w:fill="auto"/>
        <w:bidi w:val="0"/>
        <w:spacing w:before="0" w:after="220" w:line="446" w:lineRule="exact"/>
        <w:ind w:left="0" w:right="0" w:firstLine="480"/>
        <w:jc w:val="left"/>
      </w:pPr>
      <w:bookmarkStart w:id="203" w:name="bookmark203"/>
      <w:bookmarkStart w:id="204" w:name="bookmark204"/>
      <w:bookmarkStart w:id="205" w:name="bookmark205"/>
      <w:r>
        <w:rPr>
          <w:color w:val="000000"/>
          <w:spacing w:val="0"/>
          <w:w w:val="100"/>
          <w:position w:val="0"/>
        </w:rPr>
        <w:t xml:space="preserve">基本每股收益、稀释每股收益、扣除非经常性损益后的基本每股收益等各项数据，按 </w:t>
      </w:r>
      <w:r>
        <w:rPr>
          <w:color w:val="000000"/>
          <w:spacing w:val="0"/>
          <w:w w:val="100"/>
          <w:position w:val="0"/>
          <w:sz w:val="24"/>
          <w:szCs w:val="24"/>
        </w:rPr>
        <w:t>126,000,000</w:t>
      </w:r>
      <w:r>
        <w:rPr>
          <w:color w:val="000000"/>
          <w:spacing w:val="0"/>
          <w:w w:val="100"/>
          <w:position w:val="0"/>
        </w:rPr>
        <w:t>股为基数计算。</w:t>
      </w:r>
      <w:bookmarkEnd w:id="203"/>
      <w:bookmarkEnd w:id="204"/>
      <w:bookmarkEnd w:id="20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、限售股份变动情况</w:t>
      </w:r>
      <w:bookmarkEnd w:id="206"/>
      <w:bookmarkEnd w:id="207"/>
      <w:bookmarkEnd w:id="20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6,891,712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已解禁，每年解 锁</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6,305,733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1,576,433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2,364,650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已解禁，每年解 锁</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2,878,407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719,602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1,079,403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已解禁，每年解 锁</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236,250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已解禁，每年解 锁</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2,467,458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616,865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925,296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已解禁，每年解 锁</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236,250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已解禁，每年解 锁</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2,569,455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642,364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963,545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 已解禁，每年解 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上海顶势投资有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1,162,564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1,162,564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2,323,566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2,323,566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2,274,741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邵献军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2,170,287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52,239,058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16,142,962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48,428,886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二</w:t>
      </w:r>
      <w:bookmarkEnd w:id="212"/>
      <w:r>
        <w:rPr>
          <w:color w:val="000000"/>
          <w:spacing w:val="0"/>
          <w:w w:val="100"/>
          <w:position w:val="0"/>
        </w:rPr>
        <w:t>、证券发行与上市情况</w:t>
      </w:r>
      <w:bookmarkEnd w:id="210"/>
      <w:bookmarkEnd w:id="211"/>
      <w:bookmarkEnd w:id="213"/>
    </w:p>
    <w:p>
      <w:pPr>
        <w:pStyle w:val="Style47"/>
        <w:keepNext/>
        <w:keepLines/>
        <w:widowControl w:val="0"/>
        <w:shd w:val="clear" w:color="auto" w:fill="auto"/>
        <w:bidi w:val="0"/>
        <w:spacing w:before="0" w:after="22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、公司股份总数及股东结构的变动、公司资产和负债结构的变动情况说明</w:t>
      </w:r>
      <w:bookmarkEnd w:id="214"/>
      <w:bookmarkEnd w:id="215"/>
      <w:bookmarkEnd w:id="217"/>
    </w:p>
    <w:p>
      <w:pPr>
        <w:pStyle w:val="Style32"/>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公司</w:t>
      </w:r>
      <w:r>
        <w:rPr>
          <w:color w:val="000000"/>
          <w:spacing w:val="0"/>
          <w:w w:val="100"/>
          <w:position w:val="0"/>
          <w:sz w:val="24"/>
          <w:szCs w:val="24"/>
        </w:rPr>
        <w:t>2012</w:t>
      </w:r>
      <w:r>
        <w:rPr>
          <w:color w:val="000000"/>
          <w:spacing w:val="0"/>
          <w:w w:val="100"/>
          <w:position w:val="0"/>
        </w:rPr>
        <w:t>年度股东大会审议通过《</w:t>
      </w:r>
      <w:r>
        <w:rPr>
          <w:color w:val="000000"/>
          <w:spacing w:val="0"/>
          <w:w w:val="100"/>
          <w:position w:val="0"/>
          <w:sz w:val="24"/>
          <w:szCs w:val="24"/>
        </w:rPr>
        <w:t>2012</w:t>
      </w:r>
      <w:r>
        <w:rPr>
          <w:color w:val="000000"/>
          <w:spacing w:val="0"/>
          <w:w w:val="100"/>
          <w:position w:val="0"/>
        </w:rPr>
        <w:t>年度利润分配方案》，确定</w:t>
      </w:r>
      <w:r>
        <w:rPr>
          <w:color w:val="000000"/>
          <w:spacing w:val="0"/>
          <w:w w:val="100"/>
          <w:position w:val="0"/>
          <w:sz w:val="24"/>
          <w:szCs w:val="24"/>
        </w:rPr>
        <w:t>2012</w:t>
      </w:r>
      <w:r>
        <w:rPr>
          <w:color w:val="000000"/>
          <w:spacing w:val="0"/>
          <w:w w:val="100"/>
          <w:position w:val="0"/>
        </w:rPr>
        <w:t>年度利润分配方 案为：以公司现有总股本</w:t>
      </w:r>
      <w:r>
        <w:rPr>
          <w:color w:val="000000"/>
          <w:spacing w:val="0"/>
          <w:w w:val="100"/>
          <w:position w:val="0"/>
          <w:sz w:val="24"/>
          <w:szCs w:val="24"/>
        </w:rPr>
        <w:t>84,000,000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2</w:t>
      </w:r>
      <w:r>
        <w:rPr>
          <w:color w:val="000000"/>
          <w:spacing w:val="0"/>
          <w:w w:val="100"/>
          <w:position w:val="0"/>
        </w:rPr>
        <w:t>元(含税)；同时，以 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股。分红前本公司总股本为</w:t>
      </w:r>
      <w:r>
        <w:rPr>
          <w:color w:val="000000"/>
          <w:spacing w:val="0"/>
          <w:w w:val="100"/>
          <w:position w:val="0"/>
          <w:sz w:val="24"/>
          <w:szCs w:val="24"/>
        </w:rPr>
        <w:t>84,000,000</w:t>
      </w:r>
      <w:r>
        <w:rPr>
          <w:color w:val="000000"/>
          <w:spacing w:val="0"/>
          <w:w w:val="100"/>
          <w:position w:val="0"/>
        </w:rPr>
        <w:t xml:space="preserve">股，分红后总股本 增至 </w:t>
      </w:r>
      <w:r>
        <w:rPr>
          <w:color w:val="000000"/>
          <w:spacing w:val="0"/>
          <w:w w:val="100"/>
          <w:position w:val="0"/>
          <w:sz w:val="24"/>
          <w:szCs w:val="24"/>
        </w:rPr>
        <w:t>126,000,000</w:t>
      </w:r>
      <w:r>
        <w:rPr>
          <w:color w:val="000000"/>
          <w:spacing w:val="0"/>
          <w:w w:val="100"/>
          <w:position w:val="0"/>
        </w:rPr>
        <w:t>股。</w:t>
      </w:r>
    </w:p>
    <w:p>
      <w:pPr>
        <w:pStyle w:val="Style26"/>
        <w:keepNext/>
        <w:keepLines/>
        <w:widowControl w:val="0"/>
        <w:shd w:val="clear" w:color="auto" w:fill="auto"/>
        <w:bidi w:val="0"/>
        <w:spacing w:before="0" w:after="340" w:line="466" w:lineRule="exact"/>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三</w:t>
      </w:r>
      <w:bookmarkEnd w:id="220"/>
      <w:r>
        <w:rPr>
          <w:color w:val="000000"/>
          <w:spacing w:val="0"/>
          <w:w w:val="100"/>
          <w:position w:val="0"/>
        </w:rPr>
        <w:t>、股东和实际控制人情况</w:t>
      </w:r>
      <w:bookmarkEnd w:id="218"/>
      <w:bookmarkEnd w:id="219"/>
      <w:bookmarkEnd w:id="221"/>
    </w:p>
    <w:p>
      <w:pPr>
        <w:pStyle w:val="Style47"/>
        <w:keepNext/>
        <w:keepLines/>
        <w:widowControl w:val="0"/>
        <w:shd w:val="clear" w:color="auto" w:fill="auto"/>
        <w:bidi w:val="0"/>
        <w:spacing w:before="0" w:after="34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、公司股东数量及持股情况</w:t>
      </w:r>
      <w:bookmarkEnd w:id="222"/>
      <w:bookmarkEnd w:id="223"/>
      <w:bookmarkEnd w:id="22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797"/>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4718"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3,972</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以上的股东持股情况</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持股比例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41,350,27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13,783,42</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31,012,70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8,108,599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中国建设银行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银河行业优选股 票型证券投资基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中国建设银行一 华夏红利混合型 开放式证券投资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3,462,058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3,267,611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3,238,208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邵献军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2,929,182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359,727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2,890,636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864"/>
        <w:gridCol w:w="797"/>
        <w:gridCol w:w="797"/>
        <w:gridCol w:w="797"/>
        <w:gridCol w:w="854"/>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东方证券股份有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中信银行一银河 主题策略股票型 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2,170,005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上述股东之间，未知是否存在关联关系或属于《上市公司股东持股变动信息披露管理办 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数量</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吴强华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10,337,568</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银河行业优选股票 型证券投资基金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3,980,013</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中国建设银行一华夏红利混合型 开放式证券投资基金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3,462,058</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邵献军</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3,255,431</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东方证券股份有限公司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2,567,960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中信银行一银河主题策略股票型 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2,280,005</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中国银行一景顺长城鼎益股票型 开放式证券投资基金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2,113,515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2,085,349</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陈睿</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赵伟</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1,700,000</w:t>
            </w: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名股东之间关联关系或一致 行动的说明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上述股东之间，未知是否存在关联关系或属于《上市公司股东持股变动信息披露管理办 法》规定的一致行动人。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参与融资融券业务股东情况说明</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47"/>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、公司控股股东情况</w:t>
      </w:r>
      <w:bookmarkEnd w:id="226"/>
      <w:bookmarkEnd w:id="227"/>
      <w:bookmarkEnd w:id="229"/>
    </w:p>
    <w:p>
      <w:pPr>
        <w:pStyle w:val="Style38"/>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吴强华先生，中国国籍，无境外居留权，</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年毕业于北京林业大学，研究生 学历，地理信息和测绘专业高级工程师。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年担任北京建设电子信 息工程公司研发工程师、技术部经理，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年加入有限公司，历任执行总裁、 董事长，现任本公司董事长。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3</w:t>
      </w:r>
      <w:bookmarkEnd w:id="232"/>
      <w:r>
        <w:rPr>
          <w:color w:val="000000"/>
          <w:spacing w:val="0"/>
          <w:w w:val="100"/>
          <w:position w:val="0"/>
        </w:rPr>
        <w:t>、公司实际控制人情况</w:t>
      </w:r>
      <w:bookmarkEnd w:id="230"/>
      <w:bookmarkEnd w:id="231"/>
      <w:bookmarkEnd w:id="233"/>
    </w:p>
    <w:p>
      <w:pPr>
        <w:pStyle w:val="Style38"/>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吴强华先生，中国国籍，无境外居留权，</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年毕业于北京林业大学，研究生 学历，地理信息和测绘专业高级工程师。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年担任北京建设电子信 息工程公司研发工程师、技术部经理，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年加入有限公司，历任执行总裁、 董事长，现任本公司董事长。</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1777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517775"/>
                    </a:xfrm>
                    <a:prstGeom prst="rect"/>
                  </pic:spPr>
                </pic:pic>
              </a:graphicData>
            </a:graphic>
          </wp:inline>
        </w:drawing>
      </w:r>
    </w:p>
    <w:p>
      <w:pPr>
        <w:widowControl w:val="0"/>
        <w:spacing w:after="279" w:line="1" w:lineRule="exact"/>
      </w:pPr>
    </w:p>
    <w:p>
      <w:pPr>
        <w:pStyle w:val="Style50"/>
        <w:keepNext/>
        <w:keepLines/>
        <w:widowControl w:val="0"/>
        <w:shd w:val="clear" w:color="auto" w:fill="auto"/>
        <w:bidi w:val="0"/>
        <w:spacing w:before="0" w:after="220" w:line="240" w:lineRule="auto"/>
        <w:ind w:left="0" w:right="0" w:firstLine="0"/>
        <w:jc w:val="left"/>
      </w:pPr>
      <w:bookmarkStart w:id="234" w:name="bookmark234"/>
      <w:bookmarkStart w:id="235" w:name="bookmark235"/>
      <w:bookmarkStart w:id="236" w:name="bookmark236"/>
      <w:r>
        <w:rPr>
          <w:color w:val="000000"/>
          <w:spacing w:val="0"/>
          <w:w w:val="100"/>
          <w:position w:val="0"/>
        </w:rPr>
        <w:t>实际控制人通过信托或其他资产管理方式控制公司</w:t>
      </w:r>
      <w:bookmarkEnd w:id="234"/>
      <w:bookmarkEnd w:id="235"/>
      <w:bookmarkEnd w:id="236"/>
      <w:r>
        <w:br w:type="page"/>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2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4</w:t>
      </w:r>
      <w:bookmarkEnd w:id="23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37"/>
      <w:bookmarkEnd w:id="238"/>
      <w:bookmarkEnd w:id="240"/>
    </w:p>
    <w:tbl>
      <w:tblPr>
        <w:tblOverlap w:val="never"/>
        <w:jc w:val="center"/>
        <w:tblLayout w:type="fixed"/>
      </w:tblPr>
      <w:tblGrid>
        <w:gridCol w:w="2194"/>
        <w:gridCol w:w="1090"/>
        <w:gridCol w:w="888"/>
        <w:gridCol w:w="1800"/>
        <w:gridCol w:w="1805"/>
        <w:gridCol w:w="181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成立日期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主要经营业务或管理 活动</w:t>
            </w:r>
          </w:p>
        </w:tc>
      </w:tr>
    </w:tbl>
    <w:p>
      <w:pPr>
        <w:widowControl w:val="0"/>
        <w:spacing w:after="319" w:line="1" w:lineRule="exact"/>
      </w:pPr>
    </w:p>
    <w:p>
      <w:pPr>
        <w:pStyle w:val="Style47"/>
        <w:keepNext/>
        <w:keepLines/>
        <w:widowControl w:val="0"/>
        <w:shd w:val="clear" w:color="auto" w:fill="auto"/>
        <w:bidi w:val="0"/>
        <w:spacing w:before="0" w:after="32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5</w:t>
      </w:r>
      <w:bookmarkEnd w:id="243"/>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41"/>
      <w:bookmarkEnd w:id="242"/>
      <w:bookmarkEnd w:id="244"/>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限售条件股东名称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持有的限售条件股份数</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可上市交易时间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新增可上市交易股份数</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限售条件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高管锁定股，每年解锁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7,093,950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2,364,650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高管锁定股，每年解锁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3,238,208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1,079,403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高管锁定股，每年解锁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高管锁定股，每年解锁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2,775,889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925,298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高管锁定股，每年解锁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高管锁定股，每年解锁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2,890,636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963,546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高管锁定股，每年解锁</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245" w:name="bookmark245"/>
      <w:bookmarkStart w:id="246" w:name="bookmark246"/>
      <w:bookmarkStart w:id="247" w:name="bookmark247"/>
      <w:r>
        <w:rPr>
          <w:color w:val="000000"/>
          <w:spacing w:val="0"/>
          <w:w w:val="100"/>
          <w:position w:val="0"/>
        </w:rPr>
        <w:t>第七节 董事、监事、高级管理人员和员工情况</w:t>
      </w:r>
      <w:bookmarkEnd w:id="245"/>
      <w:bookmarkEnd w:id="246"/>
      <w:bookmarkEnd w:id="247"/>
    </w:p>
    <w:p>
      <w:pPr>
        <w:pStyle w:val="Style26"/>
        <w:keepNext/>
        <w:keepLines/>
        <w:widowControl w:val="0"/>
        <w:shd w:val="clear" w:color="auto" w:fill="auto"/>
        <w:bidi w:val="0"/>
        <w:spacing w:before="0" w:after="380" w:line="240" w:lineRule="auto"/>
        <w:ind w:left="0" w:right="0" w:firstLine="0"/>
        <w:jc w:val="left"/>
      </w:pPr>
      <w:bookmarkStart w:id="248" w:name="bookmark248"/>
      <w:bookmarkStart w:id="249" w:name="bookmark249"/>
      <w:bookmarkStart w:id="250" w:name="bookmark250"/>
      <w:bookmarkStart w:id="251" w:name="bookmark251"/>
      <w:bookmarkStart w:id="252" w:name="bookmark252"/>
      <w:r>
        <w:rPr>
          <w:color w:val="000000"/>
          <w:spacing w:val="0"/>
          <w:w w:val="100"/>
          <w:position w:val="0"/>
        </w:rPr>
        <w:t>一</w:t>
      </w:r>
      <w:bookmarkEnd w:id="251"/>
      <w:r>
        <w:rPr>
          <w:color w:val="000000"/>
          <w:spacing w:val="0"/>
          <w:w w:val="100"/>
          <w:position w:val="0"/>
        </w:rPr>
        <w:t>、董事、监事和高级管理人员持股变动</w:t>
      </w:r>
      <w:bookmarkEnd w:id="249"/>
      <w:bookmarkEnd w:id="250"/>
      <w:bookmarkEnd w:id="252"/>
      <w:bookmarkEnd w:id="248"/>
    </w:p>
    <w:p>
      <w:pPr>
        <w:pStyle w:val="Style47"/>
        <w:keepNext/>
        <w:keepLines/>
        <w:widowControl w:val="0"/>
        <w:shd w:val="clear" w:color="auto" w:fill="auto"/>
        <w:bidi w:val="0"/>
        <w:spacing w:before="0" w:after="300" w:line="240" w:lineRule="auto"/>
        <w:ind w:left="0" w:right="0" w:firstLine="0"/>
        <w:jc w:val="left"/>
      </w:pPr>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1</w:t>
      </w:r>
      <w:r>
        <w:rPr>
          <w:color w:val="000000"/>
          <w:spacing w:val="0"/>
          <w:w w:val="100"/>
          <w:position w:val="0"/>
        </w:rPr>
        <w:t>、持股情况</w:t>
      </w:r>
      <w:bookmarkEnd w:id="253"/>
      <w:bookmarkEnd w:id="254"/>
      <w:bookmarkEnd w:id="255"/>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期末持 股数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期初持 有的股 权激励 获授予 限制性 股票数 量（股）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本期获 授予的 股权激 励限制 性股票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本期被 注销的 股权激 励限制 性股票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期末持 有的股 权激励 获授予 限制性 股票数 量（股）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增减变 动原因</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公积金 转增股 本</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副董事 长；总 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公积金 转增股 本</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 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公积金 转增股 本</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 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公积金 转增股 本</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 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公积金 转增股 本</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公积金 转增股 本</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邵建平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独立董</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秦其明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独立董</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高文荣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独立董</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公积金 转增股</w:t>
            </w:r>
          </w:p>
        </w:tc>
      </w:tr>
    </w:tbl>
    <w:tbl>
      <w:tblPr>
        <w:tblOverlap w:val="never"/>
        <w:jc w:val="center"/>
        <w:tblLayout w:type="fixed"/>
      </w:tblPr>
      <w:tblGrid>
        <w:gridCol w:w="691"/>
        <w:gridCol w:w="677"/>
        <w:gridCol w:w="686"/>
        <w:gridCol w:w="682"/>
        <w:gridCol w:w="682"/>
        <w:gridCol w:w="682"/>
        <w:gridCol w:w="686"/>
        <w:gridCol w:w="682"/>
        <w:gridCol w:w="686"/>
        <w:gridCol w:w="682"/>
        <w:gridCol w:w="686"/>
        <w:gridCol w:w="682"/>
        <w:gridCol w:w="686"/>
        <w:gridCol w:w="6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幸帮艳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董事会 秘书； 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殷小敏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财务总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二、任职情况</w:t>
      </w:r>
    </w:p>
    <w:p>
      <w:pPr>
        <w:widowControl w:val="0"/>
        <w:spacing w:after="359" w:line="1" w:lineRule="exact"/>
      </w:pP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1</w:t>
      </w:r>
      <w:r>
        <w:rPr>
          <w:color w:val="000000"/>
          <w:spacing w:val="0"/>
          <w:w w:val="100"/>
          <w:position w:val="0"/>
        </w:rPr>
        <w:t>、公司现任董事</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吴强华先生，男，</w:t>
      </w:r>
      <w:r>
        <w:rPr>
          <w:color w:val="000000"/>
          <w:spacing w:val="0"/>
          <w:w w:val="100"/>
          <w:position w:val="0"/>
          <w:sz w:val="24"/>
          <w:szCs w:val="24"/>
        </w:rPr>
        <w:t>44</w:t>
      </w:r>
      <w:r>
        <w:rPr>
          <w:color w:val="000000"/>
          <w:spacing w:val="0"/>
          <w:w w:val="100"/>
          <w:position w:val="0"/>
        </w:rPr>
        <w:t>岁，中国国籍，无境外居留权，</w:t>
      </w:r>
      <w:r>
        <w:rPr>
          <w:color w:val="000000"/>
          <w:spacing w:val="0"/>
          <w:w w:val="100"/>
          <w:position w:val="0"/>
          <w:sz w:val="24"/>
          <w:szCs w:val="24"/>
        </w:rPr>
        <w:t>1994</w:t>
      </w:r>
      <w:r>
        <w:rPr>
          <w:color w:val="000000"/>
          <w:spacing w:val="0"/>
          <w:w w:val="100"/>
          <w:position w:val="0"/>
        </w:rPr>
        <w:t>年毕业于北京林业大学，研究 生学历，地理信息和测绘专业高级工程师。</w:t>
      </w:r>
      <w:r>
        <w:rPr>
          <w:color w:val="000000"/>
          <w:spacing w:val="0"/>
          <w:w w:val="100"/>
          <w:position w:val="0"/>
          <w:sz w:val="24"/>
          <w:szCs w:val="24"/>
        </w:rPr>
        <w:t>1994</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年担任北京建设电子信息工程公司 研发工程师、技术部经理，</w:t>
      </w:r>
      <w:r>
        <w:rPr>
          <w:color w:val="000000"/>
          <w:spacing w:val="0"/>
          <w:w w:val="100"/>
          <w:position w:val="0"/>
          <w:sz w:val="24"/>
          <w:szCs w:val="24"/>
        </w:rPr>
        <w:t>2003</w:t>
      </w:r>
      <w:r>
        <w:rPr>
          <w:color w:val="000000"/>
          <w:spacing w:val="0"/>
          <w:w w:val="100"/>
          <w:position w:val="0"/>
        </w:rPr>
        <w:t>年加入有限公司，历任执行总裁、董事长，现任本公司董 事长。</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许欣，男，</w:t>
      </w:r>
      <w:r>
        <w:rPr>
          <w:color w:val="000000"/>
          <w:spacing w:val="0"/>
          <w:w w:val="100"/>
          <w:position w:val="0"/>
          <w:sz w:val="24"/>
          <w:szCs w:val="24"/>
        </w:rPr>
        <w:t>47</w:t>
      </w:r>
      <w:r>
        <w:rPr>
          <w:color w:val="000000"/>
          <w:spacing w:val="0"/>
          <w:w w:val="100"/>
          <w:position w:val="0"/>
        </w:rPr>
        <w:t>岁，中国国籍，无境外居留权，</w:t>
      </w:r>
      <w:r>
        <w:rPr>
          <w:color w:val="000000"/>
          <w:spacing w:val="0"/>
          <w:w w:val="100"/>
          <w:position w:val="0"/>
          <w:sz w:val="24"/>
          <w:szCs w:val="24"/>
        </w:rPr>
        <w:t>1989</w:t>
      </w:r>
      <w:r>
        <w:rPr>
          <w:color w:val="000000"/>
          <w:spacing w:val="0"/>
          <w:w w:val="100"/>
          <w:position w:val="0"/>
        </w:rPr>
        <w:t>年毕业于北京工业大学，大学本科学 历。</w:t>
      </w:r>
      <w:r>
        <w:rPr>
          <w:color w:val="000000"/>
          <w:spacing w:val="0"/>
          <w:w w:val="100"/>
          <w:position w:val="0"/>
          <w:sz w:val="24"/>
          <w:szCs w:val="24"/>
        </w:rPr>
        <w:t>1989</w:t>
      </w:r>
      <w:r>
        <w:rPr>
          <w:color w:val="000000"/>
          <w:spacing w:val="0"/>
          <w:w w:val="100"/>
          <w:position w:val="0"/>
        </w:rPr>
        <w:t>年至</w:t>
      </w:r>
      <w:r>
        <w:rPr>
          <w:color w:val="000000"/>
          <w:spacing w:val="0"/>
          <w:w w:val="100"/>
          <w:position w:val="0"/>
          <w:sz w:val="24"/>
          <w:szCs w:val="24"/>
        </w:rPr>
        <w:t>1993</w:t>
      </w:r>
      <w:r>
        <w:rPr>
          <w:color w:val="000000"/>
          <w:spacing w:val="0"/>
          <w:w w:val="100"/>
          <w:position w:val="0"/>
        </w:rPr>
        <w:t>年担任建设部信息中心工程师；</w:t>
      </w:r>
      <w:r>
        <w:rPr>
          <w:color w:val="000000"/>
          <w:spacing w:val="0"/>
          <w:w w:val="100"/>
          <w:position w:val="0"/>
          <w:sz w:val="24"/>
          <w:szCs w:val="24"/>
        </w:rPr>
        <w:t>1993</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年担任北京建设电子信息 工程公司市场部经理和规管事业部副经理；</w:t>
      </w:r>
      <w:r>
        <w:rPr>
          <w:color w:val="000000"/>
          <w:spacing w:val="0"/>
          <w:w w:val="100"/>
          <w:position w:val="0"/>
          <w:sz w:val="24"/>
          <w:szCs w:val="24"/>
        </w:rPr>
        <w:t>2003</w:t>
      </w:r>
      <w:r>
        <w:rPr>
          <w:color w:val="000000"/>
          <w:spacing w:val="0"/>
          <w:w w:val="100"/>
          <w:position w:val="0"/>
        </w:rPr>
        <w:t>年加入有限公司，历任销售总监、副董事长, 现任本公司总裁、副董事长。</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朱华，男，</w:t>
      </w:r>
      <w:r>
        <w:rPr>
          <w:color w:val="000000"/>
          <w:spacing w:val="0"/>
          <w:w w:val="100"/>
          <w:position w:val="0"/>
          <w:sz w:val="24"/>
          <w:szCs w:val="24"/>
        </w:rPr>
        <w:t>39</w:t>
      </w:r>
      <w:r>
        <w:rPr>
          <w:color w:val="000000"/>
          <w:spacing w:val="0"/>
          <w:w w:val="100"/>
          <w:position w:val="0"/>
        </w:rPr>
        <w:t>岁，中国国籍，无境外居留权，</w:t>
      </w:r>
      <w:r>
        <w:rPr>
          <w:color w:val="000000"/>
          <w:spacing w:val="0"/>
          <w:w w:val="100"/>
          <w:position w:val="0"/>
          <w:sz w:val="24"/>
          <w:szCs w:val="24"/>
        </w:rPr>
        <w:t>2000</w:t>
      </w:r>
      <w:r>
        <w:rPr>
          <w:color w:val="000000"/>
          <w:spacing w:val="0"/>
          <w:w w:val="100"/>
          <w:position w:val="0"/>
        </w:rPr>
        <w:t xml:space="preserve">年毕业于北京理工大学，研究生学历。 </w:t>
      </w:r>
      <w:r>
        <w:rPr>
          <w:color w:val="000000"/>
          <w:spacing w:val="0"/>
          <w:w w:val="100"/>
          <w:position w:val="0"/>
          <w:sz w:val="24"/>
          <w:szCs w:val="24"/>
        </w:rPr>
        <w:t>2000</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年担任北京建设数字科技有限责任公司项目经理；</w:t>
      </w:r>
      <w:r>
        <w:rPr>
          <w:color w:val="000000"/>
          <w:spacing w:val="0"/>
          <w:w w:val="100"/>
          <w:position w:val="0"/>
          <w:sz w:val="24"/>
          <w:szCs w:val="24"/>
        </w:rPr>
        <w:t>2002</w:t>
      </w:r>
      <w:r>
        <w:rPr>
          <w:color w:val="000000"/>
          <w:spacing w:val="0"/>
          <w:w w:val="100"/>
          <w:position w:val="0"/>
        </w:rPr>
        <w:t>年加入有限公司，历任 工程部经理、规划和国土事业部副总经理、规划和国土事业部总经理。现任公司董事、副总 裁。</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李国忠，男，</w:t>
      </w:r>
      <w:r>
        <w:rPr>
          <w:color w:val="000000"/>
          <w:spacing w:val="0"/>
          <w:w w:val="100"/>
          <w:position w:val="0"/>
          <w:sz w:val="24"/>
          <w:szCs w:val="24"/>
        </w:rPr>
        <w:t>39</w:t>
      </w:r>
      <w:r>
        <w:rPr>
          <w:color w:val="000000"/>
          <w:spacing w:val="0"/>
          <w:w w:val="100"/>
          <w:position w:val="0"/>
        </w:rPr>
        <w:t>岁，中国国籍，无境外居留权，</w:t>
      </w:r>
      <w:r>
        <w:rPr>
          <w:color w:val="000000"/>
          <w:spacing w:val="0"/>
          <w:w w:val="100"/>
          <w:position w:val="0"/>
          <w:sz w:val="24"/>
          <w:szCs w:val="24"/>
        </w:rPr>
        <w:t>1999</w:t>
      </w:r>
      <w:r>
        <w:rPr>
          <w:color w:val="000000"/>
          <w:spacing w:val="0"/>
          <w:w w:val="100"/>
          <w:position w:val="0"/>
        </w:rPr>
        <w:t>年毕业于北京工业大学半导体器件 与微电子学专业，硕士学历。</w:t>
      </w:r>
      <w:r>
        <w:rPr>
          <w:color w:val="000000"/>
          <w:spacing w:val="0"/>
          <w:w w:val="100"/>
          <w:position w:val="0"/>
          <w:sz w:val="24"/>
          <w:szCs w:val="24"/>
        </w:rPr>
        <w:t>1999</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年担任北京建设数字科技有限责任公司研发工程 师，</w:t>
      </w:r>
      <w:r>
        <w:rPr>
          <w:color w:val="000000"/>
          <w:spacing w:val="0"/>
          <w:w w:val="100"/>
          <w:position w:val="0"/>
          <w:sz w:val="24"/>
          <w:szCs w:val="24"/>
        </w:rPr>
        <w:t>2002</w:t>
      </w:r>
      <w:r>
        <w:rPr>
          <w:color w:val="000000"/>
          <w:spacing w:val="0"/>
          <w:w w:val="100"/>
          <w:position w:val="0"/>
        </w:rPr>
        <w:t>年至</w:t>
      </w:r>
      <w:r>
        <w:rPr>
          <w:color w:val="000000"/>
          <w:spacing w:val="0"/>
          <w:w w:val="100"/>
          <w:position w:val="0"/>
          <w:sz w:val="24"/>
          <w:szCs w:val="24"/>
        </w:rPr>
        <w:t>2004</w:t>
      </w:r>
      <w:r>
        <w:rPr>
          <w:color w:val="000000"/>
          <w:spacing w:val="0"/>
          <w:w w:val="100"/>
          <w:position w:val="0"/>
        </w:rPr>
        <w:t>年担任公司高级研发工程师，</w:t>
      </w:r>
      <w:r>
        <w:rPr>
          <w:color w:val="000000"/>
          <w:spacing w:val="0"/>
          <w:w w:val="100"/>
          <w:position w:val="0"/>
          <w:sz w:val="24"/>
          <w:szCs w:val="24"/>
        </w:rPr>
        <w:t>2004</w:t>
      </w:r>
      <w:r>
        <w:rPr>
          <w:color w:val="000000"/>
          <w:spacing w:val="0"/>
          <w:w w:val="100"/>
          <w:position w:val="0"/>
        </w:rPr>
        <w:t>年至今担任公司规划和国土事业部规划 业务研发经理。现任公司董事、规划和国土事业部规划业务研发经理。</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王洪深，男，</w:t>
      </w:r>
      <w:r>
        <w:rPr>
          <w:color w:val="000000"/>
          <w:spacing w:val="0"/>
          <w:w w:val="100"/>
          <w:position w:val="0"/>
          <w:sz w:val="24"/>
          <w:szCs w:val="24"/>
        </w:rPr>
        <w:t>37</w:t>
      </w:r>
      <w:r>
        <w:rPr>
          <w:color w:val="000000"/>
          <w:spacing w:val="0"/>
          <w:w w:val="100"/>
          <w:position w:val="0"/>
        </w:rPr>
        <w:t>岁，中国国籍，无境外居留权，</w:t>
      </w:r>
      <w:r>
        <w:rPr>
          <w:color w:val="000000"/>
          <w:spacing w:val="0"/>
          <w:w w:val="100"/>
          <w:position w:val="0"/>
          <w:sz w:val="24"/>
          <w:szCs w:val="24"/>
        </w:rPr>
        <w:t>2002</w:t>
      </w:r>
      <w:r>
        <w:rPr>
          <w:color w:val="000000"/>
          <w:spacing w:val="0"/>
          <w:w w:val="100"/>
          <w:position w:val="0"/>
        </w:rPr>
        <w:t>年毕业于清华大学，研究生学历。</w:t>
      </w:r>
    </w:p>
    <w:p>
      <w:pPr>
        <w:pStyle w:val="Style32"/>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2002</w:t>
      </w:r>
      <w:r>
        <w:rPr>
          <w:color w:val="000000"/>
          <w:spacing w:val="0"/>
          <w:w w:val="100"/>
          <w:position w:val="0"/>
        </w:rPr>
        <w:t>年加入有限公司，历任研发组组长、研发部经理、数字城管事业部副总经理、技术总监。 现任公司副总裁、技术总监。</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胡环宇，男，</w:t>
      </w:r>
      <w:r>
        <w:rPr>
          <w:color w:val="000000"/>
          <w:spacing w:val="0"/>
          <w:w w:val="100"/>
          <w:position w:val="0"/>
          <w:sz w:val="24"/>
          <w:szCs w:val="24"/>
        </w:rPr>
        <w:t>35</w:t>
      </w:r>
      <w:r>
        <w:rPr>
          <w:color w:val="000000"/>
          <w:spacing w:val="0"/>
          <w:w w:val="100"/>
          <w:position w:val="0"/>
        </w:rPr>
        <w:t>岁，中国国籍，无境外居留权，</w:t>
      </w:r>
      <w:r>
        <w:rPr>
          <w:color w:val="000000"/>
          <w:spacing w:val="0"/>
          <w:w w:val="100"/>
          <w:position w:val="0"/>
          <w:sz w:val="24"/>
          <w:szCs w:val="24"/>
        </w:rPr>
        <w:t>2004</w:t>
      </w:r>
      <w:r>
        <w:rPr>
          <w:color w:val="000000"/>
          <w:spacing w:val="0"/>
          <w:w w:val="100"/>
          <w:position w:val="0"/>
        </w:rPr>
        <w:t>年毕业于北京科技大学，研究生学 历。</w:t>
      </w:r>
      <w:r>
        <w:rPr>
          <w:color w:val="000000"/>
          <w:spacing w:val="0"/>
          <w:w w:val="100"/>
          <w:position w:val="0"/>
          <w:sz w:val="24"/>
          <w:szCs w:val="24"/>
        </w:rPr>
        <w:t>2004</w:t>
      </w:r>
      <w:r>
        <w:rPr>
          <w:color w:val="000000"/>
          <w:spacing w:val="0"/>
          <w:w w:val="100"/>
          <w:position w:val="0"/>
        </w:rPr>
        <w:t>年加入有限公司，历任数字城管事业部工程部项目经理、数字城管事业部工程部经 理、数字城管事业部副总经理、数字城管事业部总经理。现任公司副总裁、数字城管事业部 总经理。</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邵建平，男，</w:t>
      </w:r>
      <w:r>
        <w:rPr>
          <w:color w:val="000000"/>
          <w:spacing w:val="0"/>
          <w:w w:val="100"/>
          <w:position w:val="0"/>
          <w:sz w:val="24"/>
          <w:szCs w:val="24"/>
        </w:rPr>
        <w:t>60</w:t>
      </w:r>
      <w:r>
        <w:rPr>
          <w:color w:val="000000"/>
          <w:spacing w:val="0"/>
          <w:w w:val="100"/>
          <w:position w:val="0"/>
        </w:rPr>
        <w:t>岁，中国国籍，无境外居留权，</w:t>
      </w:r>
      <w:r>
        <w:rPr>
          <w:color w:val="000000"/>
          <w:spacing w:val="0"/>
          <w:w w:val="100"/>
          <w:position w:val="0"/>
          <w:sz w:val="24"/>
          <w:szCs w:val="24"/>
        </w:rPr>
        <w:t>1977</w:t>
      </w:r>
      <w:r>
        <w:rPr>
          <w:color w:val="000000"/>
          <w:spacing w:val="0"/>
          <w:w w:val="100"/>
          <w:position w:val="0"/>
        </w:rPr>
        <w:t>年毕业于清华大学电子工程系计算 机专业，大学本科学历。</w:t>
      </w:r>
      <w:r>
        <w:rPr>
          <w:color w:val="000000"/>
          <w:spacing w:val="0"/>
          <w:w w:val="100"/>
          <w:position w:val="0"/>
          <w:sz w:val="24"/>
          <w:szCs w:val="24"/>
        </w:rPr>
        <w:t>1977</w:t>
      </w:r>
      <w:r>
        <w:rPr>
          <w:color w:val="000000"/>
          <w:spacing w:val="0"/>
          <w:w w:val="100"/>
          <w:position w:val="0"/>
        </w:rPr>
        <w:t>年至</w:t>
      </w:r>
      <w:r>
        <w:rPr>
          <w:color w:val="000000"/>
          <w:spacing w:val="0"/>
          <w:w w:val="100"/>
          <w:position w:val="0"/>
          <w:sz w:val="24"/>
          <w:szCs w:val="24"/>
        </w:rPr>
        <w:t>1985</w:t>
      </w:r>
      <w:r>
        <w:rPr>
          <w:color w:val="000000"/>
          <w:spacing w:val="0"/>
          <w:w w:val="100"/>
          <w:position w:val="0"/>
        </w:rPr>
        <w:t>年担任北京计算机三厂厂长助理职务；</w:t>
      </w:r>
      <w:r>
        <w:rPr>
          <w:color w:val="000000"/>
          <w:spacing w:val="0"/>
          <w:w w:val="100"/>
          <w:position w:val="0"/>
          <w:sz w:val="24"/>
          <w:szCs w:val="24"/>
        </w:rPr>
        <w:t>1985</w:t>
      </w:r>
      <w:r>
        <w:rPr>
          <w:color w:val="000000"/>
          <w:spacing w:val="0"/>
          <w:w w:val="100"/>
          <w:position w:val="0"/>
        </w:rPr>
        <w:t>年至</w:t>
      </w:r>
      <w:r>
        <w:rPr>
          <w:color w:val="000000"/>
          <w:spacing w:val="0"/>
          <w:w w:val="100"/>
          <w:position w:val="0"/>
          <w:sz w:val="24"/>
          <w:szCs w:val="24"/>
        </w:rPr>
        <w:t xml:space="preserve">1988 </w:t>
      </w:r>
      <w:r>
        <w:rPr>
          <w:color w:val="000000"/>
          <w:spacing w:val="0"/>
          <w:w w:val="100"/>
          <w:position w:val="0"/>
        </w:rPr>
        <w:t>年担任日本</w:t>
      </w:r>
      <w:r>
        <w:rPr>
          <w:color w:val="000000"/>
          <w:spacing w:val="0"/>
          <w:w w:val="100"/>
          <w:position w:val="0"/>
          <w:sz w:val="24"/>
          <w:szCs w:val="24"/>
        </w:rPr>
        <w:t>DC L</w:t>
      </w:r>
      <w:r>
        <w:rPr>
          <w:color w:val="000000"/>
          <w:spacing w:val="0"/>
          <w:w w:val="100"/>
          <w:position w:val="0"/>
        </w:rPr>
        <w:t>株式会社软件开发研修生职务；</w:t>
      </w:r>
      <w:r>
        <w:rPr>
          <w:color w:val="000000"/>
          <w:spacing w:val="0"/>
          <w:w w:val="100"/>
          <w:position w:val="0"/>
          <w:sz w:val="24"/>
          <w:szCs w:val="24"/>
        </w:rPr>
        <w:t>1988</w:t>
      </w:r>
      <w:r>
        <w:rPr>
          <w:color w:val="000000"/>
          <w:spacing w:val="0"/>
          <w:w w:val="100"/>
          <w:position w:val="0"/>
        </w:rPr>
        <w:t>年至</w:t>
      </w:r>
      <w:r>
        <w:rPr>
          <w:color w:val="000000"/>
          <w:spacing w:val="0"/>
          <w:w w:val="100"/>
          <w:position w:val="0"/>
          <w:sz w:val="24"/>
          <w:szCs w:val="24"/>
        </w:rPr>
        <w:t>1989</w:t>
      </w:r>
      <w:r>
        <w:rPr>
          <w:color w:val="000000"/>
          <w:spacing w:val="0"/>
          <w:w w:val="100"/>
          <w:position w:val="0"/>
        </w:rPr>
        <w:t>年担任北京计算机三厂厂长助理 职务；</w:t>
      </w:r>
      <w:r>
        <w:rPr>
          <w:color w:val="000000"/>
          <w:spacing w:val="0"/>
          <w:w w:val="100"/>
          <w:position w:val="0"/>
          <w:sz w:val="24"/>
          <w:szCs w:val="24"/>
        </w:rPr>
        <w:t>1989</w:t>
      </w:r>
      <w:r>
        <w:rPr>
          <w:color w:val="000000"/>
          <w:spacing w:val="0"/>
          <w:w w:val="100"/>
          <w:position w:val="0"/>
        </w:rPr>
        <w:t>年至</w:t>
      </w:r>
      <w:r>
        <w:rPr>
          <w:color w:val="000000"/>
          <w:spacing w:val="0"/>
          <w:w w:val="100"/>
          <w:position w:val="0"/>
          <w:sz w:val="24"/>
          <w:szCs w:val="24"/>
        </w:rPr>
        <w:t>1990</w:t>
      </w:r>
      <w:r>
        <w:rPr>
          <w:color w:val="000000"/>
          <w:spacing w:val="0"/>
          <w:w w:val="100"/>
          <w:position w:val="0"/>
        </w:rPr>
        <w:t>年任职于京电香港有限公司；</w:t>
      </w:r>
      <w:r>
        <w:rPr>
          <w:color w:val="000000"/>
          <w:spacing w:val="0"/>
          <w:w w:val="100"/>
          <w:position w:val="0"/>
          <w:sz w:val="24"/>
          <w:szCs w:val="24"/>
        </w:rPr>
        <w:t>1990</w:t>
      </w:r>
      <w:r>
        <w:rPr>
          <w:color w:val="000000"/>
          <w:spacing w:val="0"/>
          <w:w w:val="100"/>
          <w:position w:val="0"/>
        </w:rPr>
        <w:t>年至</w:t>
      </w:r>
      <w:r>
        <w:rPr>
          <w:color w:val="000000"/>
          <w:spacing w:val="0"/>
          <w:w w:val="100"/>
          <w:position w:val="0"/>
          <w:sz w:val="24"/>
          <w:szCs w:val="24"/>
        </w:rPr>
        <w:t>2001</w:t>
      </w:r>
      <w:r>
        <w:rPr>
          <w:color w:val="000000"/>
          <w:spacing w:val="0"/>
          <w:w w:val="100"/>
          <w:position w:val="0"/>
        </w:rPr>
        <w:t>年担任北京计算机三厂厂长 助理职务；</w:t>
      </w:r>
      <w:r>
        <w:rPr>
          <w:color w:val="000000"/>
          <w:spacing w:val="0"/>
          <w:w w:val="100"/>
          <w:position w:val="0"/>
          <w:sz w:val="24"/>
          <w:szCs w:val="24"/>
        </w:rPr>
        <w:t>2001</w:t>
      </w:r>
      <w:r>
        <w:rPr>
          <w:color w:val="000000"/>
          <w:spacing w:val="0"/>
          <w:w w:val="100"/>
          <w:position w:val="0"/>
        </w:rPr>
        <w:t>年至</w:t>
      </w:r>
      <w:r>
        <w:rPr>
          <w:color w:val="000000"/>
          <w:spacing w:val="0"/>
          <w:w w:val="100"/>
          <w:position w:val="0"/>
          <w:sz w:val="24"/>
          <w:szCs w:val="24"/>
        </w:rPr>
        <w:t>2006</w:t>
      </w:r>
      <w:r>
        <w:rPr>
          <w:color w:val="000000"/>
          <w:spacing w:val="0"/>
          <w:w w:val="100"/>
          <w:position w:val="0"/>
        </w:rPr>
        <w:t>年担任首都信息发展股份有限公司副总裁职务；</w:t>
      </w:r>
      <w:r>
        <w:rPr>
          <w:color w:val="000000"/>
          <w:spacing w:val="0"/>
          <w:w w:val="100"/>
          <w:position w:val="0"/>
          <w:sz w:val="24"/>
          <w:szCs w:val="24"/>
        </w:rPr>
        <w:t>2006</w:t>
      </w:r>
      <w:r>
        <w:rPr>
          <w:color w:val="000000"/>
          <w:spacing w:val="0"/>
          <w:w w:val="100"/>
          <w:position w:val="0"/>
        </w:rPr>
        <w:t>年至今担任首 都信息发展股份有限公司顾问职务。现任公司独立董事。</w:t>
      </w:r>
    </w:p>
    <w:p>
      <w:pPr>
        <w:pStyle w:val="Style3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秦其明，男，</w:t>
      </w:r>
      <w:r>
        <w:rPr>
          <w:color w:val="000000"/>
          <w:spacing w:val="0"/>
          <w:w w:val="100"/>
          <w:position w:val="0"/>
          <w:sz w:val="24"/>
          <w:szCs w:val="24"/>
        </w:rPr>
        <w:t>58</w:t>
      </w:r>
      <w:r>
        <w:rPr>
          <w:color w:val="000000"/>
          <w:spacing w:val="0"/>
          <w:w w:val="100"/>
          <w:position w:val="0"/>
        </w:rPr>
        <w:t>岁，中国国籍，无境外居留权，</w:t>
      </w:r>
      <w:r>
        <w:rPr>
          <w:color w:val="000000"/>
          <w:spacing w:val="0"/>
          <w:w w:val="100"/>
          <w:position w:val="0"/>
          <w:sz w:val="24"/>
          <w:szCs w:val="24"/>
        </w:rPr>
        <w:t>1990</w:t>
      </w:r>
      <w:r>
        <w:rPr>
          <w:color w:val="000000"/>
          <w:spacing w:val="0"/>
          <w:w w:val="100"/>
          <w:position w:val="0"/>
        </w:rPr>
        <w:t>年毕业于北京大学自然地理专业， 博士学历。</w:t>
      </w:r>
      <w:r>
        <w:rPr>
          <w:color w:val="000000"/>
          <w:spacing w:val="0"/>
          <w:w w:val="100"/>
          <w:position w:val="0"/>
          <w:sz w:val="24"/>
          <w:szCs w:val="24"/>
        </w:rPr>
        <w:t>1997</w:t>
      </w:r>
      <w:r>
        <w:rPr>
          <w:color w:val="000000"/>
          <w:spacing w:val="0"/>
          <w:w w:val="100"/>
          <w:position w:val="0"/>
        </w:rPr>
        <w:t>年至</w:t>
      </w:r>
      <w:r>
        <w:rPr>
          <w:color w:val="000000"/>
          <w:spacing w:val="0"/>
          <w:w w:val="100"/>
          <w:position w:val="0"/>
          <w:sz w:val="24"/>
          <w:szCs w:val="24"/>
        </w:rPr>
        <w:t>2001</w:t>
      </w:r>
      <w:r>
        <w:rPr>
          <w:color w:val="000000"/>
          <w:spacing w:val="0"/>
          <w:w w:val="100"/>
          <w:position w:val="0"/>
        </w:rPr>
        <w:t>年担任北京大学遥感研究所副所长职务；</w:t>
      </w:r>
      <w:r>
        <w:rPr>
          <w:color w:val="000000"/>
          <w:spacing w:val="0"/>
          <w:w w:val="100"/>
          <w:position w:val="0"/>
          <w:sz w:val="24"/>
          <w:szCs w:val="24"/>
        </w:rPr>
        <w:t>2001</w:t>
      </w:r>
      <w:r>
        <w:rPr>
          <w:color w:val="000000"/>
          <w:spacing w:val="0"/>
          <w:w w:val="100"/>
          <w:position w:val="0"/>
        </w:rPr>
        <w:t>年至今担任北京大学 地球与空间学院副院长职务。现任公司独立董事。</w:t>
      </w:r>
    </w:p>
    <w:p>
      <w:pPr>
        <w:pStyle w:val="Style32"/>
        <w:keepNext w:val="0"/>
        <w:keepLines w:val="0"/>
        <w:widowControl w:val="0"/>
        <w:shd w:val="clear" w:color="auto" w:fill="auto"/>
        <w:bidi w:val="0"/>
        <w:spacing w:before="0" w:after="0" w:line="474" w:lineRule="exact"/>
        <w:ind w:left="0" w:right="0" w:firstLine="480"/>
        <w:jc w:val="both"/>
      </w:pPr>
      <w:r>
        <w:rPr>
          <w:color w:val="000000"/>
          <w:spacing w:val="0"/>
          <w:w w:val="100"/>
          <w:position w:val="0"/>
        </w:rPr>
        <w:t>高文荣，女，</w:t>
      </w:r>
      <w:r>
        <w:rPr>
          <w:color w:val="000000"/>
          <w:spacing w:val="0"/>
          <w:w w:val="100"/>
          <w:position w:val="0"/>
          <w:sz w:val="24"/>
          <w:szCs w:val="24"/>
        </w:rPr>
        <w:t>40</w:t>
      </w:r>
      <w:r>
        <w:rPr>
          <w:color w:val="000000"/>
          <w:spacing w:val="0"/>
          <w:w w:val="100"/>
          <w:position w:val="0"/>
        </w:rPr>
        <w:t>岁，中国国籍，无境外居留权，</w:t>
      </w:r>
      <w:r>
        <w:rPr>
          <w:color w:val="000000"/>
          <w:spacing w:val="0"/>
          <w:w w:val="100"/>
          <w:position w:val="0"/>
          <w:sz w:val="24"/>
          <w:szCs w:val="24"/>
        </w:rPr>
        <w:t>1996</w:t>
      </w:r>
      <w:r>
        <w:rPr>
          <w:color w:val="000000"/>
          <w:spacing w:val="0"/>
          <w:w w:val="100"/>
          <w:position w:val="0"/>
        </w:rPr>
        <w:t>年毕业于山西财经大学计划统计专 业，本科学历，注册会计师、注册评估师、注册税务师，</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w:t>
      </w:r>
      <w:r>
        <w:rPr>
          <w:color w:val="000000"/>
          <w:spacing w:val="0"/>
          <w:w w:val="100"/>
          <w:position w:val="0"/>
        </w:rPr>
        <w:t>月，历任山西 煤炭气化公司统计员、山西华岳会计师事务所有限公司项目经理、中审会计师事务所有限公 司高级项目经理，现任中磊会计师事务所有限责任公司高级经理。现任公司独立董事。</w:t>
      </w:r>
    </w:p>
    <w:p>
      <w:pPr>
        <w:pStyle w:val="Style32"/>
        <w:keepNext w:val="0"/>
        <w:keepLines w:val="0"/>
        <w:widowControl w:val="0"/>
        <w:shd w:val="clear" w:color="auto" w:fill="auto"/>
        <w:bidi w:val="0"/>
        <w:spacing w:before="0" w:after="0" w:line="475" w:lineRule="exact"/>
        <w:ind w:left="0" w:right="0" w:firstLine="480"/>
        <w:jc w:val="both"/>
      </w:pPr>
      <w:r>
        <w:rPr>
          <w:color w:val="000000"/>
          <w:spacing w:val="0"/>
          <w:w w:val="100"/>
          <w:position w:val="0"/>
          <w:sz w:val="24"/>
          <w:szCs w:val="24"/>
        </w:rPr>
        <w:t>2</w:t>
      </w:r>
      <w:r>
        <w:rPr>
          <w:color w:val="000000"/>
          <w:spacing w:val="0"/>
          <w:w w:val="100"/>
          <w:position w:val="0"/>
        </w:rPr>
        <w:t>、公司现任监事</w:t>
      </w:r>
    </w:p>
    <w:p>
      <w:pPr>
        <w:pStyle w:val="Style32"/>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张蕾，女，</w:t>
      </w:r>
      <w:r>
        <w:rPr>
          <w:color w:val="000000"/>
          <w:spacing w:val="0"/>
          <w:w w:val="100"/>
          <w:position w:val="0"/>
          <w:sz w:val="24"/>
          <w:szCs w:val="24"/>
        </w:rPr>
        <w:t>39</w:t>
      </w:r>
      <w:r>
        <w:rPr>
          <w:color w:val="000000"/>
          <w:spacing w:val="0"/>
          <w:w w:val="100"/>
          <w:position w:val="0"/>
        </w:rPr>
        <w:t>岁，中国国籍，无境外居留权，</w:t>
      </w:r>
      <w:r>
        <w:rPr>
          <w:color w:val="000000"/>
          <w:spacing w:val="0"/>
          <w:w w:val="100"/>
          <w:position w:val="0"/>
          <w:sz w:val="24"/>
          <w:szCs w:val="24"/>
        </w:rPr>
        <w:t>1998</w:t>
      </w:r>
      <w:r>
        <w:rPr>
          <w:color w:val="000000"/>
          <w:spacing w:val="0"/>
          <w:w w:val="100"/>
          <w:position w:val="0"/>
        </w:rPr>
        <w:t xml:space="preserve">年毕业于西安交通大学，研究生学历。 </w:t>
      </w:r>
      <w:r>
        <w:rPr>
          <w:color w:val="000000"/>
          <w:spacing w:val="0"/>
          <w:w w:val="100"/>
          <w:position w:val="0"/>
          <w:sz w:val="24"/>
          <w:szCs w:val="24"/>
        </w:rPr>
        <w:t>1998</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年担任北京建设电子信息工程公司研发工程师，</w:t>
      </w:r>
      <w:r>
        <w:rPr>
          <w:color w:val="000000"/>
          <w:spacing w:val="0"/>
          <w:w w:val="100"/>
          <w:position w:val="0"/>
          <w:sz w:val="24"/>
          <w:szCs w:val="24"/>
        </w:rPr>
        <w:t>2002</w:t>
      </w:r>
      <w:r>
        <w:rPr>
          <w:color w:val="000000"/>
          <w:spacing w:val="0"/>
          <w:w w:val="100"/>
          <w:position w:val="0"/>
        </w:rPr>
        <w:t>年加入有限公司，历任研 发组长、研发经理。现任公司监事会主席、规划和国土事业部国土业务研发经理。</w:t>
      </w:r>
    </w:p>
    <w:p>
      <w:pPr>
        <w:pStyle w:val="Style32"/>
        <w:keepNext w:val="0"/>
        <w:keepLines w:val="0"/>
        <w:widowControl w:val="0"/>
        <w:shd w:val="clear" w:color="auto" w:fill="auto"/>
        <w:bidi w:val="0"/>
        <w:spacing w:before="0" w:after="0" w:line="485" w:lineRule="exact"/>
        <w:ind w:left="0" w:right="0" w:firstLine="480"/>
        <w:jc w:val="both"/>
      </w:pPr>
      <w:r>
        <w:rPr>
          <w:color w:val="000000"/>
          <w:spacing w:val="0"/>
          <w:w w:val="100"/>
          <w:position w:val="0"/>
        </w:rPr>
        <w:t>幸帮艳，女，</w:t>
      </w:r>
      <w:r>
        <w:rPr>
          <w:color w:val="000000"/>
          <w:spacing w:val="0"/>
          <w:w w:val="100"/>
          <w:position w:val="0"/>
          <w:sz w:val="24"/>
          <w:szCs w:val="24"/>
        </w:rPr>
        <w:t>40</w:t>
      </w:r>
      <w:r>
        <w:rPr>
          <w:color w:val="000000"/>
          <w:spacing w:val="0"/>
          <w:w w:val="100"/>
          <w:position w:val="0"/>
        </w:rPr>
        <w:t>岁，中国国籍，无境外居留权，</w:t>
      </w:r>
      <w:r>
        <w:rPr>
          <w:color w:val="000000"/>
          <w:spacing w:val="0"/>
          <w:w w:val="100"/>
          <w:position w:val="0"/>
          <w:sz w:val="24"/>
          <w:szCs w:val="24"/>
        </w:rPr>
        <w:t>2003</w:t>
      </w:r>
      <w:r>
        <w:rPr>
          <w:color w:val="000000"/>
          <w:spacing w:val="0"/>
          <w:w w:val="100"/>
          <w:position w:val="0"/>
        </w:rPr>
        <w:t>年至今在北京数字政通科技股份有 限公司任职财务工作。现任公司监事。</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冯立，女，</w:t>
      </w:r>
      <w:r>
        <w:rPr>
          <w:color w:val="000000"/>
          <w:spacing w:val="0"/>
          <w:w w:val="100"/>
          <w:position w:val="0"/>
          <w:sz w:val="24"/>
          <w:szCs w:val="24"/>
        </w:rPr>
        <w:t>41</w:t>
      </w:r>
      <w:r>
        <w:rPr>
          <w:color w:val="000000"/>
          <w:spacing w:val="0"/>
          <w:w w:val="100"/>
          <w:position w:val="0"/>
        </w:rPr>
        <w:t>岁，中国国籍，无境外居留权，</w:t>
      </w:r>
      <w:r>
        <w:rPr>
          <w:color w:val="000000"/>
          <w:spacing w:val="0"/>
          <w:w w:val="100"/>
          <w:position w:val="0"/>
          <w:sz w:val="24"/>
          <w:szCs w:val="24"/>
        </w:rPr>
        <w:t>1995</w:t>
      </w:r>
      <w:r>
        <w:rPr>
          <w:color w:val="000000"/>
          <w:spacing w:val="0"/>
          <w:w w:val="100"/>
          <w:position w:val="0"/>
        </w:rPr>
        <w:t>年毕业于辽宁大学，本科学历。</w:t>
      </w:r>
      <w:r>
        <w:rPr>
          <w:color w:val="000000"/>
          <w:spacing w:val="0"/>
          <w:w w:val="100"/>
          <w:position w:val="0"/>
          <w:sz w:val="24"/>
          <w:szCs w:val="24"/>
        </w:rPr>
        <w:t xml:space="preserve">1995 </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2</w:t>
      </w:r>
      <w:r>
        <w:rPr>
          <w:color w:val="000000"/>
          <w:spacing w:val="0"/>
          <w:w w:val="100"/>
          <w:position w:val="0"/>
        </w:rPr>
        <w:t>月在上海新昌公司担任总经理助理；</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2</w:t>
      </w:r>
      <w:r>
        <w:rPr>
          <w:color w:val="000000"/>
          <w:spacing w:val="0"/>
          <w:w w:val="100"/>
          <w:position w:val="0"/>
        </w:rPr>
        <w:t>月至</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6</w:t>
      </w:r>
      <w:r>
        <w:rPr>
          <w:color w:val="000000"/>
          <w:spacing w:val="0"/>
          <w:w w:val="100"/>
          <w:position w:val="0"/>
        </w:rPr>
        <w:t>月在中国水产（集 团）总公司担任总经办助理；</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月在神州卫视台担任节目后期制作总经理; </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4</w:t>
      </w:r>
      <w:r>
        <w:rPr>
          <w:color w:val="000000"/>
          <w:spacing w:val="0"/>
          <w:w w:val="100"/>
          <w:position w:val="0"/>
        </w:rPr>
        <w:t>月在北京京奇信装饰工程公司担任办公室主任；</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4</w:t>
      </w:r>
      <w:r>
        <w:rPr>
          <w:color w:val="000000"/>
          <w:spacing w:val="0"/>
          <w:w w:val="100"/>
          <w:position w:val="0"/>
        </w:rPr>
        <w:t xml:space="preserve">月加入有限公 </w:t>
      </w:r>
      <w:r>
        <w:rPr>
          <w:color w:val="000000"/>
          <w:spacing w:val="0"/>
          <w:w w:val="100"/>
          <w:position w:val="0"/>
        </w:rPr>
        <w:t>司，历任人事行政经理。现任公司监事、人事行政经理。</w:t>
      </w:r>
    </w:p>
    <w:p>
      <w:pPr>
        <w:pStyle w:val="Style32"/>
        <w:keepNext w:val="0"/>
        <w:keepLines w:val="0"/>
        <w:widowControl w:val="0"/>
        <w:shd w:val="clear" w:color="auto" w:fill="auto"/>
        <w:bidi w:val="0"/>
        <w:spacing w:before="0" w:after="0" w:line="475" w:lineRule="exact"/>
        <w:ind w:left="0" w:right="0" w:firstLine="620"/>
        <w:jc w:val="both"/>
      </w:pPr>
      <w:bookmarkStart w:id="256" w:name="bookmark256"/>
      <w:r>
        <w:rPr>
          <w:color w:val="000000"/>
          <w:spacing w:val="0"/>
          <w:w w:val="100"/>
          <w:position w:val="0"/>
          <w:sz w:val="24"/>
          <w:szCs w:val="24"/>
        </w:rPr>
        <w:t>3</w:t>
      </w:r>
      <w:bookmarkEnd w:id="256"/>
      <w:r>
        <w:rPr>
          <w:color w:val="000000"/>
          <w:spacing w:val="0"/>
          <w:w w:val="100"/>
          <w:position w:val="0"/>
        </w:rPr>
        <w:t>、公司现任高级管理人员</w:t>
      </w:r>
    </w:p>
    <w:p>
      <w:pPr>
        <w:pStyle w:val="Style32"/>
        <w:keepNext w:val="0"/>
        <w:keepLines w:val="0"/>
        <w:widowControl w:val="0"/>
        <w:shd w:val="clear" w:color="auto" w:fill="auto"/>
        <w:bidi w:val="0"/>
        <w:spacing w:before="0" w:after="0" w:line="475" w:lineRule="exact"/>
        <w:ind w:left="0" w:right="0" w:firstLine="500"/>
        <w:jc w:val="left"/>
      </w:pPr>
      <w:r>
        <w:rPr>
          <w:color w:val="000000"/>
          <w:spacing w:val="0"/>
          <w:w w:val="100"/>
          <w:position w:val="0"/>
        </w:rPr>
        <w:t>许欣，男，现任公司总裁，详见董事简历。</w:t>
      </w:r>
    </w:p>
    <w:p>
      <w:pPr>
        <w:pStyle w:val="Style32"/>
        <w:keepNext w:val="0"/>
        <w:keepLines w:val="0"/>
        <w:widowControl w:val="0"/>
        <w:shd w:val="clear" w:color="auto" w:fill="auto"/>
        <w:bidi w:val="0"/>
        <w:spacing w:before="0" w:after="0" w:line="475" w:lineRule="exact"/>
        <w:ind w:left="0" w:right="0" w:firstLine="500"/>
        <w:jc w:val="left"/>
      </w:pPr>
      <w:r>
        <w:rPr>
          <w:color w:val="000000"/>
          <w:spacing w:val="0"/>
          <w:w w:val="100"/>
          <w:position w:val="0"/>
        </w:rPr>
        <w:t>朱华，男，现任公司副总裁，详见董事简历。</w:t>
      </w:r>
    </w:p>
    <w:p>
      <w:pPr>
        <w:pStyle w:val="Style32"/>
        <w:keepNext w:val="0"/>
        <w:keepLines w:val="0"/>
        <w:widowControl w:val="0"/>
        <w:shd w:val="clear" w:color="auto" w:fill="auto"/>
        <w:bidi w:val="0"/>
        <w:spacing w:before="0" w:after="0" w:line="475" w:lineRule="exact"/>
        <w:ind w:left="0" w:right="0" w:firstLine="500"/>
        <w:jc w:val="left"/>
      </w:pPr>
      <w:r>
        <w:rPr>
          <w:color w:val="000000"/>
          <w:spacing w:val="0"/>
          <w:w w:val="100"/>
          <w:position w:val="0"/>
        </w:rPr>
        <w:t>胡环宇，男，现任公司副总裁，详见董事简历。</w:t>
      </w:r>
    </w:p>
    <w:p>
      <w:pPr>
        <w:pStyle w:val="Style32"/>
        <w:keepNext w:val="0"/>
        <w:keepLines w:val="0"/>
        <w:widowControl w:val="0"/>
        <w:shd w:val="clear" w:color="auto" w:fill="auto"/>
        <w:bidi w:val="0"/>
        <w:spacing w:before="0" w:after="0" w:line="475" w:lineRule="exact"/>
        <w:ind w:left="0" w:right="0" w:firstLine="500"/>
        <w:jc w:val="left"/>
      </w:pPr>
      <w:r>
        <w:rPr>
          <w:color w:val="000000"/>
          <w:spacing w:val="0"/>
          <w:w w:val="100"/>
          <w:position w:val="0"/>
        </w:rPr>
        <w:t>王洪深，男，现任公司副总裁，详见董事简历。</w:t>
      </w:r>
    </w:p>
    <w:p>
      <w:pPr>
        <w:pStyle w:val="Style32"/>
        <w:keepNext w:val="0"/>
        <w:keepLines w:val="0"/>
        <w:widowControl w:val="0"/>
        <w:shd w:val="clear" w:color="auto" w:fill="auto"/>
        <w:bidi w:val="0"/>
        <w:spacing w:before="0" w:after="0" w:line="475" w:lineRule="exact"/>
        <w:ind w:left="0" w:right="0" w:firstLine="500"/>
        <w:jc w:val="both"/>
      </w:pPr>
      <w:r>
        <w:rPr>
          <w:color w:val="000000"/>
          <w:spacing w:val="0"/>
          <w:w w:val="100"/>
          <w:position w:val="0"/>
        </w:rPr>
        <w:t>王东，男，</w:t>
      </w:r>
      <w:r>
        <w:rPr>
          <w:color w:val="000000"/>
          <w:spacing w:val="0"/>
          <w:w w:val="100"/>
          <w:position w:val="0"/>
          <w:sz w:val="24"/>
          <w:szCs w:val="24"/>
        </w:rPr>
        <w:t>43</w:t>
      </w:r>
      <w:r>
        <w:rPr>
          <w:color w:val="000000"/>
          <w:spacing w:val="0"/>
          <w:w w:val="100"/>
          <w:position w:val="0"/>
        </w:rPr>
        <w:t>岁，中国国籍，硕士学位。曾任立得空间信息技术股份有限公司北京公司 总经理，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11</w:t>
      </w:r>
      <w:r>
        <w:rPr>
          <w:color w:val="000000"/>
          <w:spacing w:val="0"/>
          <w:w w:val="100"/>
          <w:position w:val="0"/>
        </w:rPr>
        <w:t>月加入本公司，现任公司副总裁。</w:t>
      </w:r>
    </w:p>
    <w:p>
      <w:pPr>
        <w:pStyle w:val="Style32"/>
        <w:keepNext w:val="0"/>
        <w:keepLines w:val="0"/>
        <w:widowControl w:val="0"/>
        <w:shd w:val="clear" w:color="auto" w:fill="auto"/>
        <w:bidi w:val="0"/>
        <w:spacing w:before="0" w:after="0" w:line="475" w:lineRule="exact"/>
        <w:ind w:left="0" w:right="0" w:firstLine="500"/>
        <w:jc w:val="both"/>
      </w:pPr>
      <w:r>
        <w:rPr>
          <w:color w:val="000000"/>
          <w:spacing w:val="0"/>
          <w:w w:val="100"/>
          <w:position w:val="0"/>
        </w:rPr>
        <w:t>邱鲁闽，</w:t>
      </w:r>
      <w:r>
        <w:rPr>
          <w:color w:val="000000"/>
          <w:spacing w:val="0"/>
          <w:w w:val="100"/>
          <w:position w:val="0"/>
          <w:sz w:val="24"/>
          <w:szCs w:val="24"/>
        </w:rPr>
        <w:t>37</w:t>
      </w:r>
      <w:r>
        <w:rPr>
          <w:color w:val="000000"/>
          <w:spacing w:val="0"/>
          <w:w w:val="100"/>
          <w:position w:val="0"/>
        </w:rPr>
        <w:t>岁，中国国籍，无境外居留权，</w:t>
      </w:r>
      <w:r>
        <w:rPr>
          <w:color w:val="000000"/>
          <w:spacing w:val="0"/>
          <w:w w:val="100"/>
          <w:position w:val="0"/>
          <w:sz w:val="24"/>
          <w:szCs w:val="24"/>
        </w:rPr>
        <w:t>2002</w:t>
      </w:r>
      <w:r>
        <w:rPr>
          <w:color w:val="000000"/>
          <w:spacing w:val="0"/>
          <w:w w:val="100"/>
          <w:position w:val="0"/>
        </w:rPr>
        <w:t>年毕业于清华大学，研究生学历，曾任 北京华胜天成科技股份有限公司投资总监及董事会秘书，</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月加入本公司，现任公司副 总裁及董事会秘书。</w:t>
      </w:r>
    </w:p>
    <w:p>
      <w:pPr>
        <w:pStyle w:val="Style32"/>
        <w:keepNext w:val="0"/>
        <w:keepLines w:val="0"/>
        <w:widowControl w:val="0"/>
        <w:shd w:val="clear" w:color="auto" w:fill="auto"/>
        <w:bidi w:val="0"/>
        <w:spacing w:before="0" w:after="200" w:line="474" w:lineRule="exact"/>
        <w:ind w:left="0" w:right="0" w:firstLine="500"/>
        <w:jc w:val="both"/>
      </w:pPr>
      <w:r>
        <w:rPr>
          <w:color w:val="000000"/>
          <w:spacing w:val="0"/>
          <w:w w:val="100"/>
          <w:position w:val="0"/>
        </w:rPr>
        <w:t>殷小敏，女</w:t>
      </w:r>
      <w:r>
        <w:rPr>
          <w:color w:val="000000"/>
          <w:spacing w:val="0"/>
          <w:w w:val="100"/>
          <w:position w:val="0"/>
          <w:sz w:val="24"/>
          <w:szCs w:val="24"/>
        </w:rPr>
        <w:t>，57</w:t>
      </w:r>
      <w:r>
        <w:rPr>
          <w:color w:val="000000"/>
          <w:spacing w:val="0"/>
          <w:w w:val="100"/>
          <w:position w:val="0"/>
        </w:rPr>
        <w:t>岁，中国国籍，无境外居留权，</w:t>
      </w:r>
      <w:r>
        <w:rPr>
          <w:color w:val="000000"/>
          <w:spacing w:val="0"/>
          <w:w w:val="100"/>
          <w:position w:val="0"/>
          <w:sz w:val="24"/>
          <w:szCs w:val="24"/>
        </w:rPr>
        <w:t>1986</w:t>
      </w:r>
      <w:r>
        <w:rPr>
          <w:color w:val="000000"/>
          <w:spacing w:val="0"/>
          <w:w w:val="100"/>
          <w:position w:val="0"/>
        </w:rPr>
        <w:t>年毕业于北京广播电视大学，专科 学历。</w:t>
      </w:r>
      <w:r>
        <w:rPr>
          <w:color w:val="000000"/>
          <w:spacing w:val="0"/>
          <w:w w:val="100"/>
          <w:position w:val="0"/>
          <w:sz w:val="24"/>
          <w:szCs w:val="24"/>
        </w:rPr>
        <w:t>1981</w:t>
      </w:r>
      <w:r>
        <w:rPr>
          <w:color w:val="000000"/>
          <w:spacing w:val="0"/>
          <w:w w:val="100"/>
          <w:position w:val="0"/>
        </w:rPr>
        <w:t>年至</w:t>
      </w:r>
      <w:r>
        <w:rPr>
          <w:color w:val="000000"/>
          <w:spacing w:val="0"/>
          <w:w w:val="100"/>
          <w:position w:val="0"/>
          <w:sz w:val="24"/>
          <w:szCs w:val="24"/>
        </w:rPr>
        <w:t>2006</w:t>
      </w:r>
      <w:r>
        <w:rPr>
          <w:color w:val="000000"/>
          <w:spacing w:val="0"/>
          <w:w w:val="100"/>
          <w:position w:val="0"/>
        </w:rPr>
        <w:t>年担任北京友谊宾馆出纳、会计、总账主管、财务经理；</w:t>
      </w:r>
      <w:r>
        <w:rPr>
          <w:color w:val="000000"/>
          <w:spacing w:val="0"/>
          <w:w w:val="100"/>
          <w:position w:val="0"/>
          <w:sz w:val="24"/>
          <w:szCs w:val="24"/>
        </w:rPr>
        <w:t>2006</w:t>
      </w:r>
      <w:r>
        <w:rPr>
          <w:color w:val="000000"/>
          <w:spacing w:val="0"/>
          <w:w w:val="100"/>
          <w:position w:val="0"/>
        </w:rPr>
        <w:t>年至</w:t>
      </w:r>
      <w:r>
        <w:rPr>
          <w:color w:val="000000"/>
          <w:spacing w:val="0"/>
          <w:w w:val="100"/>
          <w:position w:val="0"/>
          <w:sz w:val="24"/>
          <w:szCs w:val="24"/>
        </w:rPr>
        <w:t xml:space="preserve">2007 </w:t>
      </w:r>
      <w:r>
        <w:rPr>
          <w:color w:val="000000"/>
          <w:spacing w:val="0"/>
          <w:w w:val="100"/>
          <w:position w:val="0"/>
        </w:rPr>
        <w:t>年担任中国清洁发展机制基金管理中心财务主管；</w:t>
      </w:r>
      <w:r>
        <w:rPr>
          <w:color w:val="000000"/>
          <w:spacing w:val="0"/>
          <w:w w:val="100"/>
          <w:position w:val="0"/>
          <w:sz w:val="24"/>
          <w:szCs w:val="24"/>
        </w:rPr>
        <w:t>2007</w:t>
      </w:r>
      <w:r>
        <w:rPr>
          <w:color w:val="000000"/>
          <w:spacing w:val="0"/>
          <w:w w:val="100"/>
          <w:position w:val="0"/>
        </w:rPr>
        <w:t>年加入有限公司，任财务负责人。现 任公司财务总监。</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邵建平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首都信息发展股份有限公司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秦其明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北京大学地球与空间学院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高文荣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中磊会计师事务所有限责任公司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38"/>
        <w:keepNext w:val="0"/>
        <w:keepLines w:val="0"/>
        <w:widowControl w:val="0"/>
        <w:shd w:val="clear" w:color="auto" w:fill="auto"/>
        <w:bidi w:val="0"/>
        <w:spacing w:before="0" w:after="0" w:line="240" w:lineRule="auto"/>
        <w:ind w:left="5" w:right="0" w:firstLine="0"/>
        <w:jc w:val="left"/>
        <w:rPr>
          <w:sz w:val="22"/>
          <w:szCs w:val="22"/>
        </w:rPr>
      </w:pPr>
      <w:r>
        <w:rPr>
          <w:b/>
          <w:bCs/>
          <w:color w:val="000000"/>
          <w:spacing w:val="0"/>
          <w:w w:val="100"/>
          <w:position w:val="0"/>
          <w:sz w:val="22"/>
          <w:szCs w:val="22"/>
        </w:rPr>
        <w:t>三、董事、监事、高级管理人员报酬情况</w:t>
      </w:r>
    </w:p>
    <w:p>
      <w:pPr>
        <w:widowControl w:val="0"/>
        <w:spacing w:after="299" w:line="1" w:lineRule="exact"/>
      </w:pPr>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公司董事报酬或津贴由股东大会决定，高级管理人员报酬由董事会决定，独 立董事津贴由股东大会决定，董事、监事、高级管理人员薪酬由董事会薪酬 与考核委员会组织并考核。</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根据公司经营业绩，高级管理人员的报酬根据公司薪酬分配政策，结合其经 营绩效、工作能力、岗位职责等考核确定并发放。</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工资、津贴次月发放；奖金延后发放</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 报酬总额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从股东单位获</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报告期末实际 所得报酬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副董事长；总 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李国忠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邵建平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秦其明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高文荣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冯立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幸帮艳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董事会秘书；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殷小敏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四</w:t>
      </w:r>
      <w:bookmarkEnd w:id="259"/>
      <w:r>
        <w:rPr>
          <w:color w:val="000000"/>
          <w:spacing w:val="0"/>
          <w:w w:val="100"/>
          <w:position w:val="0"/>
        </w:rPr>
        <w:t>、公司董事、监事、高级管理人员变动情况</w:t>
      </w:r>
      <w:bookmarkEnd w:id="257"/>
      <w:bookmarkEnd w:id="258"/>
      <w:bookmarkEnd w:id="260"/>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3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许欣</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第二届董事会第十六次会议审议通过《关于选举公司</w:t>
            </w: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副董事长的议案》，选举许欣先生</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五</w:t>
      </w:r>
      <w:bookmarkEnd w:id="263"/>
      <w:r>
        <w:rPr>
          <w:color w:val="000000"/>
          <w:spacing w:val="0"/>
          <w:w w:val="100"/>
          <w:position w:val="0"/>
        </w:rPr>
        <w:t>、报告期核心技术团队或关键技术人员变动情况（非董事、监事、高级管理人员）</w:t>
      </w:r>
      <w:bookmarkEnd w:id="261"/>
      <w:bookmarkEnd w:id="262"/>
      <w:bookmarkEnd w:id="264"/>
    </w:p>
    <w:p>
      <w:pPr>
        <w:pStyle w:val="Style50"/>
        <w:keepNext/>
        <w:keepLines/>
        <w:widowControl w:val="0"/>
        <w:shd w:val="clear" w:color="auto" w:fill="auto"/>
        <w:bidi w:val="0"/>
        <w:spacing w:before="0" w:after="400" w:line="240" w:lineRule="auto"/>
        <w:ind w:left="0" w:right="0" w:firstLine="480"/>
        <w:jc w:val="left"/>
      </w:pPr>
      <w:bookmarkStart w:id="265" w:name="bookmark265"/>
      <w:bookmarkStart w:id="266" w:name="bookmark266"/>
      <w:bookmarkStart w:id="267" w:name="bookmark267"/>
      <w:r>
        <w:rPr>
          <w:color w:val="000000"/>
          <w:spacing w:val="0"/>
          <w:w w:val="100"/>
          <w:position w:val="0"/>
        </w:rPr>
        <w:t>报告期，公司核心技术团队或关键技术人员未发生变动。</w:t>
      </w:r>
      <w:bookmarkEnd w:id="265"/>
      <w:bookmarkEnd w:id="266"/>
      <w:bookmarkEnd w:id="267"/>
    </w:p>
    <w:p>
      <w:pPr>
        <w:pStyle w:val="Style26"/>
        <w:keepNext/>
        <w:keepLines/>
        <w:widowControl w:val="0"/>
        <w:shd w:val="clear" w:color="auto" w:fill="auto"/>
        <w:bidi w:val="0"/>
        <w:spacing w:before="0" w:after="40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六</w:t>
      </w:r>
      <w:bookmarkEnd w:id="270"/>
      <w:r>
        <w:rPr>
          <w:color w:val="000000"/>
          <w:spacing w:val="0"/>
          <w:w w:val="100"/>
          <w:position w:val="0"/>
        </w:rPr>
        <w:t>、公司员工情况</w:t>
      </w:r>
      <w:bookmarkEnd w:id="268"/>
      <w:bookmarkEnd w:id="269"/>
      <w:bookmarkEnd w:id="271"/>
    </w:p>
    <w:p>
      <w:pPr>
        <w:pStyle w:val="Style50"/>
        <w:keepNext/>
        <w:keepLines/>
        <w:widowControl w:val="0"/>
        <w:shd w:val="clear" w:color="auto" w:fill="auto"/>
        <w:bidi w:val="0"/>
        <w:spacing w:before="0" w:after="360" w:line="240" w:lineRule="auto"/>
        <w:ind w:left="0" w:right="0" w:firstLine="480"/>
        <w:jc w:val="left"/>
      </w:pPr>
      <w:bookmarkStart w:id="272" w:name="bookmark272"/>
      <w:bookmarkStart w:id="273" w:name="bookmark273"/>
      <w:bookmarkStart w:id="274" w:name="bookmark274"/>
      <w:r>
        <w:rPr>
          <w:color w:val="000000"/>
          <w:spacing w:val="0"/>
          <w:w w:val="100"/>
          <w:position w:val="0"/>
        </w:rPr>
        <w:t>截止</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日，公司员工人数为</w:t>
      </w:r>
      <w:r>
        <w:rPr>
          <w:color w:val="000000"/>
          <w:spacing w:val="0"/>
          <w:w w:val="100"/>
          <w:position w:val="0"/>
          <w:sz w:val="24"/>
          <w:szCs w:val="24"/>
        </w:rPr>
        <w:t>619</w:t>
      </w:r>
      <w:r>
        <w:rPr>
          <w:color w:val="000000"/>
          <w:spacing w:val="0"/>
          <w:w w:val="100"/>
          <w:position w:val="0"/>
        </w:rPr>
        <w:t>人，公司员工按专业结构、受教育程度、年龄</w:t>
      </w:r>
      <w:bookmarkEnd w:id="272"/>
      <w:bookmarkEnd w:id="273"/>
      <w:bookmarkEnd w:id="274"/>
      <w:r>
        <w:br w:type="page"/>
      </w:r>
    </w:p>
    <w:p>
      <w:pPr>
        <w:pStyle w:val="Style50"/>
        <w:keepNext/>
        <w:keepLines/>
        <w:widowControl w:val="0"/>
        <w:shd w:val="clear" w:color="auto" w:fill="auto"/>
        <w:bidi w:val="0"/>
        <w:spacing w:before="0" w:after="200" w:line="240" w:lineRule="auto"/>
        <w:ind w:left="0" w:right="0" w:firstLine="0"/>
        <w:jc w:val="left"/>
      </w:pPr>
      <w:bookmarkStart w:id="275" w:name="bookmark275"/>
      <w:bookmarkStart w:id="276" w:name="bookmark276"/>
      <w:bookmarkStart w:id="277" w:name="bookmark277"/>
      <w:r>
        <w:rPr>
          <w:color w:val="000000"/>
          <w:spacing w:val="0"/>
          <w:w w:val="100"/>
          <w:position w:val="0"/>
        </w:rPr>
        <w:t>结构划分的构成情况如下:</w:t>
      </w:r>
      <w:bookmarkEnd w:id="275"/>
      <w:bookmarkEnd w:id="276"/>
      <w:bookmarkEnd w:id="277"/>
    </w:p>
    <w:p>
      <w:pPr>
        <w:pStyle w:val="Style50"/>
        <w:keepNext/>
        <w:keepLines/>
        <w:widowControl w:val="0"/>
        <w:shd w:val="clear" w:color="auto" w:fill="auto"/>
        <w:bidi w:val="0"/>
        <w:spacing w:before="0" w:after="100" w:line="240" w:lineRule="auto"/>
        <w:ind w:left="0" w:right="0" w:firstLine="620"/>
        <w:jc w:val="left"/>
      </w:pPr>
      <w:bookmarkStart w:id="275" w:name="bookmark275"/>
      <w:bookmarkStart w:id="276" w:name="bookmark276"/>
      <w:bookmarkStart w:id="278" w:name="bookmark278"/>
      <w:r>
        <w:rPr>
          <w:color w:val="000000"/>
          <w:spacing w:val="0"/>
          <w:w w:val="100"/>
          <w:position w:val="0"/>
        </w:rPr>
        <w:t>（一）按专业构成划分:</w:t>
      </w:r>
      <w:bookmarkEnd w:id="275"/>
      <w:bookmarkEnd w:id="276"/>
      <w:bookmarkEnd w:id="278"/>
    </w:p>
    <w:tbl>
      <w:tblPr>
        <w:tblOverlap w:val="never"/>
        <w:jc w:val="left"/>
        <w:tblLayout w:type="fixed"/>
      </w:tblPr>
      <w:tblGrid>
        <w:gridCol w:w="3427"/>
        <w:gridCol w:w="1843"/>
        <w:gridCol w:w="2280"/>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73.67%</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13.41%</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管理及财务人员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12.12%</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0.8%</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50"/>
        <w:keepNext/>
        <w:keepLines/>
        <w:widowControl w:val="0"/>
        <w:shd w:val="clear" w:color="auto" w:fill="auto"/>
        <w:bidi w:val="0"/>
        <w:spacing w:before="0" w:after="100" w:line="240" w:lineRule="auto"/>
        <w:ind w:left="0" w:right="0" w:firstLine="620"/>
        <w:jc w:val="left"/>
      </w:pPr>
      <w:bookmarkStart w:id="279" w:name="bookmark279"/>
      <w:bookmarkStart w:id="280" w:name="bookmark280"/>
      <w:bookmarkStart w:id="281" w:name="bookmark281"/>
      <w:r>
        <w:rPr>
          <w:color w:val="000000"/>
          <w:spacing w:val="0"/>
          <w:w w:val="100"/>
          <w:position w:val="0"/>
        </w:rPr>
        <w:t>（二）按受教育程度划分:</w:t>
      </w:r>
      <w:bookmarkEnd w:id="279"/>
      <w:bookmarkEnd w:id="280"/>
      <w:bookmarkEnd w:id="281"/>
    </w:p>
    <w:tbl>
      <w:tblPr>
        <w:tblOverlap w:val="never"/>
        <w:jc w:val="left"/>
        <w:tblLayout w:type="fixed"/>
      </w:tblPr>
      <w:tblGrid>
        <w:gridCol w:w="3427"/>
        <w:gridCol w:w="1843"/>
        <w:gridCol w:w="2280"/>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硕士研究生及以上学历人数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21.32%</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大学本科学历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63.33%</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大专学历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12.28%</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大专以下学历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50"/>
        <w:keepNext/>
        <w:keepLines/>
        <w:widowControl w:val="0"/>
        <w:shd w:val="clear" w:color="auto" w:fill="auto"/>
        <w:bidi w:val="0"/>
        <w:spacing w:before="0" w:after="100" w:line="240" w:lineRule="auto"/>
        <w:ind w:left="0" w:right="0" w:firstLine="62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三）按年龄构成划分:</w:t>
      </w:r>
      <w:bookmarkEnd w:id="282"/>
      <w:bookmarkEnd w:id="283"/>
      <w:bookmarkEnd w:id="285"/>
    </w:p>
    <w:tbl>
      <w:tblPr>
        <w:tblOverlap w:val="never"/>
        <w:jc w:val="left"/>
        <w:tblLayout w:type="fixed"/>
      </w:tblPr>
      <w:tblGrid>
        <w:gridCol w:w="3427"/>
        <w:gridCol w:w="1843"/>
        <w:gridCol w:w="2280"/>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占总人数比例</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岁及以上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1.61%</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40-49 </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r>
      <w:tr>
        <w:trPr>
          <w:trHeight w:val="33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30-39 </w:t>
            </w:r>
            <w:r>
              <w:rPr>
                <w:color w:val="000000"/>
                <w:spacing w:val="0"/>
                <w:w w:val="100"/>
                <w:position w:val="0"/>
                <w:sz w:val="20"/>
                <w:szCs w:val="2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30.86%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岁及以下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63.33%</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sectPr>
          <w:footnotePr>
            <w:pos w:val="pageBottom"/>
            <w:numFmt w:val="decimal"/>
            <w:numRestart w:val="continuous"/>
          </w:footnotePr>
          <w:pgSz w:w="11900" w:h="16840"/>
          <w:pgMar w:top="1321" w:right="1054" w:bottom="1475" w:left="1045" w:header="0" w:footer="3" w:gutter="0"/>
          <w:cols w:space="720"/>
          <w:noEndnote/>
          <w:rtlGutter w:val="0"/>
          <w:docGrid w:linePitch="360"/>
        </w:sectPr>
      </w:pPr>
    </w:p>
    <w:p>
      <w:pPr>
        <w:pStyle w:val="Style8"/>
        <w:keepNext/>
        <w:keepLines/>
        <w:widowControl w:val="0"/>
        <w:shd w:val="clear" w:color="auto" w:fill="auto"/>
        <w:bidi w:val="0"/>
        <w:spacing w:before="800" w:after="340" w:line="240" w:lineRule="auto"/>
        <w:ind w:left="0" w:right="0" w:firstLine="0"/>
        <w:jc w:val="center"/>
      </w:pPr>
      <w:bookmarkStart w:id="286" w:name="bookmark286"/>
      <w:bookmarkStart w:id="287" w:name="bookmark287"/>
      <w:bookmarkStart w:id="288" w:name="bookmark288"/>
      <w:r>
        <w:rPr>
          <w:color w:val="000000"/>
          <w:spacing w:val="0"/>
          <w:w w:val="100"/>
          <w:position w:val="0"/>
        </w:rPr>
        <w:t>第八节公司治理</w:t>
      </w:r>
      <w:bookmarkEnd w:id="286"/>
      <w:bookmarkEnd w:id="287"/>
      <w:bookmarkEnd w:id="288"/>
    </w:p>
    <w:p>
      <w:pPr>
        <w:pStyle w:val="Style26"/>
        <w:keepNext/>
        <w:keepLines/>
        <w:widowControl w:val="0"/>
        <w:shd w:val="clear" w:color="auto" w:fill="auto"/>
        <w:tabs>
          <w:tab w:pos="517" w:val="left"/>
        </w:tabs>
        <w:bidi w:val="0"/>
        <w:spacing w:before="0" w:after="200"/>
        <w:ind w:left="0" w:right="0" w:firstLine="0"/>
        <w:jc w:val="left"/>
      </w:pPr>
      <w:bookmarkStart w:id="289" w:name="bookmark289"/>
      <w:bookmarkStart w:id="290" w:name="bookmark290"/>
      <w:bookmarkStart w:id="291" w:name="bookmark291"/>
      <w:bookmarkStart w:id="292" w:name="bookmark292"/>
      <w:bookmarkStart w:id="293" w:name="bookmark293"/>
      <w:r>
        <w:rPr>
          <w:color w:val="000000"/>
          <w:spacing w:val="0"/>
          <w:w w:val="100"/>
          <w:position w:val="0"/>
        </w:rPr>
        <w:t>一</w:t>
      </w:r>
      <w:bookmarkEnd w:id="292"/>
      <w:r>
        <w:rPr>
          <w:color w:val="000000"/>
          <w:spacing w:val="0"/>
          <w:w w:val="100"/>
          <w:position w:val="0"/>
        </w:rPr>
        <w:t>、</w:t>
        <w:tab/>
        <w:t>公司治理的基本状况</w:t>
      </w:r>
      <w:bookmarkEnd w:id="290"/>
      <w:bookmarkEnd w:id="291"/>
      <w:bookmarkEnd w:id="293"/>
      <w:bookmarkEnd w:id="289"/>
    </w:p>
    <w:p>
      <w:pPr>
        <w:pStyle w:val="Style32"/>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报告期内，公司根据《公司法》、《证券法》、《上市公司治理准则》、《深圳证券交 易所创业板股票上市规则》、《深圳证券交易所创业板上市公司规范运作指引》等法律法规 的要求，结合本公司的具体情况健全和完善了《公司章程》和各内部控制制度，发挥了董事 会各专门委员会的职能和作用，完善了董事会的职能和专业化程度，保障了董事会决策的科 学性和程序性，不断完善本公司法人治理结构和内控制度，进一步规范公司运作，提高公司 治理水平。截至报告期末，本公司治理实际情况基本符合中国证监会发布的有关上市公司治 理的规范性文件的要求。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after="340"/>
        <w:ind w:left="0" w:right="0" w:firstLine="0"/>
        <w:jc w:val="left"/>
      </w:pPr>
      <w:bookmarkStart w:id="294" w:name="bookmark294"/>
      <w:bookmarkStart w:id="295" w:name="bookmark295"/>
      <w:bookmarkStart w:id="296" w:name="bookmark296"/>
      <w:bookmarkStart w:id="297" w:name="bookmark297"/>
      <w:r>
        <w:rPr>
          <w:color w:val="000000"/>
          <w:spacing w:val="0"/>
          <w:w w:val="100"/>
          <w:position w:val="0"/>
        </w:rPr>
        <w:t>二</w:t>
      </w:r>
      <w:bookmarkEnd w:id="296"/>
      <w:r>
        <w:rPr>
          <w:color w:val="000000"/>
          <w:spacing w:val="0"/>
          <w:w w:val="100"/>
          <w:position w:val="0"/>
        </w:rPr>
        <w:t>、</w:t>
        <w:tab/>
        <w:t>报告期内召开的年度股东大会和临时股东大会的有关情况</w:t>
      </w:r>
      <w:bookmarkEnd w:id="294"/>
      <w:bookmarkEnd w:id="295"/>
      <w:bookmarkEnd w:id="297"/>
    </w:p>
    <w:p>
      <w:pPr>
        <w:pStyle w:val="Style47"/>
        <w:keepNext/>
        <w:keepLines/>
        <w:widowControl w:val="0"/>
        <w:shd w:val="clear" w:color="auto" w:fill="auto"/>
        <w:bidi w:val="0"/>
        <w:spacing w:before="0" w:after="340" w:line="240" w:lineRule="auto"/>
        <w:ind w:left="0" w:right="0" w:firstLine="0"/>
        <w:jc w:val="left"/>
      </w:pPr>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r>
        <w:rPr>
          <w:color w:val="000000"/>
          <w:spacing w:val="0"/>
          <w:w w:val="100"/>
          <w:position w:val="0"/>
        </w:rPr>
        <w:t>、本报告期年度股东大会情况</w:t>
      </w:r>
      <w:bookmarkEnd w:id="298"/>
      <w:bookmarkEnd w:id="299"/>
      <w:bookmarkEnd w:id="300"/>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、本报告期临时股东大会情况</w:t>
      </w:r>
      <w:bookmarkEnd w:id="301"/>
      <w:bookmarkEnd w:id="302"/>
      <w:bookmarkEnd w:id="304"/>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年度第一次临时股东大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年度第二次临时股东大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年度第三次临时股东大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年度第四次临时股东大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三</w:t>
      </w:r>
      <w:bookmarkEnd w:id="307"/>
      <w:r>
        <w:rPr>
          <w:color w:val="000000"/>
          <w:spacing w:val="0"/>
          <w:w w:val="100"/>
          <w:position w:val="0"/>
        </w:rPr>
        <w:t>、报告期董事会召开情况</w:t>
      </w:r>
      <w:bookmarkEnd w:id="305"/>
      <w:bookmarkEnd w:id="306"/>
      <w:bookmarkEnd w:id="308"/>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第二届董事会第八次会议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第二届董事会第九次会议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第二届董事会第十一次会议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第二届董事会第十五次会议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第二届董事会第十七次会议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巨潮资讯网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r>
    </w:tbl>
    <w:p>
      <w:pPr>
        <w:widowControl w:val="0"/>
        <w:spacing w:after="319" w:line="1" w:lineRule="exact"/>
      </w:pPr>
    </w:p>
    <w:p>
      <w:pPr>
        <w:pStyle w:val="Style26"/>
        <w:keepNext/>
        <w:keepLines/>
        <w:widowControl w:val="0"/>
        <w:shd w:val="clear" w:color="auto" w:fill="auto"/>
        <w:bidi w:val="0"/>
        <w:spacing w:before="0" w:after="22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四</w:t>
      </w:r>
      <w:bookmarkEnd w:id="311"/>
      <w:r>
        <w:rPr>
          <w:color w:val="000000"/>
          <w:spacing w:val="0"/>
          <w:w w:val="100"/>
          <w:position w:val="0"/>
        </w:rPr>
        <w:t>、年度报告重大差错责任追究制度的建立与执行情况</w:t>
      </w:r>
      <w:bookmarkEnd w:id="309"/>
      <w:bookmarkEnd w:id="310"/>
      <w:bookmarkEnd w:id="312"/>
    </w:p>
    <w:p>
      <w:pPr>
        <w:pStyle w:val="Style32"/>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为了进一步完善信息披露管理制度，强化信息披露责任意识，建立内部责任追究机制， 促进董事、监事和高级管理人员勤勉尽责，公司第一届董事会第十三次会议审议通过了《年 报信息披露重大差错责任追究制度》。报告期内，公司严格执行制度的相关规定，公司未发 生重大会计差错更正、重大遗漏信息补充以及业绩预告修正等情况。</w:t>
      </w:r>
    </w:p>
    <w:p>
      <w:pPr>
        <w:pStyle w:val="Style26"/>
        <w:keepNext/>
        <w:keepLines/>
        <w:widowControl w:val="0"/>
        <w:shd w:val="clear" w:color="auto" w:fill="auto"/>
        <w:bidi w:val="0"/>
        <w:spacing w:before="0" w:after="380" w:line="466"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五</w:t>
      </w:r>
      <w:bookmarkEnd w:id="315"/>
      <w:r>
        <w:rPr>
          <w:color w:val="000000"/>
          <w:spacing w:val="0"/>
          <w:w w:val="100"/>
          <w:position w:val="0"/>
        </w:rPr>
        <w:t>、监事会工作情况</w:t>
      </w:r>
      <w:bookmarkEnd w:id="313"/>
      <w:bookmarkEnd w:id="314"/>
      <w:bookmarkEnd w:id="31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公司监事会对报告期内的监督事项无异议。</w:t>
      </w:r>
    </w:p>
    <w:p>
      <w:pPr>
        <w:pStyle w:val="Style8"/>
        <w:keepNext/>
        <w:keepLines/>
        <w:widowControl w:val="0"/>
        <w:shd w:val="clear" w:color="auto" w:fill="auto"/>
        <w:bidi w:val="0"/>
        <w:spacing w:before="0" w:after="520" w:line="240" w:lineRule="auto"/>
        <w:ind w:left="0" w:right="0" w:firstLine="0"/>
        <w:jc w:val="center"/>
      </w:pPr>
      <w:bookmarkStart w:id="317" w:name="bookmark317"/>
      <w:bookmarkStart w:id="318" w:name="bookmark318"/>
      <w:bookmarkStart w:id="319" w:name="bookmark319"/>
      <w:r>
        <w:rPr>
          <w:color w:val="000000"/>
          <w:spacing w:val="0"/>
          <w:w w:val="100"/>
          <w:position w:val="0"/>
        </w:rPr>
        <w:t>第九节财务报告</w:t>
      </w:r>
      <w:bookmarkEnd w:id="317"/>
      <w:bookmarkEnd w:id="318"/>
      <w:bookmarkEnd w:id="319"/>
    </w:p>
    <w:p>
      <w:pPr>
        <w:pStyle w:val="Style38"/>
        <w:keepNext w:val="0"/>
        <w:keepLines w:val="0"/>
        <w:widowControl w:val="0"/>
        <w:shd w:val="clear" w:color="auto" w:fill="auto"/>
        <w:bidi w:val="0"/>
        <w:spacing w:before="0" w:after="0" w:line="240" w:lineRule="auto"/>
        <w:ind w:left="0" w:right="0" w:firstLine="0"/>
        <w:jc w:val="left"/>
        <w:rPr>
          <w:sz w:val="22"/>
          <w:szCs w:val="22"/>
        </w:rPr>
      </w:pPr>
      <w:bookmarkStart w:id="320" w:name="bookmark320"/>
      <w:r>
        <w:rPr>
          <w:b/>
          <w:bCs/>
          <w:color w:val="000000"/>
          <w:spacing w:val="0"/>
          <w:w w:val="100"/>
          <w:position w:val="0"/>
          <w:sz w:val="22"/>
          <w:szCs w:val="22"/>
        </w:rPr>
        <w:t>一、审计报告</w:t>
      </w:r>
      <w:bookmarkEnd w:id="32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瑞华会计师事务所（特殊普通合伙）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瑞华审字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01320287</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薛东升、齐桂华</w:t>
            </w:r>
          </w:p>
        </w:tc>
      </w:tr>
    </w:tbl>
    <w:p>
      <w:pPr>
        <w:pStyle w:val="Style3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6"/>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审计报告</w:t>
      </w:r>
    </w:p>
    <w:p>
      <w:pPr>
        <w:pStyle w:val="Style11"/>
        <w:keepNext w:val="0"/>
        <w:keepLines w:val="0"/>
        <w:widowControl w:val="0"/>
        <w:shd w:val="clear" w:color="auto" w:fill="auto"/>
        <w:bidi w:val="0"/>
        <w:spacing w:before="0" w:after="140" w:line="240" w:lineRule="auto"/>
        <w:ind w:left="0" w:right="0" w:firstLine="0"/>
        <w:jc w:val="right"/>
      </w:pPr>
      <w:r>
        <w:rPr>
          <w:rFonts w:ascii="SimSun" w:eastAsia="SimSun" w:hAnsi="SimSun" w:cs="SimSun"/>
          <w:b w:val="0"/>
          <w:bCs w:val="0"/>
          <w:color w:val="000000"/>
          <w:spacing w:val="0"/>
          <w:w w:val="100"/>
          <w:position w:val="0"/>
        </w:rPr>
        <w:t>瑞华审字</w:t>
      </w:r>
      <w:r>
        <w:rPr>
          <w:b w:val="0"/>
          <w:bCs w:val="0"/>
          <w:color w:val="000000"/>
          <w:spacing w:val="0"/>
          <w:w w:val="100"/>
          <w:position w:val="0"/>
          <w:sz w:val="24"/>
          <w:szCs w:val="24"/>
        </w:rPr>
        <w:t>［2014］</w:t>
      </w:r>
      <w:r>
        <w:rPr>
          <w:rFonts w:ascii="SimSun" w:eastAsia="SimSun" w:hAnsi="SimSun" w:cs="SimSun"/>
          <w:b w:val="0"/>
          <w:bCs w:val="0"/>
          <w:color w:val="000000"/>
          <w:spacing w:val="0"/>
          <w:w w:val="100"/>
          <w:position w:val="0"/>
        </w:rPr>
        <w:t>第</w:t>
      </w:r>
      <w:r>
        <w:rPr>
          <w:b w:val="0"/>
          <w:bCs w:val="0"/>
          <w:color w:val="000000"/>
          <w:spacing w:val="0"/>
          <w:w w:val="100"/>
          <w:position w:val="0"/>
          <w:sz w:val="24"/>
          <w:szCs w:val="24"/>
        </w:rPr>
        <w:t>01320287</w:t>
      </w:r>
      <w:r>
        <w:rPr>
          <w:rFonts w:ascii="SimSun" w:eastAsia="SimSun" w:hAnsi="SimSun" w:cs="SimSun"/>
          <w:b w:val="0"/>
          <w:bCs w:val="0"/>
          <w:color w:val="000000"/>
          <w:spacing w:val="0"/>
          <w:w w:val="100"/>
          <w:position w:val="0"/>
        </w:rPr>
        <w:t>号</w:t>
      </w:r>
    </w:p>
    <w:p>
      <w:pPr>
        <w:pStyle w:val="Style26"/>
        <w:keepNext/>
        <w:keepLines/>
        <w:widowControl w:val="0"/>
        <w:shd w:val="clear" w:color="auto" w:fill="auto"/>
        <w:bidi w:val="0"/>
        <w:spacing w:before="0" w:after="240" w:line="470" w:lineRule="exact"/>
        <w:ind w:left="0" w:right="0" w:firstLine="0"/>
        <w:jc w:val="both"/>
      </w:pPr>
      <w:bookmarkStart w:id="321" w:name="bookmark321"/>
      <w:bookmarkStart w:id="322" w:name="bookmark322"/>
      <w:bookmarkStart w:id="323" w:name="bookmark323"/>
      <w:r>
        <w:rPr>
          <w:color w:val="000000"/>
          <w:spacing w:val="0"/>
          <w:w w:val="100"/>
          <w:position w:val="0"/>
        </w:rPr>
        <w:t>北京数字政通科技股份有限公司：</w:t>
      </w:r>
      <w:bookmarkEnd w:id="321"/>
      <w:bookmarkEnd w:id="322"/>
      <w:bookmarkEnd w:id="323"/>
    </w:p>
    <w:p>
      <w:pPr>
        <w:pStyle w:val="Style32"/>
        <w:keepNext w:val="0"/>
        <w:keepLines w:val="0"/>
        <w:widowControl w:val="0"/>
        <w:shd w:val="clear" w:color="auto" w:fill="auto"/>
        <w:bidi w:val="0"/>
        <w:spacing w:before="0" w:after="140" w:line="466" w:lineRule="exact"/>
        <w:ind w:left="0" w:right="0" w:firstLine="500"/>
        <w:jc w:val="both"/>
      </w:pPr>
      <w:r>
        <w:rPr>
          <w:color w:val="000000"/>
          <w:spacing w:val="0"/>
          <w:w w:val="100"/>
          <w:position w:val="0"/>
        </w:rPr>
        <w:t>我们审计了后附的北京数字政通科技股份有限公司（以下简称“贵公司”）的财务报表, 包括</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日合并及公司的资产负债表，</w:t>
      </w:r>
      <w:r>
        <w:rPr>
          <w:color w:val="000000"/>
          <w:spacing w:val="0"/>
          <w:w w:val="100"/>
          <w:position w:val="0"/>
          <w:sz w:val="24"/>
          <w:szCs w:val="24"/>
        </w:rPr>
        <w:t>2013</w:t>
      </w:r>
      <w:r>
        <w:rPr>
          <w:color w:val="000000"/>
          <w:spacing w:val="0"/>
          <w:w w:val="100"/>
          <w:position w:val="0"/>
        </w:rPr>
        <w:t>年度合并及公司的利润表、合并及公司 的现金流量表和合并及公司的股东权益变动表以及财务报表附注。</w:t>
      </w:r>
    </w:p>
    <w:p>
      <w:pPr>
        <w:pStyle w:val="Style32"/>
        <w:keepNext w:val="0"/>
        <w:keepLines w:val="0"/>
        <w:widowControl w:val="0"/>
        <w:shd w:val="clear" w:color="auto" w:fill="auto"/>
        <w:tabs>
          <w:tab w:pos="1017" w:val="left"/>
        </w:tabs>
        <w:bidi w:val="0"/>
        <w:spacing w:before="0" w:after="0" w:line="240" w:lineRule="auto"/>
        <w:ind w:left="0" w:right="0" w:firstLine="500"/>
        <w:jc w:val="both"/>
      </w:pPr>
      <w:bookmarkStart w:id="324" w:name="bookmark324"/>
      <w:r>
        <w:rPr>
          <w:b/>
          <w:bCs/>
          <w:color w:val="000000"/>
          <w:spacing w:val="0"/>
          <w:w w:val="100"/>
          <w:position w:val="0"/>
        </w:rPr>
        <w:t>一</w:t>
      </w:r>
      <w:bookmarkEnd w:id="324"/>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编制和公允列报财务报表是贵公司管理层的责任。这种责任包括：</w:t>
      </w:r>
      <w:r>
        <w:rPr>
          <w:color w:val="000000"/>
          <w:spacing w:val="0"/>
          <w:w w:val="100"/>
          <w:position w:val="0"/>
          <w:sz w:val="24"/>
          <w:szCs w:val="24"/>
        </w:rPr>
        <w:t>（1）</w:t>
      </w:r>
      <w:r>
        <w:rPr>
          <w:color w:val="000000"/>
          <w:spacing w:val="0"/>
          <w:w w:val="100"/>
          <w:position w:val="0"/>
        </w:rPr>
        <w:t>按照企业会计准 则的规定编制财务报表，并使其实现公允反映；</w:t>
      </w:r>
      <w:r>
        <w:rPr>
          <w:color w:val="000000"/>
          <w:spacing w:val="0"/>
          <w:w w:val="100"/>
          <w:position w:val="0"/>
          <w:sz w:val="24"/>
          <w:szCs w:val="24"/>
        </w:rPr>
        <w:t>（2）</w:t>
      </w:r>
      <w:r>
        <w:rPr>
          <w:color w:val="000000"/>
          <w:spacing w:val="0"/>
          <w:w w:val="100"/>
          <w:position w:val="0"/>
        </w:rPr>
        <w:t>设计、执行和维护必要的内部控制，以 使财务报表不存在由于舞弊或错误导致的重大错报。</w:t>
      </w:r>
    </w:p>
    <w:p>
      <w:pPr>
        <w:pStyle w:val="Style32"/>
        <w:keepNext w:val="0"/>
        <w:keepLines w:val="0"/>
        <w:widowControl w:val="0"/>
        <w:shd w:val="clear" w:color="auto" w:fill="auto"/>
        <w:tabs>
          <w:tab w:pos="1017" w:val="left"/>
        </w:tabs>
        <w:bidi w:val="0"/>
        <w:spacing w:before="0" w:after="0" w:line="240" w:lineRule="auto"/>
        <w:ind w:left="0" w:right="0" w:firstLine="500"/>
        <w:jc w:val="both"/>
      </w:pPr>
      <w:bookmarkStart w:id="325" w:name="bookmark325"/>
      <w:r>
        <w:rPr>
          <w:b/>
          <w:bCs/>
          <w:color w:val="000000"/>
          <w:spacing w:val="0"/>
          <w:w w:val="100"/>
          <w:position w:val="0"/>
        </w:rPr>
        <w:t>二</w:t>
      </w:r>
      <w:bookmarkEnd w:id="325"/>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32"/>
        <w:keepNext w:val="0"/>
        <w:keepLines w:val="0"/>
        <w:widowControl w:val="0"/>
        <w:shd w:val="clear" w:color="auto" w:fill="auto"/>
        <w:bidi w:val="0"/>
        <w:spacing w:before="0" w:after="200" w:line="478" w:lineRule="exact"/>
        <w:ind w:left="0" w:right="0" w:firstLine="50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Style32"/>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我们相信，我们获取的审计证据是充分、适当的，为发表审计意见提供了基础。</w:t>
      </w:r>
    </w:p>
    <w:p>
      <w:pPr>
        <w:pStyle w:val="Style26"/>
        <w:keepNext/>
        <w:keepLines/>
        <w:widowControl w:val="0"/>
        <w:shd w:val="clear" w:color="auto" w:fill="auto"/>
        <w:bidi w:val="0"/>
        <w:spacing w:before="0" w:after="0" w:line="240" w:lineRule="auto"/>
        <w:ind w:left="0" w:right="0" w:firstLine="480"/>
        <w:jc w:val="left"/>
      </w:pPr>
      <w:bookmarkStart w:id="326" w:name="bookmark326"/>
      <w:bookmarkStart w:id="327" w:name="bookmark327"/>
      <w:bookmarkStart w:id="328" w:name="bookmark328"/>
      <w:bookmarkStart w:id="329" w:name="bookmark329"/>
      <w:r>
        <w:rPr>
          <w:color w:val="000000"/>
          <w:spacing w:val="0"/>
          <w:w w:val="100"/>
          <w:position w:val="0"/>
        </w:rPr>
        <w:t>三</w:t>
      </w:r>
      <w:bookmarkEnd w:id="328"/>
      <w:r>
        <w:rPr>
          <w:color w:val="000000"/>
          <w:spacing w:val="0"/>
          <w:w w:val="100"/>
          <w:position w:val="0"/>
        </w:rPr>
        <w:t>、审计意见</w:t>
      </w:r>
      <w:bookmarkEnd w:id="326"/>
      <w:bookmarkEnd w:id="327"/>
      <w:bookmarkEnd w:id="329"/>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我们认为，上述财务报表在所有重大方面按照企业会计准则的规定编制，公允反映了北 京数字政通科技股份有限公司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日合并及公司的财务状况以及</w:t>
      </w:r>
      <w:r>
        <w:rPr>
          <w:color w:val="000000"/>
          <w:spacing w:val="0"/>
          <w:w w:val="100"/>
          <w:position w:val="0"/>
          <w:sz w:val="24"/>
          <w:szCs w:val="24"/>
        </w:rPr>
        <w:t>2013</w:t>
      </w:r>
      <w:r>
        <w:rPr>
          <w:color w:val="000000"/>
          <w:spacing w:val="0"/>
          <w:w w:val="100"/>
          <w:position w:val="0"/>
        </w:rPr>
        <w:t>年度合并及公 司的经营成果和现金流量。</w:t>
      </w:r>
    </w:p>
    <w:p>
      <w:pPr>
        <w:pStyle w:val="Style32"/>
        <w:keepNext w:val="0"/>
        <w:keepLines w:val="0"/>
        <w:widowControl w:val="0"/>
        <w:shd w:val="clear" w:color="auto" w:fill="auto"/>
        <w:tabs>
          <w:tab w:pos="5364" w:val="left"/>
        </w:tabs>
        <w:bidi w:val="0"/>
        <w:spacing w:before="0" w:after="0" w:line="470" w:lineRule="exact"/>
        <w:ind w:left="0" w:right="0" w:firstLine="480"/>
        <w:jc w:val="left"/>
      </w:pPr>
      <w:r>
        <w:rPr>
          <w:color w:val="000000"/>
          <w:spacing w:val="0"/>
          <w:w w:val="100"/>
          <w:position w:val="0"/>
        </w:rPr>
        <w:t>瑞华会计师事务所（特殊普通合伙）</w:t>
        <w:tab/>
        <w:t>中国注册会计师：齐桂华</w:t>
      </w:r>
    </w:p>
    <w:p>
      <w:pPr>
        <w:pStyle w:val="Style32"/>
        <w:keepNext w:val="0"/>
        <w:keepLines w:val="0"/>
        <w:widowControl w:val="0"/>
        <w:shd w:val="clear" w:color="auto" w:fill="auto"/>
        <w:tabs>
          <w:tab w:pos="5364" w:val="left"/>
        </w:tabs>
        <w:bidi w:val="0"/>
        <w:spacing w:before="0" w:after="0" w:line="470" w:lineRule="exact"/>
        <w:ind w:left="0" w:right="0" w:firstLine="480"/>
        <w:jc w:val="left"/>
      </w:pPr>
      <w:r>
        <w:rPr>
          <w:color w:val="000000"/>
          <w:spacing w:val="0"/>
          <w:w w:val="100"/>
          <w:position w:val="0"/>
        </w:rPr>
        <w:t>中国•北京</w:t>
        <w:tab/>
        <w:t>中国注册会计师：薛东升</w:t>
      </w:r>
    </w:p>
    <w:p>
      <w:pPr>
        <w:pStyle w:val="Style32"/>
        <w:keepNext w:val="0"/>
        <w:keepLines w:val="0"/>
        <w:widowControl w:val="0"/>
        <w:shd w:val="clear" w:color="auto" w:fill="auto"/>
        <w:bidi w:val="0"/>
        <w:spacing w:before="0" w:after="840" w:line="470" w:lineRule="exact"/>
        <w:ind w:left="0" w:right="0" w:firstLine="0"/>
        <w:jc w:val="center"/>
      </w:pPr>
      <w:bookmarkStart w:id="330" w:name="bookmark330"/>
      <w:r>
        <w:rPr>
          <w:color w:val="000000"/>
          <w:spacing w:val="0"/>
          <w:w w:val="100"/>
          <w:position w:val="0"/>
        </w:rPr>
        <w:t>二</w:t>
      </w:r>
      <w:bookmarkEnd w:id="330"/>
      <w:r>
        <w:rPr>
          <w:color w:val="000000"/>
          <w:spacing w:val="0"/>
          <w:w w:val="100"/>
          <w:position w:val="0"/>
        </w:rPr>
        <w:t>。一四年四月二十日</w:t>
      </w:r>
    </w:p>
    <w:p>
      <w:pPr>
        <w:pStyle w:val="Style26"/>
        <w:keepNext/>
        <w:keepLines/>
        <w:widowControl w:val="0"/>
        <w:shd w:val="clear" w:color="auto" w:fill="auto"/>
        <w:bidi w:val="0"/>
        <w:spacing w:before="0" w:after="380" w:line="470" w:lineRule="exact"/>
        <w:ind w:left="0" w:right="0" w:firstLine="0"/>
        <w:jc w:val="left"/>
      </w:pPr>
      <w:bookmarkStart w:id="331" w:name="bookmark331"/>
      <w:bookmarkStart w:id="332" w:name="bookmark332"/>
      <w:bookmarkStart w:id="333" w:name="bookmark333"/>
      <w:r>
        <w:rPr>
          <w:color w:val="000000"/>
          <w:spacing w:val="0"/>
          <w:w w:val="100"/>
          <w:position w:val="0"/>
        </w:rPr>
        <w:t>二、财务报表</w:t>
      </w:r>
      <w:bookmarkEnd w:id="331"/>
      <w:bookmarkEnd w:id="332"/>
      <w:bookmarkEnd w:id="3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7"/>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334"/>
      <w:bookmarkEnd w:id="335"/>
      <w:bookmarkEnd w:id="33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编制单位：北京数字政通科技股份有限公司</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689,294,474.03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666,714,686.65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206,278,465.62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153,805,820.12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3,901,315.97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48,910,706.03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36,739,890.15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41,089,024.60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51,379,637.45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3,236,105.13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993,010,091.38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911,000,934.37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32,961,018.24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84,627,100.13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44,565,921.76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1,891,807.89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28,395,592.47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82,817,254.45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101,502,987.73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31,452,691.76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11,157,706.50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27,283,004.88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5,469,596.79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4,778,279.00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266,502,474.14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217,683,492.34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1,259,512,565.52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1,128,684,426.71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84,394,955.10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1,378,080.00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35,098,627.31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41,400,062.05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9,797,965.04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5,179,440.79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3,498,562.30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5,601,541.27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20,624,756.49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11,077,440.46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28,231,946.08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62,528,907.72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183,024,892.32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125,787,392.29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12,684,731.02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20,059,072.05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2,269,900.00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16,184,231.02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22,765,972.05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199,209,123.34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148,553,364.34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658,684,369.68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697,228,339.68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31,203,862.26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21,677,599.48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221,827,556.50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154,117,839.58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1,037,715,788.44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957,023,778.74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22,587,653.74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23,107,283.63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1,060,303,442.18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980,131,062.37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1,259,512,565.52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1,128,684,426.71</w:t>
            </w:r>
          </w:p>
        </w:tc>
      </w:tr>
    </w:tbl>
    <w:p>
      <w:pPr>
        <w:pStyle w:val="Style4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711200</wp:posOffset>
                </wp:positionH>
                <wp:positionV relativeFrom="margin">
                  <wp:posOffset>1372235</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39" type="#_x0000_t202" style="position:absolute;margin-left:56.pt;margin-top:108.05pt;width:83.049999999999997pt;height:11.75pt;z-index:-125829375;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3175" distL="2348230" distR="2458720" simplePos="0" relativeHeight="125829380" behindDoc="0" locked="0" layoutInCell="1" allowOverlap="1">
                <wp:simplePos x="0" y="0"/>
                <wp:positionH relativeFrom="page">
                  <wp:posOffset>2945130</wp:posOffset>
                </wp:positionH>
                <wp:positionV relativeFrom="margin">
                  <wp:posOffset>1372235</wp:posOffset>
                </wp:positionV>
                <wp:extent cx="1508760" cy="146050"/>
                <wp:wrapTopAndBottom/>
                <wp:docPr id="15" name="Shape 1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41" type="#_x0000_t202" style="position:absolute;margin-left:231.90000000000001pt;margin-top:108.05pt;width:118.8pt;height:11.5pt;z-index:-125829373;mso-wrap-distance-left:184.90000000000001pt;mso-wrap-distance-top:12.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382" behindDoc="0" locked="0" layoutInCell="1" allowOverlap="1">
                <wp:simplePos x="0" y="0"/>
                <wp:positionH relativeFrom="page">
                  <wp:posOffset>5627370</wp:posOffset>
                </wp:positionH>
                <wp:positionV relativeFrom="margin">
                  <wp:posOffset>1372235</wp:posOffset>
                </wp:positionV>
                <wp:extent cx="1170305" cy="149225"/>
                <wp:wrapTopAndBottom/>
                <wp:docPr id="17" name="Shape 1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43" type="#_x0000_t202" style="position:absolute;margin-left:443.10000000000002pt;margin-top:108.05pt;width:92.150000000000006pt;height:11.75pt;z-index:-125829371;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、母公司资产负债表</w:t>
      </w:r>
      <w:bookmarkEnd w:id="337"/>
      <w:bookmarkEnd w:id="338"/>
      <w:bookmarkEnd w:id="34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编制单位：北京数字政通科技股份有限公司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652,835,822.87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644,266,979.59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161,731,843.78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130,942,705.75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56,280,172.14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29,220,072.61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373,985.31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2,282,728.87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871,273,824.10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808,056,986.82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113,200,000.00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83,776,151.70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44,026,842.76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1,891,807.89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28,395,592.47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18,853,587.73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25,002,987.73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26,925,621.04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11,157,706.50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2,945,171.99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1,317,651.37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247,592,340.35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223,100,780.83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1,118,866,164.45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1,031,157,767.65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24,239,290.33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11,562,123.36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3,152,172.81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4,299,659.25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19,814,996.90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11,595,191.52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29,257,578.40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44,105,925.31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76,464,038.44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71,562,899.44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1,469,500.00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2,269,900.00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2,610,900.00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79,963,538.44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74,173,799.44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658,684,003.46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697,227,973.46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31,203,862.26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21,677,599.48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223,014,760.29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154,078,395.27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1,038,902,626.01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956,983,968.21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1,118,866,164.45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1,031,157,767.65</w:t>
            </w:r>
          </w:p>
        </w:tc>
      </w:tr>
    </w:tbl>
    <w:p>
      <w:pPr>
        <w:pStyle w:val="Style47"/>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384" behindDoc="0" locked="0" layoutInCell="1" allowOverlap="1">
                <wp:simplePos x="0" y="0"/>
                <wp:positionH relativeFrom="page">
                  <wp:posOffset>711200</wp:posOffset>
                </wp:positionH>
                <wp:positionV relativeFrom="margin">
                  <wp:posOffset>3158490</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45" type="#_x0000_t202" style="position:absolute;margin-left:56.pt;margin-top:248.70000000000002pt;width:83.049999999999997pt;height:11.75pt;z-index:-125829369;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3175" distL="2348230" distR="2458720" simplePos="0" relativeHeight="125829386" behindDoc="0" locked="0" layoutInCell="1" allowOverlap="1">
                <wp:simplePos x="0" y="0"/>
                <wp:positionH relativeFrom="page">
                  <wp:posOffset>2945130</wp:posOffset>
                </wp:positionH>
                <wp:positionV relativeFrom="margin">
                  <wp:posOffset>3158490</wp:posOffset>
                </wp:positionV>
                <wp:extent cx="1508760" cy="146050"/>
                <wp:wrapTopAndBottom/>
                <wp:docPr id="21" name="Shape 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47" type="#_x0000_t202" style="position:absolute;margin-left:231.90000000000001pt;margin-top:248.70000000000002pt;width:118.8pt;height:11.5pt;z-index:-125829367;mso-wrap-distance-left:184.90000000000001pt;mso-wrap-distance-top:12.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388" behindDoc="0" locked="0" layoutInCell="1" allowOverlap="1">
                <wp:simplePos x="0" y="0"/>
                <wp:positionH relativeFrom="page">
                  <wp:posOffset>5627370</wp:posOffset>
                </wp:positionH>
                <wp:positionV relativeFrom="margin">
                  <wp:posOffset>3158490</wp:posOffset>
                </wp:positionV>
                <wp:extent cx="1170305" cy="149225"/>
                <wp:wrapTopAndBottom/>
                <wp:docPr id="23" name="Shape 2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49" type="#_x0000_t202" style="position:absolute;margin-left:443.10000000000002pt;margin-top:248.70000000000002pt;width:92.150000000000006pt;height:11.75pt;z-index:-125829365;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、合并利润表</w:t>
      </w:r>
      <w:bookmarkEnd w:id="341"/>
      <w:bookmarkEnd w:id="342"/>
      <w:bookmarkEnd w:id="34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编制单位：北京数字政通科技股份有限公司</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221,977,115.51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221,977,115.51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343,612,494.73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153,034,544.25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246,590,562.38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97,765,107.24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4,713,179.92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3,092,747.46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29,635,857.69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18,453,471.92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68,186,482.35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48,608,503.61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-13,032,710.66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-19,852,555.24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7,519,123.05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4,967,269.26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940"/>
              <w:jc w:val="both"/>
              <w:rPr>
                <w:sz w:val="17"/>
                <w:szCs w:val="17"/>
              </w:rPr>
            </w:pPr>
            <w:r>
              <w:rPr>
                <w:color w:val="000000"/>
                <w:spacing w:val="0"/>
                <w:w w:val="100"/>
                <w:position w:val="0"/>
                <w:sz w:val="17"/>
                <w:szCs w:val="17"/>
              </w:rPr>
              <w:t>其中：对联营企业和合营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62,744,618.59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68,942,571.26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31,424,624.47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11,143,122.95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其中：非流动资产处置损 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94,168,499.16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80,081,452.97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652,149.35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7,851,514.89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93,516,349.81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72,229,938.08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94,035,979.70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72,229,938.08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-519,629.89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93,516,349.81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72,229,938.08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94,035,979.70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72,229,938.08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-519,629.89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7"/>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390" behindDoc="0" locked="0" layoutInCell="1" allowOverlap="1">
                <wp:simplePos x="0" y="0"/>
                <wp:positionH relativeFrom="page">
                  <wp:posOffset>711200</wp:posOffset>
                </wp:positionH>
                <wp:positionV relativeFrom="margin">
                  <wp:posOffset>7864475</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51" type="#_x0000_t202" style="position:absolute;margin-left:56.pt;margin-top:619.25pt;width:83.049999999999997pt;height:11.75pt;z-index:-125829363;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3175" distL="2348230" distR="2458720" simplePos="0" relativeHeight="125829392" behindDoc="0" locked="0" layoutInCell="1" allowOverlap="1">
                <wp:simplePos x="0" y="0"/>
                <wp:positionH relativeFrom="page">
                  <wp:posOffset>2945130</wp:posOffset>
                </wp:positionH>
                <wp:positionV relativeFrom="margin">
                  <wp:posOffset>7864475</wp:posOffset>
                </wp:positionV>
                <wp:extent cx="1508760" cy="146050"/>
                <wp:wrapTopAndBottom/>
                <wp:docPr id="27" name="Shape 2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53" type="#_x0000_t202" style="position:absolute;margin-left:231.90000000000001pt;margin-top:619.25pt;width:118.8pt;height:11.5pt;z-index:-125829361;mso-wrap-distance-left:184.90000000000001pt;mso-wrap-distance-top:12.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394" behindDoc="0" locked="0" layoutInCell="1" allowOverlap="1">
                <wp:simplePos x="0" y="0"/>
                <wp:positionH relativeFrom="page">
                  <wp:posOffset>5627370</wp:posOffset>
                </wp:positionH>
                <wp:positionV relativeFrom="margin">
                  <wp:posOffset>7864475</wp:posOffset>
                </wp:positionV>
                <wp:extent cx="1170305" cy="149225"/>
                <wp:wrapTopAndBottom/>
                <wp:docPr id="29" name="Shape 2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55" type="#_x0000_t202" style="position:absolute;margin-left:443.10000000000002pt;margin-top:619.25pt;width:92.150000000000006pt;height:11.75pt;z-index:-125829359;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、母公司利润表</w:t>
      </w:r>
      <w:bookmarkEnd w:id="345"/>
      <w:bookmarkEnd w:id="346"/>
      <w:bookmarkEnd w:id="34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编制单位：北京数字政通科技股份有限公司</w:t>
      </w:r>
    </w:p>
    <w:p>
      <w:pPr>
        <w:pStyle w:val="Style28"/>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292,693,340.40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221,977,115.51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154,519,508.19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97,765,107.24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3,793,540.27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3,092,747.46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20,318,070.91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18,453,471.92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47,535,127.19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48,608,503.61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-14,151,123.88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-19,835,898.72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4,910,446.21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4,967,269.26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75,767,771.51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68,925,914.74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26,584,137.74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11,143,122.95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102,351,165.35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80,064,796.45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7,088,537.55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7,851,514.89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72,213,281.56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95,262,627.80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72,213,281.56</w:t>
            </w:r>
          </w:p>
        </w:tc>
      </w:tr>
    </w:tbl>
    <w:p>
      <w:pPr>
        <w:pStyle w:val="Style47"/>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396" behindDoc="0" locked="0" layoutInCell="1" allowOverlap="1">
                <wp:simplePos x="0" y="0"/>
                <wp:positionH relativeFrom="page">
                  <wp:posOffset>711200</wp:posOffset>
                </wp:positionH>
                <wp:positionV relativeFrom="margin">
                  <wp:posOffset>7071995</wp:posOffset>
                </wp:positionV>
                <wp:extent cx="1054735" cy="149225"/>
                <wp:wrapTopAndBottom/>
                <wp:docPr id="31" name="Shape 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57" type="#_x0000_t202" style="position:absolute;margin-left:56.pt;margin-top:556.85000000000002pt;width:83.049999999999997pt;height:11.75pt;z-index:-125829357;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5715" distL="2348230" distR="2458720" simplePos="0" relativeHeight="125829398" behindDoc="0" locked="0" layoutInCell="1" allowOverlap="1">
                <wp:simplePos x="0" y="0"/>
                <wp:positionH relativeFrom="page">
                  <wp:posOffset>2945130</wp:posOffset>
                </wp:positionH>
                <wp:positionV relativeFrom="margin">
                  <wp:posOffset>7071995</wp:posOffset>
                </wp:positionV>
                <wp:extent cx="1508760" cy="143510"/>
                <wp:wrapTopAndBottom/>
                <wp:docPr id="33" name="Shape 33"/>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59" type="#_x0000_t202" style="position:absolute;margin-left:231.90000000000001pt;margin-top:556.85000000000002pt;width:118.8pt;height:11.300000000000001pt;z-index:-125829355;mso-wrap-distance-left:184.90000000000001pt;mso-wrap-distance-top:12.pt;mso-wrap-distance-right:193.59999999999999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400" behindDoc="0" locked="0" layoutInCell="1" allowOverlap="1">
                <wp:simplePos x="0" y="0"/>
                <wp:positionH relativeFrom="page">
                  <wp:posOffset>5627370</wp:posOffset>
                </wp:positionH>
                <wp:positionV relativeFrom="margin">
                  <wp:posOffset>7071995</wp:posOffset>
                </wp:positionV>
                <wp:extent cx="1170305" cy="149225"/>
                <wp:wrapTopAndBottom/>
                <wp:docPr id="35" name="Shape 3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61" type="#_x0000_t202" style="position:absolute;margin-left:443.10000000000002pt;margin-top:556.85000000000002pt;width:92.150000000000006pt;height:11.75pt;z-index:-125829353;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、合并现金流量表</w:t>
      </w:r>
      <w:bookmarkEnd w:id="349"/>
      <w:bookmarkEnd w:id="350"/>
      <w:bookmarkEnd w:id="35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编制单位：北京数字政通科技股份有限公司</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363,776,705.08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184,451,120.76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15,499,017.25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7,630,342.95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44,731,829.31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30,320,444.11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424,007,551.64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222,401,907.82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223,185,619.97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67,475,078.45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73,949,258.34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46,912,929.91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44,187,407.67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29,529,551.47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69,115,072.62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57,287,130.96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410,437,358.60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201,204,690.79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13,570,193.04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21,197,217.03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31,710,058.46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25,394,491.76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48,408,103.47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31,710,058.46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73,802,595.23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-31,607,308.46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-73,800,495.23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84,394,955.10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84,394,955.10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17,968,666.67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50,448,666.67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33,946,288.43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15,909,173.01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-69,403,278.20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666,714,686.65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736,117,964.85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682,623,859.66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666,714,686.65</w:t>
            </w:r>
          </w:p>
        </w:tc>
      </w:tr>
    </w:tbl>
    <w:p>
      <w:pPr>
        <w:pStyle w:val="Style47"/>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02" behindDoc="0" locked="0" layoutInCell="1" allowOverlap="1">
                <wp:simplePos x="0" y="0"/>
                <wp:positionH relativeFrom="page">
                  <wp:posOffset>738505</wp:posOffset>
                </wp:positionH>
                <wp:positionV relativeFrom="margin">
                  <wp:posOffset>7976870</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63" type="#_x0000_t202" style="position:absolute;margin-left:58.149999999999999pt;margin-top:628.10000000000002pt;width:83.049999999999997pt;height:11.75pt;z-index:-125829351;mso-wrap-distance-left:9.pt;mso-wrap-distance-top:11.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39700" distB="3175" distL="2348230" distR="2458720" simplePos="0" relativeHeight="125829404" behindDoc="0" locked="0" layoutInCell="1" allowOverlap="1">
                <wp:simplePos x="0" y="0"/>
                <wp:positionH relativeFrom="page">
                  <wp:posOffset>2972435</wp:posOffset>
                </wp:positionH>
                <wp:positionV relativeFrom="margin">
                  <wp:posOffset>7976870</wp:posOffset>
                </wp:positionV>
                <wp:extent cx="1508760" cy="146050"/>
                <wp:wrapTopAndBottom/>
                <wp:docPr id="39" name="Shape 3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65" type="#_x0000_t202" style="position:absolute;margin-left:234.05000000000001pt;margin-top:628.10000000000002pt;width:118.8pt;height:11.5pt;z-index:-125829349;mso-wrap-distance-left:184.90000000000001pt;mso-wrap-distance-top:11.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39700" distB="0" distL="5030470" distR="114935" simplePos="0" relativeHeight="125829406" behindDoc="0" locked="0" layoutInCell="1" allowOverlap="1">
                <wp:simplePos x="0" y="0"/>
                <wp:positionH relativeFrom="page">
                  <wp:posOffset>5654675</wp:posOffset>
                </wp:positionH>
                <wp:positionV relativeFrom="margin">
                  <wp:posOffset>7976870</wp:posOffset>
                </wp:positionV>
                <wp:extent cx="1170305" cy="149225"/>
                <wp:wrapTopAndBottom/>
                <wp:docPr id="41" name="Shape 4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67" type="#_x0000_t202" style="position:absolute;margin-left:445.25pt;margin-top:628.10000000000002pt;width:92.150000000000006pt;height:11.75pt;z-index:-125829347;mso-wrap-distance-left:396.10000000000002pt;mso-wrap-distance-top:11.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6</w:t>
      </w:r>
      <w:bookmarkEnd w:id="355"/>
      <w:r>
        <w:rPr>
          <w:color w:val="000000"/>
          <w:spacing w:val="0"/>
          <w:w w:val="100"/>
          <w:position w:val="0"/>
        </w:rPr>
        <w:t>、母公司现金流量表</w:t>
      </w:r>
      <w:bookmarkEnd w:id="353"/>
      <w:bookmarkEnd w:id="354"/>
      <w:bookmarkEnd w:id="35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编制单位：北京数字政通科技股份有限公司</w:t>
      </w: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290,011,130.35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184,451,120.76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10,673,530.52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7,630,342.95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101,010,822.06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40,301,849.15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401,695,482.93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232,383,312.86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113,596,951.29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67,475,078.45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58,008,839.61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46,912,929.91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36,855,528.65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29,529,551.47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110,960,504.96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57,213,580.52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319,421,824.51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201,131,140.35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82,273,658.42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31,252,172.51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31,198,179.51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25,394,491.76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63,678,179.51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104,114,491.76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-63,575,429.51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-104,112,391.76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1,898,228.91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-89,660,219.25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644,266,979.59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733,927,198.84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646,165,208.50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644,266,979.59</w:t>
            </w:r>
          </w:p>
        </w:tc>
      </w:tr>
    </w:tbl>
    <w:p>
      <w:pPr>
        <w:pStyle w:val="Style47"/>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408" behindDoc="0" locked="0" layoutInCell="1" allowOverlap="1">
                <wp:simplePos x="0" y="0"/>
                <wp:positionH relativeFrom="page">
                  <wp:posOffset>709295</wp:posOffset>
                </wp:positionH>
                <wp:positionV relativeFrom="margin">
                  <wp:posOffset>3612515</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69" type="#_x0000_t202" style="position:absolute;margin-left:55.850000000000001pt;margin-top:284.44999999999999pt;width:83.049999999999997pt;height:11.75pt;z-index:-125829345;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3175" distL="2348230" distR="2458720" simplePos="0" relativeHeight="125829410" behindDoc="0" locked="0" layoutInCell="1" allowOverlap="1">
                <wp:simplePos x="0" y="0"/>
                <wp:positionH relativeFrom="page">
                  <wp:posOffset>2943225</wp:posOffset>
                </wp:positionH>
                <wp:positionV relativeFrom="margin">
                  <wp:posOffset>3612515</wp:posOffset>
                </wp:positionV>
                <wp:extent cx="1508760" cy="146050"/>
                <wp:wrapTopAndBottom/>
                <wp:docPr id="45" name="Shape 4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71" type="#_x0000_t202" style="position:absolute;margin-left:231.75pt;margin-top:284.44999999999999pt;width:118.8pt;height:11.5pt;z-index:-125829343;mso-wrap-distance-left:184.90000000000001pt;mso-wrap-distance-top:12.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412" behindDoc="0" locked="0" layoutInCell="1" allowOverlap="1">
                <wp:simplePos x="0" y="0"/>
                <wp:positionH relativeFrom="page">
                  <wp:posOffset>5625465</wp:posOffset>
                </wp:positionH>
                <wp:positionV relativeFrom="margin">
                  <wp:posOffset>3612515</wp:posOffset>
                </wp:positionV>
                <wp:extent cx="1170305" cy="149225"/>
                <wp:wrapTopAndBottom/>
                <wp:docPr id="47" name="Shape 4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73" type="#_x0000_t202" style="position:absolute;margin-left:442.94999999999999pt;margin-top:284.44999999999999pt;width:92.150000000000006pt;height:11.75pt;z-index:-125829341;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7</w:t>
      </w:r>
      <w:bookmarkEnd w:id="359"/>
      <w:r>
        <w:rPr>
          <w:color w:val="000000"/>
          <w:spacing w:val="0"/>
          <w:w w:val="100"/>
          <w:position w:val="0"/>
        </w:rPr>
        <w:t>、合并所有者权益变动表</w:t>
      </w:r>
      <w:bookmarkEnd w:id="357"/>
      <w:bookmarkEnd w:id="358"/>
      <w:bookmarkEnd w:id="360"/>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编制单位：北京数字政通科技股份有限公司 </w:t>
      </w: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697,228,</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154,117,</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23,107,28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980,131,06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697,228,</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154,117,</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23,107,28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980,131,06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三、本期增减变动金额（减少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-38,543,</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67,709,7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-519,629.</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80,172,379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94,035,9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-519,629.</w:t>
            </w:r>
          </w:p>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93,516,349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94,035,9</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93,516,349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3,456,03</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3,456,03</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-26,326,</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-9,526,2</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658,684,</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221,827,</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22,587,65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所有者权 益合计</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实收资 本（或 股本）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资本公</w:t>
            </w:r>
          </w:p>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专项储 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一般风 险准备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 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694,083,</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105,909,</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898,448,81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694,083,</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105,909,</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898,448,81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3,145,03</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7,221,3</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48,208,6</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23,107,28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81,682,251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72,229,9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72,229,938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72,229,9</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72,229,938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3,145,03</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23,107,28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26,252,313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3,145,03</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23,107,28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23,107,283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7,221,3</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-24,021,</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7,221,3</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-7,221,3</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w:t>
            </w:r>
          </w:p>
          <w:p>
            <w:pPr>
              <w:pStyle w:val="Style2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697,228,</w:t>
            </w:r>
          </w:p>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23,107,28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980,131,06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bl>
    <w:p>
      <w:pPr>
        <w:pStyle w:val="Style4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14" behindDoc="0" locked="0" layoutInCell="1" allowOverlap="1">
                <wp:simplePos x="0" y="0"/>
                <wp:positionH relativeFrom="page">
                  <wp:posOffset>711200</wp:posOffset>
                </wp:positionH>
                <wp:positionV relativeFrom="margin">
                  <wp:posOffset>2137410</wp:posOffset>
                </wp:positionV>
                <wp:extent cx="1054735" cy="149225"/>
                <wp:wrapTopAndBottom/>
                <wp:docPr id="49" name="Shape 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75" type="#_x0000_t202" style="position:absolute;margin-left:56.pt;margin-top:168.30000000000001pt;width:83.049999999999997pt;height:11.75pt;z-index:-125829339;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3175" distL="2348230" distR="2458720" simplePos="0" relativeHeight="125829416" behindDoc="0" locked="0" layoutInCell="1" allowOverlap="1">
                <wp:simplePos x="0" y="0"/>
                <wp:positionH relativeFrom="page">
                  <wp:posOffset>2945130</wp:posOffset>
                </wp:positionH>
                <wp:positionV relativeFrom="margin">
                  <wp:posOffset>2137410</wp:posOffset>
                </wp:positionV>
                <wp:extent cx="1508760" cy="146050"/>
                <wp:wrapTopAndBottom/>
                <wp:docPr id="51" name="Shape 5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77" type="#_x0000_t202" style="position:absolute;margin-left:231.90000000000001pt;margin-top:168.30000000000001pt;width:118.8pt;height:11.5pt;z-index:-125829337;mso-wrap-distance-left:184.90000000000001pt;mso-wrap-distance-top:12.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418" behindDoc="0" locked="0" layoutInCell="1" allowOverlap="1">
                <wp:simplePos x="0" y="0"/>
                <wp:positionH relativeFrom="page">
                  <wp:posOffset>5627370</wp:posOffset>
                </wp:positionH>
                <wp:positionV relativeFrom="margin">
                  <wp:posOffset>2137410</wp:posOffset>
                </wp:positionV>
                <wp:extent cx="1170305" cy="149225"/>
                <wp:wrapTopAndBottom/>
                <wp:docPr id="53" name="Shape 5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79" type="#_x0000_t202" style="position:absolute;margin-left:443.10000000000002pt;margin-top:168.30000000000001pt;width:92.150000000000006pt;height:11.75pt;z-index:-125829335;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8</w:t>
      </w:r>
      <w:bookmarkEnd w:id="363"/>
      <w:r>
        <w:rPr>
          <w:color w:val="000000"/>
          <w:spacing w:val="0"/>
          <w:w w:val="100"/>
          <w:position w:val="0"/>
        </w:rPr>
        <w:t>、母公司所有者权益变动表</w:t>
      </w:r>
      <w:bookmarkEnd w:id="361"/>
      <w:bookmarkEnd w:id="362"/>
      <w:bookmarkEnd w:id="36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编制单位：北京数字政通科技股份有限公司</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实收资本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697,227,97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21,677,599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154,078,39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956,983,96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697,227,97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21,677,599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154,078,39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956,983,96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7"/>
                <w:szCs w:val="17"/>
              </w:rPr>
              <w:t>三、本期增减变动金额（减少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-38,543,97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68,936,365</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81,918,657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95,262,627</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95,262,627</w:t>
            </w:r>
          </w:p>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-26,326,26</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658,684,00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31,203,862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223,014,76</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实收资本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（或股本）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694,082,94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14,456,271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105,886,44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898,425,65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84,000,000</w:t>
            </w:r>
          </w:p>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694,082,94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14,456,271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105,886,44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898,425,65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三、本期增减变动金额（减少以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48,191,953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58,558,311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72,213,281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72,213,281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72,213,281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72,213,281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-24,021,32</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-7,221,328.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697,227,97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21,677,599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154,078,39</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956,983,96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bl>
    <w:p>
      <w:pPr>
        <w:widowControl w:val="0"/>
        <w:spacing w:after="359" w:line="1" w:lineRule="exact"/>
      </w:pPr>
    </w:p>
    <w:p>
      <w:pPr>
        <w:pStyle w:val="Style28"/>
        <w:keepNext w:val="0"/>
        <w:keepLines w:val="0"/>
        <w:widowControl w:val="0"/>
        <w:shd w:val="clear" w:color="auto" w:fill="auto"/>
        <w:tabs>
          <w:tab w:pos="3514" w:val="left"/>
          <w:tab w:pos="7738" w:val="left"/>
        </w:tabs>
        <w:bidi w:val="0"/>
        <w:spacing w:before="0" w:after="180" w:line="240" w:lineRule="auto"/>
        <w:ind w:left="0" w:right="0" w:firstLine="0"/>
        <w:jc w:val="left"/>
      </w:pPr>
      <w:r>
        <w:rPr>
          <w:color w:val="000000"/>
          <w:spacing w:val="0"/>
          <w:w w:val="100"/>
          <w:position w:val="0"/>
        </w:rPr>
        <w:t>法定代表人：吴强华</w:t>
        <w:tab/>
        <w:t>主管会计工作负责人：殷小敏</w:t>
        <w:tab/>
        <w:t>会计机构负责人：向华</w:t>
      </w:r>
    </w:p>
    <w:p>
      <w:pPr>
        <w:pStyle w:val="Style26"/>
        <w:keepNext/>
        <w:keepLines/>
        <w:widowControl w:val="0"/>
        <w:shd w:val="clear" w:color="auto" w:fill="auto"/>
        <w:bidi w:val="0"/>
        <w:spacing w:before="0" w:after="180" w:line="467" w:lineRule="exact"/>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三</w:t>
      </w:r>
      <w:bookmarkEnd w:id="367"/>
      <w:r>
        <w:rPr>
          <w:color w:val="000000"/>
          <w:spacing w:val="0"/>
          <w:w w:val="100"/>
          <w:position w:val="0"/>
        </w:rPr>
        <w:t>、公司基本情况</w:t>
      </w:r>
      <w:bookmarkEnd w:id="365"/>
      <w:bookmarkEnd w:id="366"/>
      <w:bookmarkEnd w:id="368"/>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北京数字政通科技股份有限公司（以下简称“公司”或“本公司”）是</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6</w:t>
      </w:r>
      <w:r>
        <w:rPr>
          <w:color w:val="000000"/>
          <w:spacing w:val="0"/>
          <w:w w:val="100"/>
          <w:position w:val="0"/>
        </w:rPr>
        <w:t>日经 北京市工商行政管理局批准成立的有限责任公司，成立时注册公司名称为北京数字通图科技 有限公司，</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7</w:t>
      </w:r>
      <w:r>
        <w:rPr>
          <w:color w:val="000000"/>
          <w:spacing w:val="0"/>
          <w:w w:val="100"/>
          <w:position w:val="0"/>
        </w:rPr>
        <w:t>日更名为北京数字政通科技有限公司。</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10</w:t>
      </w:r>
      <w:r>
        <w:rPr>
          <w:color w:val="000000"/>
          <w:spacing w:val="0"/>
          <w:w w:val="100"/>
          <w:position w:val="0"/>
        </w:rPr>
        <w:t>日经整体变更设立 股份有限公司，更名为北京数字政通科技股份有限公司，注册资本</w:t>
      </w:r>
      <w:r>
        <w:rPr>
          <w:color w:val="000000"/>
          <w:spacing w:val="0"/>
          <w:w w:val="100"/>
          <w:position w:val="0"/>
          <w:sz w:val="24"/>
          <w:szCs w:val="24"/>
        </w:rPr>
        <w:t>4, 200</w:t>
      </w:r>
      <w:r>
        <w:rPr>
          <w:color w:val="000000"/>
          <w:spacing w:val="0"/>
          <w:w w:val="100"/>
          <w:position w:val="0"/>
        </w:rPr>
        <w:t>万元。</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 xml:space="preserve">14 </w:t>
      </w:r>
      <w:r>
        <w:rPr>
          <w:color w:val="000000"/>
          <w:spacing w:val="0"/>
          <w:w w:val="100"/>
          <w:position w:val="0"/>
        </w:rPr>
        <w:t>日公司向社会公众公开发行流通股</w:t>
      </w:r>
      <w:r>
        <w:rPr>
          <w:color w:val="000000"/>
          <w:spacing w:val="0"/>
          <w:w w:val="100"/>
          <w:position w:val="0"/>
          <w:sz w:val="24"/>
          <w:szCs w:val="24"/>
        </w:rPr>
        <w:t>1,400</w:t>
      </w:r>
      <w:r>
        <w:rPr>
          <w:color w:val="000000"/>
          <w:spacing w:val="0"/>
          <w:w w:val="100"/>
          <w:position w:val="0"/>
        </w:rPr>
        <w:t xml:space="preserve">万股，并在深圳证券交易所上市交易，股票代码为 </w:t>
      </w:r>
      <w:r>
        <w:rPr>
          <w:color w:val="000000"/>
          <w:spacing w:val="0"/>
          <w:w w:val="100"/>
          <w:position w:val="0"/>
          <w:sz w:val="24"/>
          <w:szCs w:val="24"/>
        </w:rPr>
        <w:t>300075</w:t>
      </w:r>
      <w:r>
        <w:rPr>
          <w:color w:val="000000"/>
          <w:spacing w:val="0"/>
          <w:w w:val="100"/>
          <w:position w:val="0"/>
        </w:rPr>
        <w:t>。</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10</w:t>
      </w:r>
      <w:r>
        <w:rPr>
          <w:color w:val="000000"/>
          <w:spacing w:val="0"/>
          <w:w w:val="100"/>
          <w:position w:val="0"/>
        </w:rPr>
        <w:t>日，经公司</w:t>
      </w:r>
      <w:r>
        <w:rPr>
          <w:color w:val="000000"/>
          <w:spacing w:val="0"/>
          <w:w w:val="100"/>
          <w:position w:val="0"/>
          <w:sz w:val="24"/>
          <w:szCs w:val="24"/>
        </w:rPr>
        <w:t>2010</w:t>
      </w:r>
      <w:r>
        <w:rPr>
          <w:color w:val="000000"/>
          <w:spacing w:val="0"/>
          <w:w w:val="100"/>
          <w:position w:val="0"/>
        </w:rPr>
        <w:t>年年度股东大会审议通过《</w:t>
      </w:r>
      <w:r>
        <w:rPr>
          <w:color w:val="000000"/>
          <w:spacing w:val="0"/>
          <w:w w:val="100"/>
          <w:position w:val="0"/>
          <w:sz w:val="24"/>
          <w:szCs w:val="24"/>
        </w:rPr>
        <w:t>2010</w:t>
      </w:r>
      <w:r>
        <w:rPr>
          <w:color w:val="000000"/>
          <w:spacing w:val="0"/>
          <w:w w:val="100"/>
          <w:position w:val="0"/>
        </w:rPr>
        <w:t>年度利润分配和资本公 积金转增股本的议案》，以</w:t>
      </w:r>
      <w:r>
        <w:rPr>
          <w:color w:val="000000"/>
          <w:spacing w:val="0"/>
          <w:w w:val="100"/>
          <w:position w:val="0"/>
          <w:sz w:val="24"/>
          <w:szCs w:val="24"/>
        </w:rPr>
        <w:t>2010</w:t>
      </w:r>
      <w:r>
        <w:rPr>
          <w:color w:val="000000"/>
          <w:spacing w:val="0"/>
          <w:w w:val="100"/>
          <w:position w:val="0"/>
        </w:rPr>
        <w:t>年末总股本</w:t>
      </w:r>
      <w:r>
        <w:rPr>
          <w:color w:val="000000"/>
          <w:spacing w:val="0"/>
          <w:w w:val="100"/>
          <w:position w:val="0"/>
          <w:sz w:val="24"/>
          <w:szCs w:val="24"/>
        </w:rPr>
        <w:t>5,600</w:t>
      </w:r>
      <w:r>
        <w:rPr>
          <w:color w:val="000000"/>
          <w:spacing w:val="0"/>
          <w:w w:val="100"/>
          <w:position w:val="0"/>
        </w:rPr>
        <w:t>万股为基数，以资本公积金每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 共计</w:t>
      </w:r>
      <w:r>
        <w:rPr>
          <w:color w:val="000000"/>
          <w:spacing w:val="0"/>
          <w:w w:val="100"/>
          <w:position w:val="0"/>
          <w:sz w:val="24"/>
          <w:szCs w:val="24"/>
        </w:rPr>
        <w:t>2,800</w:t>
      </w:r>
      <w:r>
        <w:rPr>
          <w:color w:val="000000"/>
          <w:spacing w:val="0"/>
          <w:w w:val="100"/>
          <w:position w:val="0"/>
        </w:rPr>
        <w:t>万股。</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16</w:t>
      </w:r>
      <w:r>
        <w:rPr>
          <w:color w:val="000000"/>
          <w:spacing w:val="0"/>
          <w:w w:val="100"/>
          <w:position w:val="0"/>
        </w:rPr>
        <w:t>日，经公司董事会决议审议通过了《</w:t>
      </w:r>
      <w:r>
        <w:rPr>
          <w:color w:val="000000"/>
          <w:spacing w:val="0"/>
          <w:w w:val="100"/>
          <w:position w:val="0"/>
          <w:sz w:val="24"/>
          <w:szCs w:val="24"/>
        </w:rPr>
        <w:t>2012</w:t>
      </w:r>
      <w:r>
        <w:rPr>
          <w:color w:val="000000"/>
          <w:spacing w:val="0"/>
          <w:w w:val="100"/>
          <w:position w:val="0"/>
        </w:rPr>
        <w:t>年度利润分配预案》</w:t>
      </w:r>
      <w:r>
        <w:rPr>
          <w:color w:val="000000"/>
          <w:spacing w:val="0"/>
          <w:w w:val="100"/>
          <w:position w:val="0"/>
          <w:sz w:val="24"/>
          <w:szCs w:val="24"/>
        </w:rPr>
        <w:t xml:space="preserve">， </w:t>
      </w:r>
      <w:r>
        <w:rPr>
          <w:color w:val="000000"/>
          <w:spacing w:val="0"/>
          <w:w w:val="100"/>
          <w:position w:val="0"/>
        </w:rPr>
        <w:t>以</w:t>
      </w:r>
      <w:r>
        <w:rPr>
          <w:color w:val="000000"/>
          <w:spacing w:val="0"/>
          <w:w w:val="100"/>
          <w:position w:val="0"/>
          <w:sz w:val="24"/>
          <w:szCs w:val="24"/>
        </w:rPr>
        <w:t>2012</w:t>
      </w:r>
      <w:r>
        <w:rPr>
          <w:color w:val="000000"/>
          <w:spacing w:val="0"/>
          <w:w w:val="100"/>
          <w:position w:val="0"/>
        </w:rPr>
        <w:t>年末总股本</w:t>
      </w:r>
      <w:r>
        <w:rPr>
          <w:color w:val="000000"/>
          <w:spacing w:val="0"/>
          <w:w w:val="100"/>
          <w:position w:val="0"/>
          <w:sz w:val="24"/>
          <w:szCs w:val="24"/>
        </w:rPr>
        <w:t>8,400</w:t>
      </w:r>
      <w:r>
        <w:rPr>
          <w:color w:val="000000"/>
          <w:spacing w:val="0"/>
          <w:w w:val="100"/>
          <w:position w:val="0"/>
        </w:rPr>
        <w:t>万股为基数，以资本公积金每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股，共计</w:t>
      </w:r>
      <w:r>
        <w:rPr>
          <w:color w:val="000000"/>
          <w:spacing w:val="0"/>
          <w:w w:val="100"/>
          <w:position w:val="0"/>
          <w:sz w:val="24"/>
          <w:szCs w:val="24"/>
        </w:rPr>
        <w:t>4,200</w:t>
      </w:r>
      <w:r>
        <w:rPr>
          <w:color w:val="000000"/>
          <w:spacing w:val="0"/>
          <w:w w:val="100"/>
          <w:position w:val="0"/>
        </w:rPr>
        <w:t>万股。截至</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日公司总股本</w:t>
      </w:r>
      <w:r>
        <w:rPr>
          <w:color w:val="000000"/>
          <w:spacing w:val="0"/>
          <w:w w:val="100"/>
          <w:position w:val="0"/>
          <w:sz w:val="24"/>
          <w:szCs w:val="24"/>
        </w:rPr>
        <w:t>12,600</w:t>
      </w:r>
      <w:r>
        <w:rPr>
          <w:color w:val="000000"/>
          <w:spacing w:val="0"/>
          <w:w w:val="100"/>
          <w:position w:val="0"/>
        </w:rPr>
        <w:t xml:space="preserve">万股。公司的法定代表人为吴强华，营业执照注册号： </w:t>
      </w:r>
      <w:r>
        <w:rPr>
          <w:color w:val="000000"/>
          <w:spacing w:val="0"/>
          <w:w w:val="100"/>
          <w:position w:val="0"/>
          <w:sz w:val="24"/>
          <w:szCs w:val="24"/>
        </w:rPr>
        <w:t>110108003382370，</w:t>
      </w:r>
      <w:r>
        <w:rPr>
          <w:color w:val="000000"/>
          <w:spacing w:val="0"/>
          <w:w w:val="100"/>
          <w:position w:val="0"/>
        </w:rPr>
        <w:t>注册地址：北京市海淀区西直门北大街</w:t>
      </w:r>
      <w:r>
        <w:rPr>
          <w:color w:val="000000"/>
          <w:spacing w:val="0"/>
          <w:w w:val="100"/>
          <w:position w:val="0"/>
          <w:sz w:val="24"/>
          <w:szCs w:val="24"/>
        </w:rPr>
        <w:t>32</w:t>
      </w:r>
      <w:r>
        <w:rPr>
          <w:color w:val="000000"/>
          <w:spacing w:val="0"/>
          <w:w w:val="100"/>
          <w:position w:val="0"/>
        </w:rPr>
        <w:t>号枫蓝国际中心</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18</w:t>
      </w:r>
      <w:r>
        <w:rPr>
          <w:color w:val="000000"/>
          <w:spacing w:val="0"/>
          <w:w w:val="100"/>
          <w:position w:val="0"/>
        </w:rPr>
        <w:t>层。</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本公司经营范围为：许可经营项目：专业承包。一般经营项目：基础软件服务、应用软 件服务、技术开发、技术转让、技术服务、技术咨询、技术推广；产品设计；计算机系统服 务；数据处理；经济贸易资讯；投资咨询；项目投资；投资管理；资产管理；货物进出口、 技术进出口、代理进出口；销售通讯设备、电子产品、计算机、软件及辅助设备。</w:t>
      </w:r>
    </w:p>
    <w:p>
      <w:pPr>
        <w:pStyle w:val="Style32"/>
        <w:keepNext w:val="0"/>
        <w:keepLines w:val="0"/>
        <w:widowControl w:val="0"/>
        <w:shd w:val="clear" w:color="auto" w:fill="auto"/>
        <w:bidi w:val="0"/>
        <w:spacing w:before="0" w:after="220" w:line="467" w:lineRule="exact"/>
        <w:ind w:left="0" w:right="0" w:firstLine="500"/>
        <w:jc w:val="left"/>
      </w:pPr>
      <w:r>
        <w:rPr>
          <w:color w:val="000000"/>
          <w:spacing w:val="0"/>
          <w:w w:val="100"/>
          <w:position w:val="0"/>
        </w:rPr>
        <w:t>本公司及子公司（统称“本集团”）主要从事软件技术开发业务。</w:t>
      </w:r>
    </w:p>
    <w:p>
      <w:pPr>
        <w:pStyle w:val="Style32"/>
        <w:keepNext w:val="0"/>
        <w:keepLines w:val="0"/>
        <w:widowControl w:val="0"/>
        <w:shd w:val="clear" w:color="auto" w:fill="auto"/>
        <w:bidi w:val="0"/>
        <w:spacing w:before="0" w:after="360" w:line="467" w:lineRule="exact"/>
        <w:ind w:left="0" w:right="0" w:firstLine="0"/>
        <w:jc w:val="both"/>
      </w:pPr>
      <w:bookmarkStart w:id="369" w:name="bookmark369"/>
      <w:r>
        <w:rPr>
          <w:b/>
          <w:bCs/>
          <w:color w:val="000000"/>
          <w:spacing w:val="0"/>
          <w:w w:val="100"/>
          <w:position w:val="0"/>
        </w:rPr>
        <w:t>四</w:t>
      </w:r>
      <w:bookmarkEnd w:id="369"/>
      <w:r>
        <w:rPr>
          <w:b/>
          <w:bCs/>
          <w:color w:val="000000"/>
          <w:spacing w:val="0"/>
          <w:w w:val="100"/>
          <w:position w:val="0"/>
        </w:rPr>
        <w:t>、公司主要会计政策、会计估计和前期差错</w:t>
      </w:r>
    </w:p>
    <w:p>
      <w:pPr>
        <w:pStyle w:val="Style32"/>
        <w:keepNext w:val="0"/>
        <w:keepLines w:val="0"/>
        <w:widowControl w:val="0"/>
        <w:shd w:val="clear" w:color="auto" w:fill="auto"/>
        <w:tabs>
          <w:tab w:pos="315" w:val="left"/>
        </w:tabs>
        <w:bidi w:val="0"/>
        <w:spacing w:before="0" w:after="220" w:line="240" w:lineRule="auto"/>
        <w:ind w:left="0" w:right="0" w:firstLine="0"/>
        <w:jc w:val="both"/>
        <w:rPr>
          <w:sz w:val="20"/>
          <w:szCs w:val="20"/>
        </w:rPr>
      </w:pPr>
      <w:bookmarkStart w:id="370" w:name="bookmark370"/>
      <w:r>
        <w:rPr>
          <w:rFonts w:ascii="Times New Roman" w:eastAsia="Times New Roman" w:hAnsi="Times New Roman" w:cs="Times New Roman"/>
          <w:b/>
          <w:bCs/>
          <w:color w:val="000000"/>
          <w:spacing w:val="0"/>
          <w:w w:val="100"/>
          <w:position w:val="0"/>
          <w:sz w:val="20"/>
          <w:szCs w:val="20"/>
        </w:rPr>
        <w:t>1</w:t>
      </w:r>
      <w:bookmarkEnd w:id="370"/>
      <w:r>
        <w:rPr>
          <w:b/>
          <w:bCs/>
          <w:color w:val="000000"/>
          <w:spacing w:val="0"/>
          <w:w w:val="100"/>
          <w:position w:val="0"/>
          <w:sz w:val="20"/>
          <w:szCs w:val="20"/>
        </w:rPr>
        <w:t>、</w:t>
        <w:tab/>
        <w:t>财务报表的编制基础</w:t>
      </w:r>
    </w:p>
    <w:p>
      <w:pPr>
        <w:pStyle w:val="Style3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本集团财务报表以持续经营假设为基础编制，根据实际发生的交易和事项，按照财政部 于</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15</w:t>
      </w:r>
      <w:r>
        <w:rPr>
          <w:color w:val="000000"/>
          <w:spacing w:val="0"/>
          <w:w w:val="100"/>
          <w:position w:val="0"/>
        </w:rPr>
        <w:t>日颁布的《企业会计准则一一基本准则》和</w:t>
      </w:r>
      <w:r>
        <w:rPr>
          <w:color w:val="000000"/>
          <w:spacing w:val="0"/>
          <w:w w:val="100"/>
          <w:position w:val="0"/>
          <w:sz w:val="24"/>
          <w:szCs w:val="24"/>
        </w:rPr>
        <w:t>38</w:t>
      </w:r>
      <w:r>
        <w:rPr>
          <w:color w:val="000000"/>
          <w:spacing w:val="0"/>
          <w:w w:val="100"/>
          <w:position w:val="0"/>
        </w:rPr>
        <w:t>项具体会计准则、其后颁布的企 业会计准则应用指南、企业会计准则解释及其他相关规定（以下合称“企业会计准则”）、 以及中国证券监督管理委员会《公开发行证券的公司信息披露编报规则第</w:t>
      </w:r>
      <w:r>
        <w:rPr>
          <w:color w:val="000000"/>
          <w:spacing w:val="0"/>
          <w:w w:val="100"/>
          <w:position w:val="0"/>
          <w:sz w:val="24"/>
          <w:szCs w:val="24"/>
        </w:rPr>
        <w:t>15</w:t>
      </w:r>
      <w:r>
        <w:rPr>
          <w:color w:val="000000"/>
          <w:spacing w:val="0"/>
          <w:w w:val="100"/>
          <w:position w:val="0"/>
        </w:rPr>
        <w:t>号一一财务报告 的一般规定》</w:t>
      </w:r>
      <w:r>
        <w:rPr>
          <w:color w:val="000000"/>
          <w:spacing w:val="0"/>
          <w:w w:val="100"/>
          <w:position w:val="0"/>
          <w:sz w:val="24"/>
          <w:szCs w:val="24"/>
        </w:rPr>
        <w:t>（2010</w:t>
      </w:r>
      <w:r>
        <w:rPr>
          <w:color w:val="000000"/>
          <w:spacing w:val="0"/>
          <w:w w:val="100"/>
          <w:position w:val="0"/>
        </w:rPr>
        <w:t>年修订）的披露规定编制。</w:t>
      </w:r>
    </w:p>
    <w:p>
      <w:pPr>
        <w:pStyle w:val="Style32"/>
        <w:keepNext w:val="0"/>
        <w:keepLines w:val="0"/>
        <w:widowControl w:val="0"/>
        <w:shd w:val="clear" w:color="auto" w:fill="auto"/>
        <w:bidi w:val="0"/>
        <w:spacing w:before="0" w:after="440" w:line="467" w:lineRule="exact"/>
        <w:ind w:left="0" w:right="0" w:firstLine="500"/>
        <w:jc w:val="both"/>
      </w:pPr>
      <w:r>
        <w:rPr>
          <w:color w:val="000000"/>
          <w:spacing w:val="0"/>
          <w:w w:val="100"/>
          <w:position w:val="0"/>
        </w:rPr>
        <w:t>根据企业会计准则的相关规定，本集团会计核算以权责发生制为基础。本财务报表均以 历史成本为计量基础。资产如果发生减值，则按照相关规定计提相应的减值准备。</w:t>
      </w:r>
    </w:p>
    <w:p>
      <w:pPr>
        <w:pStyle w:val="Style32"/>
        <w:keepNext w:val="0"/>
        <w:keepLines w:val="0"/>
        <w:widowControl w:val="0"/>
        <w:shd w:val="clear" w:color="auto" w:fill="auto"/>
        <w:tabs>
          <w:tab w:pos="324" w:val="left"/>
        </w:tabs>
        <w:bidi w:val="0"/>
        <w:spacing w:before="0" w:after="220" w:line="240" w:lineRule="auto"/>
        <w:ind w:left="0" w:right="0" w:firstLine="0"/>
        <w:jc w:val="left"/>
        <w:rPr>
          <w:sz w:val="20"/>
          <w:szCs w:val="20"/>
        </w:rPr>
      </w:pPr>
      <w:bookmarkStart w:id="371" w:name="bookmark371"/>
      <w:r>
        <w:rPr>
          <w:rFonts w:ascii="Times New Roman" w:eastAsia="Times New Roman" w:hAnsi="Times New Roman" w:cs="Times New Roman"/>
          <w:b/>
          <w:bCs/>
          <w:color w:val="000000"/>
          <w:spacing w:val="0"/>
          <w:w w:val="100"/>
          <w:position w:val="0"/>
          <w:sz w:val="20"/>
          <w:szCs w:val="20"/>
        </w:rPr>
        <w:t>2</w:t>
      </w:r>
      <w:bookmarkEnd w:id="371"/>
      <w:r>
        <w:rPr>
          <w:b/>
          <w:bCs/>
          <w:color w:val="000000"/>
          <w:spacing w:val="0"/>
          <w:w w:val="100"/>
          <w:position w:val="0"/>
          <w:sz w:val="20"/>
          <w:szCs w:val="20"/>
        </w:rPr>
        <w:t>、</w:t>
        <w:tab/>
        <w:t>遵循企业会计准则的声明</w:t>
      </w:r>
    </w:p>
    <w:p>
      <w:pPr>
        <w:pStyle w:val="Style32"/>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本集团编制的财务报表符合企业会计准则的要求，真实、完整地反映了本集团</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日的财务状况及</w:t>
      </w:r>
      <w:r>
        <w:rPr>
          <w:color w:val="000000"/>
          <w:spacing w:val="0"/>
          <w:w w:val="100"/>
          <w:position w:val="0"/>
          <w:sz w:val="24"/>
          <w:szCs w:val="24"/>
        </w:rPr>
        <w:t>2013</w:t>
      </w:r>
      <w:r>
        <w:rPr>
          <w:color w:val="000000"/>
          <w:spacing w:val="0"/>
          <w:w w:val="100"/>
          <w:position w:val="0"/>
        </w:rPr>
        <w:t>年度的经营成果和现金流量等有关信息。此外，本集团的财务报表 在所有重大方面符合中国证券监督管理委员会</w:t>
      </w:r>
      <w:r>
        <w:rPr>
          <w:color w:val="000000"/>
          <w:spacing w:val="0"/>
          <w:w w:val="100"/>
          <w:position w:val="0"/>
          <w:sz w:val="24"/>
          <w:szCs w:val="24"/>
        </w:rPr>
        <w:t>2010</w:t>
      </w:r>
      <w:r>
        <w:rPr>
          <w:color w:val="000000"/>
          <w:spacing w:val="0"/>
          <w:w w:val="100"/>
          <w:position w:val="0"/>
        </w:rPr>
        <w:t>年修订的《公开发行证券的公司信息披露 编报规则第</w:t>
      </w:r>
      <w:r>
        <w:rPr>
          <w:color w:val="000000"/>
          <w:spacing w:val="0"/>
          <w:w w:val="100"/>
          <w:position w:val="0"/>
          <w:sz w:val="24"/>
          <w:szCs w:val="24"/>
        </w:rPr>
        <w:t>15</w:t>
      </w:r>
      <w:r>
        <w:rPr>
          <w:color w:val="000000"/>
          <w:spacing w:val="0"/>
          <w:w w:val="100"/>
          <w:position w:val="0"/>
        </w:rPr>
        <w:t>号一财务报告的一般规定》有关财务报表及其附注的披露要求。</w:t>
      </w:r>
    </w:p>
    <w:p>
      <w:pPr>
        <w:pStyle w:val="Style32"/>
        <w:keepNext w:val="0"/>
        <w:keepLines w:val="0"/>
        <w:widowControl w:val="0"/>
        <w:shd w:val="clear" w:color="auto" w:fill="auto"/>
        <w:bidi w:val="0"/>
        <w:spacing w:before="0" w:after="240" w:line="240" w:lineRule="auto"/>
        <w:ind w:left="0" w:right="0" w:firstLine="0"/>
        <w:jc w:val="left"/>
        <w:rPr>
          <w:sz w:val="20"/>
          <w:szCs w:val="20"/>
        </w:rPr>
      </w:pPr>
      <w:bookmarkStart w:id="372" w:name="bookmark372"/>
      <w:r>
        <w:rPr>
          <w:rFonts w:ascii="Times New Roman" w:eastAsia="Times New Roman" w:hAnsi="Times New Roman" w:cs="Times New Roman"/>
          <w:b/>
          <w:bCs/>
          <w:color w:val="000000"/>
          <w:spacing w:val="0"/>
          <w:w w:val="100"/>
          <w:position w:val="0"/>
          <w:sz w:val="20"/>
          <w:szCs w:val="20"/>
        </w:rPr>
        <w:t>3</w:t>
      </w:r>
      <w:bookmarkEnd w:id="372"/>
      <w:r>
        <w:rPr>
          <w:b/>
          <w:bCs/>
          <w:color w:val="000000"/>
          <w:spacing w:val="0"/>
          <w:w w:val="100"/>
          <w:position w:val="0"/>
          <w:sz w:val="20"/>
          <w:szCs w:val="20"/>
        </w:rPr>
        <w:t>、会计期间</w:t>
      </w:r>
    </w:p>
    <w:p>
      <w:pPr>
        <w:pStyle w:val="Style32"/>
        <w:keepNext w:val="0"/>
        <w:keepLines w:val="0"/>
        <w:widowControl w:val="0"/>
        <w:shd w:val="clear" w:color="auto" w:fill="auto"/>
        <w:bidi w:val="0"/>
        <w:spacing w:before="0" w:after="440" w:line="456" w:lineRule="exact"/>
        <w:ind w:left="0" w:right="0" w:firstLine="500"/>
        <w:jc w:val="both"/>
      </w:pPr>
      <w:r>
        <w:rPr>
          <w:color w:val="000000"/>
          <w:spacing w:val="0"/>
          <w:w w:val="100"/>
          <w:position w:val="0"/>
        </w:rPr>
        <w:t>本集团的会计期间分为年度和中期，会计中期指短于一个完整的会计年度的报告期间。 本集团会计年度采用公历年度，即每年自</w:t>
      </w:r>
      <w:r>
        <w:rPr>
          <w:color w:val="000000"/>
          <w:spacing w:val="0"/>
          <w:w w:val="100"/>
          <w:position w:val="0"/>
          <w:sz w:val="24"/>
          <w:szCs w:val="24"/>
        </w:rPr>
        <w:t>1</w:t>
      </w:r>
      <w:r>
        <w:rPr>
          <w:color w:val="000000"/>
          <w:spacing w:val="0"/>
          <w:w w:val="100"/>
          <w:position w:val="0"/>
        </w:rPr>
        <w:t xml:space="preserve">月 </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32"/>
        <w:keepNext w:val="0"/>
        <w:keepLines w:val="0"/>
        <w:widowControl w:val="0"/>
        <w:shd w:val="clear" w:color="auto" w:fill="auto"/>
        <w:tabs>
          <w:tab w:pos="370" w:val="left"/>
        </w:tabs>
        <w:bidi w:val="0"/>
        <w:spacing w:before="0" w:after="240" w:line="240" w:lineRule="auto"/>
        <w:ind w:left="0" w:right="0" w:firstLine="0"/>
        <w:jc w:val="left"/>
        <w:rPr>
          <w:sz w:val="20"/>
          <w:szCs w:val="20"/>
        </w:rPr>
      </w:pPr>
      <w:bookmarkStart w:id="373" w:name="bookmark373"/>
      <w:r>
        <w:rPr>
          <w:rFonts w:ascii="Times New Roman" w:eastAsia="Times New Roman" w:hAnsi="Times New Roman" w:cs="Times New Roman"/>
          <w:b/>
          <w:bCs/>
          <w:color w:val="000000"/>
          <w:spacing w:val="0"/>
          <w:w w:val="100"/>
          <w:position w:val="0"/>
          <w:sz w:val="20"/>
          <w:szCs w:val="20"/>
        </w:rPr>
        <w:t>4</w:t>
      </w:r>
      <w:bookmarkEnd w:id="373"/>
      <w:r>
        <w:rPr>
          <w:b/>
          <w:bCs/>
          <w:color w:val="000000"/>
          <w:spacing w:val="0"/>
          <w:w w:val="100"/>
          <w:position w:val="0"/>
          <w:sz w:val="20"/>
          <w:szCs w:val="20"/>
        </w:rPr>
        <w:t>、</w:t>
        <w:tab/>
        <w:t>记账本位币</w:t>
      </w:r>
    </w:p>
    <w:p>
      <w:pPr>
        <w:pStyle w:val="Style32"/>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人民币为本集团及境内子公司经营所处的主要经济环境中的货币，本集团及境内子公司 以人民币为记账本位币。本公司编制本财务报表时所采用的货币为人民币。</w:t>
      </w:r>
    </w:p>
    <w:p>
      <w:pPr>
        <w:pStyle w:val="Style32"/>
        <w:keepNext w:val="0"/>
        <w:keepLines w:val="0"/>
        <w:widowControl w:val="0"/>
        <w:shd w:val="clear" w:color="auto" w:fill="auto"/>
        <w:tabs>
          <w:tab w:pos="370" w:val="left"/>
        </w:tabs>
        <w:bidi w:val="0"/>
        <w:spacing w:before="0" w:after="380" w:line="240" w:lineRule="auto"/>
        <w:ind w:left="0" w:right="0" w:firstLine="0"/>
        <w:jc w:val="left"/>
        <w:rPr>
          <w:sz w:val="20"/>
          <w:szCs w:val="20"/>
        </w:rPr>
      </w:pPr>
      <w:bookmarkStart w:id="374" w:name="bookmark374"/>
      <w:r>
        <w:rPr>
          <w:rFonts w:ascii="Times New Roman" w:eastAsia="Times New Roman" w:hAnsi="Times New Roman" w:cs="Times New Roman"/>
          <w:b/>
          <w:bCs/>
          <w:color w:val="000000"/>
          <w:spacing w:val="0"/>
          <w:w w:val="100"/>
          <w:position w:val="0"/>
          <w:sz w:val="20"/>
          <w:szCs w:val="20"/>
        </w:rPr>
        <w:t>5</w:t>
      </w:r>
      <w:bookmarkEnd w:id="374"/>
      <w:r>
        <w:rPr>
          <w:b/>
          <w:bCs/>
          <w:color w:val="000000"/>
          <w:spacing w:val="0"/>
          <w:w w:val="100"/>
          <w:position w:val="0"/>
          <w:sz w:val="20"/>
          <w:szCs w:val="20"/>
        </w:rPr>
        <w:t>、</w:t>
        <w:tab/>
        <w:t>同一控制下和非同一控制下企业合并的会计处理方法</w:t>
      </w:r>
    </w:p>
    <w:p>
      <w:pPr>
        <w:pStyle w:val="Style32"/>
        <w:keepNext w:val="0"/>
        <w:keepLines w:val="0"/>
        <w:widowControl w:val="0"/>
        <w:shd w:val="clear" w:color="auto" w:fill="auto"/>
        <w:tabs>
          <w:tab w:pos="468" w:val="left"/>
        </w:tabs>
        <w:bidi w:val="0"/>
        <w:spacing w:before="0" w:after="240" w:line="240" w:lineRule="auto"/>
        <w:ind w:left="0" w:right="0" w:firstLine="0"/>
        <w:jc w:val="left"/>
        <w:rPr>
          <w:sz w:val="20"/>
          <w:szCs w:val="20"/>
        </w:rPr>
      </w:pPr>
      <w:bookmarkStart w:id="375" w:name="bookmark375"/>
      <w:r>
        <w:rPr>
          <w:b/>
          <w:bCs/>
          <w:color w:val="000000"/>
          <w:spacing w:val="0"/>
          <w:w w:val="100"/>
          <w:position w:val="0"/>
          <w:sz w:val="20"/>
          <w:szCs w:val="20"/>
        </w:rPr>
        <w:t>（</w:t>
      </w:r>
      <w:bookmarkEnd w:id="37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同一控制下企业合并</w:t>
      </w:r>
    </w:p>
    <w:p>
      <w:pPr>
        <w:pStyle w:val="Style32"/>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Style32"/>
        <w:keepNext w:val="0"/>
        <w:keepLines w:val="0"/>
        <w:widowControl w:val="0"/>
        <w:shd w:val="clear" w:color="auto" w:fill="auto"/>
        <w:bidi w:val="0"/>
        <w:spacing w:before="0" w:after="440" w:line="467" w:lineRule="exact"/>
        <w:ind w:left="0" w:right="0" w:firstLine="500"/>
        <w:jc w:val="left"/>
      </w:pPr>
      <w:r>
        <w:rPr>
          <w:color w:val="000000"/>
          <w:spacing w:val="0"/>
          <w:w w:val="100"/>
          <w:position w:val="0"/>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Style32"/>
        <w:keepNext w:val="0"/>
        <w:keepLines w:val="0"/>
        <w:widowControl w:val="0"/>
        <w:shd w:val="clear" w:color="auto" w:fill="auto"/>
        <w:tabs>
          <w:tab w:pos="468" w:val="left"/>
        </w:tabs>
        <w:bidi w:val="0"/>
        <w:spacing w:before="0" w:after="240" w:line="240" w:lineRule="auto"/>
        <w:ind w:left="0" w:right="0" w:firstLine="0"/>
        <w:jc w:val="left"/>
        <w:rPr>
          <w:sz w:val="20"/>
          <w:szCs w:val="20"/>
        </w:rPr>
      </w:pPr>
      <w:bookmarkStart w:id="376" w:name="bookmark376"/>
      <w:r>
        <w:rPr>
          <w:b/>
          <w:bCs/>
          <w:color w:val="000000"/>
          <w:spacing w:val="0"/>
          <w:w w:val="100"/>
          <w:position w:val="0"/>
          <w:sz w:val="20"/>
          <w:szCs w:val="20"/>
        </w:rPr>
        <w:t>（</w:t>
      </w:r>
      <w:bookmarkEnd w:id="37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非同一控制下的企业合并</w:t>
      </w:r>
    </w:p>
    <w:p>
      <w:pPr>
        <w:pStyle w:val="Style3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Style32"/>
        <w:keepNext w:val="0"/>
        <w:keepLines w:val="0"/>
        <w:widowControl w:val="0"/>
        <w:shd w:val="clear" w:color="auto" w:fill="auto"/>
        <w:bidi w:val="0"/>
        <w:spacing w:before="0" w:after="240" w:line="466" w:lineRule="exact"/>
        <w:ind w:left="0" w:right="0" w:firstLine="500"/>
        <w:jc w:val="both"/>
      </w:pPr>
      <w:r>
        <w:rPr>
          <w:color w:val="000000"/>
          <w:spacing w:val="0"/>
          <w:w w:val="100"/>
          <w:position w:val="0"/>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color w:val="000000"/>
          <w:spacing w:val="0"/>
          <w:w w:val="100"/>
          <w:position w:val="0"/>
          <w:sz w:val="24"/>
          <w:szCs w:val="24"/>
        </w:rPr>
        <w:t>12</w:t>
      </w:r>
      <w:r>
        <w:rPr>
          <w:color w:val="000000"/>
          <w:spacing w:val="0"/>
          <w:w w:val="100"/>
          <w:position w:val="0"/>
        </w:rPr>
        <w:t>个月内出 现对购买日已存在情况的新的或进一步证据而需要调整或有对价的，相应调整合并商誉。通</w:t>
      </w:r>
    </w:p>
    <w:p>
      <w:pPr>
        <w:pStyle w:val="Style32"/>
        <w:keepNext w:val="0"/>
        <w:keepLines w:val="0"/>
        <w:widowControl w:val="0"/>
        <w:shd w:val="clear" w:color="auto" w:fill="auto"/>
        <w:bidi w:val="0"/>
        <w:spacing w:before="0" w:after="0" w:line="468" w:lineRule="exact"/>
        <w:ind w:left="0" w:right="0" w:firstLine="0"/>
        <w:jc w:val="both"/>
      </w:pPr>
      <w:r>
        <w:rPr>
          <w:color w:val="000000"/>
          <w:spacing w:val="0"/>
          <w:w w:val="100"/>
          <w:position w:val="0"/>
        </w:rPr>
        <w:t>过多次交换交易分步实现的企业合并，在本集团合并财务报表中，对于购买日之前持有的被 购买方的股权，按照该股权在购买日的公允价值进行重新计量，公允价值与其账面价值的差 额计入购买日所属当期投资收益，同时将与购买日之前持有的被购买方的股权相关的其他综 合收益转为当期投资收益，合并成本为购买日之前持有的被购买方的股权在购买日的公允价 值与购买日增持的被购买方股权在购买日的公允价值之和。</w:t>
      </w:r>
    </w:p>
    <w:p>
      <w:pPr>
        <w:pStyle w:val="Style3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购买方发生的合并成本及在合并中取得的可辨认净资产按购买日的公允价值计量。合并 成本大于合并中取得的被购买方于购买日可辨认净资产公允价值份额的差额，确认为商誉。 合并成本小于合并中取得的被购买方可辨认净资产公允价值份额的，首先对取得的被购买方 各项可辨认资产、负债及或有负债的公允价值以及合并成本的计量进行复核，复核后合并成 本仍小于合并中取得的被购买方可辨认净资产公允价值份额的，其差额计入当期损益。</w:t>
      </w:r>
    </w:p>
    <w:p>
      <w:pPr>
        <w:pStyle w:val="Style32"/>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购买方取得被购买方的可抵扣暂时性差异，在购买日因不符合递延所得税资产确认条件 而未予确认的，在购买日后</w:t>
      </w:r>
      <w:r>
        <w:rPr>
          <w:color w:val="000000"/>
          <w:spacing w:val="0"/>
          <w:w w:val="100"/>
          <w:position w:val="0"/>
          <w:sz w:val="24"/>
          <w:szCs w:val="24"/>
        </w:rPr>
        <w:t>12</w:t>
      </w:r>
      <w:r>
        <w:rPr>
          <w:color w:val="000000"/>
          <w:spacing w:val="0"/>
          <w:w w:val="100"/>
          <w:position w:val="0"/>
        </w:rPr>
        <w:t>个月内，如取得新的或进一步的信息表明购买日的相关情况已 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377" w:name="bookmark377"/>
      <w:r>
        <w:rPr>
          <w:rFonts w:ascii="Times New Roman" w:eastAsia="Times New Roman" w:hAnsi="Times New Roman" w:cs="Times New Roman"/>
          <w:b/>
          <w:bCs/>
          <w:color w:val="000000"/>
          <w:spacing w:val="0"/>
          <w:w w:val="100"/>
          <w:position w:val="0"/>
          <w:sz w:val="20"/>
          <w:szCs w:val="20"/>
        </w:rPr>
        <w:t>6</w:t>
      </w:r>
      <w:bookmarkEnd w:id="377"/>
      <w:r>
        <w:rPr>
          <w:b/>
          <w:bCs/>
          <w:color w:val="000000"/>
          <w:spacing w:val="0"/>
          <w:w w:val="100"/>
          <w:position w:val="0"/>
          <w:sz w:val="20"/>
          <w:szCs w:val="20"/>
        </w:rPr>
        <w:t>、合并财务报表的编制方法</w:t>
      </w:r>
    </w:p>
    <w:p>
      <w:pPr>
        <w:pStyle w:val="Style32"/>
        <w:keepNext w:val="0"/>
        <w:keepLines w:val="0"/>
        <w:widowControl w:val="0"/>
        <w:numPr>
          <w:ilvl w:val="0"/>
          <w:numId w:val="1"/>
        </w:numPr>
        <w:shd w:val="clear" w:color="auto" w:fill="auto"/>
        <w:bidi w:val="0"/>
        <w:spacing w:before="0" w:after="240" w:line="240" w:lineRule="auto"/>
        <w:ind w:left="0" w:right="0" w:firstLine="0"/>
        <w:jc w:val="left"/>
        <w:rPr>
          <w:sz w:val="20"/>
          <w:szCs w:val="20"/>
        </w:rPr>
      </w:pPr>
      <w:bookmarkStart w:id="378" w:name="bookmark378"/>
      <w:bookmarkEnd w:id="378"/>
      <w:r>
        <w:rPr>
          <w:b/>
          <w:bCs/>
          <w:color w:val="000000"/>
          <w:spacing w:val="0"/>
          <w:w w:val="100"/>
          <w:position w:val="0"/>
          <w:sz w:val="20"/>
          <w:szCs w:val="20"/>
        </w:rPr>
        <w:t>合并财务报表的编制方法</w:t>
      </w:r>
    </w:p>
    <w:p>
      <w:pPr>
        <w:pStyle w:val="Style32"/>
        <w:keepNext w:val="0"/>
        <w:keepLines w:val="0"/>
        <w:widowControl w:val="0"/>
        <w:numPr>
          <w:ilvl w:val="0"/>
          <w:numId w:val="3"/>
        </w:numPr>
        <w:shd w:val="clear" w:color="auto" w:fill="auto"/>
        <w:tabs>
          <w:tab w:pos="970" w:val="left"/>
        </w:tabs>
        <w:bidi w:val="0"/>
        <w:spacing w:before="0" w:after="0" w:line="466" w:lineRule="exact"/>
        <w:ind w:left="0" w:right="0" w:firstLine="500"/>
        <w:jc w:val="both"/>
      </w:pPr>
      <w:bookmarkStart w:id="379" w:name="bookmark379"/>
      <w:bookmarkEnd w:id="379"/>
      <w:r>
        <w:rPr>
          <w:color w:val="000000"/>
          <w:spacing w:val="0"/>
          <w:w w:val="100"/>
          <w:position w:val="0"/>
        </w:rPr>
        <w:t>合并财务报表范围的确定原则</w:t>
      </w:r>
    </w:p>
    <w:p>
      <w:pPr>
        <w:pStyle w:val="Style3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合并财务报表的合并范围以控制为基础予以确定。控制是指本公司能够决定被投资单位 的财务和经营政策，并能据以从被投资单位的经营活动中获取利益的权力。合并范围包括本公 司及全部子公司。子公司，是指被本公司控制的企业或主体。</w:t>
      </w:r>
    </w:p>
    <w:p>
      <w:pPr>
        <w:pStyle w:val="Style32"/>
        <w:keepNext w:val="0"/>
        <w:keepLines w:val="0"/>
        <w:widowControl w:val="0"/>
        <w:numPr>
          <w:ilvl w:val="0"/>
          <w:numId w:val="3"/>
        </w:numPr>
        <w:shd w:val="clear" w:color="auto" w:fill="auto"/>
        <w:tabs>
          <w:tab w:pos="970" w:val="left"/>
        </w:tabs>
        <w:bidi w:val="0"/>
        <w:spacing w:before="0" w:after="0" w:line="469" w:lineRule="exact"/>
        <w:ind w:left="0" w:right="0" w:firstLine="500"/>
        <w:jc w:val="both"/>
      </w:pPr>
      <w:bookmarkStart w:id="380" w:name="bookmark380"/>
      <w:bookmarkEnd w:id="380"/>
      <w:r>
        <w:rPr>
          <w:color w:val="000000"/>
          <w:spacing w:val="0"/>
          <w:w w:val="100"/>
          <w:position w:val="0"/>
        </w:rPr>
        <w:t>合并财务报表编制的方法</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从取得子公司的净资产和生产经营决策的实际控制权之日起，本集团开始将其纳入合并 范围；从丧失实际控制权之日起停止纳入合并范围。对于处置的子公司，处置日前的经营成 果和现金流量已经适当地包括在合并利润表和合并现金流量表中；当期处置的子公司，不调 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初数和对比数。同一控制下企业合并增加的子公司及吸收合并下的被合并方，其自合并当期 </w:t>
      </w:r>
      <w:r>
        <w:rPr>
          <w:color w:val="000000"/>
          <w:spacing w:val="0"/>
          <w:w w:val="100"/>
          <w:position w:val="0"/>
        </w:rPr>
        <w:t>期初至合并日的经营成果和现金流量已经适当地包括在合并利润表和合并现金流量表中，并 且同时调整合并财务报表的对比数。</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集团内所有重大往来余额、交易及未实现利润在合并财务报表编制时予以抵销。</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少数股东权益的份额，在合并利润表中净利润项目下以“少数股东损益”项目列示。少数股 东分担的子公司的亏损超过了少数股东在该子公司期初所有者权益中所享有的份额，冲减少 数股东权益。</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失控制权时一并转为当期投资收益。其后，对该部分剩余股权按照《企业会计准则第</w:t>
      </w:r>
      <w:r>
        <w:rPr>
          <w:color w:val="000000"/>
          <w:spacing w:val="0"/>
          <w:w w:val="100"/>
          <w:position w:val="0"/>
          <w:sz w:val="24"/>
          <w:szCs w:val="24"/>
        </w:rPr>
        <w:t>2</w:t>
      </w:r>
      <w:r>
        <w:rPr>
          <w:color w:val="000000"/>
          <w:spacing w:val="0"/>
          <w:w w:val="100"/>
          <w:position w:val="0"/>
        </w:rPr>
        <w:t>号一一 长期股权投资》或《企业会计准则第</w:t>
      </w:r>
      <w:r>
        <w:rPr>
          <w:color w:val="000000"/>
          <w:spacing w:val="0"/>
          <w:w w:val="100"/>
          <w:position w:val="0"/>
          <w:sz w:val="24"/>
          <w:szCs w:val="24"/>
        </w:rPr>
        <w:t>22</w:t>
      </w:r>
      <w:r>
        <w:rPr>
          <w:color w:val="000000"/>
          <w:spacing w:val="0"/>
          <w:w w:val="100"/>
          <w:position w:val="0"/>
        </w:rPr>
        <w:t>号一一金融工具确认和计量》等相关规定进行后续计 量，详见本附注四、</w:t>
      </w:r>
      <w:r>
        <w:rPr>
          <w:color w:val="000000"/>
          <w:spacing w:val="0"/>
          <w:w w:val="100"/>
          <w:position w:val="0"/>
          <w:sz w:val="24"/>
          <w:szCs w:val="24"/>
        </w:rPr>
        <w:t xml:space="preserve">9 </w:t>
      </w:r>
      <w:r>
        <w:rPr>
          <w:color w:val="000000"/>
          <w:spacing w:val="0"/>
          <w:w w:val="100"/>
          <w:position w:val="0"/>
        </w:rPr>
        <w:t>“长期股权投资”或本附注四、</w:t>
      </w:r>
      <w:r>
        <w:rPr>
          <w:color w:val="000000"/>
          <w:spacing w:val="0"/>
          <w:w w:val="100"/>
          <w:position w:val="0"/>
          <w:sz w:val="24"/>
          <w:szCs w:val="24"/>
        </w:rPr>
        <w:t xml:space="preserve">6 </w:t>
      </w:r>
      <w:r>
        <w:rPr>
          <w:color w:val="000000"/>
          <w:spacing w:val="0"/>
          <w:w w:val="100"/>
          <w:position w:val="0"/>
        </w:rPr>
        <w:t>“金融工具”。</w:t>
      </w:r>
    </w:p>
    <w:p>
      <w:pPr>
        <w:pStyle w:val="Style32"/>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本集团通过多次交易分步处置对子公司股权投资直至丧失控制权的，需区分处置对子公 司股权投资直至丧失控制权的各项交易是否属于一揽子交易。不属于一揽子交易的，对其中 的每一项交易视情况分别按照“不丧失控制权的情况下部分处置对子公司的长期股权投资” （详见本附注四、</w:t>
      </w:r>
      <w:r>
        <w:rPr>
          <w:color w:val="000000"/>
          <w:spacing w:val="0"/>
          <w:w w:val="100"/>
          <w:position w:val="0"/>
          <w:sz w:val="24"/>
          <w:szCs w:val="24"/>
        </w:rPr>
        <w:t>9</w:t>
      </w:r>
      <w:r>
        <w:rPr>
          <w:color w:val="000000"/>
          <w:spacing w:val="0"/>
          <w:w w:val="100"/>
          <w:position w:val="0"/>
        </w:rPr>
        <w:t>、（</w:t>
      </w:r>
      <w:r>
        <w:rPr>
          <w:color w:val="000000"/>
          <w:spacing w:val="0"/>
          <w:w w:val="100"/>
          <w:position w:val="0"/>
          <w:sz w:val="24"/>
          <w:szCs w:val="24"/>
        </w:rPr>
        <w:t>2）</w:t>
      </w:r>
      <w:r>
        <w:rPr>
          <w:color w:val="000000"/>
          <w:spacing w:val="0"/>
          <w:w w:val="100"/>
          <w:position w:val="0"/>
        </w:rPr>
        <w:t>④）和“因处置部分股权投资或其他原因丧失了对原有子公司的 控制权”（详见前段）适用的原则进行会计处理。处置对子公司股权投资直至丧失控制权的 各项交易属于一揽子交易的，将各项交易作为一项处置子公司并丧失控制权的交易进行会计 处理；但是，在丧失控制权之前每一次处置价款与处置投资对应的享有该子公司净资产份额 的差额，在合并财务报表中确认为其他综合收益，在丧失控制权时一并转入丧失控制权当期 的损益。</w:t>
      </w:r>
    </w:p>
    <w:p>
      <w:pPr>
        <w:pStyle w:val="Style32"/>
        <w:keepNext w:val="0"/>
        <w:keepLines w:val="0"/>
        <w:widowControl w:val="0"/>
        <w:shd w:val="clear" w:color="auto" w:fill="auto"/>
        <w:bidi w:val="0"/>
        <w:spacing w:before="0" w:after="240" w:line="240" w:lineRule="auto"/>
        <w:ind w:left="0" w:right="0" w:firstLine="0"/>
        <w:jc w:val="left"/>
        <w:rPr>
          <w:sz w:val="20"/>
          <w:szCs w:val="20"/>
        </w:rPr>
      </w:pPr>
      <w:bookmarkStart w:id="381" w:name="bookmark381"/>
      <w:r>
        <w:rPr>
          <w:rFonts w:ascii="Times New Roman" w:eastAsia="Times New Roman" w:hAnsi="Times New Roman" w:cs="Times New Roman"/>
          <w:b/>
          <w:bCs/>
          <w:color w:val="000000"/>
          <w:spacing w:val="0"/>
          <w:w w:val="100"/>
          <w:position w:val="0"/>
          <w:sz w:val="20"/>
          <w:szCs w:val="20"/>
        </w:rPr>
        <w:t>7</w:t>
      </w:r>
      <w:bookmarkEnd w:id="381"/>
      <w:r>
        <w:rPr>
          <w:b/>
          <w:bCs/>
          <w:color w:val="000000"/>
          <w:spacing w:val="0"/>
          <w:w w:val="100"/>
          <w:position w:val="0"/>
          <w:sz w:val="20"/>
          <w:szCs w:val="20"/>
        </w:rPr>
        <w:t>、现金及现金等价物的确定标准</w:t>
      </w:r>
    </w:p>
    <w:p>
      <w:pPr>
        <w:pStyle w:val="Style32"/>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 xml:space="preserve">本集团现金及现金等价物包括库存现金、可以随时用于支付的存款以及本集团持有的期 </w:t>
      </w:r>
      <w:r>
        <w:rPr>
          <w:color w:val="000000"/>
          <w:spacing w:val="0"/>
          <w:w w:val="100"/>
          <w:position w:val="0"/>
        </w:rPr>
        <w:t>限短（一般为从购买日起，三个月内到期）、流动性强、易于转换为已知金额的现金、价值 变动风险很小的投资。</w:t>
      </w:r>
    </w:p>
    <w:p>
      <w:pPr>
        <w:pStyle w:val="Style32"/>
        <w:keepNext w:val="0"/>
        <w:keepLines w:val="0"/>
        <w:widowControl w:val="0"/>
        <w:shd w:val="clear" w:color="auto" w:fill="auto"/>
        <w:bidi w:val="0"/>
        <w:spacing w:before="0" w:after="380" w:line="240" w:lineRule="auto"/>
        <w:ind w:left="0" w:right="0" w:firstLine="0"/>
        <w:jc w:val="both"/>
        <w:rPr>
          <w:sz w:val="20"/>
          <w:szCs w:val="20"/>
        </w:rPr>
      </w:pPr>
      <w:bookmarkStart w:id="382" w:name="bookmark382"/>
      <w:r>
        <w:rPr>
          <w:rFonts w:ascii="Times New Roman" w:eastAsia="Times New Roman" w:hAnsi="Times New Roman" w:cs="Times New Roman"/>
          <w:b/>
          <w:bCs/>
          <w:color w:val="000000"/>
          <w:spacing w:val="0"/>
          <w:w w:val="100"/>
          <w:position w:val="0"/>
          <w:sz w:val="20"/>
          <w:szCs w:val="20"/>
        </w:rPr>
        <w:t>8</w:t>
      </w:r>
      <w:bookmarkEnd w:id="382"/>
      <w:r>
        <w:rPr>
          <w:b/>
          <w:bCs/>
          <w:color w:val="000000"/>
          <w:spacing w:val="0"/>
          <w:w w:val="100"/>
          <w:position w:val="0"/>
          <w:sz w:val="20"/>
          <w:szCs w:val="20"/>
        </w:rPr>
        <w:t>、金融工具</w:t>
      </w:r>
    </w:p>
    <w:p>
      <w:pPr>
        <w:pStyle w:val="Style32"/>
        <w:keepNext w:val="0"/>
        <w:keepLines w:val="0"/>
        <w:widowControl w:val="0"/>
        <w:shd w:val="clear" w:color="auto" w:fill="auto"/>
        <w:bidi w:val="0"/>
        <w:spacing w:before="0" w:after="220" w:line="240" w:lineRule="auto"/>
        <w:ind w:left="0" w:right="0" w:firstLine="0"/>
        <w:jc w:val="both"/>
        <w:rPr>
          <w:sz w:val="20"/>
          <w:szCs w:val="20"/>
        </w:rPr>
      </w:pPr>
      <w:bookmarkStart w:id="383" w:name="bookmark383"/>
      <w:r>
        <w:rPr>
          <w:b/>
          <w:bCs/>
          <w:color w:val="000000"/>
          <w:spacing w:val="0"/>
          <w:w w:val="100"/>
          <w:position w:val="0"/>
          <w:sz w:val="20"/>
          <w:szCs w:val="20"/>
        </w:rPr>
        <w:t>（</w:t>
      </w:r>
      <w:bookmarkEnd w:id="38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）金融工具的确认依据和计量方法</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以常规方式买卖金融资产，按交易日进行会计确认和终止确认。金融资产在初始确认时 划分为以公允价值计量且其变动计入当期损益的金融资产、持有至到期投资、贷款和应收款 项以及可供出售金融资产。初始确认金融资产，以公允价值计量。对于以公允价值计量且其 变动计入当期损益的金融资产，相关的交易费用直接计入当期损益，对于其他类别的金融资 产，相关交易费用计入初始确认金额。</w:t>
      </w:r>
    </w:p>
    <w:p>
      <w:pPr>
        <w:pStyle w:val="Style32"/>
        <w:keepNext w:val="0"/>
        <w:keepLines w:val="0"/>
        <w:widowControl w:val="0"/>
        <w:numPr>
          <w:ilvl w:val="0"/>
          <w:numId w:val="5"/>
        </w:numPr>
        <w:shd w:val="clear" w:color="auto" w:fill="auto"/>
        <w:tabs>
          <w:tab w:pos="908" w:val="left"/>
        </w:tabs>
        <w:bidi w:val="0"/>
        <w:spacing w:before="0" w:after="0" w:line="469" w:lineRule="exact"/>
        <w:ind w:left="0" w:right="0" w:firstLine="500"/>
        <w:jc w:val="both"/>
      </w:pPr>
      <w:bookmarkStart w:id="384" w:name="bookmark384"/>
      <w:bookmarkEnd w:id="384"/>
      <w:r>
        <w:rPr>
          <w:color w:val="000000"/>
          <w:spacing w:val="0"/>
          <w:w w:val="100"/>
          <w:position w:val="0"/>
        </w:rPr>
        <w:t>以公允价值计量且其变动计入当期损益的金融资产</w:t>
      </w:r>
    </w:p>
    <w:p>
      <w:pPr>
        <w:pStyle w:val="Style32"/>
        <w:keepNext w:val="0"/>
        <w:keepLines w:val="0"/>
        <w:widowControl w:val="0"/>
        <w:shd w:val="clear" w:color="auto" w:fill="auto"/>
        <w:bidi w:val="0"/>
        <w:spacing w:before="0" w:after="0" w:line="469" w:lineRule="exact"/>
        <w:ind w:left="0" w:right="0" w:firstLine="500"/>
        <w:jc w:val="left"/>
      </w:pPr>
      <w:r>
        <w:rPr>
          <w:color w:val="000000"/>
          <w:spacing w:val="0"/>
          <w:w w:val="100"/>
          <w:position w:val="0"/>
        </w:rPr>
        <w:t>包括交易性金融资产和指定为以公允价值计量且其变动计入当期损益的金融资产。</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交易性金融资产是指满足下列条件之一的金融资产：</w:t>
      </w:r>
      <w:r>
        <w:rPr>
          <w:color w:val="000000"/>
          <w:spacing w:val="0"/>
          <w:w w:val="100"/>
          <w:position w:val="0"/>
          <w:sz w:val="24"/>
          <w:szCs w:val="24"/>
        </w:rPr>
        <w:t>A.</w:t>
      </w:r>
      <w:r>
        <w:rPr>
          <w:color w:val="000000"/>
          <w:spacing w:val="0"/>
          <w:w w:val="100"/>
          <w:position w:val="0"/>
        </w:rPr>
        <w:t>取得该金融资产的目的，主要是 为了近期内出售；</w:t>
      </w:r>
      <w:r>
        <w:rPr>
          <w:color w:val="000000"/>
          <w:spacing w:val="0"/>
          <w:w w:val="100"/>
          <w:position w:val="0"/>
          <w:sz w:val="24"/>
          <w:szCs w:val="24"/>
        </w:rPr>
        <w:t>B.</w:t>
      </w:r>
      <w:r>
        <w:rPr>
          <w:color w:val="000000"/>
          <w:spacing w:val="0"/>
          <w:w w:val="100"/>
          <w:position w:val="0"/>
        </w:rPr>
        <w:t>属于进行集中管理的可辨认金融工具组合的一部分，且有客观证据表明 本集团近期采用短期获利方式对该组合进行管理；</w:t>
      </w:r>
      <w:r>
        <w:rPr>
          <w:color w:val="000000"/>
          <w:spacing w:val="0"/>
          <w:w w:val="100"/>
          <w:position w:val="0"/>
          <w:sz w:val="24"/>
          <w:szCs w:val="24"/>
        </w:rPr>
        <w:t>C.</w:t>
      </w:r>
      <w:r>
        <w:rPr>
          <w:color w:val="000000"/>
          <w:spacing w:val="0"/>
          <w:w w:val="100"/>
          <w:position w:val="0"/>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符合下述条件之一的金融资产，在初始确认时可指定为以公允价值计量且其变动计入当 期损益的金融资产：</w:t>
      </w:r>
      <w:r>
        <w:rPr>
          <w:color w:val="000000"/>
          <w:spacing w:val="0"/>
          <w:w w:val="100"/>
          <w:position w:val="0"/>
          <w:sz w:val="24"/>
          <w:szCs w:val="24"/>
        </w:rPr>
        <w:t>A,</w:t>
      </w:r>
      <w:r>
        <w:rPr>
          <w:color w:val="000000"/>
          <w:spacing w:val="0"/>
          <w:w w:val="100"/>
          <w:position w:val="0"/>
        </w:rPr>
        <w:t>该指定可以消除或明显减少由于该金融资产的计量基础不同所导致的 相关利得或损失在确认或计量方面不一致的情况；</w:t>
      </w:r>
      <w:r>
        <w:rPr>
          <w:color w:val="000000"/>
          <w:spacing w:val="0"/>
          <w:w w:val="100"/>
          <w:position w:val="0"/>
          <w:sz w:val="24"/>
          <w:szCs w:val="24"/>
        </w:rPr>
        <w:t>B.</w:t>
      </w:r>
      <w:r>
        <w:rPr>
          <w:color w:val="000000"/>
          <w:spacing w:val="0"/>
          <w:w w:val="100"/>
          <w:position w:val="0"/>
        </w:rPr>
        <w:t>本集团风险管理或投资策略的正式书面 文件已载明，对该金融资产所在的金融资产组合或金融资产和金融负债组合以公允价值为基 础进行管理、评价并向关键管理人员报告。</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以公允价值计量且其变动计入当期损益的金融资产采用公允价值进行后续计量，公允价 值变动形成的利得或损失以及与该等金融资产相关的股利和利息收入计入当期损益。</w:t>
      </w:r>
    </w:p>
    <w:p>
      <w:pPr>
        <w:pStyle w:val="Style32"/>
        <w:keepNext w:val="0"/>
        <w:keepLines w:val="0"/>
        <w:widowControl w:val="0"/>
        <w:numPr>
          <w:ilvl w:val="0"/>
          <w:numId w:val="5"/>
        </w:numPr>
        <w:shd w:val="clear" w:color="auto" w:fill="auto"/>
        <w:tabs>
          <w:tab w:pos="908" w:val="left"/>
        </w:tabs>
        <w:bidi w:val="0"/>
        <w:spacing w:before="0" w:after="0" w:line="469" w:lineRule="exact"/>
        <w:ind w:left="0" w:right="0" w:firstLine="500"/>
        <w:jc w:val="both"/>
      </w:pPr>
      <w:bookmarkStart w:id="385" w:name="bookmark385"/>
      <w:bookmarkEnd w:id="385"/>
      <w:r>
        <w:rPr>
          <w:color w:val="000000"/>
          <w:spacing w:val="0"/>
          <w:w w:val="100"/>
          <w:position w:val="0"/>
        </w:rPr>
        <w:t>持有至到期投资</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是指到期日固定、回收金额固定或可确定，且本集团有明确意图和能力持有至到期的非 衍生金融资产。</w:t>
      </w:r>
    </w:p>
    <w:p>
      <w:pPr>
        <w:pStyle w:val="Style32"/>
        <w:keepNext w:val="0"/>
        <w:keepLines w:val="0"/>
        <w:widowControl w:val="0"/>
        <w:shd w:val="clear" w:color="auto" w:fill="auto"/>
        <w:bidi w:val="0"/>
        <w:spacing w:before="0" w:after="120" w:line="469" w:lineRule="exact"/>
        <w:ind w:left="0" w:right="0" w:firstLine="500"/>
        <w:jc w:val="both"/>
      </w:pPr>
      <w:r>
        <w:rPr>
          <w:color w:val="000000"/>
          <w:spacing w:val="0"/>
          <w:w w:val="100"/>
          <w:position w:val="0"/>
        </w:rPr>
        <w:t>持有至到期投资采用实际利率法，按摊余成本进行后续计量，在终止确认、发生减值或 摊销时产生的利得或损失，计入当期损益。</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实际利率法是指按照金融资产或金融负债（含一组金融资产或金融负债）的实际利率计 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在计算实际利率时，本集团将在考虑金融资产或金融负债所有合同条款的基础上预计未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Style32"/>
        <w:keepNext w:val="0"/>
        <w:keepLines w:val="0"/>
        <w:widowControl w:val="0"/>
        <w:numPr>
          <w:ilvl w:val="0"/>
          <w:numId w:val="5"/>
        </w:numPr>
        <w:shd w:val="clear" w:color="auto" w:fill="auto"/>
        <w:tabs>
          <w:tab w:pos="881" w:val="left"/>
        </w:tabs>
        <w:bidi w:val="0"/>
        <w:spacing w:before="0" w:after="0" w:line="469" w:lineRule="exact"/>
        <w:ind w:left="0" w:right="0" w:firstLine="480"/>
        <w:jc w:val="both"/>
      </w:pPr>
      <w:bookmarkStart w:id="386" w:name="bookmark386"/>
      <w:bookmarkEnd w:id="386"/>
      <w:r>
        <w:rPr>
          <w:color w:val="000000"/>
          <w:spacing w:val="0"/>
          <w:w w:val="100"/>
          <w:position w:val="0"/>
        </w:rPr>
        <w:t>贷款和应收款项</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是指在活跃市场中没有报价、回收金额固定或可确定的非衍生金融资产。本集团划分为 贷款和应收款的金融资产包括应收票据、应收账款、应收利息、应收股利及其他应收款等。</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贷款和应收款项采用实际利率法，按摊余成本进行后续计量，在终止确认、发生减值或 摊销时产生的利得或损失，计入当期损益。</w:t>
      </w:r>
    </w:p>
    <w:p>
      <w:pPr>
        <w:pStyle w:val="Style32"/>
        <w:keepNext w:val="0"/>
        <w:keepLines w:val="0"/>
        <w:widowControl w:val="0"/>
        <w:numPr>
          <w:ilvl w:val="0"/>
          <w:numId w:val="5"/>
        </w:numPr>
        <w:shd w:val="clear" w:color="auto" w:fill="auto"/>
        <w:tabs>
          <w:tab w:pos="881" w:val="left"/>
        </w:tabs>
        <w:bidi w:val="0"/>
        <w:spacing w:before="0" w:after="0" w:line="469" w:lineRule="exact"/>
        <w:ind w:left="0" w:right="0" w:firstLine="480"/>
        <w:jc w:val="both"/>
      </w:pPr>
      <w:bookmarkStart w:id="387" w:name="bookmark387"/>
      <w:bookmarkEnd w:id="387"/>
      <w:r>
        <w:rPr>
          <w:color w:val="000000"/>
          <w:spacing w:val="0"/>
          <w:w w:val="100"/>
          <w:position w:val="0"/>
        </w:rPr>
        <w:t>可供出售金融资产</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包括初始确认时即被指定为可供出售的非衍生金融资产，以及除了以公允价值计量且其 变动计入当期损益的金融资产、贷款和应收款项、持有至到期投资以外的金融资产。</w:t>
      </w:r>
    </w:p>
    <w:p>
      <w:pPr>
        <w:pStyle w:val="Style3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可供出售金融资产采用公允价值进行后续计量，公允价值变动形成的利得或损失，除减 值损失和外币货币性金融资产与摊余成本相关的汇兑差额计入当期损益外，确认为其他综合 收益并计入资本公积，在该金融资产终止确认时转出，计入当期损益。</w:t>
      </w:r>
    </w:p>
    <w:p>
      <w:pPr>
        <w:pStyle w:val="Style32"/>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可供出售金融资产持有期间取得的利息及被投资单位宣告发放的现金股利，计入投资收 益。</w:t>
      </w:r>
    </w:p>
    <w:p>
      <w:pPr>
        <w:pStyle w:val="Style32"/>
        <w:keepNext w:val="0"/>
        <w:keepLines w:val="0"/>
        <w:widowControl w:val="0"/>
        <w:shd w:val="clear" w:color="auto" w:fill="auto"/>
        <w:bidi w:val="0"/>
        <w:spacing w:before="0" w:after="240" w:line="240" w:lineRule="auto"/>
        <w:ind w:left="0" w:right="0" w:firstLine="0"/>
        <w:jc w:val="left"/>
        <w:rPr>
          <w:sz w:val="20"/>
          <w:szCs w:val="20"/>
        </w:rPr>
      </w:pPr>
      <w:bookmarkStart w:id="388" w:name="bookmark388"/>
      <w:r>
        <w:rPr>
          <w:b/>
          <w:bCs/>
          <w:color w:val="000000"/>
          <w:spacing w:val="0"/>
          <w:w w:val="100"/>
          <w:position w:val="0"/>
          <w:sz w:val="20"/>
          <w:szCs w:val="20"/>
        </w:rPr>
        <w:t>（</w:t>
      </w:r>
      <w:bookmarkEnd w:id="38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）金融资产转移的确认依据和计量方法</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满足下列条件之一的金融资产，予以终止确认：①收取该金融资产现金流量的合同权利 终止；②该金融资产已转移，且将金融资产所有权上几乎所有的风险和报酬转移给转入方； ③该金融资产已转移，虽然企业既没有转移也没有保留金融资产所有权上几乎所有的风险和 报酬，但是放弃了对该金融资产控制。</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金融资产整体转移满足终止确认条件的，将所转移金融资产的账面价值及因转移而收到 的对价与原计入其他综合收益的公允价值变动累计额之和的差额计入当期损益。</w:t>
      </w:r>
    </w:p>
    <w:p>
      <w:pPr>
        <w:pStyle w:val="Style32"/>
        <w:keepNext w:val="0"/>
        <w:keepLines w:val="0"/>
        <w:widowControl w:val="0"/>
        <w:shd w:val="clear" w:color="auto" w:fill="auto"/>
        <w:bidi w:val="0"/>
        <w:spacing w:before="0" w:after="420" w:line="467" w:lineRule="exact"/>
        <w:ind w:left="0" w:right="0" w:firstLine="480"/>
        <w:jc w:val="both"/>
      </w:pPr>
      <w:r>
        <w:rPr>
          <w:color w:val="000000"/>
          <w:spacing w:val="0"/>
          <w:w w:val="100"/>
          <w:position w:val="0"/>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Style32"/>
        <w:keepNext w:val="0"/>
        <w:keepLines w:val="0"/>
        <w:widowControl w:val="0"/>
        <w:shd w:val="clear" w:color="auto" w:fill="auto"/>
        <w:tabs>
          <w:tab w:pos="450" w:val="left"/>
        </w:tabs>
        <w:bidi w:val="0"/>
        <w:spacing w:before="0" w:after="240" w:line="240" w:lineRule="auto"/>
        <w:ind w:left="0" w:right="0" w:firstLine="0"/>
        <w:jc w:val="left"/>
        <w:rPr>
          <w:sz w:val="20"/>
          <w:szCs w:val="20"/>
        </w:rPr>
      </w:pPr>
      <w:bookmarkStart w:id="389" w:name="bookmark389"/>
      <w:r>
        <w:rPr>
          <w:b/>
          <w:bCs/>
          <w:color w:val="000000"/>
          <w:spacing w:val="0"/>
          <w:w w:val="100"/>
          <w:position w:val="0"/>
          <w:sz w:val="20"/>
          <w:szCs w:val="20"/>
        </w:rPr>
        <w:t>（</w:t>
      </w:r>
      <w:bookmarkEnd w:id="38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金融负债终止确认条件</w:t>
      </w:r>
    </w:p>
    <w:p>
      <w:pPr>
        <w:pStyle w:val="Style3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金融负债的现时义务全部或部分已经解除的，才能终止确认该金融负债或其一部分。本 集团（债务人）与债权人之间签订协议，以承担新金融负债方式替换现存金融负债，且新金 融负债与现存金融负债的合同条款实质上不同的，终止确认现存金融负债，并同时确认新金 融负债。</w:t>
      </w:r>
    </w:p>
    <w:p>
      <w:pPr>
        <w:pStyle w:val="Style32"/>
        <w:keepNext w:val="0"/>
        <w:keepLines w:val="0"/>
        <w:widowControl w:val="0"/>
        <w:shd w:val="clear" w:color="auto" w:fill="auto"/>
        <w:bidi w:val="0"/>
        <w:spacing w:before="0" w:after="420" w:line="472" w:lineRule="exact"/>
        <w:ind w:left="0" w:right="0" w:firstLine="480"/>
        <w:jc w:val="both"/>
      </w:pPr>
      <w:r>
        <w:rPr>
          <w:color w:val="000000"/>
          <w:spacing w:val="0"/>
          <w:w w:val="100"/>
          <w:position w:val="0"/>
        </w:rPr>
        <w:t>金融负债全部或部分终止确认的，将终止确认部分的账面价值与支付的对价（包括转出 的非现金资产或承担的新金融负债）之间的差额，计入当期损益。</w:t>
      </w:r>
    </w:p>
    <w:p>
      <w:pPr>
        <w:pStyle w:val="Style32"/>
        <w:keepNext w:val="0"/>
        <w:keepLines w:val="0"/>
        <w:widowControl w:val="0"/>
        <w:shd w:val="clear" w:color="auto" w:fill="auto"/>
        <w:tabs>
          <w:tab w:pos="450" w:val="left"/>
        </w:tabs>
        <w:bidi w:val="0"/>
        <w:spacing w:before="0" w:after="240" w:line="240" w:lineRule="auto"/>
        <w:ind w:left="0" w:right="0" w:firstLine="0"/>
        <w:jc w:val="left"/>
        <w:rPr>
          <w:sz w:val="20"/>
          <w:szCs w:val="20"/>
        </w:rPr>
      </w:pPr>
      <w:bookmarkStart w:id="390" w:name="bookmark390"/>
      <w:r>
        <w:rPr>
          <w:b/>
          <w:bCs/>
          <w:color w:val="000000"/>
          <w:spacing w:val="0"/>
          <w:w w:val="100"/>
          <w:position w:val="0"/>
          <w:sz w:val="20"/>
          <w:szCs w:val="20"/>
        </w:rPr>
        <w:t>（</w:t>
      </w:r>
      <w:bookmarkEnd w:id="390"/>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金融资产和金融负债公允价值的确定方法</w:t>
      </w:r>
    </w:p>
    <w:p>
      <w:pPr>
        <w:pStyle w:val="Style32"/>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公允价值，指在公平交易中，熟悉情况的交易双方自愿进行资产交换或债务清偿的金额。 金融工具存在活跃市场的，本集团采用活跃市场中的报价确定其公允价值。活跃市场中的报 价是指易于定期从交易所、经纪商、行业协会、定价服务机构等获得的价格，且代表了在公 平交易中实际发生的市场交易的价格。金融工具不存在活跃市场的，本集团采用估值技术确 定其公允价值。估值技术包括参考熟悉情况并自愿交易的各方最近进行的市场交易中使用的 价格、参照实质上相同的其他金融工具当前的公允价值、现金流量折现法和期权定价模型等。</w:t>
      </w:r>
    </w:p>
    <w:p>
      <w:pPr>
        <w:pStyle w:val="Style32"/>
        <w:keepNext w:val="0"/>
        <w:keepLines w:val="0"/>
        <w:widowControl w:val="0"/>
        <w:shd w:val="clear" w:color="auto" w:fill="auto"/>
        <w:tabs>
          <w:tab w:pos="450" w:val="left"/>
        </w:tabs>
        <w:bidi w:val="0"/>
        <w:spacing w:before="0" w:after="240" w:line="240" w:lineRule="auto"/>
        <w:ind w:left="0" w:right="0" w:firstLine="0"/>
        <w:jc w:val="left"/>
        <w:rPr>
          <w:sz w:val="20"/>
          <w:szCs w:val="20"/>
        </w:rPr>
      </w:pPr>
      <w:bookmarkStart w:id="391" w:name="bookmark391"/>
      <w:r>
        <w:rPr>
          <w:b/>
          <w:bCs/>
          <w:color w:val="000000"/>
          <w:spacing w:val="0"/>
          <w:w w:val="100"/>
          <w:position w:val="0"/>
          <w:sz w:val="20"/>
          <w:szCs w:val="20"/>
        </w:rPr>
        <w:t>（</w:t>
      </w:r>
      <w:bookmarkEnd w:id="39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金融资产（不含应收款项）减值测试方法、减值准备计提方法</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除了以公允价值计量且其变动计入当期损益的金融资产外，本集团在每个资产负债表日 对其他金融资产的账面价值进行检查，有客观证据表明金融资产发生减值的，计提减值准备。</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本集团对单项金额重大的金融资产单独进行减值测试；对单项金额不重大的金融资产， 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w:t>
      </w:r>
      <w:r>
        <w:rPr>
          <w:color w:val="000000"/>
          <w:spacing w:val="0"/>
          <w:w w:val="100"/>
          <w:position w:val="0"/>
        </w:rPr>
        <w:t>有类似信用风险特征的金融资产组合中进行减值测试。</w:t>
      </w:r>
    </w:p>
    <w:p>
      <w:pPr>
        <w:pStyle w:val="Style32"/>
        <w:keepNext w:val="0"/>
        <w:keepLines w:val="0"/>
        <w:widowControl w:val="0"/>
        <w:numPr>
          <w:ilvl w:val="0"/>
          <w:numId w:val="7"/>
        </w:numPr>
        <w:shd w:val="clear" w:color="auto" w:fill="auto"/>
        <w:tabs>
          <w:tab w:pos="921" w:val="left"/>
        </w:tabs>
        <w:bidi w:val="0"/>
        <w:spacing w:before="0" w:after="0" w:line="464" w:lineRule="exact"/>
        <w:ind w:left="0" w:right="0" w:firstLine="500"/>
        <w:jc w:val="both"/>
      </w:pPr>
      <w:bookmarkStart w:id="392" w:name="bookmark392"/>
      <w:bookmarkEnd w:id="392"/>
      <w:r>
        <w:rPr>
          <w:color w:val="000000"/>
          <w:spacing w:val="0"/>
          <w:w w:val="100"/>
          <w:position w:val="0"/>
        </w:rPr>
        <w:t>持有至到期投资、贷款和应收款项减值</w:t>
      </w:r>
    </w:p>
    <w:p>
      <w:pPr>
        <w:pStyle w:val="Style32"/>
        <w:keepNext w:val="0"/>
        <w:keepLines w:val="0"/>
        <w:widowControl w:val="0"/>
        <w:shd w:val="clear" w:color="auto" w:fill="auto"/>
        <w:bidi w:val="0"/>
        <w:spacing w:before="0" w:after="0" w:line="464" w:lineRule="exact"/>
        <w:ind w:left="0" w:right="0" w:firstLine="500"/>
        <w:jc w:val="both"/>
      </w:pPr>
      <w:r>
        <w:rPr>
          <w:color w:val="000000"/>
          <w:spacing w:val="0"/>
          <w:w w:val="100"/>
          <w:position w:val="0"/>
        </w:rPr>
        <w:t>以成本或摊余成本计量的金融资产将其账面价值减记至预计未来现金流量现值，减记金 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Style32"/>
        <w:keepNext w:val="0"/>
        <w:keepLines w:val="0"/>
        <w:widowControl w:val="0"/>
        <w:numPr>
          <w:ilvl w:val="0"/>
          <w:numId w:val="7"/>
        </w:numPr>
        <w:shd w:val="clear" w:color="auto" w:fill="auto"/>
        <w:tabs>
          <w:tab w:pos="921" w:val="left"/>
        </w:tabs>
        <w:bidi w:val="0"/>
        <w:spacing w:before="0" w:after="0" w:line="464" w:lineRule="exact"/>
        <w:ind w:left="0" w:right="0" w:firstLine="500"/>
        <w:jc w:val="both"/>
      </w:pPr>
      <w:bookmarkStart w:id="393" w:name="bookmark393"/>
      <w:bookmarkEnd w:id="393"/>
      <w:r>
        <w:rPr>
          <w:color w:val="000000"/>
          <w:spacing w:val="0"/>
          <w:w w:val="100"/>
          <w:position w:val="0"/>
        </w:rPr>
        <w:t>可供出售金融资产减值</w:t>
      </w:r>
    </w:p>
    <w:p>
      <w:pPr>
        <w:pStyle w:val="Style32"/>
        <w:keepNext w:val="0"/>
        <w:keepLines w:val="0"/>
        <w:widowControl w:val="0"/>
        <w:shd w:val="clear" w:color="auto" w:fill="auto"/>
        <w:bidi w:val="0"/>
        <w:spacing w:before="0" w:after="0" w:line="464" w:lineRule="exact"/>
        <w:ind w:left="0" w:right="0" w:firstLine="500"/>
        <w:jc w:val="both"/>
      </w:pPr>
      <w:r>
        <w:rPr>
          <w:color w:val="000000"/>
          <w:spacing w:val="0"/>
          <w:w w:val="100"/>
          <w:position w:val="0"/>
        </w:rPr>
        <w:t xml:space="preserve">当综合相关因素判断可供出售权益工具投资公允价值下跌是严重或非暂时性下跌时，表 明该可供出售权益工具投资发生减值。其中“严重下跌”是指公允价值下跌幅度累计超过 </w:t>
      </w:r>
      <w:r>
        <w:rPr>
          <w:color w:val="000000"/>
          <w:spacing w:val="0"/>
          <w:w w:val="100"/>
          <w:position w:val="0"/>
          <w:sz w:val="24"/>
          <w:szCs w:val="24"/>
        </w:rPr>
        <w:t xml:space="preserve">20%； </w:t>
      </w:r>
      <w:r>
        <w:rPr>
          <w:color w:val="000000"/>
          <w:spacing w:val="0"/>
          <w:w w:val="100"/>
          <w:position w:val="0"/>
        </w:rPr>
        <w:t>“非暂时性下跌”是指公允价值连续下跌时间超过</w:t>
      </w:r>
      <w:r>
        <w:rPr>
          <w:color w:val="000000"/>
          <w:spacing w:val="0"/>
          <w:w w:val="100"/>
          <w:position w:val="0"/>
          <w:sz w:val="24"/>
          <w:szCs w:val="24"/>
        </w:rPr>
        <w:t>12</w:t>
      </w:r>
      <w:r>
        <w:rPr>
          <w:color w:val="000000"/>
          <w:spacing w:val="0"/>
          <w:w w:val="100"/>
          <w:position w:val="0"/>
        </w:rPr>
        <w:t>个月。</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可供出售金融资产发生减值时，将原计入资本公积的因公允价值下降形成的累计损失予 以转出并计入当期损益，该转出的累计损失为该资产初始取得成本扣除已收回本金和已摊销 金额、当前公允价值和原已计入损益的减值损失后的余额。</w:t>
      </w:r>
    </w:p>
    <w:p>
      <w:pPr>
        <w:pStyle w:val="Style3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Style32"/>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在活跃市场中没有报价且其公允价值不能可靠计量的权益工具投资，或与该权益工具挂 钩并须通过交付该权益工具结算的衍生金融资产的减值损失，不予转回。</w:t>
      </w:r>
    </w:p>
    <w:p>
      <w:pPr>
        <w:pStyle w:val="Style32"/>
        <w:keepNext w:val="0"/>
        <w:keepLines w:val="0"/>
        <w:widowControl w:val="0"/>
        <w:shd w:val="clear" w:color="auto" w:fill="auto"/>
        <w:bidi w:val="0"/>
        <w:spacing w:before="0" w:after="220" w:line="240" w:lineRule="auto"/>
        <w:ind w:left="0" w:right="0" w:firstLine="0"/>
        <w:jc w:val="left"/>
        <w:rPr>
          <w:sz w:val="20"/>
          <w:szCs w:val="20"/>
        </w:rPr>
      </w:pPr>
      <w:bookmarkStart w:id="394" w:name="bookmark394"/>
      <w:r>
        <w:rPr>
          <w:rFonts w:ascii="Times New Roman" w:eastAsia="Times New Roman" w:hAnsi="Times New Roman" w:cs="Times New Roman"/>
          <w:b/>
          <w:bCs/>
          <w:color w:val="000000"/>
          <w:spacing w:val="0"/>
          <w:w w:val="100"/>
          <w:position w:val="0"/>
          <w:sz w:val="20"/>
          <w:szCs w:val="20"/>
        </w:rPr>
        <w:t>9</w:t>
      </w:r>
      <w:bookmarkEnd w:id="394"/>
      <w:r>
        <w:rPr>
          <w:b/>
          <w:bCs/>
          <w:color w:val="000000"/>
          <w:spacing w:val="0"/>
          <w:w w:val="100"/>
          <w:position w:val="0"/>
          <w:sz w:val="20"/>
          <w:szCs w:val="20"/>
        </w:rPr>
        <w:t>、应收款项坏账准备的确认标准和计提方法</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应收款项包括应收账款、其他应收款等。</w:t>
      </w:r>
    </w:p>
    <w:p>
      <w:pPr>
        <w:pStyle w:val="Style32"/>
        <w:keepNext w:val="0"/>
        <w:keepLines w:val="0"/>
        <w:widowControl w:val="0"/>
        <w:shd w:val="clear" w:color="auto" w:fill="auto"/>
        <w:tabs>
          <w:tab w:pos="1026" w:val="left"/>
        </w:tabs>
        <w:bidi w:val="0"/>
        <w:spacing w:before="0" w:after="0" w:line="469" w:lineRule="exact"/>
        <w:ind w:left="0" w:right="0" w:firstLine="500"/>
        <w:jc w:val="both"/>
      </w:pPr>
      <w:bookmarkStart w:id="395" w:name="bookmark395"/>
      <w:r>
        <w:rPr>
          <w:color w:val="000000"/>
          <w:spacing w:val="0"/>
          <w:w w:val="100"/>
          <w:position w:val="0"/>
          <w:sz w:val="24"/>
          <w:szCs w:val="24"/>
        </w:rPr>
        <w:t>（</w:t>
      </w:r>
      <w:bookmarkEnd w:id="395"/>
      <w:r>
        <w:rPr>
          <w:color w:val="000000"/>
          <w:spacing w:val="0"/>
          <w:w w:val="100"/>
          <w:position w:val="0"/>
          <w:sz w:val="24"/>
          <w:szCs w:val="24"/>
        </w:rPr>
        <w:t>1）</w:t>
        <w:tab/>
      </w:r>
      <w:r>
        <w:rPr>
          <w:color w:val="000000"/>
          <w:spacing w:val="0"/>
          <w:w w:val="100"/>
          <w:position w:val="0"/>
        </w:rPr>
        <w:t>坏账准备的确认标准</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本集团在资产负债表日对应收款项账面价值进行检查，对存在下列客观证据表明应收款 项发生减值的，计提减值准备：①债务人发生严重的财务困难；②债务人违反合同条款（如 偿付利息或本金发生违约或逾期等）；③债务人很可能倒闭或进行其他财务重组；④其他 表明应收款项发生减值的客观依据。</w:t>
      </w:r>
    </w:p>
    <w:p>
      <w:pPr>
        <w:pStyle w:val="Style32"/>
        <w:keepNext w:val="0"/>
        <w:keepLines w:val="0"/>
        <w:widowControl w:val="0"/>
        <w:shd w:val="clear" w:color="auto" w:fill="auto"/>
        <w:tabs>
          <w:tab w:pos="1026" w:val="left"/>
        </w:tabs>
        <w:bidi w:val="0"/>
        <w:spacing w:before="0" w:after="0" w:line="469" w:lineRule="exact"/>
        <w:ind w:left="0" w:right="0" w:firstLine="500"/>
        <w:jc w:val="both"/>
      </w:pPr>
      <w:bookmarkStart w:id="396" w:name="bookmark396"/>
      <w:r>
        <w:rPr>
          <w:color w:val="000000"/>
          <w:spacing w:val="0"/>
          <w:w w:val="100"/>
          <w:position w:val="0"/>
          <w:sz w:val="24"/>
          <w:szCs w:val="24"/>
        </w:rPr>
        <w:t>（</w:t>
      </w:r>
      <w:bookmarkEnd w:id="396"/>
      <w:r>
        <w:rPr>
          <w:color w:val="000000"/>
          <w:spacing w:val="0"/>
          <w:w w:val="100"/>
          <w:position w:val="0"/>
          <w:sz w:val="24"/>
          <w:szCs w:val="24"/>
        </w:rPr>
        <w:t>2）</w:t>
        <w:tab/>
      </w:r>
      <w:r>
        <w:rPr>
          <w:color w:val="000000"/>
          <w:spacing w:val="0"/>
          <w:w w:val="100"/>
          <w:position w:val="0"/>
        </w:rPr>
        <w:t>坏账准备的计提方法</w:t>
      </w:r>
    </w:p>
    <w:p>
      <w:pPr>
        <w:pStyle w:val="Style32"/>
        <w:keepNext w:val="0"/>
        <w:keepLines w:val="0"/>
        <w:widowControl w:val="0"/>
        <w:numPr>
          <w:ilvl w:val="0"/>
          <w:numId w:val="9"/>
        </w:numPr>
        <w:shd w:val="clear" w:color="auto" w:fill="auto"/>
        <w:bidi w:val="0"/>
        <w:spacing w:before="0" w:after="0" w:line="456" w:lineRule="exact"/>
        <w:ind w:left="500" w:right="0" w:firstLine="0"/>
        <w:jc w:val="left"/>
      </w:pPr>
      <w:bookmarkStart w:id="397" w:name="bookmark397"/>
      <w:bookmarkEnd w:id="397"/>
      <w:r>
        <w:rPr>
          <w:color w:val="000000"/>
          <w:spacing w:val="0"/>
          <w:w w:val="100"/>
          <w:position w:val="0"/>
        </w:rPr>
        <w:t>单项金额重大并单项计提坏账准备的应收款项坏账准备的确认标准、计提方法 本集团将金额为人民币</w:t>
      </w:r>
      <w:r>
        <w:rPr>
          <w:color w:val="000000"/>
          <w:spacing w:val="0"/>
          <w:w w:val="100"/>
          <w:position w:val="0"/>
          <w:sz w:val="24"/>
          <w:szCs w:val="24"/>
        </w:rPr>
        <w:t>50</w:t>
      </w:r>
      <w:r>
        <w:rPr>
          <w:color w:val="000000"/>
          <w:spacing w:val="0"/>
          <w:w w:val="100"/>
          <w:position w:val="0"/>
        </w:rPr>
        <w:t>万元以上的应收款项确认为单项金额重大的应收款项。</w:t>
      </w:r>
    </w:p>
    <w:p>
      <w:pPr>
        <w:pStyle w:val="Style3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本集团对单项金额重大的应收款项单独进行减值测试，单独测试未发生减值的金融资产, 包括在具有类似信用风险特征的金融资产组合中进行减值测试。单项测试已确认减值损失的 应收款项，不再包括在具有类似信用风险特征的应收款项组合中进行减值测试。</w:t>
      </w:r>
    </w:p>
    <w:p>
      <w:pPr>
        <w:pStyle w:val="Style32"/>
        <w:keepNext w:val="0"/>
        <w:keepLines w:val="0"/>
        <w:widowControl w:val="0"/>
        <w:numPr>
          <w:ilvl w:val="0"/>
          <w:numId w:val="9"/>
        </w:numPr>
        <w:shd w:val="clear" w:color="auto" w:fill="auto"/>
        <w:bidi w:val="0"/>
        <w:spacing w:before="0" w:after="0" w:line="466" w:lineRule="exact"/>
        <w:ind w:left="0" w:right="0" w:firstLine="480"/>
        <w:jc w:val="left"/>
      </w:pPr>
      <w:bookmarkStart w:id="398" w:name="bookmark398"/>
      <w:bookmarkEnd w:id="398"/>
      <w:r>
        <w:rPr>
          <w:color w:val="000000"/>
          <w:spacing w:val="0"/>
          <w:w w:val="100"/>
          <w:position w:val="0"/>
        </w:rPr>
        <w:t>按信用风险组合计提坏账准备的应收款项的确定依据、坏账准备计提方法</w:t>
      </w:r>
    </w:p>
    <w:p>
      <w:pPr>
        <w:pStyle w:val="Style32"/>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A.</w:t>
      </w:r>
      <w:r>
        <w:rPr>
          <w:color w:val="000000"/>
          <w:spacing w:val="0"/>
          <w:w w:val="100"/>
          <w:position w:val="0"/>
        </w:rPr>
        <w:t>信用风险特征组合的确定依据</w:t>
      </w:r>
    </w:p>
    <w:p>
      <w:pPr>
        <w:pStyle w:val="Style32"/>
        <w:keepNext w:val="0"/>
        <w:keepLines w:val="0"/>
        <w:widowControl w:val="0"/>
        <w:shd w:val="clear" w:color="auto" w:fill="auto"/>
        <w:bidi w:val="0"/>
        <w:spacing w:before="0" w:after="200" w:line="466" w:lineRule="exact"/>
        <w:ind w:left="0" w:right="0" w:firstLine="480"/>
        <w:jc w:val="left"/>
      </w:pPr>
      <w:r>
        <w:rPr>
          <w:color w:val="000000"/>
          <w:spacing w:val="0"/>
          <w:w w:val="100"/>
          <w:position w:val="0"/>
        </w:rPr>
        <w:t>本集团对单项金额不重大以及金额重大但单项测试未发生减值的应收款项，按信用风险 特征的相似性和相关性对金融资产进行分组。这些信用风险通常反映债务人按照该等资产的 合同条款偿还所有到期金额的能力，并且与被检查资产的未来现金流量测算相关。</w:t>
      </w:r>
    </w:p>
    <w:tbl>
      <w:tblPr>
        <w:tblOverlap w:val="never"/>
        <w:jc w:val="center"/>
        <w:tblLayout w:type="fixed"/>
      </w:tblPr>
      <w:tblGrid>
        <w:gridCol w:w="3067"/>
        <w:gridCol w:w="6048"/>
      </w:tblGrid>
      <w:tr>
        <w:trPr>
          <w:trHeight w:val="379"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不同组合的确定依据：</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应收款项账龄</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备用金、押金及保证金组合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r>
    </w:tbl>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B.</w:t>
      </w:r>
      <w:r>
        <w:rPr>
          <w:color w:val="000000"/>
          <w:spacing w:val="0"/>
          <w:w w:val="100"/>
          <w:position w:val="0"/>
          <w:sz w:val="22"/>
          <w:szCs w:val="22"/>
        </w:rPr>
        <w:t>根据信用风险特征组合确定的坏账准备计提方法</w:t>
      </w:r>
    </w:p>
    <w:p>
      <w:pPr>
        <w:widowControl w:val="0"/>
        <w:spacing w:after="199" w:line="1" w:lineRule="exact"/>
      </w:pPr>
    </w:p>
    <w:p>
      <w:pPr>
        <w:pStyle w:val="Style3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按组合方式实施减值测试时，坏账准备金额系根据应收款项组合结构及类似信用风险特</w:t>
      </w: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征（债务人根据合同条款偿还欠款的能力）按历史损失经验及目前经济状况与预计应收款项 </w:t>
      </w:r>
      <w:r>
        <w:rPr>
          <w:color w:val="000000"/>
          <w:spacing w:val="0"/>
          <w:w w:val="100"/>
          <w:position w:val="0"/>
        </w:rPr>
        <w:t>组合中已经存在的损失评估确定。</w:t>
      </w:r>
    </w:p>
    <w:p>
      <w:pPr>
        <w:pStyle w:val="Style3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不同组合计提坏账准备的计提方法:</w:t>
      </w:r>
    </w:p>
    <w:tbl>
      <w:tblPr>
        <w:tblOverlap w:val="never"/>
        <w:jc w:val="left"/>
        <w:tblLayout w:type="fixed"/>
      </w:tblPr>
      <w:tblGrid>
        <w:gridCol w:w="3067"/>
        <w:gridCol w:w="604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tabs>
                <w:tab w:pos="576"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计提方法</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账龄分析法</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备用金、押金及保证金组合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不计提坏账准备</w:t>
            </w:r>
          </w:p>
        </w:tc>
      </w:tr>
    </w:tbl>
    <w:p>
      <w:pPr>
        <w:pStyle w:val="Style38"/>
        <w:keepNext w:val="0"/>
        <w:keepLines w:val="0"/>
        <w:widowControl w:val="0"/>
        <w:shd w:val="clear" w:color="auto" w:fill="auto"/>
        <w:bidi w:val="0"/>
        <w:spacing w:before="0" w:after="0" w:line="240" w:lineRule="auto"/>
        <w:ind w:left="475" w:right="0" w:firstLine="0"/>
        <w:jc w:val="left"/>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组合中，采用账龄分析法计提坏账准备的组合计提方法</w:t>
      </w:r>
    </w:p>
    <w:p>
      <w:pPr>
        <w:widowControl w:val="0"/>
        <w:spacing w:line="1" w:lineRule="exact"/>
      </w:pPr>
    </w:p>
    <w:tbl>
      <w:tblPr>
        <w:tblOverlap w:val="never"/>
        <w:jc w:val="left"/>
        <w:tblLayout w:type="fixed"/>
      </w:tblPr>
      <w:tblGrid>
        <w:gridCol w:w="3216"/>
        <w:gridCol w:w="3034"/>
        <w:gridCol w:w="284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年，下同）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38"/>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③单项金额虽不重大但单项计提坏账准备的应收款项</w:t>
      </w:r>
    </w:p>
    <w:p>
      <w:pPr>
        <w:pStyle w:val="Style32"/>
        <w:keepNext w:val="0"/>
        <w:keepLines w:val="0"/>
        <w:widowControl w:val="0"/>
        <w:shd w:val="clear" w:color="auto" w:fill="auto"/>
        <w:bidi w:val="0"/>
        <w:spacing w:before="0" w:after="200" w:line="467" w:lineRule="exact"/>
        <w:ind w:left="0" w:right="0" w:firstLine="480"/>
        <w:jc w:val="left"/>
      </w:pPr>
      <w:r>
        <w:rPr>
          <w:color w:val="000000"/>
          <w:spacing w:val="0"/>
          <w:w w:val="100"/>
          <w:position w:val="0"/>
        </w:rPr>
        <w:t>本集团对于单项金额虽不重大但具备以下特征的应收款项，单独进行减值测试，有客观 证据表明其发生了减值的，根据其未来现金流量现值低于其账面价值的差额，确认减值损失, 计提坏账准备：应收关联方款项；与对方存在争议或涉及诉讼、仲裁的应收款项；已有明显 迹象表明债务人很可能无法履行还款义务的应收款项等。</w:t>
      </w:r>
      <w:r>
        <w:br w:type="page"/>
      </w:r>
    </w:p>
    <w:p>
      <w:pPr>
        <w:pStyle w:val="Style47"/>
        <w:keepNext/>
        <w:keepLines/>
        <w:widowControl w:val="0"/>
        <w:numPr>
          <w:ilvl w:val="0"/>
          <w:numId w:val="11"/>
        </w:numPr>
        <w:shd w:val="clear" w:color="auto" w:fill="auto"/>
        <w:bidi w:val="0"/>
        <w:spacing w:before="0" w:after="320" w:line="240" w:lineRule="auto"/>
        <w:ind w:left="0" w:right="0" w:firstLine="0"/>
        <w:jc w:val="left"/>
      </w:pPr>
      <w:bookmarkStart w:id="399" w:name="bookmark399"/>
      <w:bookmarkStart w:id="400" w:name="bookmark400"/>
      <w:bookmarkStart w:id="401" w:name="bookmark401"/>
      <w:bookmarkStart w:id="402" w:name="bookmark402"/>
      <w:bookmarkEnd w:id="401"/>
      <w:r>
        <w:rPr>
          <w:color w:val="000000"/>
          <w:spacing w:val="0"/>
          <w:w w:val="100"/>
          <w:position w:val="0"/>
        </w:rPr>
        <w:t>单项金额重大的应收款项坏账准备</w:t>
      </w:r>
      <w:bookmarkEnd w:id="399"/>
      <w:bookmarkEnd w:id="400"/>
      <w:bookmarkEnd w:id="402"/>
    </w:p>
    <w:tbl>
      <w:tblPr>
        <w:tblOverlap w:val="never"/>
        <w:jc w:val="center"/>
        <w:tblLayout w:type="fixed"/>
      </w:tblPr>
      <w:tblGrid>
        <w:gridCol w:w="5064"/>
        <w:gridCol w:w="452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本集团将金额为人民币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万元以上的应收款项确认为单 项金额重大的应收款项。</w:t>
            </w:r>
          </w:p>
        </w:tc>
      </w:tr>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本集团对单项金额重大的应收款项单独进行减值测试，单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widowControl w:val="0"/>
        <w:spacing w:after="319" w:line="1" w:lineRule="exact"/>
      </w:pPr>
    </w:p>
    <w:p>
      <w:pPr>
        <w:pStyle w:val="Style47"/>
        <w:keepNext/>
        <w:keepLines/>
        <w:widowControl w:val="0"/>
        <w:numPr>
          <w:ilvl w:val="0"/>
          <w:numId w:val="11"/>
        </w:numPr>
        <w:shd w:val="clear" w:color="auto" w:fill="auto"/>
        <w:bidi w:val="0"/>
        <w:spacing w:before="0" w:after="320" w:line="240" w:lineRule="auto"/>
        <w:ind w:left="0" w:right="0" w:firstLine="0"/>
        <w:jc w:val="left"/>
      </w:pPr>
      <w:bookmarkStart w:id="403" w:name="bookmark403"/>
      <w:bookmarkStart w:id="404" w:name="bookmark404"/>
      <w:bookmarkStart w:id="405" w:name="bookmark405"/>
      <w:bookmarkStart w:id="406" w:name="bookmark406"/>
      <w:bookmarkEnd w:id="405"/>
      <w:r>
        <w:rPr>
          <w:color w:val="000000"/>
          <w:spacing w:val="0"/>
          <w:w w:val="100"/>
          <w:position w:val="0"/>
        </w:rPr>
        <w:t>按组合计提坏账准备的应收款项</w:t>
      </w:r>
      <w:bookmarkEnd w:id="403"/>
      <w:bookmarkEnd w:id="404"/>
      <w:bookmarkEnd w:id="406"/>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按组合计提坏账准备的计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应收款项账龄</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款项性质</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41"/>
        <w:gridCol w:w="564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方法说明</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备用金、押金及保证金组合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款项性质</w:t>
            </w:r>
          </w:p>
        </w:tc>
      </w:tr>
    </w:tbl>
    <w:p>
      <w:pPr>
        <w:widowControl w:val="0"/>
        <w:spacing w:after="319" w:line="1" w:lineRule="exact"/>
      </w:pPr>
    </w:p>
    <w:p>
      <w:pPr>
        <w:pStyle w:val="Style47"/>
        <w:keepNext/>
        <w:keepLines/>
        <w:widowControl w:val="0"/>
        <w:numPr>
          <w:ilvl w:val="0"/>
          <w:numId w:val="11"/>
        </w:numPr>
        <w:shd w:val="clear" w:color="auto" w:fill="auto"/>
        <w:bidi w:val="0"/>
        <w:spacing w:before="0" w:after="320" w:line="240" w:lineRule="auto"/>
        <w:ind w:left="0" w:right="0" w:firstLine="0"/>
        <w:jc w:val="left"/>
      </w:pPr>
      <w:bookmarkStart w:id="407" w:name="bookmark407"/>
      <w:bookmarkStart w:id="408" w:name="bookmark408"/>
      <w:bookmarkStart w:id="409" w:name="bookmark409"/>
      <w:bookmarkStart w:id="410" w:name="bookmark410"/>
      <w:bookmarkEnd w:id="409"/>
      <w:r>
        <w:rPr>
          <w:color w:val="000000"/>
          <w:spacing w:val="0"/>
          <w:w w:val="100"/>
          <w:position w:val="0"/>
        </w:rPr>
        <w:t>单项金额虽不重大但单项计提坏账准备的应收账款</w:t>
      </w:r>
      <w:bookmarkEnd w:id="407"/>
      <w:bookmarkEnd w:id="408"/>
      <w:bookmarkEnd w:id="410"/>
    </w:p>
    <w:tbl>
      <w:tblPr>
        <w:tblOverlap w:val="never"/>
        <w:jc w:val="center"/>
        <w:tblLayout w:type="fixed"/>
      </w:tblPr>
      <w:tblGrid>
        <w:gridCol w:w="3365"/>
        <w:gridCol w:w="6221"/>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本集团对于单项金额虽不重大但具备以下特征的应收款项，单独进行减值测试， 有客观证据表明其发生了减值的，根据其未来现金流量现值低于其账面价值的 差额，确认减值损失，计提坏账准备：与对方存在争议或涉及诉讼、仲裁的应 收款项；已有明显迹象表明债务人很可能无法履行还款义务的应收款项等。</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本集团对于单项金额虽不重大但具备以下特征的应收款项，单独进行减值测试，</w:t>
            </w:r>
          </w:p>
        </w:tc>
      </w:tr>
    </w:tbl>
    <w:p>
      <w:pPr>
        <w:widowControl w:val="0"/>
        <w:spacing w:line="1" w:lineRule="exact"/>
      </w:pPr>
    </w:p>
    <w:tbl>
      <w:tblPr>
        <w:tblOverlap w:val="never"/>
        <w:jc w:val="center"/>
        <w:tblLayout w:type="fixed"/>
      </w:tblPr>
      <w:tblGrid>
        <w:gridCol w:w="3389"/>
        <w:gridCol w:w="6317"/>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有客观证据表明其发生了减值的，根据其未来现金流量现值低于其账面价值的 差额，确认减值损失，计提坏账准备</w:t>
            </w:r>
          </w:p>
        </w:tc>
      </w:tr>
    </w:tbl>
    <w:p>
      <w:pPr>
        <w:pStyle w:val="Style38"/>
        <w:keepNext w:val="0"/>
        <w:keepLines w:val="0"/>
        <w:widowControl w:val="0"/>
        <w:shd w:val="clear" w:color="auto" w:fill="auto"/>
        <w:bidi w:val="0"/>
        <w:spacing w:before="0" w:after="0" w:line="240" w:lineRule="auto"/>
        <w:ind w:left="19" w:right="0" w:firstLine="0"/>
        <w:jc w:val="left"/>
        <w:rPr>
          <w:sz w:val="20"/>
          <w:szCs w:val="20"/>
        </w:rPr>
      </w:pP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、存货</w:t>
      </w:r>
    </w:p>
    <w:p>
      <w:pPr>
        <w:widowControl w:val="0"/>
        <w:spacing w:after="419" w:line="1" w:lineRule="exact"/>
      </w:pPr>
    </w:p>
    <w:p>
      <w:pPr>
        <w:pStyle w:val="Style32"/>
        <w:keepNext w:val="0"/>
        <w:keepLines w:val="0"/>
        <w:widowControl w:val="0"/>
        <w:shd w:val="clear" w:color="auto" w:fill="auto"/>
        <w:bidi w:val="0"/>
        <w:spacing w:before="0" w:after="220" w:line="240" w:lineRule="auto"/>
        <w:ind w:left="0" w:right="0" w:firstLine="0"/>
        <w:jc w:val="left"/>
        <w:rPr>
          <w:sz w:val="20"/>
          <w:szCs w:val="20"/>
        </w:rPr>
      </w:pPr>
      <w:bookmarkStart w:id="411" w:name="bookmark411"/>
      <w:r>
        <w:rPr>
          <w:b/>
          <w:bCs/>
          <w:color w:val="000000"/>
          <w:spacing w:val="0"/>
          <w:w w:val="100"/>
          <w:position w:val="0"/>
          <w:sz w:val="20"/>
          <w:szCs w:val="20"/>
        </w:rPr>
        <w:t>（</w:t>
      </w:r>
      <w:bookmarkEnd w:id="41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）存货的分类</w:t>
      </w:r>
    </w:p>
    <w:p>
      <w:pPr>
        <w:pStyle w:val="Style32"/>
        <w:keepNext w:val="0"/>
        <w:keepLines w:val="0"/>
        <w:widowControl w:val="0"/>
        <w:shd w:val="clear" w:color="auto" w:fill="auto"/>
        <w:bidi w:val="0"/>
        <w:spacing w:before="0" w:after="420" w:line="465" w:lineRule="exact"/>
        <w:ind w:left="0" w:right="0" w:firstLine="500"/>
        <w:jc w:val="left"/>
      </w:pPr>
      <w:r>
        <w:rPr>
          <w:color w:val="000000"/>
          <w:spacing w:val="0"/>
          <w:w w:val="100"/>
          <w:position w:val="0"/>
        </w:rPr>
        <w:t>存货主要包括原材料、在产品、库存商品等。</w:t>
      </w:r>
    </w:p>
    <w:p>
      <w:pPr>
        <w:pStyle w:val="Style32"/>
        <w:keepNext w:val="0"/>
        <w:keepLines w:val="0"/>
        <w:widowControl w:val="0"/>
        <w:shd w:val="clear" w:color="auto" w:fill="auto"/>
        <w:tabs>
          <w:tab w:pos="493" w:val="left"/>
        </w:tabs>
        <w:bidi w:val="0"/>
        <w:spacing w:before="0" w:after="420" w:line="240" w:lineRule="auto"/>
        <w:ind w:left="0" w:right="0" w:firstLine="0"/>
        <w:jc w:val="left"/>
        <w:rPr>
          <w:sz w:val="20"/>
          <w:szCs w:val="20"/>
        </w:rPr>
      </w:pPr>
      <w:bookmarkStart w:id="412" w:name="bookmark412"/>
      <w:r>
        <w:rPr>
          <w:b/>
          <w:bCs/>
          <w:color w:val="000000"/>
          <w:spacing w:val="0"/>
          <w:w w:val="100"/>
          <w:position w:val="0"/>
          <w:sz w:val="20"/>
          <w:szCs w:val="20"/>
        </w:rPr>
        <w:t>（</w:t>
      </w:r>
      <w:bookmarkEnd w:id="41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发出存货的计价方法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计价方法：个别认定法</w:t>
      </w:r>
    </w:p>
    <w:p>
      <w:pPr>
        <w:pStyle w:val="Style32"/>
        <w:keepNext w:val="0"/>
        <w:keepLines w:val="0"/>
        <w:widowControl w:val="0"/>
        <w:shd w:val="clear" w:color="auto" w:fill="auto"/>
        <w:bidi w:val="0"/>
        <w:spacing w:before="0" w:after="420" w:line="470" w:lineRule="exact"/>
        <w:ind w:left="0" w:right="0" w:firstLine="500"/>
        <w:jc w:val="left"/>
      </w:pPr>
      <w:r>
        <w:rPr>
          <w:color w:val="000000"/>
          <w:spacing w:val="0"/>
          <w:w w:val="100"/>
          <w:position w:val="0"/>
        </w:rPr>
        <w:t>存货在取得时按实际成本计价，存货成本包括采购成本、加工成本和其他成本。领用和 发出时按个别认定法等计价。</w:t>
      </w:r>
    </w:p>
    <w:p>
      <w:pPr>
        <w:pStyle w:val="Style32"/>
        <w:keepNext w:val="0"/>
        <w:keepLines w:val="0"/>
        <w:widowControl w:val="0"/>
        <w:shd w:val="clear" w:color="auto" w:fill="auto"/>
        <w:tabs>
          <w:tab w:pos="493" w:val="left"/>
        </w:tabs>
        <w:bidi w:val="0"/>
        <w:spacing w:before="0" w:after="220" w:line="240" w:lineRule="auto"/>
        <w:ind w:left="0" w:right="0" w:firstLine="0"/>
        <w:jc w:val="left"/>
        <w:rPr>
          <w:sz w:val="20"/>
          <w:szCs w:val="20"/>
        </w:rPr>
      </w:pPr>
      <w:bookmarkStart w:id="413" w:name="bookmark413"/>
      <w:r>
        <w:rPr>
          <w:b/>
          <w:bCs/>
          <w:color w:val="000000"/>
          <w:spacing w:val="0"/>
          <w:w w:val="100"/>
          <w:position w:val="0"/>
          <w:sz w:val="20"/>
          <w:szCs w:val="20"/>
        </w:rPr>
        <w:t>（</w:t>
      </w:r>
      <w:bookmarkEnd w:id="41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存货可变现净值的确定依据及存货跌价准备的计提方法</w:t>
      </w:r>
    </w:p>
    <w:p>
      <w:pPr>
        <w:pStyle w:val="Style3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3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在资产负债表日，存货按照成本与可变现净值孰低计量。当其可变现净值低于成本时， 提取存货跌价准备。存货跌价准备通常按单个存货项目的成本高于其可变现净值的差额提取。</w:t>
      </w:r>
    </w:p>
    <w:p>
      <w:pPr>
        <w:pStyle w:val="Style32"/>
        <w:keepNext w:val="0"/>
        <w:keepLines w:val="0"/>
        <w:widowControl w:val="0"/>
        <w:shd w:val="clear" w:color="auto" w:fill="auto"/>
        <w:bidi w:val="0"/>
        <w:spacing w:before="0" w:after="420" w:line="465" w:lineRule="exact"/>
        <w:ind w:left="0" w:right="0" w:firstLine="500"/>
        <w:jc w:val="both"/>
      </w:pPr>
      <w:r>
        <w:rPr>
          <w:color w:val="000000"/>
          <w:spacing w:val="0"/>
          <w:w w:val="100"/>
          <w:position w:val="0"/>
        </w:rPr>
        <w:t>计提存货跌价准备后，如果以前减记存货价值的影响因素已经消失，导致存货的可变现 净值高于其账面价值的，在原已计提的存货跌价准备金额内予以转回，转回的金额计入当期 损益。</w:t>
      </w:r>
    </w:p>
    <w:p>
      <w:pPr>
        <w:pStyle w:val="Style32"/>
        <w:keepNext w:val="0"/>
        <w:keepLines w:val="0"/>
        <w:widowControl w:val="0"/>
        <w:shd w:val="clear" w:color="auto" w:fill="auto"/>
        <w:tabs>
          <w:tab w:pos="493" w:val="left"/>
        </w:tabs>
        <w:bidi w:val="0"/>
        <w:spacing w:before="0" w:after="420" w:line="240" w:lineRule="auto"/>
        <w:ind w:left="0" w:right="0" w:firstLine="0"/>
        <w:jc w:val="left"/>
        <w:rPr>
          <w:sz w:val="20"/>
          <w:szCs w:val="20"/>
        </w:rPr>
      </w:pPr>
      <w:bookmarkStart w:id="414" w:name="bookmark414"/>
      <w:r>
        <w:rPr>
          <w:b/>
          <w:bCs/>
          <w:color w:val="000000"/>
          <w:spacing w:val="0"/>
          <w:w w:val="100"/>
          <w:position w:val="0"/>
          <w:sz w:val="20"/>
          <w:szCs w:val="20"/>
        </w:rPr>
        <w:t>（</w:t>
      </w:r>
      <w:bookmarkEnd w:id="41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存货的盘存制度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盘存制度：永续盘存制</w:t>
      </w:r>
    </w:p>
    <w:p>
      <w:pPr>
        <w:pStyle w:val="Style32"/>
        <w:keepNext w:val="0"/>
        <w:keepLines w:val="0"/>
        <w:widowControl w:val="0"/>
        <w:shd w:val="clear" w:color="auto" w:fill="auto"/>
        <w:bidi w:val="0"/>
        <w:spacing w:before="0" w:after="420" w:line="465" w:lineRule="exact"/>
        <w:ind w:left="0" w:right="0" w:firstLine="500"/>
        <w:jc w:val="left"/>
      </w:pPr>
      <w:r>
        <w:rPr>
          <w:color w:val="000000"/>
          <w:spacing w:val="0"/>
          <w:w w:val="100"/>
          <w:position w:val="0"/>
        </w:rPr>
        <w:t>存货的盘存制度为永续盘存制。</w:t>
      </w:r>
    </w:p>
    <w:p>
      <w:pPr>
        <w:pStyle w:val="Style32"/>
        <w:keepNext w:val="0"/>
        <w:keepLines w:val="0"/>
        <w:widowControl w:val="0"/>
        <w:shd w:val="clear" w:color="auto" w:fill="auto"/>
        <w:tabs>
          <w:tab w:pos="493" w:val="left"/>
        </w:tabs>
        <w:bidi w:val="0"/>
        <w:spacing w:before="0" w:after="420" w:line="240" w:lineRule="auto"/>
        <w:ind w:left="0" w:right="0" w:firstLine="0"/>
        <w:jc w:val="left"/>
        <w:rPr>
          <w:sz w:val="20"/>
          <w:szCs w:val="20"/>
        </w:rPr>
      </w:pPr>
      <w:bookmarkStart w:id="415" w:name="bookmark415"/>
      <w:r>
        <w:rPr>
          <w:b/>
          <w:bCs/>
          <w:color w:val="000000"/>
          <w:spacing w:val="0"/>
          <w:w w:val="100"/>
          <w:position w:val="0"/>
          <w:sz w:val="20"/>
          <w:szCs w:val="20"/>
        </w:rPr>
        <w:t>（</w:t>
      </w:r>
      <w:bookmarkEnd w:id="41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低值易耗品和包装物的摊销方法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低值易耗品</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摊销方法：一次摊销法</w:t>
      </w:r>
    </w:p>
    <w:p>
      <w:pPr>
        <w:pStyle w:val="Style32"/>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低值易耗品于领用时按一次摊销法摊销；</w:t>
      </w:r>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包装物</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摊销方法：一次摊销法</w:t>
      </w:r>
    </w:p>
    <w:p>
      <w:pPr>
        <w:pStyle w:val="Style32"/>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包装物于领用时按一次摊销法摊销。</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416" w:name="bookmark416"/>
      <w:r>
        <w:rPr>
          <w:rFonts w:ascii="Times New Roman" w:eastAsia="Times New Roman" w:hAnsi="Times New Roman" w:cs="Times New Roman"/>
          <w:b/>
          <w:bCs/>
          <w:color w:val="000000"/>
          <w:spacing w:val="0"/>
          <w:w w:val="100"/>
          <w:position w:val="0"/>
          <w:sz w:val="20"/>
          <w:szCs w:val="20"/>
        </w:rPr>
        <w:t>1</w:t>
      </w:r>
      <w:bookmarkEnd w:id="41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、长期股权投资</w:t>
      </w:r>
    </w:p>
    <w:p>
      <w:pPr>
        <w:pStyle w:val="Style32"/>
        <w:keepNext w:val="0"/>
        <w:keepLines w:val="0"/>
        <w:widowControl w:val="0"/>
        <w:shd w:val="clear" w:color="auto" w:fill="auto"/>
        <w:tabs>
          <w:tab w:pos="433" w:val="left"/>
        </w:tabs>
        <w:bidi w:val="0"/>
        <w:spacing w:before="0" w:after="220" w:line="240" w:lineRule="auto"/>
        <w:ind w:left="0" w:right="0" w:firstLine="0"/>
        <w:jc w:val="left"/>
        <w:rPr>
          <w:sz w:val="20"/>
          <w:szCs w:val="20"/>
        </w:rPr>
      </w:pPr>
      <w:bookmarkStart w:id="417" w:name="bookmark417"/>
      <w:r>
        <w:rPr>
          <w:b/>
          <w:bCs/>
          <w:color w:val="000000"/>
          <w:spacing w:val="0"/>
          <w:w w:val="100"/>
          <w:position w:val="0"/>
          <w:sz w:val="20"/>
          <w:szCs w:val="20"/>
        </w:rPr>
        <w:t>（</w:t>
      </w:r>
      <w:bookmarkEnd w:id="41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投资成本的确定</w:t>
      </w:r>
    </w:p>
    <w:p>
      <w:pPr>
        <w:pStyle w:val="Style32"/>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对于企业合并形成的长期股权投资，如为同一控制下的企业合并取得的长期股权投资， 在合并日按照取得被合并方股东权益账面价值的份额作为初始投资成本。通过非同一控制下 的企业合并取得的长期股权投资，企业合并成本包括购买方付出的资产、发生或承担的负债、 发行的权益性证券的公允价值之和；购买方为企业合并发生的审计、法律服务、评估咨询等 中介费用以及其他相关管理费用，应当于发生时计入当期损益；购买方作为合并对价发行的 权益性证券或债务性证券的交易费用，应当计入权益性证券或债务性证券的初始确认金额。 除企业合并形成的长期股权投资外的其他股权投资，按成本进行初始计量，该成本视长期股 权投资取得方式的不同，分别按照本集团实际支付的现金购买价款、本集团发行的权益性证 券的公允价值、投资合同或协议约定的价值、非货币性资产交换交易中换出资产的公允价值 或原账面价值、该项长期股权投资自身的公允价值等方式确定。与取得长期股权投资直接相 关的费用、税金及其他必要支出也计入投资成本。</w:t>
      </w:r>
    </w:p>
    <w:p>
      <w:pPr>
        <w:pStyle w:val="Style32"/>
        <w:keepNext w:val="0"/>
        <w:keepLines w:val="0"/>
        <w:widowControl w:val="0"/>
        <w:shd w:val="clear" w:color="auto" w:fill="auto"/>
        <w:tabs>
          <w:tab w:pos="433" w:val="left"/>
        </w:tabs>
        <w:bidi w:val="0"/>
        <w:spacing w:before="0" w:after="220" w:line="240" w:lineRule="auto"/>
        <w:ind w:left="0" w:right="0" w:firstLine="0"/>
        <w:jc w:val="left"/>
        <w:rPr>
          <w:sz w:val="20"/>
          <w:szCs w:val="20"/>
        </w:rPr>
      </w:pPr>
      <w:bookmarkStart w:id="418" w:name="bookmark418"/>
      <w:r>
        <w:rPr>
          <w:b/>
          <w:bCs/>
          <w:color w:val="000000"/>
          <w:spacing w:val="0"/>
          <w:w w:val="100"/>
          <w:position w:val="0"/>
          <w:sz w:val="20"/>
          <w:szCs w:val="20"/>
        </w:rPr>
        <w:t>（</w:t>
      </w:r>
      <w:bookmarkEnd w:id="41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后续计量及损益确认</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对被投资单位不具有共同控制或重大影响并且在活跃市场中没有报价、公允价值不能可 靠计量的长期股权投资，采用成本法核算；对被投资单位具有共同控制或重大影响的长期股 权投资，采用权益法核算；对被投资单位不具有控制、共同控制或重大影响并且公允价值能 够可靠计量的长期股权投资，作为可供出售金融资产或以公允价值计量且其变动计入当期损 益的金融资产核算。此外，公司财务报表采用成本法核算能够对被投资单位实施控制的长期 股权投资。①成本法核算的长期股权投资采用成本法核算时，长期股权投资按初始投资成本 计价，除取得投资时实际支付的价款或者对价中包含的已宣告但尚未发放的现金股利或者利 润外，当期投资收益按照享有被投资单位宣告发放的现金股利或利润确认。②权益法核算的 长期股权投资采用权益法核算时，长期股权投资的初始投资成本大于投资时应享有被投资单 位可辨认净资产公允价值份额的，不调整长期股权投资的初始投资成本；初始投资成本小于 投资时应享有被投资单位可辨认净资产公允价值份额的，其差额计入当期损益，同时调整长 期股权投资的成本。采用权益法核算时，当期投资损益为应享有或应分担的被投资单位当年 </w:t>
      </w:r>
      <w:r>
        <w:rPr>
          <w:color w:val="000000"/>
          <w:spacing w:val="0"/>
          <w:w w:val="100"/>
          <w:position w:val="0"/>
        </w:rPr>
        <w:t>实现的净损益的份额。在确认应享有被投资单位净损益的份额时，以取得投资时被投资单位 各项可辨认资产等的公允价值为基础，并按照本集团的会计政策及会计期间，对被投资单位 的净利润进行调整后确认。对于本集团与联营企业及合营之间发生的未实现内部交易损益， 按照持股比例计算属于本集团的部分予以抵销，在此基础上确认投资损益。但本集团与被投 资单位发生的未实现内部交易损失，按照《企业会计准则第</w:t>
      </w:r>
      <w:r>
        <w:rPr>
          <w:color w:val="000000"/>
          <w:spacing w:val="0"/>
          <w:w w:val="100"/>
          <w:position w:val="0"/>
          <w:sz w:val="24"/>
          <w:szCs w:val="24"/>
        </w:rPr>
        <w:t>8</w:t>
      </w:r>
      <w:r>
        <w:rPr>
          <w:color w:val="000000"/>
          <w:spacing w:val="0"/>
          <w:w w:val="100"/>
          <w:position w:val="0"/>
        </w:rPr>
        <w:t>号一一资产减值》等规定属于所 转让资产减值损失的，不予以抵销。对被投资单位的其他综合收益，相应调整长期股权投资 的账面价值确认为其他综合收益并计入资本公积。在确认应分担被投资单位发生的净亏损时, 以长期股权投资的账面价值和其他实质上构成对被投资单位净投资的长期权益减记至零为 限。此外，如本集团对被投资单位负有承担额外损失的义务，则按预计承担的义务确认预计 负债，计入当期投资损失。被投资单位以后期间实现净利润的，本集团在收益分享额弥补未 确认的亏损分担额后，恢复确认收益分享额。对于本集团首次执行新会计准则之前已经持有 的对联营企业和合营企业的长期股权投资，如存在与该投资相关的股权投资借方差额，按原 剩余期限直线摊销的金额计入当期损益。③收购少数股权在编制合并财务报表时，因购买少 数股权新增的长期股权投资与按照新增持股比例计算应享有子公司自购买日（或合并日）开 始持续计算的净资产份额之间的差额，调整资本公积，资本公积不足冲减的，调整留存收益。 ④处置长期股权投资在合并财务报表中，母公司在不丧失控制权的情况下部分处置对子公司 的长期股权投资，处置价款与处置长期股权投资相对应享有子公司净资产的差额计入股东权 益；母公司部分处置对子公司的长期股权投资导致丧失对子公司控制权的，按本附注四、</w:t>
      </w:r>
      <w:r>
        <w:rPr>
          <w:color w:val="000000"/>
          <w:spacing w:val="0"/>
          <w:w w:val="100"/>
          <w:position w:val="0"/>
          <w:sz w:val="24"/>
          <w:szCs w:val="24"/>
        </w:rPr>
        <w:t>4</w:t>
      </w:r>
      <w:r>
        <w:rPr>
          <w:color w:val="000000"/>
          <w:spacing w:val="0"/>
          <w:w w:val="100"/>
          <w:position w:val="0"/>
        </w:rPr>
        <w:t>、</w:t>
      </w:r>
    </w:p>
    <w:p>
      <w:pPr>
        <w:pStyle w:val="Style32"/>
        <w:keepNext w:val="0"/>
        <w:keepLines w:val="0"/>
        <w:widowControl w:val="0"/>
        <w:shd w:val="clear" w:color="auto" w:fill="auto"/>
        <w:tabs>
          <w:tab w:pos="662" w:val="left"/>
        </w:tabs>
        <w:bidi w:val="0"/>
        <w:spacing w:before="0" w:after="420" w:line="468" w:lineRule="exact"/>
        <w:ind w:left="0" w:right="0" w:firstLine="0"/>
        <w:jc w:val="both"/>
      </w:pPr>
      <w:bookmarkStart w:id="419" w:name="bookmark419"/>
      <w:r>
        <w:rPr>
          <w:color w:val="000000"/>
          <w:spacing w:val="0"/>
          <w:w w:val="100"/>
          <w:position w:val="0"/>
          <w:sz w:val="24"/>
          <w:szCs w:val="24"/>
        </w:rPr>
        <w:t>（</w:t>
      </w:r>
      <w:bookmarkEnd w:id="419"/>
      <w:r>
        <w:rPr>
          <w:color w:val="000000"/>
          <w:spacing w:val="0"/>
          <w:w w:val="100"/>
          <w:position w:val="0"/>
          <w:sz w:val="24"/>
          <w:szCs w:val="24"/>
        </w:rPr>
        <w:t>2）</w:t>
        <w:tab/>
      </w:r>
      <w:r>
        <w:rPr>
          <w:color w:val="000000"/>
          <w:spacing w:val="0"/>
          <w:w w:val="100"/>
          <w:position w:val="0"/>
        </w:rPr>
        <w:t>“合并财务报表编制的方法”中所述的相关会计政策处理。其他情形下的长期股权投资 处置，对于处置的股权，其账面价值与实际取得价款的差额，计入当期损益；采用权益法核 算的长期股权投资，在处置时将原计入股东权益的其他综合收益部分按相应的比例转入当期 损益。对于剩余股权，按其账面价值确认为长期股权投资或其他相关金融资产，并按前述长 期股权投资或金融资产的会计政策进行后续计量。涉及对剩余股权由成本法转为权益法核算 的，按相关规定进行追溯调整。</w:t>
      </w:r>
    </w:p>
    <w:p>
      <w:pPr>
        <w:pStyle w:val="Style32"/>
        <w:keepNext w:val="0"/>
        <w:keepLines w:val="0"/>
        <w:widowControl w:val="0"/>
        <w:shd w:val="clear" w:color="auto" w:fill="auto"/>
        <w:tabs>
          <w:tab w:pos="466" w:val="left"/>
        </w:tabs>
        <w:bidi w:val="0"/>
        <w:spacing w:before="0" w:after="240" w:line="240" w:lineRule="auto"/>
        <w:ind w:left="0" w:right="0" w:firstLine="0"/>
        <w:jc w:val="both"/>
        <w:rPr>
          <w:sz w:val="20"/>
          <w:szCs w:val="20"/>
        </w:rPr>
      </w:pPr>
      <w:bookmarkStart w:id="420" w:name="bookmark420"/>
      <w:r>
        <w:rPr>
          <w:b/>
          <w:bCs/>
          <w:color w:val="000000"/>
          <w:spacing w:val="0"/>
          <w:w w:val="100"/>
          <w:position w:val="0"/>
          <w:sz w:val="20"/>
          <w:szCs w:val="20"/>
        </w:rPr>
        <w:t>（</w:t>
      </w:r>
      <w:bookmarkEnd w:id="42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确定对被投资单位具有共同控制、重大影响的依据</w:t>
      </w:r>
    </w:p>
    <w:p>
      <w:pPr>
        <w:pStyle w:val="Style32"/>
        <w:keepNext w:val="0"/>
        <w:keepLines w:val="0"/>
        <w:widowControl w:val="0"/>
        <w:shd w:val="clear" w:color="auto" w:fill="auto"/>
        <w:bidi w:val="0"/>
        <w:spacing w:before="0" w:after="420" w:line="467" w:lineRule="exact"/>
        <w:ind w:left="0" w:right="0" w:firstLine="480"/>
        <w:jc w:val="both"/>
      </w:pPr>
      <w:r>
        <w:rPr>
          <w:color w:val="000000"/>
          <w:spacing w:val="0"/>
          <w:w w:val="100"/>
          <w:position w:val="0"/>
        </w:rPr>
        <w:t xml:space="preserve">控制是指有权决定一个企业的财务和经营政策，并能据以从该企业的经营活动中获取利 益。共同控制是指按照合同约定对某项经济活动所共有的控制，仅在与该项经济活动相关的 重要财务和经营决策需要分享控制权的投资方一致同意时存在。重大影响是指对一个企业的 财务和经营政策有参与决策的权力，但并不能够控制或者与其他方一起共同控制这些政策的 </w:t>
      </w:r>
      <w:r>
        <w:rPr>
          <w:color w:val="000000"/>
          <w:spacing w:val="0"/>
          <w:w w:val="100"/>
          <w:position w:val="0"/>
        </w:rPr>
        <w:t>制定。在确定能否对被投资单位实施控制或施加重大影响时，已考虑投资企业和其他方持有 的被投资单位当期可转换公司债券、当期可执行认股权证等潜在表决权因素。</w:t>
      </w:r>
    </w:p>
    <w:p>
      <w:pPr>
        <w:pStyle w:val="Style32"/>
        <w:keepNext w:val="0"/>
        <w:keepLines w:val="0"/>
        <w:widowControl w:val="0"/>
        <w:shd w:val="clear" w:color="auto" w:fill="auto"/>
        <w:bidi w:val="0"/>
        <w:spacing w:before="0" w:after="220" w:line="240" w:lineRule="auto"/>
        <w:ind w:left="0" w:right="0" w:firstLine="0"/>
        <w:jc w:val="both"/>
        <w:rPr>
          <w:sz w:val="20"/>
          <w:szCs w:val="20"/>
        </w:rPr>
      </w:pPr>
      <w:bookmarkStart w:id="421" w:name="bookmark421"/>
      <w:r>
        <w:rPr>
          <w:b/>
          <w:bCs/>
          <w:color w:val="000000"/>
          <w:spacing w:val="0"/>
          <w:w w:val="100"/>
          <w:position w:val="0"/>
          <w:sz w:val="20"/>
          <w:szCs w:val="20"/>
        </w:rPr>
        <w:t>（</w:t>
      </w:r>
      <w:bookmarkEnd w:id="421"/>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）减值测试方法及减值准备计提方法</w:t>
      </w:r>
    </w:p>
    <w:p>
      <w:pPr>
        <w:pStyle w:val="Style32"/>
        <w:keepNext w:val="0"/>
        <w:keepLines w:val="0"/>
        <w:widowControl w:val="0"/>
        <w:shd w:val="clear" w:color="auto" w:fill="auto"/>
        <w:bidi w:val="0"/>
        <w:spacing w:before="0" w:after="420" w:line="472" w:lineRule="exact"/>
        <w:ind w:left="0" w:right="0" w:firstLine="480"/>
        <w:jc w:val="both"/>
      </w:pPr>
      <w:r>
        <w:rPr>
          <w:color w:val="000000"/>
          <w:spacing w:val="0"/>
          <w:w w:val="100"/>
          <w:position w:val="0"/>
        </w:rPr>
        <w:t>本集团在每一个资产负债表日检查长期股权投资是否存在可能发生减值的迹象。如果该 资产存在减值迹象，则估计其可收回金额。如果资产的可收回金额低于其账面价值，按其差 额计提资产减值准备，并计入当期损益。长期股权投资的减值损失一经确认，在以后会计期 间不予转回。</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422" w:name="bookmark422"/>
      <w:r>
        <w:rPr>
          <w:rFonts w:ascii="Times New Roman" w:eastAsia="Times New Roman" w:hAnsi="Times New Roman" w:cs="Times New Roman"/>
          <w:b/>
          <w:bCs/>
          <w:color w:val="000000"/>
          <w:spacing w:val="0"/>
          <w:w w:val="100"/>
          <w:position w:val="0"/>
          <w:sz w:val="20"/>
          <w:szCs w:val="20"/>
        </w:rPr>
        <w:t>1</w:t>
      </w:r>
      <w:bookmarkEnd w:id="42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、固定资产</w:t>
      </w:r>
    </w:p>
    <w:p>
      <w:pPr>
        <w:pStyle w:val="Style32"/>
        <w:keepNext w:val="0"/>
        <w:keepLines w:val="0"/>
        <w:widowControl w:val="0"/>
        <w:shd w:val="clear" w:color="auto" w:fill="auto"/>
        <w:tabs>
          <w:tab w:pos="490" w:val="left"/>
        </w:tabs>
        <w:bidi w:val="0"/>
        <w:spacing w:before="0" w:after="220" w:line="240" w:lineRule="auto"/>
        <w:ind w:left="0" w:right="0" w:firstLine="0"/>
        <w:jc w:val="left"/>
        <w:rPr>
          <w:sz w:val="20"/>
          <w:szCs w:val="20"/>
        </w:rPr>
      </w:pPr>
      <w:bookmarkStart w:id="423" w:name="bookmark423"/>
      <w:r>
        <w:rPr>
          <w:b/>
          <w:bCs/>
          <w:color w:val="000000"/>
          <w:spacing w:val="0"/>
          <w:w w:val="100"/>
          <w:position w:val="0"/>
          <w:sz w:val="20"/>
          <w:szCs w:val="20"/>
        </w:rPr>
        <w:t>（</w:t>
      </w:r>
      <w:bookmarkEnd w:id="42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固定资产确认条件</w:t>
      </w:r>
    </w:p>
    <w:p>
      <w:pPr>
        <w:pStyle w:val="Style32"/>
        <w:keepNext w:val="0"/>
        <w:keepLines w:val="0"/>
        <w:widowControl w:val="0"/>
        <w:shd w:val="clear" w:color="auto" w:fill="auto"/>
        <w:bidi w:val="0"/>
        <w:spacing w:before="0" w:after="420" w:line="475" w:lineRule="exact"/>
        <w:ind w:left="0" w:right="0" w:firstLine="480"/>
        <w:jc w:val="both"/>
      </w:pPr>
      <w:r>
        <w:rPr>
          <w:color w:val="000000"/>
          <w:spacing w:val="0"/>
          <w:w w:val="100"/>
          <w:position w:val="0"/>
        </w:rPr>
        <w:t>固定资产是指为生产商品、提供劳务、出租或经营管理而持有的，使用寿命超过一个会 计年度的有形资产。</w:t>
      </w:r>
    </w:p>
    <w:p>
      <w:pPr>
        <w:pStyle w:val="Style32"/>
        <w:keepNext w:val="0"/>
        <w:keepLines w:val="0"/>
        <w:widowControl w:val="0"/>
        <w:shd w:val="clear" w:color="auto" w:fill="auto"/>
        <w:tabs>
          <w:tab w:pos="490" w:val="left"/>
        </w:tabs>
        <w:bidi w:val="0"/>
        <w:spacing w:before="0" w:after="220" w:line="240" w:lineRule="auto"/>
        <w:ind w:left="0" w:right="0" w:firstLine="0"/>
        <w:jc w:val="left"/>
        <w:rPr>
          <w:sz w:val="20"/>
          <w:szCs w:val="20"/>
        </w:rPr>
      </w:pPr>
      <w:bookmarkStart w:id="424" w:name="bookmark424"/>
      <w:r>
        <w:rPr>
          <w:b/>
          <w:bCs/>
          <w:color w:val="000000"/>
          <w:spacing w:val="0"/>
          <w:w w:val="100"/>
          <w:position w:val="0"/>
          <w:sz w:val="20"/>
          <w:szCs w:val="20"/>
        </w:rPr>
        <w:t>（</w:t>
      </w:r>
      <w:bookmarkEnd w:id="42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融资租入固定资产的认定依据、计价方法</w:t>
      </w:r>
    </w:p>
    <w:p>
      <w:pPr>
        <w:pStyle w:val="Style32"/>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融资租赁为实质上转移了与资产所有权有关的全部风险和报酬的租赁，其所有权最终可 能转移，也可能不转移。以融资租赁方式租入的固定资产采用与自有固定资产一致的政策计 提租赁资产折旧。能够合理确定租赁期届满时取得租赁资产所有权的在租赁资产使用寿命内 计提折旧，无法合理确定租赁期届满能够取得租赁资产所有权的，在租赁期与租赁资产使用 寿命两者中较短的期间内计提折旧。</w:t>
      </w:r>
    </w:p>
    <w:p>
      <w:pPr>
        <w:pStyle w:val="Style32"/>
        <w:keepNext w:val="0"/>
        <w:keepLines w:val="0"/>
        <w:widowControl w:val="0"/>
        <w:shd w:val="clear" w:color="auto" w:fill="auto"/>
        <w:tabs>
          <w:tab w:pos="490" w:val="left"/>
        </w:tabs>
        <w:bidi w:val="0"/>
        <w:spacing w:before="0" w:after="220" w:line="240" w:lineRule="auto"/>
        <w:ind w:left="0" w:right="0" w:firstLine="0"/>
        <w:jc w:val="left"/>
        <w:rPr>
          <w:sz w:val="20"/>
          <w:szCs w:val="20"/>
        </w:rPr>
      </w:pPr>
      <w:bookmarkStart w:id="425" w:name="bookmark425"/>
      <w:r>
        <w:rPr>
          <w:b/>
          <w:bCs/>
          <w:color w:val="000000"/>
          <w:spacing w:val="0"/>
          <w:w w:val="100"/>
          <w:position w:val="0"/>
          <w:sz w:val="20"/>
          <w:szCs w:val="20"/>
        </w:rPr>
        <w:t>（</w:t>
      </w:r>
      <w:bookmarkEnd w:id="42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各类固定资产的折旧方法</w:t>
      </w:r>
    </w:p>
    <w:p>
      <w:pPr>
        <w:pStyle w:val="Style32"/>
        <w:keepNext w:val="0"/>
        <w:keepLines w:val="0"/>
        <w:widowControl w:val="0"/>
        <w:shd w:val="clear" w:color="auto" w:fill="auto"/>
        <w:bidi w:val="0"/>
        <w:spacing w:before="0" w:after="100" w:line="468" w:lineRule="exact"/>
        <w:ind w:left="0" w:right="0" w:firstLine="480"/>
        <w:jc w:val="both"/>
      </w:pPr>
      <w:r>
        <w:rPr>
          <w:color w:val="000000"/>
          <w:spacing w:val="0"/>
          <w:w w:val="100"/>
          <w:position w:val="0"/>
        </w:rPr>
        <w:t>固定资产按成本并考虑预计弃置费用因素的影响进行初始计量。固定资产从达到预定可 使用状态的次月起，采用年限平均法在使用寿命内计提折旧。各类固定资产的使用寿命、预 计净残值和年折旧率如下：</w:t>
      </w:r>
    </w:p>
    <w:tbl>
      <w:tblPr>
        <w:tblOverlap w:val="never"/>
        <w:jc w:val="center"/>
        <w:tblLayout w:type="fixed"/>
      </w:tblPr>
      <w:tblGrid>
        <w:gridCol w:w="3307"/>
        <w:gridCol w:w="2093"/>
        <w:gridCol w:w="1963"/>
        <w:gridCol w:w="172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2.77</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19.00-19.40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19.00-32.33</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13.57-32.33</w:t>
            </w:r>
          </w:p>
        </w:tc>
      </w:tr>
    </w:tbl>
    <w:p>
      <w:pPr>
        <w:pStyle w:val="Style38"/>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预计净残值是指假定固定资产预计使用寿命已满并处于使用寿命终了时的预期状态，本</w:t>
      </w:r>
    </w:p>
    <w:p>
      <w:pPr>
        <w:pStyle w:val="Style32"/>
        <w:keepNext w:val="0"/>
        <w:keepLines w:val="0"/>
        <w:widowControl w:val="0"/>
        <w:shd w:val="clear" w:color="auto" w:fill="auto"/>
        <w:bidi w:val="0"/>
        <w:spacing w:before="0" w:after="420" w:line="468" w:lineRule="exact"/>
        <w:ind w:left="0" w:right="0" w:firstLine="0"/>
        <w:jc w:val="left"/>
      </w:pPr>
      <w:r>
        <w:rPr>
          <w:color w:val="000000"/>
          <w:spacing w:val="0"/>
          <w:w w:val="100"/>
          <w:position w:val="0"/>
        </w:rPr>
        <w:t>集团目前从该项资产处置中获得的扣除预计处置费用后的金额。</w:t>
      </w:r>
    </w:p>
    <w:p>
      <w:pPr>
        <w:pStyle w:val="Style32"/>
        <w:keepNext w:val="0"/>
        <w:keepLines w:val="0"/>
        <w:widowControl w:val="0"/>
        <w:numPr>
          <w:ilvl w:val="0"/>
          <w:numId w:val="11"/>
        </w:numPr>
        <w:shd w:val="clear" w:color="auto" w:fill="auto"/>
        <w:tabs>
          <w:tab w:pos="433" w:val="left"/>
        </w:tabs>
        <w:bidi w:val="0"/>
        <w:spacing w:before="0" w:after="240" w:line="240" w:lineRule="auto"/>
        <w:ind w:left="0" w:right="0" w:firstLine="0"/>
        <w:jc w:val="left"/>
        <w:rPr>
          <w:sz w:val="20"/>
          <w:szCs w:val="20"/>
        </w:rPr>
      </w:pPr>
      <w:bookmarkStart w:id="426" w:name="bookmark426"/>
      <w:bookmarkEnd w:id="426"/>
      <w:r>
        <w:rPr>
          <w:b/>
          <w:bCs/>
          <w:color w:val="000000"/>
          <w:spacing w:val="0"/>
          <w:w w:val="100"/>
          <w:position w:val="0"/>
          <w:sz w:val="20"/>
          <w:szCs w:val="20"/>
        </w:rPr>
        <w:t>固定资产的减值测试方法、减值准备计提方法</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对于固定资产、在建工程、使用寿命有限的无形资产、以成本模式计量的投资性房地产 及对子公司、合营企业、联营企业的长期股权投资等非流动非金融资产，本集团于资产负债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32"/>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上述资产减值损失一经确认，以后期间不予转回价值得以恢复的部分。</w:t>
      </w:r>
    </w:p>
    <w:p>
      <w:pPr>
        <w:pStyle w:val="Style32"/>
        <w:keepNext w:val="0"/>
        <w:keepLines w:val="0"/>
        <w:widowControl w:val="0"/>
        <w:numPr>
          <w:ilvl w:val="0"/>
          <w:numId w:val="11"/>
        </w:numPr>
        <w:shd w:val="clear" w:color="auto" w:fill="auto"/>
        <w:tabs>
          <w:tab w:pos="433" w:val="left"/>
        </w:tabs>
        <w:bidi w:val="0"/>
        <w:spacing w:before="0" w:after="240" w:line="240" w:lineRule="auto"/>
        <w:ind w:left="0" w:right="0" w:firstLine="0"/>
        <w:jc w:val="left"/>
        <w:rPr>
          <w:sz w:val="20"/>
          <w:szCs w:val="20"/>
        </w:rPr>
      </w:pPr>
      <w:bookmarkStart w:id="427" w:name="bookmark427"/>
      <w:bookmarkEnd w:id="427"/>
      <w:r>
        <w:rPr>
          <w:b/>
          <w:bCs/>
          <w:color w:val="000000"/>
          <w:spacing w:val="0"/>
          <w:w w:val="100"/>
          <w:position w:val="0"/>
          <w:sz w:val="20"/>
          <w:szCs w:val="20"/>
        </w:rPr>
        <w:t>其他说明</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固定资产出售、转让、报废或毁损的处置收入扣除其账面价值和相关税费后的差额计入 </w:t>
      </w:r>
      <w:r>
        <w:rPr>
          <w:color w:val="000000"/>
          <w:spacing w:val="0"/>
          <w:w w:val="100"/>
          <w:position w:val="0"/>
        </w:rPr>
        <w:t>当期损益。</w:t>
      </w:r>
    </w:p>
    <w:p>
      <w:pPr>
        <w:pStyle w:val="Style32"/>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本集团至少于年度终了对固定资产的使用寿命、预计净残值和折旧方法进行复核，如发 生改变则作为会计估计变更处理。</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428" w:name="bookmark428"/>
      <w:r>
        <w:rPr>
          <w:rFonts w:ascii="Times New Roman" w:eastAsia="Times New Roman" w:hAnsi="Times New Roman" w:cs="Times New Roman"/>
          <w:b/>
          <w:bCs/>
          <w:color w:val="000000"/>
          <w:spacing w:val="0"/>
          <w:w w:val="100"/>
          <w:position w:val="0"/>
          <w:sz w:val="20"/>
          <w:szCs w:val="20"/>
        </w:rPr>
        <w:t>1</w:t>
      </w:r>
      <w:bookmarkEnd w:id="42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、在建工程</w:t>
      </w:r>
    </w:p>
    <w:p>
      <w:pPr>
        <w:pStyle w:val="Style32"/>
        <w:keepNext w:val="0"/>
        <w:keepLines w:val="0"/>
        <w:widowControl w:val="0"/>
        <w:shd w:val="clear" w:color="auto" w:fill="auto"/>
        <w:tabs>
          <w:tab w:pos="471" w:val="left"/>
        </w:tabs>
        <w:bidi w:val="0"/>
        <w:spacing w:before="0" w:after="240" w:line="240" w:lineRule="auto"/>
        <w:ind w:left="0" w:right="0" w:firstLine="0"/>
        <w:jc w:val="left"/>
        <w:rPr>
          <w:sz w:val="20"/>
          <w:szCs w:val="20"/>
        </w:rPr>
      </w:pPr>
      <w:bookmarkStart w:id="429" w:name="bookmark429"/>
      <w:r>
        <w:rPr>
          <w:b/>
          <w:bCs/>
          <w:color w:val="000000"/>
          <w:spacing w:val="0"/>
          <w:w w:val="100"/>
          <w:position w:val="0"/>
          <w:sz w:val="20"/>
          <w:szCs w:val="20"/>
        </w:rPr>
        <w:t>（</w:t>
      </w:r>
      <w:bookmarkEnd w:id="42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在建工程的类别</w:t>
      </w:r>
    </w:p>
    <w:p>
      <w:pPr>
        <w:pStyle w:val="Style32"/>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在建工程成本按实际工程支出确定，包括在建期间发生的各项工程支出、工程达到预定 可使用状态前的资本化的借款费用以及其他相关费用等。</w:t>
      </w:r>
    </w:p>
    <w:p>
      <w:pPr>
        <w:pStyle w:val="Style32"/>
        <w:keepNext w:val="0"/>
        <w:keepLines w:val="0"/>
        <w:widowControl w:val="0"/>
        <w:shd w:val="clear" w:color="auto" w:fill="auto"/>
        <w:tabs>
          <w:tab w:pos="471" w:val="left"/>
        </w:tabs>
        <w:bidi w:val="0"/>
        <w:spacing w:before="0" w:after="240" w:line="240" w:lineRule="auto"/>
        <w:ind w:left="0" w:right="0" w:firstLine="0"/>
        <w:jc w:val="left"/>
        <w:rPr>
          <w:sz w:val="20"/>
          <w:szCs w:val="20"/>
        </w:rPr>
      </w:pPr>
      <w:bookmarkStart w:id="430" w:name="bookmark430"/>
      <w:r>
        <w:rPr>
          <w:b/>
          <w:bCs/>
          <w:color w:val="000000"/>
          <w:spacing w:val="0"/>
          <w:w w:val="100"/>
          <w:position w:val="0"/>
          <w:sz w:val="20"/>
          <w:szCs w:val="20"/>
        </w:rPr>
        <w:t>（</w:t>
      </w:r>
      <w:bookmarkEnd w:id="43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在建工程结转为固定资产的标准和时点</w:t>
      </w:r>
    </w:p>
    <w:p>
      <w:pPr>
        <w:pStyle w:val="Style32"/>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建工程在达到预定可使用状态后结转为固定资产。</w:t>
      </w:r>
    </w:p>
    <w:p>
      <w:pPr>
        <w:pStyle w:val="Style32"/>
        <w:keepNext w:val="0"/>
        <w:keepLines w:val="0"/>
        <w:widowControl w:val="0"/>
        <w:shd w:val="clear" w:color="auto" w:fill="auto"/>
        <w:tabs>
          <w:tab w:pos="471" w:val="left"/>
        </w:tabs>
        <w:bidi w:val="0"/>
        <w:spacing w:before="0" w:after="240" w:line="240" w:lineRule="auto"/>
        <w:ind w:left="0" w:right="0" w:firstLine="0"/>
        <w:jc w:val="left"/>
        <w:rPr>
          <w:sz w:val="20"/>
          <w:szCs w:val="20"/>
        </w:rPr>
      </w:pPr>
      <w:bookmarkStart w:id="431" w:name="bookmark431"/>
      <w:r>
        <w:rPr>
          <w:b/>
          <w:bCs/>
          <w:color w:val="000000"/>
          <w:spacing w:val="0"/>
          <w:w w:val="100"/>
          <w:position w:val="0"/>
          <w:sz w:val="20"/>
          <w:szCs w:val="20"/>
        </w:rPr>
        <w:t>（</w:t>
      </w:r>
      <w:bookmarkEnd w:id="43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在建工程的减值测试方法、减值准备计提方法</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对于固定资产、在建工程、使用寿命有限的无形资产、以成本模式计量的投资性房地产 及对子公司、合营企业、联营企业的长期股权投资等非流动非金融资产，本集团于资产负债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在财务报表中单独列示的商誉，在进行减值测试时，将商誉的账面价值分摊至预期从企 </w:t>
      </w:r>
      <w:r>
        <w:rPr>
          <w:color w:val="000000"/>
          <w:spacing w:val="0"/>
          <w:w w:val="100"/>
          <w:position w:val="0"/>
        </w:rPr>
        <w:t>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32"/>
        <w:keepNext w:val="0"/>
        <w:keepLines w:val="0"/>
        <w:widowControl w:val="0"/>
        <w:shd w:val="clear" w:color="auto" w:fill="auto"/>
        <w:bidi w:val="0"/>
        <w:spacing w:before="0" w:after="440" w:line="467" w:lineRule="exact"/>
        <w:ind w:left="0" w:right="0" w:firstLine="480"/>
        <w:jc w:val="left"/>
      </w:pPr>
      <w:r>
        <w:rPr>
          <w:color w:val="000000"/>
          <w:spacing w:val="0"/>
          <w:w w:val="100"/>
          <w:position w:val="0"/>
        </w:rPr>
        <w:t>上述资产减值损失一经确认，以后期间不予转回价值得以恢复的部分。</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432" w:name="bookmark432"/>
      <w:r>
        <w:rPr>
          <w:rFonts w:ascii="Times New Roman" w:eastAsia="Times New Roman" w:hAnsi="Times New Roman" w:cs="Times New Roman"/>
          <w:b/>
          <w:bCs/>
          <w:color w:val="000000"/>
          <w:spacing w:val="0"/>
          <w:w w:val="100"/>
          <w:position w:val="0"/>
          <w:sz w:val="20"/>
          <w:szCs w:val="20"/>
        </w:rPr>
        <w:t>1</w:t>
      </w:r>
      <w:bookmarkEnd w:id="43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、借款费用</w:t>
      </w:r>
    </w:p>
    <w:p>
      <w:pPr>
        <w:pStyle w:val="Style32"/>
        <w:keepNext w:val="0"/>
        <w:keepLines w:val="0"/>
        <w:widowControl w:val="0"/>
        <w:shd w:val="clear" w:color="auto" w:fill="auto"/>
        <w:tabs>
          <w:tab w:pos="486" w:val="left"/>
        </w:tabs>
        <w:bidi w:val="0"/>
        <w:spacing w:before="0" w:after="240" w:line="240" w:lineRule="auto"/>
        <w:ind w:left="0" w:right="0" w:firstLine="0"/>
        <w:jc w:val="left"/>
        <w:rPr>
          <w:sz w:val="20"/>
          <w:szCs w:val="20"/>
        </w:rPr>
      </w:pPr>
      <w:bookmarkStart w:id="433" w:name="bookmark433"/>
      <w:r>
        <w:rPr>
          <w:b/>
          <w:bCs/>
          <w:color w:val="000000"/>
          <w:spacing w:val="0"/>
          <w:w w:val="100"/>
          <w:position w:val="0"/>
          <w:sz w:val="20"/>
          <w:szCs w:val="20"/>
        </w:rPr>
        <w:t>（</w:t>
      </w:r>
      <w:bookmarkEnd w:id="43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借款费用资本化的确认原则</w:t>
      </w:r>
    </w:p>
    <w:p>
      <w:pPr>
        <w:pStyle w:val="Style32"/>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Style32"/>
        <w:keepNext w:val="0"/>
        <w:keepLines w:val="0"/>
        <w:widowControl w:val="0"/>
        <w:shd w:val="clear" w:color="auto" w:fill="auto"/>
        <w:tabs>
          <w:tab w:pos="486" w:val="left"/>
        </w:tabs>
        <w:bidi w:val="0"/>
        <w:spacing w:before="0" w:after="240" w:line="240" w:lineRule="auto"/>
        <w:ind w:left="0" w:right="0" w:firstLine="0"/>
        <w:jc w:val="left"/>
        <w:rPr>
          <w:sz w:val="20"/>
          <w:szCs w:val="20"/>
        </w:rPr>
      </w:pPr>
      <w:bookmarkStart w:id="434" w:name="bookmark434"/>
      <w:r>
        <w:rPr>
          <w:b/>
          <w:bCs/>
          <w:color w:val="000000"/>
          <w:spacing w:val="0"/>
          <w:w w:val="100"/>
          <w:position w:val="0"/>
          <w:sz w:val="20"/>
          <w:szCs w:val="20"/>
        </w:rPr>
        <w:t>（</w:t>
      </w:r>
      <w:bookmarkEnd w:id="43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借款费用资本化期间</w:t>
      </w:r>
    </w:p>
    <w:p>
      <w:pPr>
        <w:pStyle w:val="Style32"/>
        <w:keepNext w:val="0"/>
        <w:keepLines w:val="0"/>
        <w:widowControl w:val="0"/>
        <w:shd w:val="clear" w:color="auto" w:fill="auto"/>
        <w:bidi w:val="0"/>
        <w:spacing w:before="0" w:after="0" w:line="454" w:lineRule="exact"/>
        <w:ind w:left="0" w:right="0" w:firstLine="480"/>
        <w:jc w:val="both"/>
      </w:pPr>
      <w:r>
        <w:rPr>
          <w:color w:val="000000"/>
          <w:spacing w:val="0"/>
          <w:w w:val="100"/>
          <w:position w:val="0"/>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资本化期间内，外币专门借款的汇兑差额全部予以资本化；外币一般借款的汇兑差额计 入当期损益。</w:t>
      </w:r>
    </w:p>
    <w:p>
      <w:pPr>
        <w:pStyle w:val="Style3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符合资本化条件的资产指需要经过相当长时间的购建或者生产活动才能达到预定可使用 或可销售状态的固定资产、投资性房地产和存货等资产。</w:t>
      </w:r>
    </w:p>
    <w:p>
      <w:pPr>
        <w:pStyle w:val="Style32"/>
        <w:keepNext w:val="0"/>
        <w:keepLines w:val="0"/>
        <w:widowControl w:val="0"/>
        <w:shd w:val="clear" w:color="auto" w:fill="auto"/>
        <w:tabs>
          <w:tab w:pos="486" w:val="left"/>
        </w:tabs>
        <w:bidi w:val="0"/>
        <w:spacing w:before="0" w:after="240" w:line="240" w:lineRule="auto"/>
        <w:ind w:left="0" w:right="0" w:firstLine="0"/>
        <w:jc w:val="left"/>
        <w:rPr>
          <w:sz w:val="20"/>
          <w:szCs w:val="20"/>
        </w:rPr>
      </w:pPr>
      <w:bookmarkStart w:id="435" w:name="bookmark435"/>
      <w:r>
        <w:rPr>
          <w:b/>
          <w:bCs/>
          <w:color w:val="000000"/>
          <w:spacing w:val="0"/>
          <w:w w:val="100"/>
          <w:position w:val="0"/>
          <w:sz w:val="20"/>
          <w:szCs w:val="20"/>
        </w:rPr>
        <w:t>（</w:t>
      </w:r>
      <w:bookmarkEnd w:id="43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暂停资本化期间</w:t>
      </w:r>
    </w:p>
    <w:p>
      <w:pPr>
        <w:pStyle w:val="Style32"/>
        <w:keepNext w:val="0"/>
        <w:keepLines w:val="0"/>
        <w:widowControl w:val="0"/>
        <w:shd w:val="clear" w:color="auto" w:fill="auto"/>
        <w:bidi w:val="0"/>
        <w:spacing w:before="0" w:after="240" w:line="451" w:lineRule="exact"/>
        <w:ind w:left="0" w:right="0" w:firstLine="480"/>
        <w:jc w:val="both"/>
      </w:pPr>
      <w:r>
        <w:rPr>
          <w:color w:val="000000"/>
          <w:spacing w:val="0"/>
          <w:w w:val="100"/>
          <w:position w:val="0"/>
        </w:rPr>
        <w:t>如果符合资本化条件的资产在购建或生产过程中发生非正常中断、并且中断时间连续超 过</w:t>
      </w:r>
      <w:r>
        <w:rPr>
          <w:color w:val="000000"/>
          <w:spacing w:val="0"/>
          <w:w w:val="100"/>
          <w:position w:val="0"/>
          <w:sz w:val="24"/>
          <w:szCs w:val="24"/>
        </w:rPr>
        <w:t>3</w:t>
      </w:r>
      <w:r>
        <w:rPr>
          <w:color w:val="000000"/>
          <w:spacing w:val="0"/>
          <w:w w:val="100"/>
          <w:position w:val="0"/>
        </w:rPr>
        <w:t>个月的，暂停借款费用的资本化，直至资产的购建或生产活动重新开始。</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436" w:name="bookmark436"/>
      <w:r>
        <w:rPr>
          <w:rFonts w:ascii="Times New Roman" w:eastAsia="Times New Roman" w:hAnsi="Times New Roman" w:cs="Times New Roman"/>
          <w:b/>
          <w:bCs/>
          <w:color w:val="000000"/>
          <w:spacing w:val="0"/>
          <w:w w:val="100"/>
          <w:position w:val="0"/>
          <w:sz w:val="20"/>
          <w:szCs w:val="20"/>
        </w:rPr>
        <w:t>1</w:t>
      </w:r>
      <w:bookmarkEnd w:id="43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、无形资产</w:t>
      </w:r>
    </w:p>
    <w:p>
      <w:pPr>
        <w:pStyle w:val="Style32"/>
        <w:keepNext w:val="0"/>
        <w:keepLines w:val="0"/>
        <w:widowControl w:val="0"/>
        <w:shd w:val="clear" w:color="auto" w:fill="auto"/>
        <w:tabs>
          <w:tab w:pos="486" w:val="left"/>
        </w:tabs>
        <w:bidi w:val="0"/>
        <w:spacing w:before="0" w:after="220" w:line="240" w:lineRule="auto"/>
        <w:ind w:left="0" w:right="0" w:firstLine="0"/>
        <w:jc w:val="left"/>
        <w:rPr>
          <w:sz w:val="20"/>
          <w:szCs w:val="20"/>
        </w:rPr>
      </w:pPr>
      <w:bookmarkStart w:id="437" w:name="bookmark437"/>
      <w:r>
        <w:rPr>
          <w:b/>
          <w:bCs/>
          <w:color w:val="000000"/>
          <w:spacing w:val="0"/>
          <w:w w:val="100"/>
          <w:position w:val="0"/>
          <w:sz w:val="20"/>
          <w:szCs w:val="20"/>
        </w:rPr>
        <w:t>（</w:t>
      </w:r>
      <w:bookmarkEnd w:id="43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无形资产的计价方法</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无形资产按成本进行初始计量。与无形资产有关的支出，如果相关的经济利益很可能流 入本集团且其成本能可靠地计量，则计入无形资产成本。除此以外的其他项目的支出，在发 生时计入当期损益。</w:t>
      </w:r>
    </w:p>
    <w:p>
      <w:pPr>
        <w:pStyle w:val="Style3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取得的土地使用权通常作为无形资产核算。自行开发建造厂房等建筑物，相关的土地使 用权支出和建筑物建造成本则分别作为无形资产和固定资产核算。如为外购的房屋及建筑物, 则将有关价款在土地使用权和建筑物之间进行分配，难以合理分配的，全部作为固定资产处 理。</w:t>
      </w:r>
    </w:p>
    <w:p>
      <w:pPr>
        <w:pStyle w:val="Style32"/>
        <w:keepNext w:val="0"/>
        <w:keepLines w:val="0"/>
        <w:widowControl w:val="0"/>
        <w:shd w:val="clear" w:color="auto" w:fill="auto"/>
        <w:tabs>
          <w:tab w:pos="486" w:val="left"/>
        </w:tabs>
        <w:bidi w:val="0"/>
        <w:spacing w:before="0" w:after="220" w:line="240" w:lineRule="auto"/>
        <w:ind w:left="0" w:right="0" w:firstLine="0"/>
        <w:jc w:val="left"/>
        <w:rPr>
          <w:sz w:val="20"/>
          <w:szCs w:val="20"/>
        </w:rPr>
      </w:pPr>
      <w:bookmarkStart w:id="438" w:name="bookmark438"/>
      <w:r>
        <w:rPr>
          <w:b/>
          <w:bCs/>
          <w:color w:val="000000"/>
          <w:spacing w:val="0"/>
          <w:w w:val="100"/>
          <w:position w:val="0"/>
          <w:sz w:val="20"/>
          <w:szCs w:val="20"/>
        </w:rPr>
        <w:t>（</w:t>
      </w:r>
      <w:bookmarkEnd w:id="43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使用寿命有限的无形资产的使用寿命估计情况</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使用寿命有限的无形资产自可供使用时起，对其原值减去预计净残值和已计提的减值准 备累计金额在其预计使用寿命内采用直线法分期平均摊销。使用寿命不确定的无形资产不予 摊销。</w:t>
      </w:r>
    </w:p>
    <w:p>
      <w:pPr>
        <w:pStyle w:val="Style32"/>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期末，对使用寿命有限的无形资产的使用寿命和摊销方法进行复核，如发生变更则作为 会计估计变更处理。</w:t>
      </w:r>
    </w:p>
    <w:p>
      <w:pPr>
        <w:pStyle w:val="Style32"/>
        <w:keepNext w:val="0"/>
        <w:keepLines w:val="0"/>
        <w:widowControl w:val="0"/>
        <w:shd w:val="clear" w:color="auto" w:fill="auto"/>
        <w:tabs>
          <w:tab w:pos="486" w:val="left"/>
        </w:tabs>
        <w:bidi w:val="0"/>
        <w:spacing w:before="0" w:after="220" w:line="240" w:lineRule="auto"/>
        <w:ind w:left="0" w:right="0" w:firstLine="0"/>
        <w:jc w:val="left"/>
        <w:rPr>
          <w:sz w:val="20"/>
          <w:szCs w:val="20"/>
        </w:rPr>
      </w:pPr>
      <w:bookmarkStart w:id="439" w:name="bookmark439"/>
      <w:r>
        <w:rPr>
          <w:b/>
          <w:bCs/>
          <w:color w:val="000000"/>
          <w:spacing w:val="0"/>
          <w:w w:val="100"/>
          <w:position w:val="0"/>
          <w:sz w:val="20"/>
          <w:szCs w:val="20"/>
        </w:rPr>
        <w:t>（</w:t>
      </w:r>
      <w:bookmarkEnd w:id="43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使用寿命不确定的无形资产的判断依据</w:t>
      </w:r>
    </w:p>
    <w:p>
      <w:pPr>
        <w:pStyle w:val="Style32"/>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对使用寿命不确定的无形资产的使用寿命进行复核，如果有证据表明该无形资产为企业 带来经济利益的期限是可预见的，则估计其使用寿命并按照使用寿命有限的无形资产的摊销 政策进行摊销。</w:t>
      </w:r>
    </w:p>
    <w:p>
      <w:pPr>
        <w:pStyle w:val="Style32"/>
        <w:keepNext w:val="0"/>
        <w:keepLines w:val="0"/>
        <w:widowControl w:val="0"/>
        <w:shd w:val="clear" w:color="auto" w:fill="auto"/>
        <w:tabs>
          <w:tab w:pos="486" w:val="left"/>
        </w:tabs>
        <w:bidi w:val="0"/>
        <w:spacing w:before="0" w:after="220" w:line="240" w:lineRule="auto"/>
        <w:ind w:left="0" w:right="0" w:firstLine="0"/>
        <w:jc w:val="left"/>
        <w:rPr>
          <w:sz w:val="20"/>
          <w:szCs w:val="20"/>
        </w:rPr>
      </w:pPr>
      <w:bookmarkStart w:id="440" w:name="bookmark440"/>
      <w:r>
        <w:rPr>
          <w:b/>
          <w:bCs/>
          <w:color w:val="000000"/>
          <w:spacing w:val="0"/>
          <w:w w:val="100"/>
          <w:position w:val="0"/>
          <w:sz w:val="20"/>
          <w:szCs w:val="20"/>
        </w:rPr>
        <w:t>（</w:t>
      </w:r>
      <w:bookmarkEnd w:id="440"/>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无形资产减值准备的计提</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对于固定资产、在建工程、使用寿命有限的无形资产、以成本模式计量的投资性房地产 及对子公司、合营企业、联营企业的长期股权投资等非流动非金融资产，本集团于资产负债 表日判断是否存在减值迹象。如存在减值迹象的，则估计其可收回金额，进行减值测试。商 誉、使用寿命不确定的无形资产和尚未达到可使用状态的无形资产，无论是否存在减值迹象, 每年均进行减值测试。</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减值测试结果表明资产的可收回金额低于其账面价值的，按其差额计提减值准备并计入 </w:t>
      </w:r>
      <w:r>
        <w:rPr>
          <w:color w:val="000000"/>
          <w:spacing w:val="0"/>
          <w:w w:val="100"/>
          <w:position w:val="0"/>
        </w:rPr>
        <w:t>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Style32"/>
        <w:keepNext w:val="0"/>
        <w:keepLines w:val="0"/>
        <w:widowControl w:val="0"/>
        <w:shd w:val="clear" w:color="auto" w:fill="auto"/>
        <w:bidi w:val="0"/>
        <w:spacing w:before="0" w:after="420" w:line="468" w:lineRule="exact"/>
        <w:ind w:left="0" w:right="0" w:firstLine="480"/>
        <w:jc w:val="left"/>
      </w:pPr>
      <w:r>
        <w:rPr>
          <w:color w:val="000000"/>
          <w:spacing w:val="0"/>
          <w:w w:val="100"/>
          <w:position w:val="0"/>
        </w:rPr>
        <w:t>上述资产减值损失一经确认，以后期间不予转回价值得以恢复的部分。</w:t>
      </w:r>
    </w:p>
    <w:p>
      <w:pPr>
        <w:pStyle w:val="Style32"/>
        <w:keepNext w:val="0"/>
        <w:keepLines w:val="0"/>
        <w:widowControl w:val="0"/>
        <w:shd w:val="clear" w:color="auto" w:fill="auto"/>
        <w:tabs>
          <w:tab w:pos="493" w:val="left"/>
        </w:tabs>
        <w:bidi w:val="0"/>
        <w:spacing w:before="0" w:after="240" w:line="240" w:lineRule="auto"/>
        <w:ind w:left="0" w:right="0" w:firstLine="0"/>
        <w:jc w:val="left"/>
        <w:rPr>
          <w:sz w:val="20"/>
          <w:szCs w:val="20"/>
        </w:rPr>
      </w:pPr>
      <w:bookmarkStart w:id="441" w:name="bookmark441"/>
      <w:r>
        <w:rPr>
          <w:b/>
          <w:bCs/>
          <w:color w:val="000000"/>
          <w:spacing w:val="0"/>
          <w:w w:val="100"/>
          <w:position w:val="0"/>
          <w:sz w:val="20"/>
          <w:szCs w:val="20"/>
        </w:rPr>
        <w:t>（</w:t>
      </w:r>
      <w:bookmarkEnd w:id="44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划分公司内部研究开发项目的研究阶段和开发阶段具体标准</w:t>
      </w:r>
    </w:p>
    <w:p>
      <w:pPr>
        <w:pStyle w:val="Style32"/>
        <w:keepNext w:val="0"/>
        <w:keepLines w:val="0"/>
        <w:widowControl w:val="0"/>
        <w:shd w:val="clear" w:color="auto" w:fill="auto"/>
        <w:bidi w:val="0"/>
        <w:spacing w:before="0" w:after="420" w:line="468" w:lineRule="exact"/>
        <w:ind w:left="0" w:right="0" w:firstLine="480"/>
        <w:jc w:val="left"/>
      </w:pPr>
      <w:r>
        <w:rPr>
          <w:color w:val="000000"/>
          <w:spacing w:val="0"/>
          <w:w w:val="100"/>
          <w:position w:val="0"/>
        </w:rPr>
        <w:t>本集团内部研究开发项目的支出分为研究阶段支出与开发阶段支出。</w:t>
      </w:r>
    </w:p>
    <w:p>
      <w:pPr>
        <w:pStyle w:val="Style32"/>
        <w:keepNext w:val="0"/>
        <w:keepLines w:val="0"/>
        <w:widowControl w:val="0"/>
        <w:shd w:val="clear" w:color="auto" w:fill="auto"/>
        <w:tabs>
          <w:tab w:pos="493" w:val="left"/>
        </w:tabs>
        <w:bidi w:val="0"/>
        <w:spacing w:before="0" w:after="240" w:line="240" w:lineRule="auto"/>
        <w:ind w:left="0" w:right="0" w:firstLine="0"/>
        <w:jc w:val="left"/>
        <w:rPr>
          <w:sz w:val="20"/>
          <w:szCs w:val="20"/>
        </w:rPr>
      </w:pPr>
      <w:bookmarkStart w:id="442" w:name="bookmark442"/>
      <w:r>
        <w:rPr>
          <w:b/>
          <w:bCs/>
          <w:color w:val="000000"/>
          <w:spacing w:val="0"/>
          <w:w w:val="100"/>
          <w:position w:val="0"/>
          <w:sz w:val="20"/>
          <w:szCs w:val="20"/>
        </w:rPr>
        <w:t>（</w:t>
      </w:r>
      <w:bookmarkEnd w:id="442"/>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内部研究开发项目支出的核算</w:t>
      </w:r>
    </w:p>
    <w:p>
      <w:pPr>
        <w:pStyle w:val="Style3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开发阶段的支出同时满足下列条件的，确认为无形资产，不能满足下述条件的开发阶段 的支出计入当期损益：</w:t>
      </w:r>
    </w:p>
    <w:p>
      <w:pPr>
        <w:pStyle w:val="Style32"/>
        <w:keepNext w:val="0"/>
        <w:keepLines w:val="0"/>
        <w:widowControl w:val="0"/>
        <w:numPr>
          <w:ilvl w:val="0"/>
          <w:numId w:val="13"/>
        </w:numPr>
        <w:shd w:val="clear" w:color="auto" w:fill="auto"/>
        <w:tabs>
          <w:tab w:pos="901" w:val="left"/>
        </w:tabs>
        <w:bidi w:val="0"/>
        <w:spacing w:before="0" w:after="0" w:line="466" w:lineRule="exact"/>
        <w:ind w:left="0" w:right="0" w:firstLine="480"/>
        <w:jc w:val="left"/>
      </w:pPr>
      <w:bookmarkStart w:id="443" w:name="bookmark443"/>
      <w:bookmarkEnd w:id="443"/>
      <w:r>
        <w:rPr>
          <w:color w:val="000000"/>
          <w:spacing w:val="0"/>
          <w:w w:val="100"/>
          <w:position w:val="0"/>
        </w:rPr>
        <w:t>完成该无形资产以使其能够使用或出售在技术上具有可行性；</w:t>
      </w:r>
    </w:p>
    <w:p>
      <w:pPr>
        <w:pStyle w:val="Style32"/>
        <w:keepNext w:val="0"/>
        <w:keepLines w:val="0"/>
        <w:widowControl w:val="0"/>
        <w:numPr>
          <w:ilvl w:val="0"/>
          <w:numId w:val="13"/>
        </w:numPr>
        <w:shd w:val="clear" w:color="auto" w:fill="auto"/>
        <w:tabs>
          <w:tab w:pos="901" w:val="left"/>
        </w:tabs>
        <w:bidi w:val="0"/>
        <w:spacing w:before="0" w:after="0" w:line="468" w:lineRule="exact"/>
        <w:ind w:left="0" w:right="0" w:firstLine="480"/>
        <w:jc w:val="left"/>
      </w:pPr>
      <w:bookmarkStart w:id="444" w:name="bookmark444"/>
      <w:bookmarkEnd w:id="444"/>
      <w:r>
        <w:rPr>
          <w:color w:val="000000"/>
          <w:spacing w:val="0"/>
          <w:w w:val="100"/>
          <w:position w:val="0"/>
        </w:rPr>
        <w:t>具有完成该无形资产并使用或出售的意图；</w:t>
      </w:r>
    </w:p>
    <w:p>
      <w:pPr>
        <w:pStyle w:val="Style32"/>
        <w:keepNext w:val="0"/>
        <w:keepLines w:val="0"/>
        <w:widowControl w:val="0"/>
        <w:numPr>
          <w:ilvl w:val="0"/>
          <w:numId w:val="13"/>
        </w:numPr>
        <w:shd w:val="clear" w:color="auto" w:fill="auto"/>
        <w:tabs>
          <w:tab w:pos="901" w:val="left"/>
        </w:tabs>
        <w:bidi w:val="0"/>
        <w:spacing w:before="0" w:after="0" w:line="466" w:lineRule="exact"/>
        <w:ind w:left="0" w:right="0" w:firstLine="480"/>
        <w:jc w:val="both"/>
      </w:pPr>
      <w:bookmarkStart w:id="445" w:name="bookmark445"/>
      <w:bookmarkEnd w:id="445"/>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32"/>
        <w:keepNext w:val="0"/>
        <w:keepLines w:val="0"/>
        <w:widowControl w:val="0"/>
        <w:numPr>
          <w:ilvl w:val="0"/>
          <w:numId w:val="13"/>
        </w:numPr>
        <w:shd w:val="clear" w:color="auto" w:fill="auto"/>
        <w:tabs>
          <w:tab w:pos="896" w:val="left"/>
        </w:tabs>
        <w:bidi w:val="0"/>
        <w:spacing w:before="0" w:after="240" w:line="466" w:lineRule="exact"/>
        <w:ind w:left="0" w:right="0" w:firstLine="480"/>
        <w:jc w:val="both"/>
      </w:pPr>
      <w:bookmarkStart w:id="446" w:name="bookmark446"/>
      <w:bookmarkEnd w:id="446"/>
      <w:r>
        <w:rPr>
          <w:color w:val="000000"/>
          <w:spacing w:val="0"/>
          <w:w w:val="100"/>
          <w:position w:val="0"/>
        </w:rPr>
        <w:t>有足够的技术、财务资源和其他资源支持，以完成该无形资产的开发，并有能力使用 或出售该无形资产；</w:t>
      </w:r>
    </w:p>
    <w:p>
      <w:pPr>
        <w:pStyle w:val="Style32"/>
        <w:keepNext w:val="0"/>
        <w:keepLines w:val="0"/>
        <w:widowControl w:val="0"/>
        <w:numPr>
          <w:ilvl w:val="0"/>
          <w:numId w:val="13"/>
        </w:numPr>
        <w:shd w:val="clear" w:color="auto" w:fill="auto"/>
        <w:bidi w:val="0"/>
        <w:spacing w:before="0" w:after="240" w:line="240" w:lineRule="auto"/>
        <w:ind w:left="0" w:right="0" w:firstLine="480"/>
        <w:jc w:val="left"/>
      </w:pPr>
      <w:bookmarkStart w:id="447" w:name="bookmark447"/>
      <w:bookmarkEnd w:id="447"/>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无法区分研究阶段支出和开发阶段支出的，将发生的研发支出全部计入当期损益。</w:t>
      </w:r>
    </w:p>
    <w:p>
      <w:pPr>
        <w:pStyle w:val="Style32"/>
        <w:keepNext w:val="0"/>
        <w:keepLines w:val="0"/>
        <w:widowControl w:val="0"/>
        <w:shd w:val="clear" w:color="auto" w:fill="auto"/>
        <w:tabs>
          <w:tab w:pos="434" w:val="left"/>
        </w:tabs>
        <w:bidi w:val="0"/>
        <w:spacing w:before="0" w:after="380" w:line="240" w:lineRule="auto"/>
        <w:ind w:left="0" w:right="0" w:firstLine="0"/>
        <w:jc w:val="left"/>
        <w:rPr>
          <w:sz w:val="20"/>
          <w:szCs w:val="20"/>
        </w:rPr>
      </w:pPr>
      <w:bookmarkStart w:id="448" w:name="bookmark448"/>
      <w:r>
        <w:rPr>
          <w:rFonts w:ascii="Times New Roman" w:eastAsia="Times New Roman" w:hAnsi="Times New Roman" w:cs="Times New Roman"/>
          <w:b/>
          <w:bCs/>
          <w:color w:val="000000"/>
          <w:spacing w:val="0"/>
          <w:w w:val="100"/>
          <w:position w:val="0"/>
          <w:sz w:val="20"/>
          <w:szCs w:val="20"/>
        </w:rPr>
        <w:t>1</w:t>
      </w:r>
      <w:bookmarkEnd w:id="448"/>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预计负债</w:t>
      </w:r>
    </w:p>
    <w:p>
      <w:pPr>
        <w:pStyle w:val="Style32"/>
        <w:keepNext w:val="0"/>
        <w:keepLines w:val="0"/>
        <w:widowControl w:val="0"/>
        <w:shd w:val="clear" w:color="auto" w:fill="auto"/>
        <w:tabs>
          <w:tab w:pos="453" w:val="left"/>
        </w:tabs>
        <w:bidi w:val="0"/>
        <w:spacing w:before="0" w:after="220" w:line="240" w:lineRule="auto"/>
        <w:ind w:left="0" w:right="0" w:firstLine="0"/>
        <w:jc w:val="left"/>
        <w:rPr>
          <w:sz w:val="20"/>
          <w:szCs w:val="20"/>
        </w:rPr>
      </w:pPr>
      <w:bookmarkStart w:id="449" w:name="bookmark449"/>
      <w:r>
        <w:rPr>
          <w:b/>
          <w:bCs/>
          <w:color w:val="000000"/>
          <w:spacing w:val="0"/>
          <w:w w:val="100"/>
          <w:position w:val="0"/>
          <w:sz w:val="20"/>
          <w:szCs w:val="20"/>
        </w:rPr>
        <w:t>（</w:t>
      </w:r>
      <w:bookmarkEnd w:id="44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预计负债的确认标准</w:t>
      </w:r>
    </w:p>
    <w:p>
      <w:pPr>
        <w:pStyle w:val="Style32"/>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当与或有事项相关的义务同时符合以下条件，确认为预计负债：</w:t>
      </w:r>
      <w:r>
        <w:rPr>
          <w:color w:val="000000"/>
          <w:spacing w:val="0"/>
          <w:w w:val="100"/>
          <w:position w:val="0"/>
          <w:sz w:val="24"/>
          <w:szCs w:val="24"/>
        </w:rPr>
        <w:t>（1）</w:t>
      </w:r>
      <w:r>
        <w:rPr>
          <w:color w:val="000000"/>
          <w:spacing w:val="0"/>
          <w:w w:val="100"/>
          <w:position w:val="0"/>
        </w:rPr>
        <w:t>该义务是本集团承 担的现时义务；</w:t>
      </w:r>
      <w:r>
        <w:rPr>
          <w:color w:val="000000"/>
          <w:spacing w:val="0"/>
          <w:w w:val="100"/>
          <w:position w:val="0"/>
          <w:sz w:val="24"/>
          <w:szCs w:val="24"/>
        </w:rPr>
        <w:t>（2）</w:t>
      </w:r>
      <w:r>
        <w:rPr>
          <w:color w:val="000000"/>
          <w:spacing w:val="0"/>
          <w:w w:val="100"/>
          <w:position w:val="0"/>
        </w:rPr>
        <w:t>履行该义务很可能导致经济利益流出；</w:t>
      </w:r>
      <w:r>
        <w:rPr>
          <w:color w:val="000000"/>
          <w:spacing w:val="0"/>
          <w:w w:val="100"/>
          <w:position w:val="0"/>
          <w:sz w:val="24"/>
          <w:szCs w:val="24"/>
        </w:rPr>
        <w:t>（3）</w:t>
      </w:r>
      <w:r>
        <w:rPr>
          <w:color w:val="000000"/>
          <w:spacing w:val="0"/>
          <w:w w:val="100"/>
          <w:position w:val="0"/>
        </w:rPr>
        <w:t>该义务的金额能够可靠地 计量。</w:t>
      </w:r>
    </w:p>
    <w:p>
      <w:pPr>
        <w:pStyle w:val="Style32"/>
        <w:keepNext w:val="0"/>
        <w:keepLines w:val="0"/>
        <w:widowControl w:val="0"/>
        <w:shd w:val="clear" w:color="auto" w:fill="auto"/>
        <w:tabs>
          <w:tab w:pos="453" w:val="left"/>
        </w:tabs>
        <w:bidi w:val="0"/>
        <w:spacing w:before="0" w:after="220" w:line="240" w:lineRule="auto"/>
        <w:ind w:left="0" w:right="0" w:firstLine="0"/>
        <w:jc w:val="left"/>
        <w:rPr>
          <w:sz w:val="20"/>
          <w:szCs w:val="20"/>
        </w:rPr>
      </w:pPr>
      <w:bookmarkStart w:id="450" w:name="bookmark450"/>
      <w:r>
        <w:rPr>
          <w:b/>
          <w:bCs/>
          <w:color w:val="000000"/>
          <w:spacing w:val="0"/>
          <w:w w:val="100"/>
          <w:position w:val="0"/>
          <w:sz w:val="20"/>
          <w:szCs w:val="20"/>
        </w:rPr>
        <w:t>（</w:t>
      </w:r>
      <w:bookmarkEnd w:id="45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预计负债的计量方法</w:t>
      </w:r>
    </w:p>
    <w:p>
      <w:pPr>
        <w:pStyle w:val="Style3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在资产负债表日，考虑与或有事项有关的风险、不确定性和货币时间价值等因素，按照 履行相关现时义务所需支出的最佳估计数对预计负债进行计量。</w:t>
      </w:r>
    </w:p>
    <w:p>
      <w:pPr>
        <w:pStyle w:val="Style32"/>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如果清偿预计负债所需支出全部或部分预期由第三方补偿的，补偿金额在基本确定能够 收到时，作为资产单独确认，且确认的补偿金额不超过预计负债的账面价值。</w:t>
      </w:r>
    </w:p>
    <w:p>
      <w:pPr>
        <w:pStyle w:val="Style32"/>
        <w:keepNext w:val="0"/>
        <w:keepLines w:val="0"/>
        <w:widowControl w:val="0"/>
        <w:shd w:val="clear" w:color="auto" w:fill="auto"/>
        <w:tabs>
          <w:tab w:pos="434" w:val="left"/>
        </w:tabs>
        <w:bidi w:val="0"/>
        <w:spacing w:before="0" w:after="380" w:line="240" w:lineRule="auto"/>
        <w:ind w:left="0" w:right="0" w:firstLine="0"/>
        <w:jc w:val="both"/>
        <w:rPr>
          <w:sz w:val="20"/>
          <w:szCs w:val="20"/>
        </w:rPr>
      </w:pPr>
      <w:bookmarkStart w:id="451" w:name="bookmark451"/>
      <w:r>
        <w:rPr>
          <w:rFonts w:ascii="Times New Roman" w:eastAsia="Times New Roman" w:hAnsi="Times New Roman" w:cs="Times New Roman"/>
          <w:b/>
          <w:bCs/>
          <w:color w:val="000000"/>
          <w:spacing w:val="0"/>
          <w:w w:val="100"/>
          <w:position w:val="0"/>
          <w:sz w:val="20"/>
          <w:szCs w:val="20"/>
        </w:rPr>
        <w:t>1</w:t>
      </w:r>
      <w:bookmarkEnd w:id="451"/>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股份支付及权益工具</w:t>
      </w:r>
    </w:p>
    <w:p>
      <w:pPr>
        <w:pStyle w:val="Style32"/>
        <w:keepNext w:val="0"/>
        <w:keepLines w:val="0"/>
        <w:widowControl w:val="0"/>
        <w:shd w:val="clear" w:color="auto" w:fill="auto"/>
        <w:bidi w:val="0"/>
        <w:spacing w:before="0" w:after="220" w:line="240" w:lineRule="auto"/>
        <w:ind w:left="0" w:right="0" w:firstLine="0"/>
        <w:jc w:val="both"/>
        <w:rPr>
          <w:sz w:val="20"/>
          <w:szCs w:val="20"/>
        </w:rPr>
      </w:pPr>
      <w:bookmarkStart w:id="452" w:name="bookmark452"/>
      <w:r>
        <w:rPr>
          <w:b/>
          <w:bCs/>
          <w:color w:val="000000"/>
          <w:spacing w:val="0"/>
          <w:w w:val="100"/>
          <w:position w:val="0"/>
          <w:sz w:val="20"/>
          <w:szCs w:val="20"/>
        </w:rPr>
        <w:t>（</w:t>
      </w:r>
      <w:bookmarkEnd w:id="45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）股份支付的种类</w:t>
      </w:r>
    </w:p>
    <w:p>
      <w:pPr>
        <w:pStyle w:val="Style3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 xml:space="preserve">股份支付是为了获取职工或其他方提供服务而授予权益工具或者承担以权益工具为基础 确定的负债的交易。股份支付分为以权益结算的股份支付和以现金结算的股份支付。①以权 益结算的股份支付用以换取职工提供的服务的权益结算的股份支付，以授予职工权益工具在 授予日的公允价值计量。该公允价值的金额在完成等待期内的服务或达到规定业绩条件才可 行权的情况下，在等待期内以对可行权权益工具数量的最佳估计为基础，按直线法计算计入 相关成本或费用，相应增加资本公积。用以换取其他方服务的权益结算的股份支付，如果其 他方服务的公允价值能够可靠计量，按照其他方服务在取得日的公允价值计量，如果其他方 服务的公允价值不能可靠计量，但权益工具的公允价值能够可靠计量的，按照权益工具在服 务取得日的公允价值计量，计入相关成本或费用，相应增加所有者权益。②以现金结算的股 份支付以现金结算的股份支付，按照本集团承担的以股份或其他权益工具为基础确定的负债 的公允价值计量。如授予后立即可行权，在授予日计入相关成本或费用，相应增加负债；如 须完成等待期内的服务或达到规定业绩条件以后才可行权，在等待期的每个资产负债表日， 以对可行权情况的最佳估计为基础，按照本集团承担负债的公允价值金额，将当期取得的服 </w:t>
      </w:r>
      <w:r>
        <w:rPr>
          <w:color w:val="000000"/>
          <w:spacing w:val="0"/>
          <w:w w:val="100"/>
          <w:position w:val="0"/>
        </w:rPr>
        <w:t>务计入成本或费用，相应增加负债。在相关负债结算前的每个资产负债表日以及结算日，对 负债的公允价值重新计量，其变动计入当期损益。</w:t>
      </w:r>
    </w:p>
    <w:p>
      <w:pPr>
        <w:pStyle w:val="Style32"/>
        <w:keepNext w:val="0"/>
        <w:keepLines w:val="0"/>
        <w:widowControl w:val="0"/>
        <w:numPr>
          <w:ilvl w:val="0"/>
          <w:numId w:val="1"/>
        </w:numPr>
        <w:shd w:val="clear" w:color="auto" w:fill="auto"/>
        <w:tabs>
          <w:tab w:pos="490" w:val="left"/>
        </w:tabs>
        <w:bidi w:val="0"/>
        <w:spacing w:before="0" w:after="240" w:line="240" w:lineRule="auto"/>
        <w:ind w:left="0" w:right="0" w:firstLine="0"/>
        <w:jc w:val="both"/>
        <w:rPr>
          <w:sz w:val="20"/>
          <w:szCs w:val="20"/>
        </w:rPr>
      </w:pPr>
      <w:bookmarkStart w:id="453" w:name="bookmark453"/>
      <w:bookmarkEnd w:id="453"/>
      <w:r>
        <w:rPr>
          <w:b/>
          <w:bCs/>
          <w:color w:val="000000"/>
          <w:spacing w:val="0"/>
          <w:w w:val="100"/>
          <w:position w:val="0"/>
          <w:sz w:val="20"/>
          <w:szCs w:val="20"/>
        </w:rPr>
        <w:t>权益工具公允价值的确定方法</w:t>
      </w:r>
    </w:p>
    <w:p>
      <w:pPr>
        <w:pStyle w:val="Style32"/>
        <w:keepNext w:val="0"/>
        <w:keepLines w:val="0"/>
        <w:widowControl w:val="0"/>
        <w:shd w:val="clear" w:color="auto" w:fill="auto"/>
        <w:bidi w:val="0"/>
        <w:spacing w:before="0" w:after="440" w:line="467" w:lineRule="exact"/>
        <w:ind w:left="0" w:right="0" w:firstLine="480"/>
        <w:jc w:val="left"/>
      </w:pPr>
      <w:r>
        <w:rPr>
          <w:color w:val="000000"/>
          <w:spacing w:val="0"/>
          <w:w w:val="100"/>
          <w:position w:val="0"/>
        </w:rPr>
        <w:t>本集团授予的股份期权采用</w:t>
      </w:r>
      <w:r>
        <w:rPr>
          <w:color w:val="000000"/>
          <w:spacing w:val="0"/>
          <w:w w:val="100"/>
          <w:position w:val="0"/>
          <w:sz w:val="24"/>
          <w:szCs w:val="24"/>
        </w:rPr>
        <w:t>Black-Scholes</w:t>
      </w:r>
      <w:r>
        <w:rPr>
          <w:color w:val="000000"/>
          <w:spacing w:val="0"/>
          <w:w w:val="100"/>
          <w:position w:val="0"/>
        </w:rPr>
        <w:t>期权定价模型定价</w:t>
      </w:r>
    </w:p>
    <w:p>
      <w:pPr>
        <w:pStyle w:val="Style32"/>
        <w:keepNext w:val="0"/>
        <w:keepLines w:val="0"/>
        <w:widowControl w:val="0"/>
        <w:numPr>
          <w:ilvl w:val="0"/>
          <w:numId w:val="1"/>
        </w:numPr>
        <w:shd w:val="clear" w:color="auto" w:fill="auto"/>
        <w:tabs>
          <w:tab w:pos="490" w:val="left"/>
        </w:tabs>
        <w:bidi w:val="0"/>
        <w:spacing w:before="0" w:after="240" w:line="240" w:lineRule="auto"/>
        <w:ind w:left="0" w:right="0" w:firstLine="0"/>
        <w:jc w:val="left"/>
        <w:rPr>
          <w:sz w:val="20"/>
          <w:szCs w:val="20"/>
        </w:rPr>
      </w:pPr>
      <w:bookmarkStart w:id="454" w:name="bookmark454"/>
      <w:bookmarkEnd w:id="454"/>
      <w:r>
        <w:rPr>
          <w:b/>
          <w:bCs/>
          <w:color w:val="000000"/>
          <w:spacing w:val="0"/>
          <w:w w:val="100"/>
          <w:position w:val="0"/>
          <w:sz w:val="20"/>
          <w:szCs w:val="20"/>
        </w:rPr>
        <w:t>确认可行权权益工具最佳估计的依据</w:t>
      </w:r>
    </w:p>
    <w:p>
      <w:pPr>
        <w:pStyle w:val="Style3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在等待期内的每个资产负债表日，根据最新取得的可行权职工人数变动等后续信息做出 最佳估计，修正预计可行权的权益工具数量。</w:t>
      </w:r>
    </w:p>
    <w:p>
      <w:pPr>
        <w:pStyle w:val="Style32"/>
        <w:keepNext w:val="0"/>
        <w:keepLines w:val="0"/>
        <w:widowControl w:val="0"/>
        <w:numPr>
          <w:ilvl w:val="0"/>
          <w:numId w:val="1"/>
        </w:numPr>
        <w:shd w:val="clear" w:color="auto" w:fill="auto"/>
        <w:tabs>
          <w:tab w:pos="490" w:val="left"/>
        </w:tabs>
        <w:bidi w:val="0"/>
        <w:spacing w:before="0" w:after="240" w:line="240" w:lineRule="auto"/>
        <w:ind w:left="0" w:right="0" w:firstLine="0"/>
        <w:jc w:val="left"/>
        <w:rPr>
          <w:sz w:val="20"/>
          <w:szCs w:val="20"/>
        </w:rPr>
      </w:pPr>
      <w:bookmarkStart w:id="455" w:name="bookmark455"/>
      <w:bookmarkEnd w:id="455"/>
      <w:r>
        <w:rPr>
          <w:b/>
          <w:bCs/>
          <w:color w:val="000000"/>
          <w:spacing w:val="0"/>
          <w:w w:val="100"/>
          <w:position w:val="0"/>
          <w:sz w:val="20"/>
          <w:szCs w:val="20"/>
        </w:rPr>
        <w:t>实施、修改、终止股份支付计划的相关会计处理</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本集团对股份支付计划进行修改时，若修改增加了所授予权益工具的公允价值，按照权 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集团取消了部分或全部已授予的权益工具。</w:t>
      </w:r>
    </w:p>
    <w:p>
      <w:pPr>
        <w:pStyle w:val="Style32"/>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在等待期内，如果取消了授予的权益工具，本集团对取消所授予的权益性工具作为加速 行权处理，将剩余等待期内应确认的金额立即计入当期损益，同时确认资本公积。职工或其 他方能够选择满足非可行权条件但在等待期内未满足的，本集团将其作为授予权益工具的取 消处理。</w:t>
      </w:r>
    </w:p>
    <w:p>
      <w:pPr>
        <w:pStyle w:val="Style32"/>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18</w:t>
      </w:r>
      <w:r>
        <w:rPr>
          <w:b/>
          <w:bCs/>
          <w:color w:val="000000"/>
          <w:spacing w:val="0"/>
          <w:w w:val="100"/>
          <w:position w:val="0"/>
          <w:sz w:val="20"/>
          <w:szCs w:val="20"/>
        </w:rPr>
        <w:t>、收入</w:t>
      </w:r>
    </w:p>
    <w:p>
      <w:pPr>
        <w:pStyle w:val="Style32"/>
        <w:keepNext w:val="0"/>
        <w:keepLines w:val="0"/>
        <w:widowControl w:val="0"/>
        <w:numPr>
          <w:ilvl w:val="0"/>
          <w:numId w:val="15"/>
        </w:numPr>
        <w:shd w:val="clear" w:color="auto" w:fill="auto"/>
        <w:bidi w:val="0"/>
        <w:spacing w:before="0" w:after="240" w:line="240" w:lineRule="auto"/>
        <w:ind w:left="0" w:right="0" w:firstLine="0"/>
        <w:jc w:val="left"/>
        <w:rPr>
          <w:sz w:val="20"/>
          <w:szCs w:val="20"/>
        </w:rPr>
      </w:pPr>
      <w:bookmarkStart w:id="456" w:name="bookmark456"/>
      <w:bookmarkEnd w:id="456"/>
      <w:r>
        <w:rPr>
          <w:b/>
          <w:bCs/>
          <w:color w:val="000000"/>
          <w:spacing w:val="0"/>
          <w:w w:val="100"/>
          <w:position w:val="0"/>
          <w:sz w:val="20"/>
          <w:szCs w:val="20"/>
        </w:rPr>
        <w:t>销售商品收入确认时间的具体判断标准</w:t>
      </w:r>
    </w:p>
    <w:p>
      <w:pPr>
        <w:pStyle w:val="Style32"/>
        <w:keepNext w:val="0"/>
        <w:keepLines w:val="0"/>
        <w:widowControl w:val="0"/>
        <w:shd w:val="clear" w:color="auto" w:fill="auto"/>
        <w:bidi w:val="0"/>
        <w:spacing w:before="0" w:after="300" w:line="470" w:lineRule="exact"/>
        <w:ind w:left="0" w:right="0" w:firstLine="480"/>
        <w:jc w:val="both"/>
      </w:pPr>
      <w:r>
        <w:rPr>
          <w:color w:val="000000"/>
          <w:spacing w:val="0"/>
          <w:w w:val="100"/>
          <w:position w:val="0"/>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pStyle w:val="Style32"/>
        <w:keepNext w:val="0"/>
        <w:keepLines w:val="0"/>
        <w:widowControl w:val="0"/>
        <w:numPr>
          <w:ilvl w:val="0"/>
          <w:numId w:val="15"/>
        </w:numPr>
        <w:shd w:val="clear" w:color="auto" w:fill="auto"/>
        <w:bidi w:val="0"/>
        <w:spacing w:before="0" w:after="240" w:line="240" w:lineRule="auto"/>
        <w:ind w:left="0" w:right="0" w:firstLine="0"/>
        <w:jc w:val="both"/>
        <w:rPr>
          <w:sz w:val="20"/>
          <w:szCs w:val="20"/>
        </w:rPr>
      </w:pPr>
      <w:bookmarkStart w:id="457" w:name="bookmark457"/>
      <w:bookmarkEnd w:id="457"/>
      <w:r>
        <w:rPr>
          <w:b/>
          <w:bCs/>
          <w:color w:val="000000"/>
          <w:spacing w:val="0"/>
          <w:w w:val="100"/>
          <w:position w:val="0"/>
          <w:sz w:val="20"/>
          <w:szCs w:val="20"/>
        </w:rPr>
        <w:t>确认提供劳务收入的依据</w:t>
      </w:r>
    </w:p>
    <w:p>
      <w:pPr>
        <w:pStyle w:val="Style3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在提供劳务交易的结果能够可靠估计的情况下，于资产负债表日按照完工百分比法确认 提供的劳务收入。劳务交易的完工进度按已完工作的测量确定。</w:t>
      </w:r>
    </w:p>
    <w:p>
      <w:pPr>
        <w:pStyle w:val="Style32"/>
        <w:keepNext w:val="0"/>
        <w:keepLines w:val="0"/>
        <w:widowControl w:val="0"/>
        <w:numPr>
          <w:ilvl w:val="0"/>
          <w:numId w:val="15"/>
        </w:numPr>
        <w:shd w:val="clear" w:color="auto" w:fill="auto"/>
        <w:bidi w:val="0"/>
        <w:spacing w:before="0" w:after="240" w:line="240" w:lineRule="auto"/>
        <w:ind w:left="0" w:right="0" w:firstLine="0"/>
        <w:jc w:val="left"/>
        <w:rPr>
          <w:sz w:val="20"/>
          <w:szCs w:val="20"/>
        </w:rPr>
      </w:pPr>
      <w:bookmarkStart w:id="458" w:name="bookmark458"/>
      <w:bookmarkEnd w:id="458"/>
      <w:r>
        <w:rPr>
          <w:b/>
          <w:bCs/>
          <w:color w:val="000000"/>
          <w:spacing w:val="0"/>
          <w:w w:val="100"/>
          <w:position w:val="0"/>
          <w:sz w:val="20"/>
          <w:szCs w:val="20"/>
        </w:rPr>
        <w:t>按完工百分比法确认提供劳务的收入和建造合同收入时，确定合同完工进度的依据和方法</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Style3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Style32"/>
        <w:keepNext w:val="0"/>
        <w:keepLines w:val="0"/>
        <w:widowControl w:val="0"/>
        <w:shd w:val="clear" w:color="auto" w:fill="auto"/>
        <w:bidi w:val="0"/>
        <w:spacing w:before="0" w:after="440" w:line="467" w:lineRule="exact"/>
        <w:ind w:left="0" w:right="0" w:firstLine="480"/>
        <w:jc w:val="both"/>
      </w:pPr>
      <w:r>
        <w:rPr>
          <w:color w:val="000000"/>
          <w:spacing w:val="0"/>
          <w:w w:val="100"/>
          <w:position w:val="0"/>
        </w:rPr>
        <w:t>本集团与其他企业签订的合同或协议包括销售商品和提供劳务时，如销售商品部分和提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459" w:name="bookmark459"/>
      <w:r>
        <w:rPr>
          <w:rFonts w:ascii="Times New Roman" w:eastAsia="Times New Roman" w:hAnsi="Times New Roman" w:cs="Times New Roman"/>
          <w:b/>
          <w:bCs/>
          <w:color w:val="000000"/>
          <w:spacing w:val="0"/>
          <w:w w:val="100"/>
          <w:position w:val="0"/>
          <w:sz w:val="20"/>
          <w:szCs w:val="20"/>
        </w:rPr>
        <w:t>1</w:t>
      </w:r>
      <w:bookmarkEnd w:id="459"/>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、政府补助</w:t>
      </w:r>
    </w:p>
    <w:p>
      <w:pPr>
        <w:pStyle w:val="Style32"/>
        <w:keepNext w:val="0"/>
        <w:keepLines w:val="0"/>
        <w:widowControl w:val="0"/>
        <w:numPr>
          <w:ilvl w:val="0"/>
          <w:numId w:val="17"/>
        </w:numPr>
        <w:shd w:val="clear" w:color="auto" w:fill="auto"/>
        <w:tabs>
          <w:tab w:pos="485" w:val="left"/>
        </w:tabs>
        <w:bidi w:val="0"/>
        <w:spacing w:before="0" w:after="240" w:line="240" w:lineRule="auto"/>
        <w:ind w:left="0" w:right="0" w:firstLine="0"/>
        <w:jc w:val="left"/>
        <w:rPr>
          <w:sz w:val="20"/>
          <w:szCs w:val="20"/>
        </w:rPr>
      </w:pPr>
      <w:bookmarkStart w:id="460" w:name="bookmark460"/>
      <w:bookmarkEnd w:id="460"/>
      <w:r>
        <w:rPr>
          <w:b/>
          <w:bCs/>
          <w:color w:val="000000"/>
          <w:spacing w:val="0"/>
          <w:w w:val="100"/>
          <w:position w:val="0"/>
          <w:sz w:val="20"/>
          <w:szCs w:val="20"/>
        </w:rPr>
        <w:t>类型</w:t>
      </w:r>
    </w:p>
    <w:p>
      <w:pPr>
        <w:pStyle w:val="Style32"/>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政府补助是指本集团从政府无偿取得货币性资产和非货币性资产，不包括政府作为所有 者投入的资本。政府补助分为与资产相关的政府补助和与收益相关的政府补助。</w:t>
      </w:r>
    </w:p>
    <w:p>
      <w:pPr>
        <w:pStyle w:val="Style32"/>
        <w:keepNext w:val="0"/>
        <w:keepLines w:val="0"/>
        <w:widowControl w:val="0"/>
        <w:numPr>
          <w:ilvl w:val="0"/>
          <w:numId w:val="17"/>
        </w:numPr>
        <w:shd w:val="clear" w:color="auto" w:fill="auto"/>
        <w:tabs>
          <w:tab w:pos="485" w:val="left"/>
        </w:tabs>
        <w:bidi w:val="0"/>
        <w:spacing w:before="0" w:after="240" w:line="240" w:lineRule="auto"/>
        <w:ind w:left="0" w:right="0" w:firstLine="0"/>
        <w:jc w:val="left"/>
        <w:rPr>
          <w:sz w:val="20"/>
          <w:szCs w:val="20"/>
        </w:rPr>
      </w:pPr>
      <w:bookmarkStart w:id="461" w:name="bookmark461"/>
      <w:bookmarkEnd w:id="461"/>
      <w:r>
        <w:rPr>
          <w:b/>
          <w:bCs/>
          <w:color w:val="000000"/>
          <w:spacing w:val="0"/>
          <w:w w:val="100"/>
          <w:position w:val="0"/>
          <w:sz w:val="20"/>
          <w:szCs w:val="20"/>
        </w:rPr>
        <w:t>会计政策</w:t>
      </w:r>
    </w:p>
    <w:p>
      <w:pPr>
        <w:pStyle w:val="Style3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Style32"/>
        <w:keepNext w:val="0"/>
        <w:keepLines w:val="0"/>
        <w:widowControl w:val="0"/>
        <w:shd w:val="clear" w:color="auto" w:fill="auto"/>
        <w:bidi w:val="0"/>
        <w:spacing w:before="0" w:after="240" w:line="466" w:lineRule="exact"/>
        <w:ind w:left="0" w:right="0" w:firstLine="480"/>
        <w:jc w:val="both"/>
      </w:pPr>
      <w:r>
        <w:rPr>
          <w:color w:val="000000"/>
          <w:spacing w:val="0"/>
          <w:w w:val="100"/>
          <w:position w:val="0"/>
        </w:rPr>
        <w:t>与资产相关的政府补助，确认为递延收益，并在相关资产的使用寿命内平均分配计入当 期损益。与收益相关的政府补助，用于补偿以后期间的相关费用和损失的，确认为递延收益, 并在确认相关费用的期间计入当期损益；用于补偿已经发生的相关费用和损失的，直接计入 当期损益。</w:t>
      </w:r>
    </w:p>
    <w:p>
      <w:pPr>
        <w:pStyle w:val="Style32"/>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已确认的政府补助需要返还时，存在相关递延收益余额的，冲减相关递延收益账面余额, 超出部分计入当期损益；不存在相关递延收益的，直接计入当期损益。</w:t>
      </w:r>
    </w:p>
    <w:p>
      <w:pPr>
        <w:pStyle w:val="Style32"/>
        <w:keepNext w:val="0"/>
        <w:keepLines w:val="0"/>
        <w:widowControl w:val="0"/>
        <w:shd w:val="clear" w:color="auto" w:fill="auto"/>
        <w:bidi w:val="0"/>
        <w:spacing w:before="0" w:after="380" w:line="240" w:lineRule="auto"/>
        <w:ind w:left="0" w:right="0" w:firstLine="0"/>
        <w:jc w:val="left"/>
        <w:rPr>
          <w:sz w:val="20"/>
          <w:szCs w:val="20"/>
        </w:rPr>
      </w:pPr>
      <w:bookmarkStart w:id="462" w:name="bookmark462"/>
      <w:r>
        <w:rPr>
          <w:rFonts w:ascii="Times New Roman" w:eastAsia="Times New Roman" w:hAnsi="Times New Roman" w:cs="Times New Roman"/>
          <w:b/>
          <w:bCs/>
          <w:color w:val="000000"/>
          <w:spacing w:val="0"/>
          <w:w w:val="100"/>
          <w:position w:val="0"/>
          <w:sz w:val="20"/>
          <w:szCs w:val="20"/>
        </w:rPr>
        <w:t>2</w:t>
      </w:r>
      <w:bookmarkEnd w:id="462"/>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、递延所得税资产和递延所得税负债</w:t>
      </w:r>
    </w:p>
    <w:p>
      <w:pPr>
        <w:pStyle w:val="Style32"/>
        <w:keepNext w:val="0"/>
        <w:keepLines w:val="0"/>
        <w:widowControl w:val="0"/>
        <w:shd w:val="clear" w:color="auto" w:fill="auto"/>
        <w:tabs>
          <w:tab w:pos="433" w:val="left"/>
        </w:tabs>
        <w:bidi w:val="0"/>
        <w:spacing w:before="0" w:after="220" w:line="240" w:lineRule="auto"/>
        <w:ind w:left="0" w:right="0" w:firstLine="0"/>
        <w:jc w:val="left"/>
        <w:rPr>
          <w:sz w:val="20"/>
          <w:szCs w:val="20"/>
        </w:rPr>
      </w:pPr>
      <w:bookmarkStart w:id="463" w:name="bookmark463"/>
      <w:r>
        <w:rPr>
          <w:b/>
          <w:bCs/>
          <w:color w:val="000000"/>
          <w:spacing w:val="0"/>
          <w:w w:val="100"/>
          <w:position w:val="0"/>
          <w:sz w:val="20"/>
          <w:szCs w:val="20"/>
        </w:rPr>
        <w:t>（</w:t>
      </w:r>
      <w:bookmarkEnd w:id="4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确认递延所得税资产的依据</w:t>
      </w:r>
    </w:p>
    <w:p>
      <w:pPr>
        <w:pStyle w:val="Style32"/>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Style32"/>
        <w:keepNext w:val="0"/>
        <w:keepLines w:val="0"/>
        <w:widowControl w:val="0"/>
        <w:shd w:val="clear" w:color="auto" w:fill="auto"/>
        <w:tabs>
          <w:tab w:pos="433" w:val="left"/>
        </w:tabs>
        <w:bidi w:val="0"/>
        <w:spacing w:before="0" w:after="220" w:line="240" w:lineRule="auto"/>
        <w:ind w:left="0" w:right="0" w:firstLine="0"/>
        <w:jc w:val="left"/>
        <w:rPr>
          <w:sz w:val="20"/>
          <w:szCs w:val="20"/>
        </w:rPr>
      </w:pPr>
      <w:bookmarkStart w:id="464" w:name="bookmark464"/>
      <w:r>
        <w:rPr>
          <w:b/>
          <w:bCs/>
          <w:color w:val="000000"/>
          <w:spacing w:val="0"/>
          <w:w w:val="100"/>
          <w:position w:val="0"/>
          <w:sz w:val="20"/>
          <w:szCs w:val="20"/>
        </w:rPr>
        <w:t>（</w:t>
      </w:r>
      <w:bookmarkEnd w:id="4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确认递延所得税负债的依据</w:t>
      </w:r>
    </w:p>
    <w:p>
      <w:pPr>
        <w:pStyle w:val="Style32"/>
        <w:keepNext w:val="0"/>
        <w:keepLines w:val="0"/>
        <w:widowControl w:val="0"/>
        <w:shd w:val="clear" w:color="auto" w:fill="auto"/>
        <w:bidi w:val="0"/>
        <w:spacing w:before="0" w:after="400" w:line="468" w:lineRule="exact"/>
        <w:ind w:left="0" w:right="0" w:firstLine="500"/>
        <w:jc w:val="both"/>
      </w:pPr>
      <w:r>
        <w:rPr>
          <w:color w:val="000000"/>
          <w:spacing w:val="0"/>
          <w:w w:val="100"/>
          <w:position w:val="0"/>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差异，采用资产负债表债务法确认递延所得税资产及递延所得税负债。与商誉的初始确认有 关，以及与既不是企业合并、发生时也不影响会计利润和应纳税所得额（或可抵扣亏损）的 交易中产生的资产或负债的初始确认有关的应纳税暂时性差异，不予确认有关的递延所得税 负债。此外，对与子公司、联营企业及合营企业投资相关的应纳税暂时性差异，如果本集团 能够控制暂时性差异转回的时间，而且该暂时性差异在可预见的未来很可能不会转回，也不 予确认有关的递延所得税负债。除上述例外情况，本集团确认其他所有应纳税暂时性差异产 生的递延所得税负债。与既不是企业合并、发生时也不影响会计利润和应纳税所得额（或可 抵扣亏损）的交易中产生的资产或负债的初始确认有关的可抵扣暂时性差异，不予确认有关 的递延所得税资产。此外，对与子公司、联营企业及合营企业投资相关的可抵扣暂时性差异, 如果暂时性差异在可预见的未来不是很可能转回，或者未来不是很可能获得用来抵扣可抵扣 暂时性差异的应纳税所得额，不予确认有关的递延所得税资产。除上述例外情况，本集团以 很可能取得用来抵扣可抵扣暂时性差异的应纳税所得额为限，确认其他可抵扣暂时性差异产 生的递延所得税资产。对于能够结转以后年度的可抵扣亏损和税款抵减，以很可能获得用来 抵扣可抵扣亏损和税款抵减的未来应纳税所得额为限，确认相应的递延所得税资产。资产负 债表日，对于递延所得税资产和递延所得税负债，根据税法规定，按照预期收回相关资产或 清偿相关负债期间的适用税率计量。于资产负债表日，对递延所得税资产的账面价值进行复 核，如果未来很可能无法获得足够的应纳税所得额用以抵扣递延所得税资产的利益，则减记</w:t>
      </w:r>
    </w:p>
    <w:p>
      <w:pPr>
        <w:pStyle w:val="Style32"/>
        <w:keepNext w:val="0"/>
        <w:keepLines w:val="0"/>
        <w:widowControl w:val="0"/>
        <w:shd w:val="clear" w:color="auto" w:fill="auto"/>
        <w:bidi w:val="0"/>
        <w:spacing w:before="0" w:after="440" w:line="468" w:lineRule="exact"/>
        <w:ind w:left="0" w:right="0" w:firstLine="0"/>
        <w:jc w:val="left"/>
      </w:pPr>
      <w:r>
        <w:rPr>
          <w:color w:val="000000"/>
          <w:spacing w:val="0"/>
          <w:w w:val="100"/>
          <w:position w:val="0"/>
        </w:rPr>
        <w:t>递延所得税资产的账面价值。在很可能获得足够的应纳税所得额时，减记的金额予以转回。</w:t>
      </w:r>
    </w:p>
    <w:p>
      <w:pPr>
        <w:pStyle w:val="Style32"/>
        <w:keepNext w:val="0"/>
        <w:keepLines w:val="0"/>
        <w:widowControl w:val="0"/>
        <w:shd w:val="clear" w:color="auto" w:fill="auto"/>
        <w:bidi w:val="0"/>
        <w:spacing w:before="0" w:after="360" w:line="240" w:lineRule="auto"/>
        <w:ind w:left="0" w:right="0" w:firstLine="0"/>
        <w:jc w:val="left"/>
        <w:rPr>
          <w:sz w:val="20"/>
          <w:szCs w:val="20"/>
        </w:rPr>
      </w:pPr>
      <w:bookmarkStart w:id="465" w:name="bookmark465"/>
      <w:r>
        <w:rPr>
          <w:rFonts w:ascii="Times New Roman" w:eastAsia="Times New Roman" w:hAnsi="Times New Roman" w:cs="Times New Roman"/>
          <w:b/>
          <w:bCs/>
          <w:color w:val="000000"/>
          <w:spacing w:val="0"/>
          <w:w w:val="100"/>
          <w:position w:val="0"/>
          <w:sz w:val="20"/>
          <w:szCs w:val="20"/>
        </w:rPr>
        <w:t>2</w:t>
      </w:r>
      <w:bookmarkEnd w:id="46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、经营租赁、融资租赁</w:t>
      </w:r>
    </w:p>
    <w:p>
      <w:pPr>
        <w:pStyle w:val="Style32"/>
        <w:keepNext w:val="0"/>
        <w:keepLines w:val="0"/>
        <w:widowControl w:val="0"/>
        <w:shd w:val="clear" w:color="auto" w:fill="auto"/>
        <w:tabs>
          <w:tab w:pos="493" w:val="left"/>
        </w:tabs>
        <w:bidi w:val="0"/>
        <w:spacing w:before="0" w:after="240" w:line="240" w:lineRule="auto"/>
        <w:ind w:left="0" w:right="0" w:firstLine="0"/>
        <w:jc w:val="left"/>
        <w:rPr>
          <w:sz w:val="20"/>
          <w:szCs w:val="20"/>
        </w:rPr>
      </w:pPr>
      <w:bookmarkStart w:id="466" w:name="bookmark466"/>
      <w:r>
        <w:rPr>
          <w:b/>
          <w:bCs/>
          <w:color w:val="000000"/>
          <w:spacing w:val="0"/>
          <w:w w:val="100"/>
          <w:position w:val="0"/>
          <w:sz w:val="20"/>
          <w:szCs w:val="20"/>
        </w:rPr>
        <w:t>（</w:t>
      </w:r>
      <w:bookmarkEnd w:id="46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经营租赁会计处理</w:t>
      </w:r>
    </w:p>
    <w:p>
      <w:pPr>
        <w:pStyle w:val="Style32"/>
        <w:keepNext w:val="0"/>
        <w:keepLines w:val="0"/>
        <w:widowControl w:val="0"/>
        <w:shd w:val="clear" w:color="auto" w:fill="auto"/>
        <w:tabs>
          <w:tab w:pos="1026" w:val="left"/>
        </w:tabs>
        <w:bidi w:val="0"/>
        <w:spacing w:before="0" w:after="0" w:line="469" w:lineRule="exact"/>
        <w:ind w:left="0" w:right="0" w:firstLine="500"/>
        <w:jc w:val="both"/>
      </w:pPr>
      <w:bookmarkStart w:id="467" w:name="bookmark467"/>
      <w:r>
        <w:rPr>
          <w:color w:val="000000"/>
          <w:spacing w:val="0"/>
          <w:w w:val="100"/>
          <w:position w:val="0"/>
          <w:sz w:val="24"/>
          <w:szCs w:val="24"/>
        </w:rPr>
        <w:t>（</w:t>
      </w:r>
      <w:bookmarkEnd w:id="467"/>
      <w:r>
        <w:rPr>
          <w:color w:val="000000"/>
          <w:spacing w:val="0"/>
          <w:w w:val="100"/>
          <w:position w:val="0"/>
          <w:sz w:val="24"/>
          <w:szCs w:val="24"/>
        </w:rPr>
        <w:t>1）</w:t>
        <w:tab/>
      </w:r>
      <w:r>
        <w:rPr>
          <w:color w:val="000000"/>
          <w:spacing w:val="0"/>
          <w:w w:val="100"/>
          <w:position w:val="0"/>
        </w:rPr>
        <w:t>本集团作为承租人记录经营租赁业务</w:t>
      </w:r>
    </w:p>
    <w:p>
      <w:pPr>
        <w:pStyle w:val="Style3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经营租赁的租金支出在租赁期内的各个期间按直线法计入相关资产成本或当期损益。初 始直接费用计入当期损益。或有租金于实际发生时计入当期损益。</w:t>
      </w:r>
    </w:p>
    <w:p>
      <w:pPr>
        <w:pStyle w:val="Style32"/>
        <w:keepNext w:val="0"/>
        <w:keepLines w:val="0"/>
        <w:widowControl w:val="0"/>
        <w:shd w:val="clear" w:color="auto" w:fill="auto"/>
        <w:tabs>
          <w:tab w:pos="1026" w:val="left"/>
        </w:tabs>
        <w:bidi w:val="0"/>
        <w:spacing w:before="0" w:after="0" w:line="469" w:lineRule="exact"/>
        <w:ind w:left="0" w:right="0" w:firstLine="500"/>
        <w:jc w:val="both"/>
      </w:pPr>
      <w:bookmarkStart w:id="468" w:name="bookmark468"/>
      <w:r>
        <w:rPr>
          <w:color w:val="000000"/>
          <w:spacing w:val="0"/>
          <w:w w:val="100"/>
          <w:position w:val="0"/>
          <w:sz w:val="24"/>
          <w:szCs w:val="24"/>
        </w:rPr>
        <w:t>（</w:t>
      </w:r>
      <w:bookmarkEnd w:id="468"/>
      <w:r>
        <w:rPr>
          <w:color w:val="000000"/>
          <w:spacing w:val="0"/>
          <w:w w:val="100"/>
          <w:position w:val="0"/>
          <w:sz w:val="24"/>
          <w:szCs w:val="24"/>
        </w:rPr>
        <w:t>2）</w:t>
        <w:tab/>
      </w:r>
      <w:r>
        <w:rPr>
          <w:color w:val="000000"/>
          <w:spacing w:val="0"/>
          <w:w w:val="100"/>
          <w:position w:val="0"/>
        </w:rPr>
        <w:t>本集团作为出租人记录经营租赁业务</w:t>
      </w:r>
    </w:p>
    <w:p>
      <w:pPr>
        <w:pStyle w:val="Style32"/>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经营租赁的租金收入在租赁期内的各个期间按直线法确认为当期损益。对金额较大的初 始直接费用于发生时予以资本化，在整个租赁期间内按照与确认租金收入相同的基础分期计 入当期损益；其他金额较小的初始直接费用于发生时计入当期损益。或有租金于实际发生时 计入当期损益。</w:t>
      </w:r>
    </w:p>
    <w:p>
      <w:pPr>
        <w:pStyle w:val="Style32"/>
        <w:keepNext w:val="0"/>
        <w:keepLines w:val="0"/>
        <w:widowControl w:val="0"/>
        <w:shd w:val="clear" w:color="auto" w:fill="auto"/>
        <w:tabs>
          <w:tab w:pos="493" w:val="left"/>
        </w:tabs>
        <w:bidi w:val="0"/>
        <w:spacing w:before="0" w:after="240" w:line="240" w:lineRule="auto"/>
        <w:ind w:left="0" w:right="0" w:firstLine="0"/>
        <w:jc w:val="left"/>
        <w:rPr>
          <w:sz w:val="20"/>
          <w:szCs w:val="20"/>
        </w:rPr>
      </w:pPr>
      <w:bookmarkStart w:id="469" w:name="bookmark469"/>
      <w:r>
        <w:rPr>
          <w:b/>
          <w:bCs/>
          <w:color w:val="000000"/>
          <w:spacing w:val="0"/>
          <w:w w:val="100"/>
          <w:position w:val="0"/>
          <w:sz w:val="20"/>
          <w:szCs w:val="20"/>
        </w:rPr>
        <w:t>（</w:t>
      </w:r>
      <w:bookmarkEnd w:id="46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融资租赁会计处理</w:t>
      </w:r>
    </w:p>
    <w:p>
      <w:pPr>
        <w:pStyle w:val="Style32"/>
        <w:keepNext w:val="0"/>
        <w:keepLines w:val="0"/>
        <w:widowControl w:val="0"/>
        <w:shd w:val="clear" w:color="auto" w:fill="auto"/>
        <w:tabs>
          <w:tab w:pos="1026" w:val="left"/>
        </w:tabs>
        <w:bidi w:val="0"/>
        <w:spacing w:before="0" w:after="0" w:line="466" w:lineRule="exact"/>
        <w:ind w:left="0" w:right="0" w:firstLine="500"/>
        <w:jc w:val="both"/>
      </w:pPr>
      <w:bookmarkStart w:id="470" w:name="bookmark470"/>
      <w:r>
        <w:rPr>
          <w:color w:val="000000"/>
          <w:spacing w:val="0"/>
          <w:w w:val="100"/>
          <w:position w:val="0"/>
          <w:sz w:val="24"/>
          <w:szCs w:val="24"/>
        </w:rPr>
        <w:t>（</w:t>
      </w:r>
      <w:bookmarkEnd w:id="470"/>
      <w:r>
        <w:rPr>
          <w:color w:val="000000"/>
          <w:spacing w:val="0"/>
          <w:w w:val="100"/>
          <w:position w:val="0"/>
          <w:sz w:val="24"/>
          <w:szCs w:val="24"/>
        </w:rPr>
        <w:t>1）</w:t>
        <w:tab/>
      </w:r>
      <w:r>
        <w:rPr>
          <w:color w:val="000000"/>
          <w:spacing w:val="0"/>
          <w:w w:val="100"/>
          <w:position w:val="0"/>
        </w:rPr>
        <w:t>本集团作为承租人记录融资租赁业务</w:t>
      </w:r>
    </w:p>
    <w:p>
      <w:pPr>
        <w:pStyle w:val="Style3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于租赁期开始日，将租赁开始日租赁资产的公允价值与最低租赁付款额现值两者中较低 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Style3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未确认融资费用在租赁期内采用实际利率法计算确认当期的融资费用。或有租金于实际 发生时计入当期损益。</w:t>
      </w:r>
    </w:p>
    <w:p>
      <w:pPr>
        <w:pStyle w:val="Style32"/>
        <w:keepNext w:val="0"/>
        <w:keepLines w:val="0"/>
        <w:widowControl w:val="0"/>
        <w:shd w:val="clear" w:color="auto" w:fill="auto"/>
        <w:tabs>
          <w:tab w:pos="1026" w:val="left"/>
        </w:tabs>
        <w:bidi w:val="0"/>
        <w:spacing w:before="0" w:after="0" w:line="466" w:lineRule="exact"/>
        <w:ind w:left="0" w:right="0" w:firstLine="500"/>
        <w:jc w:val="both"/>
      </w:pPr>
      <w:bookmarkStart w:id="471" w:name="bookmark471"/>
      <w:r>
        <w:rPr>
          <w:color w:val="000000"/>
          <w:spacing w:val="0"/>
          <w:w w:val="100"/>
          <w:position w:val="0"/>
          <w:sz w:val="24"/>
          <w:szCs w:val="24"/>
        </w:rPr>
        <w:t>（</w:t>
      </w:r>
      <w:bookmarkEnd w:id="471"/>
      <w:r>
        <w:rPr>
          <w:color w:val="000000"/>
          <w:spacing w:val="0"/>
          <w:w w:val="100"/>
          <w:position w:val="0"/>
          <w:sz w:val="24"/>
          <w:szCs w:val="24"/>
        </w:rPr>
        <w:t>2）</w:t>
        <w:tab/>
      </w:r>
      <w:r>
        <w:rPr>
          <w:color w:val="000000"/>
          <w:spacing w:val="0"/>
          <w:w w:val="100"/>
          <w:position w:val="0"/>
        </w:rPr>
        <w:t>本集团作为出租人记录融资租赁业务</w:t>
      </w:r>
    </w:p>
    <w:p>
      <w:pPr>
        <w:pStyle w:val="Style3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于租赁期开始日，将租赁开始日最低租赁收款额与初始直接费用之和作为应收融资租赁 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Style32"/>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未实现融资收益在租赁期内采用实际利率法计算确认当期的融资收入。或有租金于实际 发生时计入当期损益。</w:t>
      </w:r>
    </w:p>
    <w:p>
      <w:pPr>
        <w:pStyle w:val="Style47"/>
        <w:keepNext/>
        <w:keepLines/>
        <w:widowControl w:val="0"/>
        <w:shd w:val="clear" w:color="auto" w:fill="auto"/>
        <w:tabs>
          <w:tab w:pos="483" w:val="left"/>
        </w:tabs>
        <w:bidi w:val="0"/>
        <w:spacing w:before="0" w:after="24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rFonts w:ascii="Times New Roman" w:eastAsia="Times New Roman" w:hAnsi="Times New Roman" w:cs="Times New Roman"/>
          <w:color w:val="000000"/>
          <w:spacing w:val="0"/>
          <w:w w:val="100"/>
          <w:position w:val="0"/>
        </w:rPr>
        <w:t>2</w:t>
      </w:r>
      <w:r>
        <w:rPr>
          <w:color w:val="000000"/>
          <w:spacing w:val="0"/>
          <w:w w:val="100"/>
          <w:position w:val="0"/>
        </w:rPr>
        <w:t>、</w:t>
        <w:tab/>
        <w:t>主要会计政策、会计估计的变更</w:t>
      </w:r>
      <w:bookmarkEnd w:id="472"/>
      <w:bookmarkEnd w:id="473"/>
      <w:bookmarkEnd w:id="475"/>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after="24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476"/>
      <w:bookmarkEnd w:id="477"/>
      <w:bookmarkEnd w:id="479"/>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本报告期主要会计政策是否变更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493" w:val="left"/>
        </w:tabs>
        <w:bidi w:val="0"/>
        <w:spacing w:before="0" w:after="24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480"/>
      <w:bookmarkEnd w:id="481"/>
      <w:bookmarkEnd w:id="483"/>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本报告期主要会计估计是否变更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483" w:val="left"/>
        </w:tabs>
        <w:bidi w:val="0"/>
        <w:spacing w:before="0" w:after="24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rFonts w:ascii="Times New Roman" w:eastAsia="Times New Roman" w:hAnsi="Times New Roman" w:cs="Times New Roman"/>
          <w:color w:val="000000"/>
          <w:spacing w:val="0"/>
          <w:w w:val="100"/>
          <w:position w:val="0"/>
        </w:rPr>
        <w:t>3</w:t>
      </w:r>
      <w:r>
        <w:rPr>
          <w:color w:val="000000"/>
          <w:spacing w:val="0"/>
          <w:w w:val="100"/>
          <w:position w:val="0"/>
        </w:rPr>
        <w:t>、</w:t>
        <w:tab/>
        <w:t>前期会计差错更正</w:t>
      </w:r>
      <w:bookmarkEnd w:id="484"/>
      <w:bookmarkEnd w:id="485"/>
      <w:bookmarkEnd w:id="487"/>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不适用</w:t>
      </w:r>
    </w:p>
    <w:p>
      <w:pPr>
        <w:pStyle w:val="Style47"/>
        <w:keepNext/>
        <w:keepLines/>
        <w:widowControl w:val="0"/>
        <w:shd w:val="clear" w:color="auto" w:fill="auto"/>
        <w:tabs>
          <w:tab w:pos="493" w:val="left"/>
        </w:tabs>
        <w:bidi w:val="0"/>
        <w:spacing w:before="0" w:after="24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488"/>
      <w:bookmarkEnd w:id="489"/>
      <w:bookmarkEnd w:id="491"/>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493" w:val="left"/>
        </w:tabs>
        <w:bidi w:val="0"/>
        <w:spacing w:before="0" w:after="24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492"/>
      <w:bookmarkEnd w:id="493"/>
      <w:bookmarkEnd w:id="495"/>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五</w:t>
      </w:r>
      <w:bookmarkEnd w:id="498"/>
      <w:r>
        <w:rPr>
          <w:color w:val="000000"/>
          <w:spacing w:val="0"/>
          <w:w w:val="100"/>
          <w:position w:val="0"/>
        </w:rPr>
        <w:t>、税项</w:t>
      </w:r>
      <w:bookmarkEnd w:id="496"/>
      <w:bookmarkEnd w:id="497"/>
      <w:bookmarkEnd w:id="499"/>
    </w:p>
    <w:p>
      <w:pPr>
        <w:pStyle w:val="Style47"/>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500"/>
      <w:bookmarkEnd w:id="501"/>
      <w:bookmarkEnd w:id="502"/>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应税营业额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pStyle w:val="Style32"/>
        <w:keepNext w:val="0"/>
        <w:keepLines w:val="0"/>
        <w:widowControl w:val="0"/>
        <w:shd w:val="clear" w:color="auto" w:fill="auto"/>
        <w:bidi w:val="0"/>
        <w:spacing w:before="0" w:after="2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、税收优惠及批文</w:t>
      </w:r>
    </w:p>
    <w:p>
      <w:pPr>
        <w:pStyle w:val="Style3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 xml:space="preserve">本公司根据国务院下发的《关于鼓励软件产业和集成电路产业若干政策的通知》（国发 </w:t>
      </w:r>
      <w:r>
        <w:rPr>
          <w:color w:val="000000"/>
          <w:spacing w:val="0"/>
          <w:w w:val="100"/>
          <w:position w:val="0"/>
          <w:sz w:val="24"/>
          <w:szCs w:val="24"/>
        </w:rPr>
        <w:t>[2011]4</w:t>
      </w:r>
      <w:r>
        <w:rPr>
          <w:color w:val="000000"/>
          <w:spacing w:val="0"/>
          <w:w w:val="100"/>
          <w:position w:val="0"/>
        </w:rPr>
        <w:t>号）和财政部、国家税务总局和海关总署联合下发的《关于鼓励软件产业和集成电路 产业发展有关税收政策问题的通知》（财税</w:t>
      </w:r>
      <w:r>
        <w:rPr>
          <w:color w:val="000000"/>
          <w:spacing w:val="0"/>
          <w:w w:val="100"/>
          <w:position w:val="0"/>
          <w:sz w:val="24"/>
          <w:szCs w:val="24"/>
        </w:rPr>
        <w:t>[2011]100</w:t>
      </w:r>
      <w:r>
        <w:rPr>
          <w:color w:val="000000"/>
          <w:spacing w:val="0"/>
          <w:w w:val="100"/>
          <w:position w:val="0"/>
        </w:rPr>
        <w:t>号），本公司销售其自行开发生产的软件 产品，按</w:t>
      </w:r>
      <w:r>
        <w:rPr>
          <w:color w:val="000000"/>
          <w:spacing w:val="0"/>
          <w:w w:val="100"/>
          <w:position w:val="0"/>
          <w:sz w:val="24"/>
          <w:szCs w:val="24"/>
        </w:rPr>
        <w:t>17%</w:t>
      </w:r>
      <w:r>
        <w:rPr>
          <w:color w:val="000000"/>
          <w:spacing w:val="0"/>
          <w:w w:val="100"/>
          <w:position w:val="0"/>
        </w:rPr>
        <w:t>的法定税率征收增值税后，享受增值税实际税负超过</w:t>
      </w:r>
      <w:r>
        <w:rPr>
          <w:color w:val="000000"/>
          <w:spacing w:val="0"/>
          <w:w w:val="100"/>
          <w:position w:val="0"/>
          <w:sz w:val="24"/>
          <w:szCs w:val="24"/>
        </w:rPr>
        <w:t>3%</w:t>
      </w:r>
      <w:r>
        <w:rPr>
          <w:color w:val="000000"/>
          <w:spacing w:val="0"/>
          <w:w w:val="100"/>
          <w:position w:val="0"/>
        </w:rPr>
        <w:t>的部分实行即征即退。</w:t>
      </w:r>
    </w:p>
    <w:p>
      <w:pPr>
        <w:pStyle w:val="Style3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根据国家发展和改革委员会、工业和信息化部、财政部、商务部、国家税务总局等五部 委联合下发的《关于印发</w:t>
      </w:r>
      <w:r>
        <w:rPr>
          <w:color w:val="000000"/>
          <w:spacing w:val="0"/>
          <w:w w:val="100"/>
          <w:position w:val="0"/>
          <w:sz w:val="24"/>
          <w:szCs w:val="24"/>
        </w:rPr>
        <w:t>2013-2014</w:t>
      </w:r>
      <w:r>
        <w:rPr>
          <w:color w:val="000000"/>
          <w:spacing w:val="0"/>
          <w:w w:val="100"/>
          <w:position w:val="0"/>
        </w:rPr>
        <w:t>年度国家规划布局内重点软件企业和集成电路设计企业 名单的通知》（发改高技</w:t>
      </w:r>
      <w:r>
        <w:rPr>
          <w:color w:val="000000"/>
          <w:spacing w:val="0"/>
          <w:w w:val="100"/>
          <w:position w:val="0"/>
          <w:sz w:val="24"/>
          <w:szCs w:val="24"/>
        </w:rPr>
        <w:t>[2013]2458</w:t>
      </w:r>
      <w:r>
        <w:rPr>
          <w:color w:val="000000"/>
          <w:spacing w:val="0"/>
          <w:w w:val="100"/>
          <w:position w:val="0"/>
        </w:rPr>
        <w:t>号）</w:t>
      </w:r>
      <w:r>
        <w:rPr>
          <w:color w:val="000000"/>
          <w:spacing w:val="0"/>
          <w:w w:val="100"/>
          <w:position w:val="0"/>
          <w:sz w:val="24"/>
          <w:szCs w:val="24"/>
        </w:rPr>
        <w:t>，</w:t>
      </w:r>
      <w:r>
        <w:rPr>
          <w:color w:val="000000"/>
          <w:spacing w:val="0"/>
          <w:w w:val="100"/>
          <w:position w:val="0"/>
        </w:rPr>
        <w:t>本公司被确定为</w:t>
      </w:r>
      <w:r>
        <w:rPr>
          <w:color w:val="000000"/>
          <w:spacing w:val="0"/>
          <w:w w:val="100"/>
          <w:position w:val="0"/>
          <w:sz w:val="24"/>
          <w:szCs w:val="24"/>
        </w:rPr>
        <w:t>“2013-2014</w:t>
      </w:r>
      <w:r>
        <w:rPr>
          <w:color w:val="000000"/>
          <w:spacing w:val="0"/>
          <w:w w:val="100"/>
          <w:position w:val="0"/>
        </w:rPr>
        <w:t>年度国家规划布局 内重点软件企业”。获发“国家规划布局内重点软件企业证书”。根据《财政部国家税务总 局关于进一步鼓励软件产业和集成电路产业发展企业所得税政策的通知》（财税</w:t>
      </w:r>
      <w:r>
        <w:rPr>
          <w:color w:val="000000"/>
          <w:spacing w:val="0"/>
          <w:w w:val="100"/>
          <w:position w:val="0"/>
          <w:sz w:val="24"/>
          <w:szCs w:val="24"/>
        </w:rPr>
        <w:t>[2012）27</w:t>
      </w:r>
      <w:r>
        <w:rPr>
          <w:color w:val="000000"/>
          <w:spacing w:val="0"/>
          <w:w w:val="100"/>
          <w:position w:val="0"/>
        </w:rPr>
        <w:t>号） 的规定，国家规划布局内重点软件企业可享受企业所得税减按</w:t>
      </w:r>
      <w:r>
        <w:rPr>
          <w:color w:val="000000"/>
          <w:spacing w:val="0"/>
          <w:w w:val="100"/>
          <w:position w:val="0"/>
          <w:sz w:val="24"/>
          <w:szCs w:val="24"/>
        </w:rPr>
        <w:t>10%</w:t>
      </w:r>
      <w:r>
        <w:rPr>
          <w:color w:val="000000"/>
          <w:spacing w:val="0"/>
          <w:w w:val="100"/>
          <w:position w:val="0"/>
        </w:rPr>
        <w:t>税率征收的优惠政策。</w:t>
      </w:r>
    </w:p>
    <w:p>
      <w:pPr>
        <w:pStyle w:val="Style32"/>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本公司的子公司北京汉王智通科技有限公司于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31</w:t>
      </w:r>
      <w:r>
        <w:rPr>
          <w:color w:val="000000"/>
          <w:spacing w:val="0"/>
          <w:w w:val="100"/>
          <w:position w:val="0"/>
        </w:rPr>
        <w:t>日取得《软件企业认定证书》 （证书编号：京</w:t>
      </w:r>
      <w:r>
        <w:rPr>
          <w:color w:val="000000"/>
          <w:spacing w:val="0"/>
          <w:w w:val="100"/>
          <w:position w:val="0"/>
          <w:sz w:val="24"/>
          <w:szCs w:val="24"/>
        </w:rPr>
        <w:t>R-2013-0330）</w:t>
      </w:r>
      <w:r>
        <w:rPr>
          <w:color w:val="000000"/>
          <w:spacing w:val="0"/>
          <w:w w:val="100"/>
          <w:position w:val="0"/>
        </w:rPr>
        <w:t>，根据《进一步鼓励软件产业和集成电路产业发展的若干政策》 （国发</w:t>
      </w:r>
      <w:r>
        <w:rPr>
          <w:color w:val="000000"/>
          <w:spacing w:val="0"/>
          <w:w w:val="100"/>
          <w:position w:val="0"/>
          <w:sz w:val="24"/>
          <w:szCs w:val="24"/>
        </w:rPr>
        <w:t>[2012]27</w:t>
      </w:r>
      <w:r>
        <w:rPr>
          <w:color w:val="000000"/>
          <w:spacing w:val="0"/>
          <w:w w:val="100"/>
          <w:position w:val="0"/>
        </w:rPr>
        <w:t>号）的规定，软件企业自获利年度起可享受企业所得税“两免三减半”的优 惠政策。</w:t>
      </w:r>
    </w:p>
    <w:p>
      <w:pPr>
        <w:pStyle w:val="Style32"/>
        <w:keepNext w:val="0"/>
        <w:keepLines w:val="0"/>
        <w:widowControl w:val="0"/>
        <w:shd w:val="clear" w:color="auto" w:fill="auto"/>
        <w:bidi w:val="0"/>
        <w:spacing w:before="0" w:after="380" w:line="468" w:lineRule="exact"/>
        <w:ind w:left="0" w:right="0" w:firstLine="0"/>
        <w:jc w:val="left"/>
      </w:pPr>
      <w:bookmarkStart w:id="503" w:name="bookmark503"/>
      <w:r>
        <w:rPr>
          <w:b/>
          <w:bCs/>
          <w:color w:val="000000"/>
          <w:spacing w:val="0"/>
          <w:w w:val="100"/>
          <w:position w:val="0"/>
        </w:rPr>
        <w:t>六</w:t>
      </w:r>
      <w:bookmarkEnd w:id="503"/>
      <w:r>
        <w:rPr>
          <w:b/>
          <w:bCs/>
          <w:color w:val="000000"/>
          <w:spacing w:val="0"/>
          <w:w w:val="100"/>
          <w:position w:val="0"/>
        </w:rPr>
        <w:t>、企业合并及合并财务报表</w:t>
      </w:r>
    </w:p>
    <w:p>
      <w:pPr>
        <w:pStyle w:val="Style32"/>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、子公司情况</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）通过设立或投资等方式取得的子公司</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子公司 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业务性 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注册资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经营范 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期末实 际投资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是否合</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并报表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少数股 东权益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从母公 司所有 者权益 冲减子 公司少 数股东 分担的 本期亏 损超过 少数股 东在该 子公司 年初所</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有者权 益中所 享有份 额后的 余额</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上海政 通信息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全资子</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 软件领 域内的 技术开 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北京数 字政通 信息技 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全资子</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 软件研 发、技 术转 让、技 术咨 询、技 术服 务；计 算机系 统集 成；电 脑图文 设计、 制作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7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武汉智 慧政通 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全资子</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 软件研 发、转 让；技 术咨询 服务； 图文设 计制 作；商 务信息 咨询； 货物及 技术进 出口 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r>
        <w:br w:type="page"/>
      </w:r>
    </w:p>
    <w:p>
      <w:pPr>
        <w:pStyle w:val="Style47"/>
        <w:keepNext/>
        <w:keepLines/>
        <w:widowControl w:val="0"/>
        <w:shd w:val="clear" w:color="auto" w:fill="auto"/>
        <w:bidi w:val="0"/>
        <w:spacing w:before="0" w:after="360" w:line="240" w:lineRule="auto"/>
        <w:ind w:left="0" w:right="0" w:firstLine="0"/>
        <w:jc w:val="left"/>
      </w:pPr>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)非同一控制下企业合并取得的子公司</w:t>
      </w:r>
      <w:bookmarkEnd w:id="504"/>
      <w:bookmarkEnd w:id="505"/>
      <w:bookmarkEnd w:id="50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子公司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业务性 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注册资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经营范 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期末实 际投资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实质上 构成对 子公司 净投资 的其他 项目余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并报表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少数股 东权益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少数股 东权益 中用于 冲减少 数股东 损益的 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从母公 司所有 者权益 冲减子 公司少 数股东 分担的 本期亏 损超过 少数股 东在该 子公司 年初所 有者权 益中所 享有份 额后的 余额</w:t>
            </w:r>
          </w:p>
        </w:tc>
      </w:tr>
      <w:tr>
        <w:trPr>
          <w:trHeight w:val="540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北京汉 王智通 科技有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控股子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计算机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 发、技 术推 广、技 术转 让、技 术咨 询、技 术服 务；计 算机系 统集 成；软 件开 发；集 成电路 设计。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r>
        <w:br w:type="page"/>
      </w:r>
    </w:p>
    <w:p>
      <w:pPr>
        <w:pStyle w:val="Style26"/>
        <w:keepNext/>
        <w:keepLines/>
        <w:widowControl w:val="0"/>
        <w:shd w:val="clear" w:color="auto" w:fill="auto"/>
        <w:bidi w:val="0"/>
        <w:spacing w:before="0" w:after="3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七</w:t>
      </w:r>
      <w:bookmarkEnd w:id="509"/>
      <w:r>
        <w:rPr>
          <w:color w:val="000000"/>
          <w:spacing w:val="0"/>
          <w:w w:val="100"/>
          <w:position w:val="0"/>
        </w:rPr>
        <w:t>、合并财务报表主要项目注释</w:t>
      </w:r>
      <w:bookmarkEnd w:id="507"/>
      <w:bookmarkEnd w:id="508"/>
      <w:bookmarkEnd w:id="510"/>
    </w:p>
    <w:p>
      <w:pPr>
        <w:pStyle w:val="Style47"/>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511"/>
      <w:bookmarkEnd w:id="512"/>
      <w:bookmarkEnd w:id="51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68,538.93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68,538.93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57,612.75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682,555,320.73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666,657,073.90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682,555,320.73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666,657,073.90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6,670,614.37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6,670,614.37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689,294,474.03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666,714,686.65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39" w:line="1" w:lineRule="exact"/>
      </w:pPr>
    </w:p>
    <w:p>
      <w:pPr>
        <w:pStyle w:val="Style50"/>
        <w:keepNext/>
        <w:keepLines/>
        <w:widowControl w:val="0"/>
        <w:shd w:val="clear" w:color="auto" w:fill="auto"/>
        <w:bidi w:val="0"/>
        <w:spacing w:before="0" w:line="240" w:lineRule="auto"/>
        <w:ind w:left="0" w:right="0"/>
        <w:jc w:val="left"/>
      </w:pPr>
      <w:bookmarkStart w:id="514" w:name="bookmark514"/>
      <w:bookmarkStart w:id="515" w:name="bookmark515"/>
      <w:bookmarkStart w:id="516" w:name="bookmark516"/>
      <w:r>
        <w:rPr>
          <w:color w:val="000000"/>
          <w:spacing w:val="0"/>
          <w:w w:val="100"/>
          <w:position w:val="0"/>
        </w:rPr>
        <w:t>注：截至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日公司开立保函</w:t>
      </w:r>
      <w:r>
        <w:rPr>
          <w:color w:val="000000"/>
          <w:spacing w:val="0"/>
          <w:w w:val="100"/>
          <w:position w:val="0"/>
          <w:sz w:val="24"/>
          <w:szCs w:val="24"/>
        </w:rPr>
        <w:t>6,670,614.37</w:t>
      </w:r>
      <w:r>
        <w:rPr>
          <w:color w:val="000000"/>
          <w:spacing w:val="0"/>
          <w:w w:val="100"/>
          <w:position w:val="0"/>
        </w:rPr>
        <w:t>元尚未到期。</w:t>
      </w:r>
      <w:bookmarkEnd w:id="514"/>
      <w:bookmarkEnd w:id="515"/>
      <w:bookmarkEnd w:id="516"/>
    </w:p>
    <w:p>
      <w:pPr>
        <w:pStyle w:val="Style47"/>
        <w:keepNext/>
        <w:keepLines/>
        <w:widowControl w:val="0"/>
        <w:shd w:val="clear" w:color="auto" w:fill="auto"/>
        <w:bidi w:val="0"/>
        <w:spacing w:before="0" w:after="360" w:line="240" w:lineRule="auto"/>
        <w:ind w:left="0" w:right="0" w:firstLine="0"/>
        <w:jc w:val="left"/>
      </w:pPr>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517"/>
      <w:bookmarkEnd w:id="518"/>
      <w:bookmarkEnd w:id="519"/>
    </w:p>
    <w:p>
      <w:pPr>
        <w:pStyle w:val="Style47"/>
        <w:keepNext/>
        <w:keepLines/>
        <w:widowControl w:val="0"/>
        <w:shd w:val="clear" w:color="auto" w:fill="auto"/>
        <w:bidi w:val="0"/>
        <w:spacing w:before="0" w:after="360" w:line="240" w:lineRule="auto"/>
        <w:ind w:left="0" w:right="0" w:firstLine="140"/>
        <w:jc w:val="left"/>
      </w:pPr>
      <w:bookmarkStart w:id="517" w:name="bookmark517"/>
      <w:bookmarkStart w:id="518" w:name="bookmark518"/>
      <w:bookmarkStart w:id="520" w:name="bookmark520"/>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517"/>
      <w:bookmarkEnd w:id="518"/>
      <w:bookmarkEnd w:id="52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1,016,400.00</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、应收账款</w:t>
      </w:r>
      <w:bookmarkEnd w:id="521"/>
      <w:bookmarkEnd w:id="522"/>
      <w:bookmarkEnd w:id="524"/>
    </w:p>
    <w:p>
      <w:pPr>
        <w:pStyle w:val="Style47"/>
        <w:keepNext/>
        <w:keepLines/>
        <w:widowControl w:val="0"/>
        <w:shd w:val="clear" w:color="auto" w:fill="auto"/>
        <w:bidi w:val="0"/>
        <w:spacing w:before="0" w:after="360" w:line="240" w:lineRule="auto"/>
        <w:ind w:left="0" w:right="0" w:firstLine="0"/>
        <w:jc w:val="left"/>
      </w:pPr>
      <w:bookmarkStart w:id="521" w:name="bookmark521"/>
      <w:bookmarkStart w:id="522" w:name="bookmark522"/>
      <w:bookmarkStart w:id="525" w:name="bookmark5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521"/>
      <w:bookmarkEnd w:id="522"/>
      <w:bookmarkEnd w:id="525"/>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225,370,54</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19,092,081.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165,378,7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11,572,958.0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225,370,54</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19,092,081.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165,378,7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11,572,958.0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225,370,54</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19,092,081.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165,378,7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11,572,958.0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139" w:line="1" w:lineRule="exact"/>
      </w:pPr>
    </w:p>
    <w:p>
      <w:pPr>
        <w:pStyle w:val="Style50"/>
        <w:keepNext/>
        <w:keepLines/>
        <w:widowControl w:val="0"/>
        <w:shd w:val="clear" w:color="auto" w:fill="auto"/>
        <w:bidi w:val="0"/>
        <w:spacing w:before="0" w:after="100" w:line="240" w:lineRule="auto"/>
        <w:ind w:left="0" w:right="0" w:firstLine="480"/>
        <w:jc w:val="left"/>
      </w:pPr>
      <w:bookmarkStart w:id="526" w:name="bookmark526"/>
      <w:bookmarkStart w:id="527" w:name="bookmark527"/>
      <w:bookmarkStart w:id="528" w:name="bookmark528"/>
      <w:r>
        <w:rPr>
          <w:color w:val="000000"/>
          <w:spacing w:val="0"/>
          <w:w w:val="100"/>
          <w:position w:val="0"/>
          <w:sz w:val="24"/>
          <w:szCs w:val="24"/>
        </w:rPr>
        <w:t>2）</w:t>
      </w:r>
      <w:r>
        <w:rPr>
          <w:color w:val="000000"/>
          <w:spacing w:val="0"/>
          <w:w w:val="100"/>
          <w:position w:val="0"/>
        </w:rPr>
        <w:t>应收账款按账龄列示</w:t>
      </w:r>
      <w:bookmarkEnd w:id="526"/>
      <w:bookmarkEnd w:id="527"/>
      <w:bookmarkEnd w:id="528"/>
    </w:p>
    <w:tbl>
      <w:tblPr>
        <w:tblOverlap w:val="never"/>
        <w:jc w:val="center"/>
        <w:tblLayout w:type="fixed"/>
      </w:tblPr>
      <w:tblGrid>
        <w:gridCol w:w="1373"/>
        <w:gridCol w:w="2294"/>
        <w:gridCol w:w="1790"/>
        <w:gridCol w:w="2054"/>
        <w:gridCol w:w="1718"/>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160,507,980.22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134,337,249.78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81.23</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46,711,809.08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24,086,195.94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15,369,387.53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5,879,832.49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2,781,369.93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1,075,500.00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0.65</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225,370,546.76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165,378,778.21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160,507,980.22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8,025,399.01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134,337,249.78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6,716,738.75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46,711,809.08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4,671,180.91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24,086,195.94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2,408,619.59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15,369,387.53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4,610,816.26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5,879,832.49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1,763,949.75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1,763,369.93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881,684.96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225,370,546.76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19,092,081.14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165,378,778.21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11,572,958.09</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7"/>
        <w:keepNext/>
        <w:keepLines/>
        <w:widowControl w:val="0"/>
        <w:shd w:val="clear" w:color="auto" w:fill="auto"/>
        <w:bidi w:val="0"/>
        <w:spacing w:before="0" w:after="360" w:line="240" w:lineRule="auto"/>
        <w:ind w:left="0" w:right="0" w:firstLine="0"/>
        <w:jc w:val="left"/>
      </w:pPr>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529"/>
      <w:bookmarkEnd w:id="530"/>
      <w:bookmarkEnd w:id="53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南京盾华交通科技有限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6,938,974.36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山东动脉智能系统技术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3,893,600.00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西安旭龙电子技术有限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3,861,750.00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洛阳市涧西区城市综合 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3,754,004.00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中兴智能交通(无锡)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3,564,380.09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22,012,708.45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、其他应收款</w:t>
      </w:r>
      <w:bookmarkEnd w:id="532"/>
      <w:bookmarkEnd w:id="533"/>
      <w:bookmarkEnd w:id="535"/>
    </w:p>
    <w:p>
      <w:pPr>
        <w:pStyle w:val="Style47"/>
        <w:keepNext/>
        <w:keepLines/>
        <w:widowControl w:val="0"/>
        <w:shd w:val="clear" w:color="auto" w:fill="auto"/>
        <w:bidi w:val="0"/>
        <w:spacing w:before="0" w:after="360" w:line="240" w:lineRule="auto"/>
        <w:ind w:left="0" w:right="0" w:firstLine="0"/>
        <w:jc w:val="left"/>
      </w:pPr>
      <w:bookmarkStart w:id="532" w:name="bookmark532"/>
      <w:bookmarkStart w:id="533" w:name="bookmark533"/>
      <w:bookmarkStart w:id="536" w:name="bookmark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532"/>
      <w:bookmarkEnd w:id="533"/>
      <w:bookmarkEnd w:id="53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按组合计提坏账准备的其他应收款</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1,003,617.26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备用金、押金及保证金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47,907,088.7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36,739,890.1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48,910,706.0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36,739,890.1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48,910,706.0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36,739,890.1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119" w:line="1" w:lineRule="exact"/>
      </w:pPr>
    </w:p>
    <w:p>
      <w:pPr>
        <w:pStyle w:val="Style50"/>
        <w:keepNext/>
        <w:keepLines/>
        <w:widowControl w:val="0"/>
        <w:shd w:val="clear" w:color="auto" w:fill="auto"/>
        <w:bidi w:val="0"/>
        <w:spacing w:before="0" w:after="120" w:line="240" w:lineRule="auto"/>
        <w:ind w:left="0" w:right="0" w:firstLine="620"/>
        <w:jc w:val="left"/>
      </w:pPr>
      <w:bookmarkStart w:id="537" w:name="bookmark537"/>
      <w:bookmarkStart w:id="538" w:name="bookmark538"/>
      <w:bookmarkStart w:id="539" w:name="bookmark539"/>
      <w:r>
        <w:rPr>
          <w:color w:val="000000"/>
          <w:spacing w:val="0"/>
          <w:w w:val="100"/>
          <w:position w:val="0"/>
          <w:sz w:val="24"/>
          <w:szCs w:val="24"/>
        </w:rPr>
        <w:t>(2)</w:t>
      </w:r>
      <w:r>
        <w:rPr>
          <w:color w:val="000000"/>
          <w:spacing w:val="0"/>
          <w:w w:val="100"/>
          <w:position w:val="0"/>
        </w:rPr>
        <w:t>其他应收款按账龄列示</w:t>
      </w:r>
      <w:bookmarkEnd w:id="537"/>
      <w:bookmarkEnd w:id="538"/>
      <w:bookmarkEnd w:id="539"/>
    </w:p>
    <w:tbl>
      <w:tblPr>
        <w:tblOverlap w:val="never"/>
        <w:jc w:val="center"/>
        <w:tblLayout w:type="fixed"/>
      </w:tblPr>
      <w:tblGrid>
        <w:gridCol w:w="1536"/>
        <w:gridCol w:w="2131"/>
        <w:gridCol w:w="1790"/>
        <w:gridCol w:w="2054"/>
        <w:gridCol w:w="1718"/>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37,778,999.10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77.24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32,849,796.83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89.41</w:t>
            </w:r>
          </w:p>
        </w:tc>
      </w:tr>
    </w:tbl>
    <w:p>
      <w:pPr>
        <w:widowControl w:val="0"/>
        <w:spacing w:line="1" w:lineRule="exact"/>
      </w:pPr>
      <w:r>
        <w:br w:type="page"/>
      </w:r>
    </w:p>
    <w:tbl>
      <w:tblPr>
        <w:tblOverlap w:val="never"/>
        <w:jc w:val="center"/>
        <w:tblLayout w:type="fixed"/>
      </w:tblPr>
      <w:tblGrid>
        <w:gridCol w:w="1536"/>
        <w:gridCol w:w="2131"/>
        <w:gridCol w:w="1790"/>
        <w:gridCol w:w="2054"/>
        <w:gridCol w:w="171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7,681,951.43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3,043,909.32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20"/>
                <w:szCs w:val="20"/>
              </w:rPr>
            </w:pPr>
            <w:r>
              <w:rPr>
                <w:rFonts w:ascii="Times New Roman" w:eastAsia="Times New Roman" w:hAnsi="Times New Roman" w:cs="Times New Roman"/>
                <w:color w:val="000000"/>
                <w:spacing w:val="0"/>
                <w:w w:val="100"/>
                <w:position w:val="0"/>
                <w:sz w:val="20"/>
                <w:szCs w:val="20"/>
              </w:rPr>
              <w:t>2,603,571.50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531,096.00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846,184.00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20"/>
                <w:szCs w:val="20"/>
              </w:rPr>
            </w:pPr>
            <w:r>
              <w:rPr>
                <w:rFonts w:ascii="Times New Roman" w:eastAsia="Times New Roman" w:hAnsi="Times New Roman" w:cs="Times New Roman"/>
                <w:color w:val="000000"/>
                <w:spacing w:val="0"/>
                <w:w w:val="100"/>
                <w:position w:val="0"/>
                <w:sz w:val="20"/>
                <w:szCs w:val="20"/>
              </w:rPr>
              <w:t>315,088.00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0.85</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48,910,706.03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36,739,890.15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239" w:line="1" w:lineRule="exact"/>
      </w:pPr>
    </w:p>
    <w:p>
      <w:pPr>
        <w:pStyle w:val="Style28"/>
        <w:keepNext w:val="0"/>
        <w:keepLines w:val="0"/>
        <w:widowControl w:val="0"/>
        <w:shd w:val="clear" w:color="auto" w:fill="auto"/>
        <w:bidi w:val="0"/>
        <w:spacing w:before="0" w:after="0" w:line="354"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4" w:lineRule="exact"/>
        <w:ind w:left="0" w:right="0" w:firstLine="0"/>
        <w:jc w:val="left"/>
      </w:pPr>
      <w:r>
        <w:rPr>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4"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354"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856"/>
        <w:gridCol w:w="276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1,003,617.26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47,907,088.77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48,910,706.03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540"/>
      <w:bookmarkEnd w:id="541"/>
      <w:bookmarkEnd w:id="54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国税局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13,376,038.13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鄂尔多斯市东胜区信息 化委员会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3,929,750.00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温州市城市管理与行政 执法局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延边朝鲜自治州政府采 购中心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24,657,788.13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bl>
    <w:p>
      <w:pPr>
        <w:widowControl w:val="0"/>
        <w:spacing w:after="319" w:line="1" w:lineRule="exact"/>
      </w:pPr>
    </w:p>
    <w:p>
      <w:pPr>
        <w:pStyle w:val="Style47"/>
        <w:keepNext/>
        <w:keepLines/>
        <w:widowControl w:val="0"/>
        <w:numPr>
          <w:ilvl w:val="0"/>
          <w:numId w:val="17"/>
        </w:numPr>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bookmarkEnd w:id="545"/>
      <w:r>
        <w:rPr>
          <w:color w:val="000000"/>
          <w:spacing w:val="0"/>
          <w:w w:val="100"/>
          <w:position w:val="0"/>
        </w:rPr>
        <w:t>报告期末按应收金额确认的政府补助</w:t>
      </w:r>
      <w:bookmarkEnd w:id="543"/>
      <w:bookmarkEnd w:id="544"/>
      <w:bookmarkEnd w:id="546"/>
    </w:p>
    <w:p>
      <w:pPr>
        <w:pStyle w:val="Style28"/>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142"/>
        <w:gridCol w:w="1262"/>
        <w:gridCol w:w="926"/>
        <w:gridCol w:w="931"/>
        <w:gridCol w:w="1195"/>
        <w:gridCol w:w="1330"/>
        <w:gridCol w:w="1195"/>
        <w:gridCol w:w="1603"/>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政府补助项目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预计收取时间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预计收取金额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预计收取依据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未能在预计时点收</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到预计金额的原因</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（如有）</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软件企业增值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13,376,038.</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 xml:space="preserve">日， 本公司已获得 主管税务机关 批准的软件产 品增值税即征 即退税额为 </w:t>
            </w:r>
            <w:r>
              <w:rPr>
                <w:rFonts w:ascii="Times New Roman" w:eastAsia="Times New Roman" w:hAnsi="Times New Roman" w:cs="Times New Roman"/>
                <w:color w:val="000000"/>
                <w:spacing w:val="0"/>
                <w:w w:val="100"/>
                <w:position w:val="0"/>
                <w:sz w:val="18"/>
                <w:szCs w:val="18"/>
              </w:rPr>
              <w:t xml:space="preserve">28,875,055.38 </w:t>
            </w:r>
            <w:r>
              <w:rPr>
                <w:color w:val="000000"/>
                <w:spacing w:val="0"/>
                <w:w w:val="100"/>
                <w:position w:val="0"/>
                <w:sz w:val="17"/>
                <w:szCs w:val="17"/>
              </w:rPr>
              <w:t>元，其中</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年度实际收到 </w:t>
            </w:r>
            <w:r>
              <w:rPr>
                <w:rFonts w:ascii="Times New Roman" w:eastAsia="Times New Roman" w:hAnsi="Times New Roman" w:cs="Times New Roman"/>
                <w:color w:val="000000"/>
                <w:spacing w:val="0"/>
                <w:w w:val="100"/>
                <w:position w:val="0"/>
                <w:sz w:val="18"/>
                <w:szCs w:val="18"/>
              </w:rPr>
              <w:t xml:space="preserve">15,499,017.25 </w:t>
            </w:r>
            <w:r>
              <w:rPr>
                <w:color w:val="000000"/>
                <w:spacing w:val="0"/>
                <w:w w:val="100"/>
                <w:position w:val="0"/>
                <w:sz w:val="17"/>
                <w:szCs w:val="17"/>
              </w:rPr>
              <w:t xml:space="preserve">元，其余于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 收到。</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13,376,038.</w:t>
            </w:r>
          </w:p>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5</w:t>
      </w:r>
      <w:bookmarkEnd w:id="549"/>
      <w:r>
        <w:rPr>
          <w:color w:val="000000"/>
          <w:spacing w:val="0"/>
          <w:w w:val="100"/>
          <w:position w:val="0"/>
        </w:rPr>
        <w:t>、预付款项</w:t>
      </w:r>
      <w:bookmarkEnd w:id="547"/>
      <w:bookmarkEnd w:id="548"/>
      <w:bookmarkEnd w:id="550"/>
    </w:p>
    <w:p>
      <w:pPr>
        <w:pStyle w:val="Style47"/>
        <w:keepNext/>
        <w:keepLines/>
        <w:widowControl w:val="0"/>
        <w:shd w:val="clear" w:color="auto" w:fill="auto"/>
        <w:bidi w:val="0"/>
        <w:spacing w:before="0" w:after="360" w:line="240" w:lineRule="auto"/>
        <w:ind w:left="0" w:right="0" w:firstLine="0"/>
        <w:jc w:val="left"/>
      </w:pPr>
      <w:bookmarkStart w:id="547" w:name="bookmark547"/>
      <w:bookmarkStart w:id="548" w:name="bookmark548"/>
      <w:bookmarkStart w:id="551" w:name="bookmark55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547"/>
      <w:bookmarkEnd w:id="548"/>
      <w:bookmarkEnd w:id="55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3,856,315.97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3,901,315.97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1,344,500.00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552" w:name="bookmark552"/>
      <w:bookmarkStart w:id="553" w:name="bookmark553"/>
      <w:bookmarkStart w:id="554" w:name="bookmark5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552"/>
      <w:bookmarkEnd w:id="553"/>
      <w:bookmarkEnd w:id="55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北京维纳斯达科技有限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预付项目采购款</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宁波华路德交通设备科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预付项目采购款</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江苏迪生建设集团有限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预付项目采购款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蛟河市淞美装饰部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预付项目采购款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李广俭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预付项目采购款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3,778,697.00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预付款项主要单位的说明</w:t>
      </w:r>
    </w:p>
    <w:p>
      <w:pPr>
        <w:pStyle w:val="Style47"/>
        <w:keepNext/>
        <w:keepLines/>
        <w:widowControl w:val="0"/>
        <w:shd w:val="clear" w:color="auto" w:fill="auto"/>
        <w:bidi w:val="0"/>
        <w:spacing w:before="0" w:after="36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6</w:t>
      </w:r>
      <w:bookmarkEnd w:id="557"/>
      <w:r>
        <w:rPr>
          <w:color w:val="000000"/>
          <w:spacing w:val="0"/>
          <w:w w:val="100"/>
          <w:position w:val="0"/>
        </w:rPr>
        <w:t>、存货</w:t>
      </w:r>
      <w:bookmarkEnd w:id="555"/>
      <w:bookmarkEnd w:id="556"/>
      <w:bookmarkEnd w:id="558"/>
    </w:p>
    <w:p>
      <w:pPr>
        <w:pStyle w:val="Style47"/>
        <w:keepNext/>
        <w:keepLines/>
        <w:widowControl w:val="0"/>
        <w:shd w:val="clear" w:color="auto" w:fill="auto"/>
        <w:bidi w:val="0"/>
        <w:spacing w:before="0" w:after="360" w:line="240" w:lineRule="auto"/>
        <w:ind w:left="0" w:right="0" w:firstLine="140"/>
        <w:jc w:val="both"/>
      </w:pPr>
      <w:bookmarkStart w:id="555" w:name="bookmark555"/>
      <w:bookmarkStart w:id="556" w:name="bookmark556"/>
      <w:bookmarkStart w:id="559" w:name="bookmark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555"/>
      <w:bookmarkEnd w:id="556"/>
      <w:bookmarkEnd w:id="55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35,298,258.60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35,298,258.60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14,815,369.23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14,815,369.23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5,790,766.00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5,790,766.00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36,564,268.22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36,564,268.22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41,089,024.60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41,089,024.60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51,379,637.45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51,379,637.45</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7</w:t>
      </w:r>
      <w:bookmarkEnd w:id="562"/>
      <w:r>
        <w:rPr>
          <w:color w:val="000000"/>
          <w:spacing w:val="0"/>
          <w:w w:val="100"/>
          <w:position w:val="0"/>
        </w:rPr>
        <w:t>、其他流动资产</w:t>
      </w:r>
      <w:bookmarkEnd w:id="560"/>
      <w:bookmarkEnd w:id="561"/>
      <w:bookmarkEnd w:id="5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3,236,105.13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3,236,105.13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其他流动资产说明</w:t>
      </w:r>
    </w:p>
    <w:p>
      <w:pPr>
        <w:pStyle w:val="Style47"/>
        <w:keepNext/>
        <w:keepLines/>
        <w:widowControl w:val="0"/>
        <w:shd w:val="clear" w:color="auto" w:fill="auto"/>
        <w:bidi w:val="0"/>
        <w:spacing w:before="0" w:after="36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8</w:t>
      </w:r>
      <w:bookmarkEnd w:id="566"/>
      <w:r>
        <w:rPr>
          <w:color w:val="000000"/>
          <w:spacing w:val="0"/>
          <w:w w:val="100"/>
          <w:position w:val="0"/>
        </w:rPr>
        <w:t>、长期应收款</w:t>
      </w:r>
      <w:bookmarkEnd w:id="564"/>
      <w:bookmarkEnd w:id="565"/>
      <w:bookmarkEnd w:id="56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32,961,018.24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32,961,018.24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9</w:t>
      </w:r>
      <w:bookmarkEnd w:id="570"/>
      <w:r>
        <w:rPr>
          <w:color w:val="000000"/>
          <w:spacing w:val="0"/>
          <w:w w:val="100"/>
          <w:position w:val="0"/>
        </w:rPr>
        <w:t>、固定资产</w:t>
      </w:r>
      <w:bookmarkEnd w:id="568"/>
      <w:bookmarkEnd w:id="569"/>
      <w:bookmarkEnd w:id="571"/>
    </w:p>
    <w:p>
      <w:pPr>
        <w:pStyle w:val="Style47"/>
        <w:keepNext/>
        <w:keepLines/>
        <w:widowControl w:val="0"/>
        <w:shd w:val="clear" w:color="auto" w:fill="auto"/>
        <w:bidi w:val="0"/>
        <w:spacing w:before="0" w:after="360" w:line="240" w:lineRule="auto"/>
        <w:ind w:left="0" w:right="0" w:firstLine="0"/>
        <w:jc w:val="both"/>
      </w:pPr>
      <w:bookmarkStart w:id="568" w:name="bookmark568"/>
      <w:bookmarkStart w:id="569" w:name="bookmark569"/>
      <w:bookmarkStart w:id="572" w:name="bookmark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568"/>
      <w:bookmarkEnd w:id="569"/>
      <w:bookmarkEnd w:id="57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r>
    </w:tbl>
    <w:p>
      <w:pPr>
        <w:widowControl w:val="0"/>
        <w:spacing w:line="1" w:lineRule="exact"/>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54,506,707.65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45,237,794.97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495,957.58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99,248,545.04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38,586,043.61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39,727,259.00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78,313,302.61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5,122,244.85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3,251,137.19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474,231.00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7,899,151.04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6,618,763.73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1,700,545.96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8,297,583.11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4,179,655.46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4,738,508.28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9,940,785.89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5,138,711.84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458,052.82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14,621,444.91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3,858,227.46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1,439,113.08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5,297,340.54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1,806,351.42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1,010,545.44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440,854.89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2,376,041.97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3,305,539.71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1,649,943.69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4,938,285.47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1,039,109.63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2,009,776.93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本期期末余额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44,565,921.76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84,627,100.13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34,727,816.15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73,015,962.07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3,315,893.43</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5,523,109.07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3,313,224.02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3,359,297.64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3,208,988.16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2,728,731.35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44,565,921.76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84,627,100.13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34,727,816.15</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73,015,962.07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3,315,893.43</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5,523,109.07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3,313,224.02</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3,359,297.64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3,208,988.16</w:t>
            </w:r>
          </w:p>
        </w:tc>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2,728,731.35</w:t>
            </w:r>
          </w:p>
        </w:tc>
      </w:tr>
    </w:tbl>
    <w:p>
      <w:pPr>
        <w:widowControl w:val="0"/>
        <w:spacing w:after="59" w:line="1" w:lineRule="exact"/>
      </w:pPr>
    </w:p>
    <w:p>
      <w:pPr>
        <w:pStyle w:val="Style50"/>
        <w:keepNext/>
        <w:keepLines/>
        <w:widowControl w:val="0"/>
        <w:shd w:val="clear" w:color="auto" w:fill="auto"/>
        <w:bidi w:val="0"/>
        <w:spacing w:before="0" w:line="240" w:lineRule="auto"/>
        <w:ind w:left="0" w:right="0" w:firstLine="480"/>
        <w:jc w:val="left"/>
      </w:pPr>
      <w:bookmarkStart w:id="573" w:name="bookmark573"/>
      <w:bookmarkStart w:id="574" w:name="bookmark574"/>
      <w:bookmarkStart w:id="575" w:name="bookmark575"/>
      <w:r>
        <w:rPr>
          <w:color w:val="000000"/>
          <w:spacing w:val="0"/>
          <w:w w:val="100"/>
          <w:position w:val="0"/>
        </w:rPr>
        <w:t>本期折旧额</w:t>
      </w:r>
      <w:r>
        <w:rPr>
          <w:color w:val="000000"/>
          <w:spacing w:val="0"/>
          <w:w w:val="100"/>
          <w:position w:val="0"/>
          <w:sz w:val="24"/>
          <w:szCs w:val="24"/>
        </w:rPr>
        <w:t>5,138,711.84</w:t>
      </w:r>
      <w:r>
        <w:rPr>
          <w:color w:val="000000"/>
          <w:spacing w:val="0"/>
          <w:w w:val="100"/>
          <w:position w:val="0"/>
        </w:rPr>
        <w:t>元；本期由在建工程转入固定资产原价为</w:t>
      </w:r>
      <w:r>
        <w:rPr>
          <w:color w:val="000000"/>
          <w:spacing w:val="0"/>
          <w:w w:val="100"/>
          <w:position w:val="0"/>
          <w:sz w:val="24"/>
          <w:szCs w:val="24"/>
        </w:rPr>
        <w:t>41,059,039.07</w:t>
      </w:r>
      <w:r>
        <w:rPr>
          <w:color w:val="000000"/>
          <w:spacing w:val="0"/>
          <w:w w:val="100"/>
          <w:position w:val="0"/>
        </w:rPr>
        <w:t>元。</w:t>
      </w:r>
      <w:bookmarkEnd w:id="573"/>
      <w:bookmarkEnd w:id="574"/>
      <w:bookmarkEnd w:id="575"/>
    </w:p>
    <w:p>
      <w:pPr>
        <w:pStyle w:val="Style47"/>
        <w:keepNext/>
        <w:keepLines/>
        <w:widowControl w:val="0"/>
        <w:shd w:val="clear" w:color="auto" w:fill="auto"/>
        <w:bidi w:val="0"/>
        <w:spacing w:before="0" w:after="320" w:line="240" w:lineRule="auto"/>
        <w:ind w:left="0" w:right="0" w:firstLine="0"/>
        <w:jc w:val="left"/>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576"/>
      <w:bookmarkEnd w:id="577"/>
      <w:bookmarkEnd w:id="57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预计办结产权证书时间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武汉研发中心房屋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年底收楼，尚未开始办理房屋产权 证书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p>
        </w:tc>
      </w:tr>
    </w:tbl>
    <w:p>
      <w:pPr>
        <w:pStyle w:val="Style38"/>
        <w:keepNext w:val="0"/>
        <w:keepLines w:val="0"/>
        <w:widowControl w:val="0"/>
        <w:shd w:val="clear" w:color="auto" w:fill="auto"/>
        <w:bidi w:val="0"/>
        <w:spacing w:before="0" w:after="0" w:line="240" w:lineRule="auto"/>
        <w:ind w:left="5" w:right="0" w:firstLine="0"/>
        <w:jc w:val="left"/>
      </w:pPr>
      <w:r>
        <w:rPr>
          <w:color w:val="000000"/>
          <w:spacing w:val="0"/>
          <w:w w:val="100"/>
          <w:position w:val="0"/>
        </w:rPr>
        <w:t>固定资产说明</w:t>
      </w:r>
      <w:r>
        <w:br w:type="page"/>
      </w:r>
    </w:p>
    <w:p>
      <w:pPr>
        <w:pStyle w:val="Style47"/>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579"/>
      <w:bookmarkEnd w:id="580"/>
      <w:bookmarkEnd w:id="582"/>
    </w:p>
    <w:p>
      <w:pPr>
        <w:pStyle w:val="Style47"/>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3" w:name="bookmark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579"/>
      <w:bookmarkEnd w:id="580"/>
      <w:bookmarkEnd w:id="58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河南济源视频监控平台及数 据中心项目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1,875,141.22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1,875,141.22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武汉研发中心房屋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27,461,948.00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采集车用扫描系统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933,644.47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933,644.47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1,891,807.89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1,891,807.89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28,395,592.47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28,395,592.47</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584"/>
      <w:bookmarkEnd w:id="585"/>
      <w:bookmarkEnd w:id="58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转入固 定资产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其他减</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rPr>
                <w:sz w:val="17"/>
                <w:szCs w:val="17"/>
              </w:rPr>
            </w:pPr>
            <w:r>
              <w:rPr>
                <w:color w:val="000000"/>
                <w:spacing w:val="0"/>
                <w:w w:val="100"/>
                <w:position w:val="0"/>
                <w:sz w:val="17"/>
                <w:szCs w:val="17"/>
              </w:rPr>
              <w:t>工程投 入占预 算比例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期末数</w:t>
            </w:r>
          </w:p>
        </w:tc>
      </w:tr>
      <w:tr>
        <w:trPr>
          <w:trHeight w:val="445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河南济 源视频 监控平 台及数 据中心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11,978,0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1,875,14</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基坑完 成 </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 xml:space="preserve">, 立杆、引 电完成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，箱 体安装 完成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,摄 像头安 装完成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，电 表安装 完成 </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武汉研 发中心 房屋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44,646,9</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12,663,4</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40,125,3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已收楼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超募资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采集车 用扫描 系统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933,644.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933,644.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317" w:lineRule="exact"/>
              <w:ind w:left="0" w:right="0" w:firstLine="0"/>
              <w:jc w:val="both"/>
              <w:rPr>
                <w:sz w:val="17"/>
                <w:szCs w:val="17"/>
              </w:rPr>
            </w:pPr>
            <w:r>
              <w:rPr>
                <w:color w:val="000000"/>
                <w:spacing w:val="0"/>
                <w:w w:val="100"/>
                <w:position w:val="0"/>
                <w:sz w:val="17"/>
                <w:szCs w:val="17"/>
              </w:rPr>
              <w:t>网络时 间设备 款预付</w:t>
            </w:r>
          </w:p>
          <w:p>
            <w:pPr>
              <w:pStyle w:val="Style22"/>
              <w:keepNext w:val="0"/>
              <w:keepLines w:val="0"/>
              <w:widowControl w:val="0"/>
              <w:shd w:val="clear" w:color="auto" w:fill="auto"/>
              <w:bidi w:val="0"/>
              <w:spacing w:before="0" w:after="0" w:line="36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超募资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他设备 已转固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58,214,4</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28,395,5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在建工程项目变动情况的说明</w:t>
      </w:r>
    </w:p>
    <w:p>
      <w:pPr>
        <w:pStyle w:val="Style47"/>
        <w:keepNext/>
        <w:keepLines/>
        <w:widowControl w:val="0"/>
        <w:shd w:val="clear" w:color="auto" w:fill="auto"/>
        <w:bidi w:val="0"/>
        <w:spacing w:before="0" w:after="36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3</w:t>
      </w:r>
      <w:r>
        <w:rPr>
          <w:color w:val="000000"/>
          <w:spacing w:val="0"/>
          <w:w w:val="100"/>
          <w:position w:val="0"/>
        </w:rPr>
        <w:t>）重大在建工程的工程进度情况</w:t>
      </w:r>
      <w:bookmarkEnd w:id="587"/>
      <w:bookmarkEnd w:id="588"/>
      <w:bookmarkEnd w:id="590"/>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工程进度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河南济源视频监控平台及数据中心项目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基坑完成</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，立杆、引电完成</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箱体安装完成</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，摄像头安装完成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,电表安装完成</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武汉研发中心房屋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已收楼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591"/>
      <w:bookmarkEnd w:id="592"/>
      <w:bookmarkEnd w:id="594"/>
    </w:p>
    <w:p>
      <w:pPr>
        <w:pStyle w:val="Style47"/>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5" w:name="bookmark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591"/>
      <w:bookmarkEnd w:id="592"/>
      <w:bookmarkEnd w:id="59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121,534,837.73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121,534,837.73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121,534,837.73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121,534,837.73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20,031,850.00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18,685,733.28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38,717,583.28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20,031,850.00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18,685,733.28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38,717,583.28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101,502,987.73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-18,685,733.28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82,817,254.45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101,502,987.73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-18,685,733.28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82,817,254.45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101,502,987.73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-18,685,733.28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82,817,254.45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本期摊销额</w:t>
      </w:r>
      <w:r>
        <w:rPr>
          <w:rFonts w:ascii="Times New Roman" w:eastAsia="Times New Roman" w:hAnsi="Times New Roman" w:cs="Times New Roman"/>
          <w:color w:val="000000"/>
          <w:spacing w:val="0"/>
          <w:w w:val="100"/>
          <w:position w:val="0"/>
          <w:sz w:val="18"/>
          <w:szCs w:val="18"/>
        </w:rPr>
        <w:t>18,685,733.28</w:t>
      </w:r>
      <w:r>
        <w:rPr>
          <w:color w:val="000000"/>
          <w:spacing w:val="0"/>
          <w:w w:val="100"/>
          <w:position w:val="0"/>
          <w:sz w:val="17"/>
          <w:szCs w:val="17"/>
        </w:rPr>
        <w:t>元。</w:t>
      </w:r>
    </w:p>
    <w:p>
      <w:pPr>
        <w:pStyle w:val="Style47"/>
        <w:keepNext/>
        <w:keepLines/>
        <w:widowControl w:val="0"/>
        <w:shd w:val="clear" w:color="auto" w:fill="auto"/>
        <w:bidi w:val="0"/>
        <w:spacing w:before="0" w:after="360" w:line="240" w:lineRule="auto"/>
        <w:ind w:left="0" w:right="0" w:firstLine="0"/>
        <w:jc w:val="left"/>
      </w:pPr>
      <w:bookmarkStart w:id="596" w:name="bookmark596"/>
      <w:bookmarkStart w:id="597" w:name="bookmark597"/>
      <w:bookmarkStart w:id="598" w:name="bookmark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596"/>
      <w:bookmarkEnd w:id="597"/>
      <w:bookmarkEnd w:id="59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计入当期损益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确认为无形资产</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网格化城市管理卫</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星技术综合应用服</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务示范项目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6,039,344.46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6,039,344.46</w:t>
            </w: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国土关联系统</w:t>
            </w:r>
            <w:r>
              <w:rPr>
                <w:rFonts w:ascii="Times New Roman" w:eastAsia="Times New Roman" w:hAnsi="Times New Roman" w:cs="Times New Roman"/>
                <w:color w:val="000000"/>
                <w:spacing w:val="0"/>
                <w:w w:val="100"/>
                <w:position w:val="0"/>
                <w:sz w:val="18"/>
                <w:szCs w:val="18"/>
              </w:rPr>
              <w:t xml:space="preserve">V13 </w:t>
            </w:r>
            <w:r>
              <w:rPr>
                <w:color w:val="000000"/>
                <w:spacing w:val="0"/>
                <w:w w:val="100"/>
                <w:position w:val="0"/>
                <w:sz w:val="17"/>
                <w:szCs w:val="17"/>
              </w:rPr>
              <w:t>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2,662,216.96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2,120,397.00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4,782,613.96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数字城管系统</w:t>
            </w:r>
            <w:r>
              <w:rPr>
                <w:rFonts w:ascii="Times New Roman" w:eastAsia="Times New Roman" w:hAnsi="Times New Roman" w:cs="Times New Roman"/>
                <w:color w:val="000000"/>
                <w:spacing w:val="0"/>
                <w:w w:val="100"/>
                <w:position w:val="0"/>
                <w:sz w:val="18"/>
                <w:szCs w:val="18"/>
              </w:rPr>
              <w:t xml:space="preserve">V13 </w:t>
            </w:r>
            <w:r>
              <w:rPr>
                <w:color w:val="000000"/>
                <w:spacing w:val="0"/>
                <w:w w:val="100"/>
                <w:position w:val="0"/>
                <w:sz w:val="17"/>
                <w:szCs w:val="17"/>
              </w:rPr>
              <w:t>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3,167,351.40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2,263,687.88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5,431,039.28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国土综合监管系统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V13</w:t>
            </w:r>
            <w:r>
              <w:rPr>
                <w:color w:val="000000"/>
                <w:spacing w:val="0"/>
                <w:w w:val="100"/>
                <w:position w:val="0"/>
                <w:sz w:val="17"/>
                <w:szCs w:val="17"/>
              </w:rPr>
              <w:t>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3,132,426.70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2,134,986.77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5,267,413.47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网格化社会服务管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理系统</w:t>
            </w:r>
            <w:r>
              <w:rPr>
                <w:rFonts w:ascii="Times New Roman" w:eastAsia="Times New Roman" w:hAnsi="Times New Roman" w:cs="Times New Roman"/>
                <w:color w:val="000000"/>
                <w:spacing w:val="0"/>
                <w:w w:val="100"/>
                <w:position w:val="0"/>
                <w:sz w:val="18"/>
                <w:szCs w:val="18"/>
              </w:rPr>
              <w:t>V13</w:t>
            </w:r>
            <w:r>
              <w:rPr>
                <w:color w:val="000000"/>
                <w:spacing w:val="0"/>
                <w:w w:val="100"/>
                <w:position w:val="0"/>
                <w:sz w:val="17"/>
                <w:szCs w:val="17"/>
              </w:rPr>
              <w:t>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2,195,711.44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2,344,304.73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4,540,016.17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智慧城市公用信息 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865,193.70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865,193.70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TC200AP1 </w:t>
            </w: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795,294.29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795,294.29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TC200AP2 </w:t>
            </w: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1,039,278.77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1,039,278.77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TC200AT1 </w:t>
            </w: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936,487.27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936,487.27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TC500B</w:t>
            </w: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748,940.00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公安指挥调度平台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1,007,070.39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1,007,070.39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11,157,706.50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20,294,985.26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31,452,691.76</w:t>
            </w:r>
          </w:p>
        </w:tc>
      </w:tr>
    </w:tbl>
    <w:p>
      <w:pPr>
        <w:widowControl w:val="0"/>
        <w:spacing w:after="79" w:line="1" w:lineRule="exact"/>
      </w:pPr>
    </w:p>
    <w:p>
      <w:pPr>
        <w:pStyle w:val="Style50"/>
        <w:keepNext/>
        <w:keepLines/>
        <w:widowControl w:val="0"/>
        <w:shd w:val="clear" w:color="auto" w:fill="auto"/>
        <w:bidi w:val="0"/>
        <w:spacing w:before="0" w:after="200" w:line="240" w:lineRule="auto"/>
        <w:ind w:left="0" w:right="0" w:firstLine="480"/>
        <w:jc w:val="left"/>
      </w:pPr>
      <w:bookmarkStart w:id="599" w:name="bookmark599"/>
      <w:bookmarkStart w:id="600" w:name="bookmark600"/>
      <w:bookmarkStart w:id="601" w:name="bookmark601"/>
      <w:r>
        <w:rPr>
          <w:color w:val="000000"/>
          <w:spacing w:val="0"/>
          <w:w w:val="100"/>
          <w:position w:val="0"/>
        </w:rPr>
        <w:t>本期开发支出占本期研究开发项目支出总额的比例</w:t>
      </w:r>
      <w:r>
        <w:rPr>
          <w:color w:val="000000"/>
          <w:spacing w:val="0"/>
          <w:w w:val="100"/>
          <w:position w:val="0"/>
          <w:sz w:val="24"/>
          <w:szCs w:val="24"/>
        </w:rPr>
        <w:t>46.47%</w:t>
      </w:r>
      <w:r>
        <w:rPr>
          <w:color w:val="000000"/>
          <w:spacing w:val="0"/>
          <w:w w:val="100"/>
          <w:position w:val="0"/>
        </w:rPr>
        <w:t>。</w:t>
      </w:r>
      <w:bookmarkEnd w:id="599"/>
      <w:bookmarkEnd w:id="600"/>
      <w:bookmarkEnd w:id="601"/>
    </w:p>
    <w:p>
      <w:pPr>
        <w:pStyle w:val="Style50"/>
        <w:keepNext/>
        <w:keepLines/>
        <w:widowControl w:val="0"/>
        <w:shd w:val="clear" w:color="auto" w:fill="auto"/>
        <w:bidi w:val="0"/>
        <w:spacing w:before="0" w:line="240" w:lineRule="auto"/>
        <w:ind w:left="0" w:right="0" w:firstLine="480"/>
        <w:jc w:val="left"/>
      </w:pPr>
      <w:bookmarkStart w:id="599" w:name="bookmark599"/>
      <w:bookmarkStart w:id="600" w:name="bookmark600"/>
      <w:bookmarkStart w:id="602" w:name="bookmark602"/>
      <w:r>
        <w:rPr>
          <w:color w:val="000000"/>
          <w:spacing w:val="0"/>
          <w:w w:val="100"/>
          <w:position w:val="0"/>
        </w:rPr>
        <w:t>通过公司内部研发形成的无形资产占无形资产期末账面价值的比例</w:t>
      </w:r>
      <w:r>
        <w:rPr>
          <w:color w:val="000000"/>
          <w:spacing w:val="0"/>
          <w:w w:val="100"/>
          <w:position w:val="0"/>
          <w:sz w:val="24"/>
          <w:szCs w:val="24"/>
        </w:rPr>
        <w:t>22.77%</w:t>
      </w:r>
      <w:r>
        <w:rPr>
          <w:color w:val="000000"/>
          <w:spacing w:val="0"/>
          <w:w w:val="100"/>
          <w:position w:val="0"/>
        </w:rPr>
        <w:t>。</w:t>
      </w:r>
      <w:bookmarkEnd w:id="599"/>
      <w:bookmarkEnd w:id="600"/>
      <w:bookmarkEnd w:id="602"/>
    </w:p>
    <w:p>
      <w:pPr>
        <w:pStyle w:val="Style47"/>
        <w:keepNext/>
        <w:keepLines/>
        <w:widowControl w:val="0"/>
        <w:shd w:val="clear" w:color="auto" w:fill="auto"/>
        <w:bidi w:val="0"/>
        <w:spacing w:before="0" w:line="240" w:lineRule="auto"/>
        <w:ind w:left="0" w:right="0" w:firstLine="0"/>
        <w:jc w:val="left"/>
      </w:pPr>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12</w:t>
      </w:r>
      <w:r>
        <w:rPr>
          <w:color w:val="000000"/>
          <w:spacing w:val="0"/>
          <w:w w:val="100"/>
          <w:position w:val="0"/>
        </w:rPr>
        <w:t>、商誉</w:t>
      </w:r>
      <w:bookmarkEnd w:id="603"/>
      <w:bookmarkEnd w:id="604"/>
      <w:bookmarkEnd w:id="60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被投资单位名称或形成商誉的 事项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期末减值准备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北京汉王智通科技有限公司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widowControl w:val="0"/>
        <w:spacing w:after="1019" w:line="1" w:lineRule="exact"/>
      </w:pPr>
    </w:p>
    <w:p>
      <w:pPr>
        <w:pStyle w:val="Style47"/>
        <w:keepNext/>
        <w:keepLines/>
        <w:widowControl w:val="0"/>
        <w:shd w:val="clear" w:color="auto" w:fill="auto"/>
        <w:bidi w:val="0"/>
        <w:spacing w:before="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rFonts w:ascii="Times New Roman" w:eastAsia="Times New Roman" w:hAnsi="Times New Roman" w:cs="Times New Roman"/>
          <w:color w:val="000000"/>
          <w:spacing w:val="0"/>
          <w:w w:val="100"/>
          <w:position w:val="0"/>
        </w:rPr>
        <w:t>3</w:t>
      </w:r>
      <w:r>
        <w:rPr>
          <w:color w:val="000000"/>
          <w:spacing w:val="0"/>
          <w:w w:val="100"/>
          <w:position w:val="0"/>
        </w:rPr>
        <w:t>、递延所得税资产和递延所得税负债</w:t>
      </w:r>
      <w:bookmarkEnd w:id="606"/>
      <w:bookmarkEnd w:id="607"/>
      <w:bookmarkEnd w:id="609"/>
    </w:p>
    <w:p>
      <w:pPr>
        <w:pStyle w:val="Style47"/>
        <w:keepNext/>
        <w:keepLines/>
        <w:widowControl w:val="0"/>
        <w:shd w:val="clear" w:color="auto" w:fill="auto"/>
        <w:bidi w:val="0"/>
        <w:spacing w:before="0" w:line="240" w:lineRule="auto"/>
        <w:ind w:left="0" w:right="0" w:firstLine="0"/>
        <w:jc w:val="left"/>
      </w:pPr>
      <w:bookmarkStart w:id="606" w:name="bookmark606"/>
      <w:bookmarkStart w:id="607" w:name="bookmark607"/>
      <w:bookmarkStart w:id="610" w:name="bookmark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606"/>
      <w:bookmarkEnd w:id="607"/>
      <w:bookmarkEnd w:id="61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2,014,634.27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1,162,373.31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2,434,659.70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2,375,812.50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1,057,092.50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预提工资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90,053.49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按现值确认收入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216,044.02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660,106.00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5,469,596.79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4,778,279.00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非同一控制下企业合并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12,684,731.02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20,059,072.05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12,684,731.02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20,059,072.05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944,711.64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149,838.91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1,094,550.55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应纳税差异和可抵扣差异项目明细</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2856" w:val="left"/>
              </w:tabs>
              <w:bidi w:val="0"/>
              <w:spacing w:before="0" w:after="0" w:line="240" w:lineRule="auto"/>
              <w:ind w:left="0" w:right="0" w:firstLine="0"/>
              <w:jc w:val="center"/>
              <w:rPr>
                <w:sz w:val="17"/>
                <w:szCs w:val="17"/>
              </w:rPr>
            </w:pPr>
            <w:r>
              <w:rPr>
                <w:color w:val="000000"/>
                <w:spacing w:val="0"/>
                <w:w w:val="100"/>
                <w:position w:val="0"/>
                <w:sz w:val="17"/>
                <w:szCs w:val="17"/>
              </w:rPr>
              <w:t>期末</w:t>
              <w:tab/>
              <w:t>期初</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可抵扣差异项目</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611"/>
      <w:bookmarkEnd w:id="612"/>
      <w:bookmarkEnd w:id="61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报告期末互抵后的</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递延所得税资产或</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报告期末互抵后的 可抵扣或应纳税暂 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报告期初互抵后的 递延所得税资产或</w:t>
            </w:r>
          </w:p>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5,469,596.79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4,778,279.00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797"/>
        <w:gridCol w:w="830"/>
        <w:gridCol w:w="1627"/>
        <w:gridCol w:w="1627"/>
        <w:gridCol w:w="1733"/>
      </w:tblGrid>
      <w:tr>
        <w:trPr>
          <w:trHeight w:val="341" w:hRule="exact"/>
        </w:trPr>
        <w:tc>
          <w:tcPr>
            <w:gridSpan w:val="6"/>
            <w:tcBorders>
              <w:top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12,684,731.02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20,059,072.05</w:t>
            </w:r>
          </w:p>
        </w:tc>
        <w:tc>
          <w:tcPr>
            <w:tcBorders>
              <w:top w:val="single" w:sz="4"/>
              <w:left w:val="single" w:sz="4"/>
            </w:tcBorders>
            <w:shd w:val="clear" w:color="auto" w:fill="FFFFFF"/>
            <w:vAlign w:val="top"/>
          </w:tcPr>
          <w:p>
            <w:pPr>
              <w:widowControl w:val="0"/>
              <w:rPr>
                <w:sz w:val="10"/>
                <w:szCs w:val="10"/>
              </w:rPr>
            </w:pP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递延所得税资产和递延所得税负债互抵明细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tabs>
                <w:tab w:pos="624" w:val="left"/>
              </w:tabs>
              <w:bidi w:val="0"/>
              <w:spacing w:before="0" w:after="0" w:line="240" w:lineRule="auto"/>
              <w:ind w:left="0" w:right="0" w:firstLine="0"/>
              <w:jc w:val="right"/>
              <w:rPr>
                <w:sz w:val="17"/>
                <w:szCs w:val="17"/>
              </w:rPr>
            </w:pPr>
            <w:r>
              <w:rPr>
                <w:color w:val="000000"/>
                <w:spacing w:val="0"/>
                <w:w w:val="100"/>
                <w:position w:val="0"/>
                <w:sz w:val="17"/>
                <w:szCs w:val="17"/>
              </w:rPr>
              <w:t>单位：</w:t>
              <w:tab/>
              <w:t>元</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本期互抵金额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47"/>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rFonts w:ascii="Times New Roman" w:eastAsia="Times New Roman" w:hAnsi="Times New Roman" w:cs="Times New Roman"/>
          <w:color w:val="000000"/>
          <w:spacing w:val="0"/>
          <w:w w:val="100"/>
          <w:position w:val="0"/>
        </w:rPr>
        <w:t>4</w:t>
      </w:r>
      <w:r>
        <w:rPr>
          <w:color w:val="000000"/>
          <w:spacing w:val="0"/>
          <w:w w:val="100"/>
          <w:position w:val="0"/>
        </w:rPr>
        <w:t>、资产减值准备明细</w:t>
      </w:r>
      <w:bookmarkEnd w:id="614"/>
      <w:bookmarkEnd w:id="615"/>
      <w:bookmarkEnd w:id="61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11,572,958.09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7,519,123.05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19,092,081.14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11,572,958.09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7,519,123.05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19,092,081.14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47"/>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618"/>
      <w:bookmarkEnd w:id="619"/>
      <w:bookmarkEnd w:id="621"/>
    </w:p>
    <w:p>
      <w:pPr>
        <w:pStyle w:val="Style47"/>
        <w:keepNext/>
        <w:keepLines/>
        <w:widowControl w:val="0"/>
        <w:shd w:val="clear" w:color="auto" w:fill="auto"/>
        <w:bidi w:val="0"/>
        <w:spacing w:before="0" w:line="240" w:lineRule="auto"/>
        <w:ind w:left="0" w:right="0" w:firstLine="140"/>
        <w:jc w:val="left"/>
      </w:pPr>
      <w:bookmarkStart w:id="618" w:name="bookmark618"/>
      <w:bookmarkStart w:id="619" w:name="bookmark619"/>
      <w:bookmarkStart w:id="622" w:name="bookmark62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618"/>
      <w:bookmarkEnd w:id="619"/>
      <w:bookmarkEnd w:id="62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84,394,955.10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84,394,955.10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7"/>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623"/>
      <w:bookmarkEnd w:id="624"/>
      <w:bookmarkEnd w:id="62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1,378,080.00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1,378,080.00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1,378,080.00</w:t>
      </w:r>
      <w:r>
        <w:rPr>
          <w:color w:val="000000"/>
          <w:spacing w:val="0"/>
          <w:w w:val="100"/>
          <w:position w:val="0"/>
        </w:rPr>
        <w:t>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应付票据的说明</w:t>
      </w:r>
    </w:p>
    <w:p>
      <w:pPr>
        <w:pStyle w:val="Style47"/>
        <w:keepNext/>
        <w:keepLines/>
        <w:widowControl w:val="0"/>
        <w:shd w:val="clear" w:color="auto" w:fill="auto"/>
        <w:bidi w:val="0"/>
        <w:spacing w:before="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627"/>
      <w:bookmarkEnd w:id="628"/>
      <w:bookmarkEnd w:id="630"/>
    </w:p>
    <w:p>
      <w:pPr>
        <w:pStyle w:val="Style47"/>
        <w:keepNext/>
        <w:keepLines/>
        <w:widowControl w:val="0"/>
        <w:shd w:val="clear" w:color="auto" w:fill="auto"/>
        <w:bidi w:val="0"/>
        <w:spacing w:before="0" w:line="240" w:lineRule="auto"/>
        <w:ind w:left="0" w:right="0" w:firstLine="0"/>
        <w:jc w:val="left"/>
      </w:pPr>
      <w:bookmarkStart w:id="627" w:name="bookmark627"/>
      <w:bookmarkStart w:id="628" w:name="bookmark628"/>
      <w:bookmarkStart w:id="631" w:name="bookmark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627"/>
      <w:bookmarkEnd w:id="628"/>
      <w:bookmarkEnd w:id="631"/>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北京人利合科技发展有限公司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8,212,550.00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武汉华正空间软件技术有限公司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4,774,000.00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天津市测绘院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3,072,000.00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1,728,000.00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长春视安科技有限公司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2,403,224.80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2,141,259.27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25,084,114.88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14,789,593.24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9,813,947.17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35,098,627.31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41,400,062.05</w:t>
            </w:r>
          </w:p>
        </w:tc>
      </w:tr>
    </w:tbl>
    <w:p>
      <w:pPr>
        <w:widowControl w:val="0"/>
        <w:spacing w:after="319" w:line="1" w:lineRule="exact"/>
      </w:pPr>
    </w:p>
    <w:p>
      <w:pPr>
        <w:pStyle w:val="Style47"/>
        <w:keepNext/>
        <w:keepLines/>
        <w:widowControl w:val="0"/>
        <w:shd w:val="clear" w:color="auto" w:fill="auto"/>
        <w:bidi w:val="0"/>
        <w:spacing w:before="0" w:after="320" w:line="240" w:lineRule="auto"/>
        <w:ind w:left="0" w:right="0" w:firstLine="0"/>
        <w:jc w:val="left"/>
      </w:pPr>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632"/>
      <w:bookmarkEnd w:id="633"/>
      <w:bookmarkEnd w:id="634"/>
    </w:p>
    <w:tbl>
      <w:tblPr>
        <w:tblOverlap w:val="never"/>
        <w:jc w:val="center"/>
        <w:tblLayout w:type="fixed"/>
      </w:tblPr>
      <w:tblGrid>
        <w:gridCol w:w="3686"/>
        <w:gridCol w:w="1963"/>
        <w:gridCol w:w="1699"/>
        <w:gridCol w:w="188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报表日后是否归还</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汉王科技股份有限公司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1,491,573.29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唐山市丰南区惠泽系统工程有限公司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170,510.00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航天四创科技有限责任公司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157,360.00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江苏国泰新点软件有限公司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广州德浩科视电子科技有限公司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136,188.00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624"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2,105,631.29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rFonts w:ascii="Times New Roman" w:eastAsia="Times New Roman" w:hAnsi="Times New Roman" w:cs="Times New Roman"/>
          <w:color w:val="000000"/>
          <w:spacing w:val="0"/>
          <w:w w:val="100"/>
          <w:position w:val="0"/>
        </w:rPr>
        <w:t>8</w:t>
      </w:r>
      <w:r>
        <w:rPr>
          <w:color w:val="000000"/>
          <w:spacing w:val="0"/>
          <w:w w:val="100"/>
          <w:position w:val="0"/>
        </w:rPr>
        <w:t>、预收账款</w:t>
      </w:r>
      <w:bookmarkEnd w:id="635"/>
      <w:bookmarkEnd w:id="636"/>
      <w:bookmarkEnd w:id="638"/>
    </w:p>
    <w:p>
      <w:pPr>
        <w:pStyle w:val="Style47"/>
        <w:keepNext/>
        <w:keepLines/>
        <w:widowControl w:val="0"/>
        <w:shd w:val="clear" w:color="auto" w:fill="auto"/>
        <w:bidi w:val="0"/>
        <w:spacing w:before="0" w:line="240" w:lineRule="auto"/>
        <w:ind w:left="0" w:right="0" w:firstLine="0"/>
        <w:jc w:val="left"/>
      </w:pPr>
      <w:bookmarkStart w:id="635" w:name="bookmark635"/>
      <w:bookmarkStart w:id="636" w:name="bookmark636"/>
      <w:bookmarkStart w:id="639" w:name="bookmark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635"/>
      <w:bookmarkEnd w:id="636"/>
      <w:bookmarkEnd w:id="63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中国电信股份有限公司普洱分公司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1,320,754.72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北京路安交通科技发展有限公司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751,245.00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南京正坤科技有限公司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中咨泰克交通工程集团有限公司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594,871.79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594,871.79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永吉县公安局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5,971,093.53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3,825,284.00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9,797,965.04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5,179,440.79</w:t>
            </w:r>
          </w:p>
        </w:tc>
      </w:tr>
    </w:tbl>
    <w:p>
      <w:pPr>
        <w:widowControl w:val="0"/>
        <w:spacing w:after="319" w:line="1" w:lineRule="exact"/>
      </w:pPr>
    </w:p>
    <w:p>
      <w:pPr>
        <w:pStyle w:val="Style47"/>
        <w:keepNext/>
        <w:keepLines/>
        <w:widowControl w:val="0"/>
        <w:shd w:val="clear" w:color="auto" w:fill="auto"/>
        <w:bidi w:val="0"/>
        <w:spacing w:before="0" w:after="640" w:line="240" w:lineRule="auto"/>
        <w:ind w:left="0" w:right="0" w:firstLine="0"/>
        <w:jc w:val="left"/>
      </w:pPr>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640"/>
      <w:bookmarkEnd w:id="641"/>
      <w:bookmarkEnd w:id="642"/>
    </w:p>
    <w:tbl>
      <w:tblPr>
        <w:tblOverlap w:val="never"/>
        <w:jc w:val="center"/>
        <w:tblLayout w:type="fixed"/>
      </w:tblPr>
      <w:tblGrid>
        <w:gridCol w:w="3624"/>
        <w:gridCol w:w="2616"/>
        <w:gridCol w:w="2990"/>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未结转的原因</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南京正坤科技有限公司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bl>
    <w:p>
      <w:pPr>
        <w:widowControl w:val="0"/>
        <w:spacing w:line="1" w:lineRule="exact"/>
      </w:pPr>
      <w:r>
        <w:br w:type="page"/>
      </w:r>
    </w:p>
    <w:tbl>
      <w:tblPr>
        <w:tblOverlap w:val="never"/>
        <w:jc w:val="center"/>
        <w:tblLayout w:type="fixed"/>
      </w:tblPr>
      <w:tblGrid>
        <w:gridCol w:w="3624"/>
        <w:gridCol w:w="2616"/>
        <w:gridCol w:w="2990"/>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中咨泰克交通工程集团有限公司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594,871.79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重庆旺山实业有限公司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200,904.00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梅特勒</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托利多（常州）测量技术有限公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108,000.00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重庆市华驰交通科技有限公司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20"/>
                <w:szCs w:val="20"/>
              </w:rPr>
            </w:pPr>
            <w:r>
              <w:rPr>
                <w:rFonts w:ascii="Times New Roman" w:eastAsia="Times New Roman" w:hAnsi="Times New Roman" w:cs="Times New Roman"/>
                <w:color w:val="000000"/>
                <w:spacing w:val="0"/>
                <w:w w:val="100"/>
                <w:position w:val="0"/>
                <w:sz w:val="20"/>
                <w:szCs w:val="20"/>
              </w:rPr>
              <w:t>105,000.00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宁蒗彝族自治县公安局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94,000.00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山西欣奥特自动化工程有限公司忻保高 速公路机电工程收费二合同段</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89,000.00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婉全电气（天津）有限公司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北京盛世创通科技有限公司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20"/>
                <w:szCs w:val="20"/>
              </w:rPr>
            </w:pPr>
            <w:r>
              <w:rPr>
                <w:rFonts w:ascii="Times New Roman" w:eastAsia="Times New Roman" w:hAnsi="Times New Roman" w:cs="Times New Roman"/>
                <w:color w:val="000000"/>
                <w:spacing w:val="0"/>
                <w:w w:val="100"/>
                <w:position w:val="0"/>
                <w:sz w:val="20"/>
                <w:szCs w:val="20"/>
              </w:rPr>
              <w:t>57,000.00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项目尚未验收</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1,908,775.79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0"/>
        <w:keepNext/>
        <w:keepLines/>
        <w:widowControl w:val="0"/>
        <w:shd w:val="clear" w:color="auto" w:fill="auto"/>
        <w:bidi w:val="0"/>
        <w:spacing w:before="0" w:after="180" w:line="240" w:lineRule="auto"/>
        <w:ind w:left="0" w:right="0" w:firstLine="480"/>
        <w:jc w:val="left"/>
      </w:pPr>
      <w:bookmarkStart w:id="643" w:name="bookmark643"/>
      <w:bookmarkStart w:id="644" w:name="bookmark644"/>
      <w:bookmarkStart w:id="645" w:name="bookmark645"/>
      <w:r>
        <w:rPr>
          <w:color w:val="000000"/>
          <w:spacing w:val="0"/>
          <w:w w:val="100"/>
          <w:position w:val="0"/>
        </w:rPr>
        <w:t>注：</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日，账龄超过一年的预收款项为</w:t>
      </w:r>
      <w:r>
        <w:rPr>
          <w:color w:val="000000"/>
          <w:spacing w:val="0"/>
          <w:w w:val="100"/>
          <w:position w:val="0"/>
          <w:sz w:val="24"/>
          <w:szCs w:val="24"/>
        </w:rPr>
        <w:t>2,119,655.79</w:t>
      </w:r>
      <w:r>
        <w:rPr>
          <w:color w:val="000000"/>
          <w:spacing w:val="0"/>
          <w:w w:val="100"/>
          <w:position w:val="0"/>
        </w:rPr>
        <w:t>元（</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bookmarkEnd w:id="643"/>
      <w:bookmarkEnd w:id="644"/>
      <w:bookmarkEnd w:id="645"/>
    </w:p>
    <w:p>
      <w:pPr>
        <w:pStyle w:val="Style50"/>
        <w:keepNext/>
        <w:keepLines/>
        <w:widowControl w:val="0"/>
        <w:shd w:val="clear" w:color="auto" w:fill="auto"/>
        <w:bidi w:val="0"/>
        <w:spacing w:before="0" w:line="240" w:lineRule="auto"/>
        <w:ind w:left="0" w:right="0" w:firstLine="0"/>
        <w:jc w:val="left"/>
      </w:pPr>
      <w:bookmarkStart w:id="643" w:name="bookmark643"/>
      <w:bookmarkStart w:id="644" w:name="bookmark644"/>
      <w:bookmarkStart w:id="646" w:name="bookmark646"/>
      <w:r>
        <w:rPr>
          <w:color w:val="000000"/>
          <w:spacing w:val="0"/>
          <w:w w:val="100"/>
          <w:position w:val="0"/>
          <w:sz w:val="24"/>
          <w:szCs w:val="24"/>
        </w:rPr>
        <w:t>183,000.00</w:t>
      </w:r>
      <w:r>
        <w:rPr>
          <w:color w:val="000000"/>
          <w:spacing w:val="0"/>
          <w:w w:val="100"/>
          <w:position w:val="0"/>
        </w:rPr>
        <w:t>元），主要为项目预收款，鉴于项目尚未完成，该款项尚未结清。</w:t>
      </w:r>
      <w:bookmarkEnd w:id="643"/>
      <w:bookmarkEnd w:id="644"/>
      <w:bookmarkEnd w:id="646"/>
    </w:p>
    <w:p>
      <w:pPr>
        <w:pStyle w:val="Style47"/>
        <w:keepNext/>
        <w:keepLines/>
        <w:widowControl w:val="0"/>
        <w:shd w:val="clear" w:color="auto" w:fill="auto"/>
        <w:bidi w:val="0"/>
        <w:spacing w:before="0" w:after="36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bookmarkEnd w:id="64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647"/>
      <w:bookmarkEnd w:id="648"/>
      <w:bookmarkEnd w:id="65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期末账面余额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3,422,802.23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59,509,342.75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60,165,438.84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2,766,706.14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574,000.77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555,938.37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18,062.40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1,637,974.95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13,185,251.74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14,484,359.12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338,867.57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354,535.12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4,058,661.41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4,173,521.89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239,674.64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1,092,652.06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8,102,329.79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9,175,629.62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524,834.59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606,866.37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43,115.40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170,325.66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177,046.76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12,324.32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329,100.29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351,294.48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198,346.20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4,873,606.68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5,054,838.58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17,114.30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342,417.89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357,811.89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5,601,541.27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78,191,454.82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80,294,433.79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3,498,562.30</w:t>
            </w:r>
          </w:p>
        </w:tc>
      </w:tr>
    </w:tbl>
    <w:p>
      <w:pPr>
        <w:widowControl w:val="0"/>
        <w:spacing w:after="79" w:line="1" w:lineRule="exact"/>
      </w:pPr>
    </w:p>
    <w:p>
      <w:pPr>
        <w:pStyle w:val="Style50"/>
        <w:keepNext/>
        <w:keepLines/>
        <w:widowControl w:val="0"/>
        <w:shd w:val="clear" w:color="auto" w:fill="auto"/>
        <w:bidi w:val="0"/>
        <w:spacing w:before="0" w:after="180" w:line="240" w:lineRule="auto"/>
        <w:ind w:left="0" w:right="0" w:firstLine="480"/>
        <w:jc w:val="left"/>
      </w:pPr>
      <w:bookmarkStart w:id="651" w:name="bookmark651"/>
      <w:bookmarkStart w:id="652" w:name="bookmark652"/>
      <w:bookmarkStart w:id="653" w:name="bookmark653"/>
      <w:r>
        <w:rPr>
          <w:color w:val="000000"/>
          <w:spacing w:val="0"/>
          <w:w w:val="100"/>
          <w:position w:val="0"/>
        </w:rPr>
        <w:t>应付职工薪酬中属于拖欠性质的金额</w:t>
      </w:r>
      <w:r>
        <w:rPr>
          <w:color w:val="000000"/>
          <w:spacing w:val="0"/>
          <w:w w:val="100"/>
          <w:position w:val="0"/>
          <w:sz w:val="24"/>
          <w:szCs w:val="24"/>
        </w:rPr>
        <w:t>0.00</w:t>
      </w:r>
      <w:r>
        <w:rPr>
          <w:color w:val="000000"/>
          <w:spacing w:val="0"/>
          <w:w w:val="100"/>
          <w:position w:val="0"/>
        </w:rPr>
        <w:t>元。</w:t>
      </w:r>
      <w:bookmarkEnd w:id="651"/>
      <w:bookmarkEnd w:id="652"/>
      <w:bookmarkEnd w:id="653"/>
    </w:p>
    <w:p>
      <w:pPr>
        <w:pStyle w:val="Style50"/>
        <w:keepNext/>
        <w:keepLines/>
        <w:widowControl w:val="0"/>
        <w:shd w:val="clear" w:color="auto" w:fill="auto"/>
        <w:bidi w:val="0"/>
        <w:spacing w:before="0" w:after="180" w:line="240" w:lineRule="auto"/>
        <w:ind w:left="0" w:right="0" w:firstLine="480"/>
        <w:jc w:val="left"/>
      </w:pPr>
      <w:bookmarkStart w:id="651" w:name="bookmark651"/>
      <w:bookmarkStart w:id="652" w:name="bookmark652"/>
      <w:bookmarkStart w:id="654" w:name="bookmark654"/>
      <w:r>
        <w:rPr>
          <w:color w:val="000000"/>
          <w:spacing w:val="0"/>
          <w:w w:val="100"/>
          <w:position w:val="0"/>
        </w:rPr>
        <w:t>工会经费和职工教育经费金额</w:t>
      </w:r>
      <w:r>
        <w:rPr>
          <w:color w:val="000000"/>
          <w:spacing w:val="0"/>
          <w:w w:val="100"/>
          <w:position w:val="0"/>
          <w:sz w:val="24"/>
          <w:szCs w:val="24"/>
        </w:rPr>
        <w:t>330,318.02</w:t>
      </w:r>
      <w:r>
        <w:rPr>
          <w:color w:val="000000"/>
          <w:spacing w:val="0"/>
          <w:w w:val="100"/>
          <w:position w:val="0"/>
        </w:rPr>
        <w:t>元，非货币性福利金额</w:t>
      </w:r>
      <w:r>
        <w:rPr>
          <w:color w:val="000000"/>
          <w:spacing w:val="0"/>
          <w:w w:val="100"/>
          <w:position w:val="0"/>
          <w:sz w:val="24"/>
          <w:szCs w:val="24"/>
        </w:rPr>
        <w:t>0.00</w:t>
      </w:r>
      <w:r>
        <w:rPr>
          <w:color w:val="000000"/>
          <w:spacing w:val="0"/>
          <w:w w:val="100"/>
          <w:position w:val="0"/>
        </w:rPr>
        <w:t>元，因解除劳动关</w:t>
      </w:r>
      <w:bookmarkEnd w:id="651"/>
      <w:bookmarkEnd w:id="652"/>
      <w:bookmarkEnd w:id="654"/>
    </w:p>
    <w:p>
      <w:pPr>
        <w:pStyle w:val="Style50"/>
        <w:keepNext/>
        <w:keepLines/>
        <w:widowControl w:val="0"/>
        <w:shd w:val="clear" w:color="auto" w:fill="auto"/>
        <w:bidi w:val="0"/>
        <w:spacing w:before="0" w:after="180" w:line="240" w:lineRule="auto"/>
        <w:ind w:left="0" w:right="0" w:firstLine="0"/>
        <w:jc w:val="left"/>
      </w:pPr>
      <w:bookmarkStart w:id="651" w:name="bookmark651"/>
      <w:bookmarkStart w:id="652" w:name="bookmark652"/>
      <w:bookmarkStart w:id="655" w:name="bookmark655"/>
      <w:r>
        <w:rPr>
          <w:color w:val="000000"/>
          <w:spacing w:val="0"/>
          <w:w w:val="100"/>
          <w:position w:val="0"/>
        </w:rPr>
        <w:t>系给予补偿</w:t>
      </w:r>
      <w:r>
        <w:rPr>
          <w:color w:val="000000"/>
          <w:spacing w:val="0"/>
          <w:w w:val="100"/>
          <w:position w:val="0"/>
          <w:sz w:val="24"/>
          <w:szCs w:val="24"/>
        </w:rPr>
        <w:t>0.00</w:t>
      </w:r>
      <w:r>
        <w:rPr>
          <w:color w:val="000000"/>
          <w:spacing w:val="0"/>
          <w:w w:val="100"/>
          <w:position w:val="0"/>
        </w:rPr>
        <w:t>元。</w:t>
      </w:r>
      <w:bookmarkEnd w:id="651"/>
      <w:bookmarkEnd w:id="652"/>
      <w:bookmarkEnd w:id="655"/>
      <w:r>
        <w:br w:type="page"/>
      </w:r>
    </w:p>
    <w:p>
      <w:pPr>
        <w:pStyle w:val="Style47"/>
        <w:keepNext/>
        <w:keepLines/>
        <w:widowControl w:val="0"/>
        <w:shd w:val="clear" w:color="auto" w:fill="auto"/>
        <w:bidi w:val="0"/>
        <w:spacing w:before="0" w:after="40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656"/>
      <w:bookmarkEnd w:id="657"/>
      <w:bookmarkEnd w:id="65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9,405,950.13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3,749,584.67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33,561.15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36,101.79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9,987,557.18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6,550,789.36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72,648.84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207,113.75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647,513.97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302,654.13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464,035.99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217,707.53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13,489.23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20,624,756.49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11,077,440.46</w:t>
            </w: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47"/>
        <w:keepNext/>
        <w:keepLines/>
        <w:widowControl w:val="0"/>
        <w:shd w:val="clear" w:color="auto" w:fill="auto"/>
        <w:bidi w:val="0"/>
        <w:spacing w:before="0" w:after="40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660"/>
      <w:bookmarkEnd w:id="661"/>
      <w:bookmarkEnd w:id="663"/>
    </w:p>
    <w:p>
      <w:pPr>
        <w:pStyle w:val="Style47"/>
        <w:keepNext/>
        <w:keepLines/>
        <w:widowControl w:val="0"/>
        <w:shd w:val="clear" w:color="auto" w:fill="auto"/>
        <w:bidi w:val="0"/>
        <w:spacing w:before="0" w:after="340" w:line="240" w:lineRule="auto"/>
        <w:ind w:left="0" w:right="0" w:firstLine="140"/>
        <w:jc w:val="left"/>
      </w:pPr>
      <w:bookmarkStart w:id="660" w:name="bookmark660"/>
      <w:bookmarkStart w:id="661" w:name="bookmark661"/>
      <w:bookmarkStart w:id="664" w:name="bookmark664"/>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660"/>
      <w:bookmarkEnd w:id="661"/>
      <w:bookmarkEnd w:id="66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8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26,023,218.87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购房契税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采集器押金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868,126.40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636,246.40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唐山市惠泽智能化工程有限公司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1,012,661.32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28,231,946.08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62,528,907.72</w:t>
            </w:r>
          </w:p>
        </w:tc>
      </w:tr>
    </w:tbl>
    <w:p>
      <w:pPr>
        <w:widowControl w:val="0"/>
        <w:spacing w:after="339" w:line="1" w:lineRule="exact"/>
      </w:pPr>
    </w:p>
    <w:p>
      <w:pPr>
        <w:pStyle w:val="Style47"/>
        <w:keepNext/>
        <w:keepLines/>
        <w:widowControl w:val="0"/>
        <w:shd w:val="clear" w:color="auto" w:fill="auto"/>
        <w:bidi w:val="0"/>
        <w:spacing w:before="0" w:after="640" w:line="240" w:lineRule="auto"/>
        <w:ind w:left="0" w:right="0" w:firstLine="140"/>
        <w:jc w:val="left"/>
      </w:pPr>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)账龄超过一年的大额其他应付款情况的说明</w:t>
      </w:r>
      <w:bookmarkEnd w:id="665"/>
      <w:bookmarkEnd w:id="666"/>
      <w:bookmarkEnd w:id="667"/>
    </w:p>
    <w:tbl>
      <w:tblPr>
        <w:tblOverlap w:val="never"/>
        <w:jc w:val="center"/>
        <w:tblLayout w:type="fixed"/>
      </w:tblPr>
      <w:tblGrid>
        <w:gridCol w:w="3850"/>
        <w:gridCol w:w="1656"/>
        <w:gridCol w:w="1843"/>
        <w:gridCol w:w="188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报表日后是否归还</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汉王科技股份有限公司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25,520,000.00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尚未结算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采集器押金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508,026.40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尚未到期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624"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26,028,026.40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7"/>
        <w:keepNext/>
        <w:keepLines/>
        <w:widowControl w:val="0"/>
        <w:numPr>
          <w:ilvl w:val="0"/>
          <w:numId w:val="19"/>
        </w:numPr>
        <w:shd w:val="clear" w:color="auto" w:fill="auto"/>
        <w:bidi w:val="0"/>
        <w:spacing w:before="0" w:after="640" w:line="240" w:lineRule="auto"/>
        <w:ind w:left="0" w:right="0" w:firstLine="140"/>
        <w:jc w:val="left"/>
      </w:pPr>
      <w:bookmarkStart w:id="668" w:name="bookmark668"/>
      <w:bookmarkStart w:id="669" w:name="bookmark669"/>
      <w:bookmarkStart w:id="670" w:name="bookmark670"/>
      <w:bookmarkStart w:id="671" w:name="bookmark671"/>
      <w:bookmarkEnd w:id="670"/>
      <w:r>
        <w:rPr>
          <w:color w:val="000000"/>
          <w:spacing w:val="0"/>
          <w:w w:val="100"/>
          <w:position w:val="0"/>
        </w:rPr>
        <w:t>金额较大的其他应付款说明内容</w:t>
      </w:r>
      <w:bookmarkEnd w:id="668"/>
      <w:bookmarkEnd w:id="669"/>
      <w:bookmarkEnd w:id="671"/>
    </w:p>
    <w:tbl>
      <w:tblPr>
        <w:tblOverlap w:val="never"/>
        <w:jc w:val="center"/>
        <w:tblLayout w:type="fixed"/>
      </w:tblPr>
      <w:tblGrid>
        <w:gridCol w:w="3528"/>
        <w:gridCol w:w="3374"/>
        <w:gridCol w:w="2328"/>
      </w:tblGrid>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债权人名称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性质或内容</w:t>
            </w:r>
          </w:p>
        </w:tc>
      </w:tr>
    </w:tbl>
    <w:p>
      <w:pPr>
        <w:widowControl w:val="0"/>
        <w:spacing w:line="1" w:lineRule="exact"/>
      </w:pPr>
      <w:r>
        <w:br w:type="page"/>
      </w:r>
    </w:p>
    <w:tbl>
      <w:tblPr>
        <w:tblOverlap w:val="never"/>
        <w:jc w:val="center"/>
        <w:tblLayout w:type="fixed"/>
      </w:tblPr>
      <w:tblGrid>
        <w:gridCol w:w="3528"/>
        <w:gridCol w:w="3374"/>
        <w:gridCol w:w="2328"/>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北京汉王科技股份有限公司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26,023,218.87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购房契税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1,087,900.00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契税</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采集器押金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868,126.40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押金</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20"/>
                <w:szCs w:val="20"/>
              </w:rPr>
            </w:pPr>
            <w:r>
              <w:rPr>
                <w:rFonts w:ascii="Times New Roman" w:eastAsia="Times New Roman" w:hAnsi="Times New Roman" w:cs="Times New Roman"/>
                <w:color w:val="000000"/>
                <w:spacing w:val="0"/>
                <w:w w:val="100"/>
                <w:position w:val="0"/>
                <w:sz w:val="20"/>
                <w:szCs w:val="20"/>
              </w:rPr>
              <w:t>27,979,245.27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bookmarkEnd w:id="674"/>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672"/>
      <w:bookmarkEnd w:id="673"/>
      <w:bookmarkEnd w:id="67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r>
    </w:tbl>
    <w:p>
      <w:pPr>
        <w:widowControl w:val="0"/>
        <w:spacing w:after="99" w:line="1" w:lineRule="exact"/>
      </w:pPr>
    </w:p>
    <w:p>
      <w:pPr>
        <w:pStyle w:val="Style50"/>
        <w:keepNext/>
        <w:keepLines/>
        <w:widowControl w:val="0"/>
        <w:shd w:val="clear" w:color="auto" w:fill="auto"/>
        <w:bidi w:val="0"/>
        <w:spacing w:before="0" w:after="0" w:line="240" w:lineRule="auto"/>
        <w:ind w:left="0" w:right="0"/>
        <w:jc w:val="left"/>
      </w:pPr>
      <w:bookmarkStart w:id="676" w:name="bookmark676"/>
      <w:bookmarkStart w:id="677" w:name="bookmark677"/>
      <w:bookmarkStart w:id="678" w:name="bookmark678"/>
      <w:r>
        <w:rPr>
          <w:color w:val="000000"/>
          <w:spacing w:val="0"/>
          <w:w w:val="100"/>
          <w:position w:val="0"/>
        </w:rPr>
        <w:t>预计负债说明</w:t>
      </w:r>
      <w:bookmarkEnd w:id="676"/>
      <w:bookmarkEnd w:id="677"/>
      <w:bookmarkEnd w:id="678"/>
    </w:p>
    <w:p>
      <w:pPr>
        <w:pStyle w:val="Style50"/>
        <w:keepNext/>
        <w:keepLines/>
        <w:widowControl w:val="0"/>
        <w:shd w:val="clear" w:color="auto" w:fill="auto"/>
        <w:bidi w:val="0"/>
        <w:spacing w:before="0" w:after="460" w:line="461" w:lineRule="exact"/>
        <w:ind w:left="0" w:right="0"/>
        <w:jc w:val="both"/>
      </w:pPr>
      <w:bookmarkStart w:id="676" w:name="bookmark676"/>
      <w:bookmarkStart w:id="677" w:name="bookmark677"/>
      <w:bookmarkStart w:id="679" w:name="bookmark679"/>
      <w:r>
        <w:rPr>
          <w:color w:val="000000"/>
          <w:spacing w:val="0"/>
          <w:w w:val="100"/>
          <w:position w:val="0"/>
        </w:rPr>
        <w:t>注：本公司与部分客户签订的不可撤销的销售软件产品合同，因合同存在质保期。于</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日，本公司已就完工合同尚在质保期范围内，预计发生的质保费确认为预计负债。</w:t>
      </w:r>
      <w:bookmarkEnd w:id="676"/>
      <w:bookmarkEnd w:id="677"/>
      <w:bookmarkEnd w:id="679"/>
    </w:p>
    <w:p>
      <w:pPr>
        <w:pStyle w:val="Style47"/>
        <w:keepNext/>
        <w:keepLines/>
        <w:widowControl w:val="0"/>
        <w:shd w:val="clear" w:color="auto" w:fill="auto"/>
        <w:bidi w:val="0"/>
        <w:spacing w:before="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2</w:t>
      </w:r>
      <w:bookmarkEnd w:id="682"/>
      <w:r>
        <w:rPr>
          <w:rFonts w:ascii="Times New Roman" w:eastAsia="Times New Roman" w:hAnsi="Times New Roman" w:cs="Times New Roman"/>
          <w:color w:val="000000"/>
          <w:spacing w:val="0"/>
          <w:w w:val="100"/>
          <w:position w:val="0"/>
        </w:rPr>
        <w:t>3</w:t>
      </w:r>
      <w:r>
        <w:rPr>
          <w:color w:val="000000"/>
          <w:spacing w:val="0"/>
          <w:w w:val="100"/>
          <w:position w:val="0"/>
        </w:rPr>
        <w:t>、专项应付款</w:t>
      </w:r>
      <w:bookmarkEnd w:id="680"/>
      <w:bookmarkEnd w:id="681"/>
      <w:bookmarkEnd w:id="68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备注说明</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自适应威胁管理安全防护系</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统 </w:t>
            </w:r>
            <w:r>
              <w:rPr>
                <w:rFonts w:ascii="Times New Roman" w:eastAsia="Times New Roman" w:hAnsi="Times New Roman" w:cs="Times New Roman"/>
                <w:color w:val="000000"/>
                <w:spacing w:val="0"/>
                <w:w w:val="100"/>
                <w:position w:val="0"/>
                <w:sz w:val="18"/>
                <w:szCs w:val="18"/>
              </w:rPr>
              <w:t>ATMSYS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47"/>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684"/>
      <w:bookmarkEnd w:id="685"/>
      <w:bookmarkEnd w:id="68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1,469,500.00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2,269,900.00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1,469,500.00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2,269,900.00</w:t>
            </w:r>
          </w:p>
        </w:tc>
      </w:tr>
    </w:tbl>
    <w:p>
      <w:pPr>
        <w:pStyle w:val="Style28"/>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其他非流动负债说明 涉及政府补助的负债项目</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w:t>
            </w:r>
          </w:p>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城市数字化关键技 术研究与示范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1,228,500.00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城镇体系规划监测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666"/>
        <w:gridCol w:w="1406"/>
        <w:gridCol w:w="1238"/>
        <w:gridCol w:w="1435"/>
        <w:gridCol w:w="1152"/>
        <w:gridCol w:w="1114"/>
        <w:gridCol w:w="157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数字社区信息服务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688"/>
      <w:bookmarkEnd w:id="689"/>
      <w:bookmarkEnd w:id="69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126,000,000.00</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2"/>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注：根据公司</w:t>
      </w:r>
      <w:r>
        <w:rPr>
          <w:color w:val="000000"/>
          <w:spacing w:val="0"/>
          <w:w w:val="100"/>
          <w:position w:val="0"/>
          <w:sz w:val="24"/>
          <w:szCs w:val="24"/>
        </w:rPr>
        <w:t>2013</w:t>
      </w:r>
      <w:r>
        <w:rPr>
          <w:color w:val="000000"/>
          <w:spacing w:val="0"/>
          <w:w w:val="100"/>
          <w:position w:val="0"/>
        </w:rPr>
        <w:t>年度股东会决议和修改后章程的规定，公司按每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股的比例， 以资本公积向全体股东转增股份总额</w:t>
      </w:r>
      <w:r>
        <w:rPr>
          <w:color w:val="000000"/>
          <w:spacing w:val="0"/>
          <w:w w:val="100"/>
          <w:position w:val="0"/>
          <w:sz w:val="24"/>
          <w:szCs w:val="24"/>
        </w:rPr>
        <w:t>42,000,000.00</w:t>
      </w:r>
      <w:r>
        <w:rPr>
          <w:color w:val="000000"/>
          <w:spacing w:val="0"/>
          <w:w w:val="100"/>
          <w:position w:val="0"/>
        </w:rPr>
        <w:t>股，每股面值</w:t>
      </w:r>
      <w:r>
        <w:rPr>
          <w:color w:val="000000"/>
          <w:spacing w:val="0"/>
          <w:w w:val="100"/>
          <w:position w:val="0"/>
          <w:sz w:val="24"/>
          <w:szCs w:val="24"/>
        </w:rPr>
        <w:t>1</w:t>
      </w:r>
      <w:r>
        <w:rPr>
          <w:color w:val="000000"/>
          <w:spacing w:val="0"/>
          <w:w w:val="100"/>
          <w:position w:val="0"/>
        </w:rPr>
        <w:t xml:space="preserve">元，即增加股本 </w:t>
      </w:r>
      <w:r>
        <w:rPr>
          <w:color w:val="000000"/>
          <w:spacing w:val="0"/>
          <w:w w:val="100"/>
          <w:position w:val="0"/>
          <w:sz w:val="24"/>
          <w:szCs w:val="24"/>
        </w:rPr>
        <w:t>42,000,000.00</w:t>
      </w:r>
      <w:r>
        <w:rPr>
          <w:color w:val="000000"/>
          <w:spacing w:val="0"/>
          <w:w w:val="100"/>
          <w:position w:val="0"/>
        </w:rPr>
        <w:t>元。增加注册资本人民币</w:t>
      </w:r>
      <w:r>
        <w:rPr>
          <w:color w:val="000000"/>
          <w:spacing w:val="0"/>
          <w:w w:val="100"/>
          <w:position w:val="0"/>
          <w:sz w:val="24"/>
          <w:szCs w:val="24"/>
        </w:rPr>
        <w:t>42,000,000.00</w:t>
      </w:r>
      <w:r>
        <w:rPr>
          <w:color w:val="000000"/>
          <w:spacing w:val="0"/>
          <w:w w:val="100"/>
          <w:position w:val="0"/>
        </w:rPr>
        <w:t xml:space="preserve">元，变更后的注册资本人民币 </w:t>
      </w:r>
      <w:r>
        <w:rPr>
          <w:color w:val="000000"/>
          <w:spacing w:val="0"/>
          <w:w w:val="100"/>
          <w:position w:val="0"/>
          <w:sz w:val="24"/>
          <w:szCs w:val="24"/>
        </w:rPr>
        <w:t>126,000,000.00</w:t>
      </w:r>
      <w:r>
        <w:rPr>
          <w:color w:val="000000"/>
          <w:spacing w:val="0"/>
          <w:w w:val="100"/>
          <w:position w:val="0"/>
        </w:rPr>
        <w:t>元。中瑞岳华会计师事务所对本次股本变更情况出具了中瑞岳华验字</w:t>
      </w:r>
      <w:r>
        <w:rPr>
          <w:color w:val="000000"/>
          <w:spacing w:val="0"/>
          <w:w w:val="100"/>
          <w:position w:val="0"/>
          <w:sz w:val="24"/>
          <w:szCs w:val="24"/>
        </w:rPr>
        <w:t xml:space="preserve">[2013] </w:t>
      </w:r>
      <w:r>
        <w:rPr>
          <w:color w:val="000000"/>
          <w:spacing w:val="0"/>
          <w:w w:val="100"/>
          <w:position w:val="0"/>
        </w:rPr>
        <w:t>第</w:t>
      </w:r>
      <w:r>
        <w:rPr>
          <w:color w:val="000000"/>
          <w:spacing w:val="0"/>
          <w:w w:val="100"/>
          <w:position w:val="0"/>
          <w:sz w:val="24"/>
          <w:szCs w:val="24"/>
        </w:rPr>
        <w:t>0212</w:t>
      </w:r>
      <w:r>
        <w:rPr>
          <w:color w:val="000000"/>
          <w:spacing w:val="0"/>
          <w:w w:val="100"/>
          <w:position w:val="0"/>
        </w:rPr>
        <w:t>号验资报告予以验证。</w:t>
      </w:r>
    </w:p>
    <w:p>
      <w:pPr>
        <w:pStyle w:val="Style47"/>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691"/>
      <w:bookmarkEnd w:id="692"/>
      <w:bookmarkEnd w:id="69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694,083,309.68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652,083,309.68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3,145,030.00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6,601,060.00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697,228,339.68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3,456,030.00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658,684,369.68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资本公积说明</w:t>
      </w:r>
    </w:p>
    <w:p>
      <w:pPr>
        <w:pStyle w:val="Style47"/>
        <w:keepNext/>
        <w:keepLines/>
        <w:widowControl w:val="0"/>
        <w:shd w:val="clear" w:color="auto" w:fill="auto"/>
        <w:bidi w:val="0"/>
        <w:spacing w:before="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695"/>
      <w:bookmarkEnd w:id="696"/>
      <w:bookmarkEnd w:id="69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21,677,599.48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31,203,862.26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21,677,599.48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31,203,862.26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159" w:line="1" w:lineRule="exact"/>
      </w:pPr>
    </w:p>
    <w:p>
      <w:pPr>
        <w:pStyle w:val="Style3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注：根据公司法、章程的规定，本集团按净利润的</w:t>
      </w:r>
      <w:r>
        <w:rPr>
          <w:color w:val="000000"/>
          <w:spacing w:val="0"/>
          <w:w w:val="100"/>
          <w:position w:val="0"/>
          <w:sz w:val="24"/>
          <w:szCs w:val="24"/>
        </w:rPr>
        <w:t>10%</w:t>
      </w:r>
      <w:r>
        <w:rPr>
          <w:color w:val="000000"/>
          <w:spacing w:val="0"/>
          <w:w w:val="100"/>
          <w:position w:val="0"/>
        </w:rPr>
        <w:t xml:space="preserve">提取法定盈余公积金。法定盈余公 </w:t>
      </w:r>
      <w:bookmarkStart w:id="699" w:name="bookmark699"/>
      <w:bookmarkStart w:id="700" w:name="bookmark700"/>
      <w:bookmarkStart w:id="701" w:name="bookmark701"/>
      <w:r>
        <w:rPr>
          <w:rStyle w:val="CharStyle51"/>
        </w:rPr>
        <w:t>积累计额为本公司注册资本</w:t>
      </w:r>
      <w:r>
        <w:rPr>
          <w:rStyle w:val="CharStyle51"/>
          <w:sz w:val="24"/>
          <w:szCs w:val="24"/>
        </w:rPr>
        <w:t>50%</w:t>
      </w:r>
      <w:r>
        <w:rPr>
          <w:rStyle w:val="CharStyle51"/>
        </w:rPr>
        <w:t>以上的，可不再提取。</w:t>
      </w:r>
      <w:bookmarkEnd w:id="699"/>
      <w:bookmarkEnd w:id="700"/>
      <w:bookmarkEnd w:id="701"/>
    </w:p>
    <w:p>
      <w:pPr>
        <w:pStyle w:val="Style50"/>
        <w:keepNext/>
        <w:keepLines/>
        <w:widowControl w:val="0"/>
        <w:shd w:val="clear" w:color="auto" w:fill="auto"/>
        <w:bidi w:val="0"/>
        <w:spacing w:before="0" w:line="475" w:lineRule="exact"/>
        <w:ind w:left="0" w:right="0"/>
        <w:jc w:val="both"/>
      </w:pPr>
      <w:bookmarkStart w:id="699" w:name="bookmark699"/>
      <w:bookmarkStart w:id="700" w:name="bookmark700"/>
      <w:bookmarkStart w:id="702" w:name="bookmark702"/>
      <w:r>
        <w:rPr>
          <w:color w:val="000000"/>
          <w:spacing w:val="0"/>
          <w:w w:val="100"/>
          <w:position w:val="0"/>
        </w:rPr>
        <w:t>本集团在提取法定盈余公积金后，可提取任意盈余公积金。经批准，任意盈余公积金可 用于弥补以前年度亏损或增加股本。</w:t>
      </w:r>
      <w:bookmarkEnd w:id="699"/>
      <w:bookmarkEnd w:id="700"/>
      <w:bookmarkEnd w:id="702"/>
    </w:p>
    <w:p>
      <w:pPr>
        <w:pStyle w:val="Style47"/>
        <w:keepNext/>
        <w:keepLines/>
        <w:widowControl w:val="0"/>
        <w:shd w:val="clear" w:color="auto" w:fill="auto"/>
        <w:bidi w:val="0"/>
        <w:spacing w:before="0" w:line="240" w:lineRule="auto"/>
        <w:ind w:left="0" w:right="0" w:firstLine="0"/>
        <w:jc w:val="both"/>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703"/>
      <w:bookmarkEnd w:id="704"/>
      <w:bookmarkEnd w:id="70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提取或分配比例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154,117,839.58</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154,117,839.58</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94,035,979.70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9,526,262.78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221,827,556.50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28"/>
        <w:keepNext w:val="0"/>
        <w:keepLines w:val="0"/>
        <w:widowControl w:val="0"/>
        <w:shd w:val="clear" w:color="auto" w:fill="auto"/>
        <w:tabs>
          <w:tab w:pos="330" w:val="left"/>
        </w:tabs>
        <w:bidi w:val="0"/>
        <w:spacing w:before="0" w:after="0" w:line="312" w:lineRule="exact"/>
        <w:ind w:left="0" w:right="0" w:firstLine="0"/>
        <w:jc w:val="both"/>
      </w:pPr>
      <w:bookmarkStart w:id="707" w:name="bookmark707"/>
      <w:r>
        <w:rPr>
          <w:rFonts w:ascii="Times New Roman" w:eastAsia="Times New Roman" w:hAnsi="Times New Roman" w:cs="Times New Roman"/>
          <w:color w:val="000000"/>
          <w:spacing w:val="0"/>
          <w:w w:val="100"/>
          <w:position w:val="0"/>
          <w:sz w:val="18"/>
          <w:szCs w:val="18"/>
        </w:rPr>
        <w:t>1</w:t>
      </w:r>
      <w:bookmarkEnd w:id="7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708" w:name="bookmark708"/>
      <w:r>
        <w:rPr>
          <w:rFonts w:ascii="Times New Roman" w:eastAsia="Times New Roman" w:hAnsi="Times New Roman" w:cs="Times New Roman"/>
          <w:color w:val="000000"/>
          <w:spacing w:val="0"/>
          <w:w w:val="100"/>
          <w:position w:val="0"/>
          <w:sz w:val="18"/>
          <w:szCs w:val="18"/>
        </w:rPr>
        <w:t>2</w:t>
      </w:r>
      <w:bookmarkEnd w:id="7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709" w:name="bookmark709"/>
      <w:r>
        <w:rPr>
          <w:rFonts w:ascii="Times New Roman" w:eastAsia="Times New Roman" w:hAnsi="Times New Roman" w:cs="Times New Roman"/>
          <w:color w:val="000000"/>
          <w:spacing w:val="0"/>
          <w:w w:val="100"/>
          <w:position w:val="0"/>
          <w:sz w:val="18"/>
          <w:szCs w:val="18"/>
        </w:rPr>
        <w:t>3</w:t>
      </w:r>
      <w:bookmarkEnd w:id="7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710" w:name="bookmark710"/>
      <w:r>
        <w:rPr>
          <w:rFonts w:ascii="Times New Roman" w:eastAsia="Times New Roman" w:hAnsi="Times New Roman" w:cs="Times New Roman"/>
          <w:color w:val="000000"/>
          <w:spacing w:val="0"/>
          <w:w w:val="100"/>
          <w:position w:val="0"/>
          <w:sz w:val="18"/>
          <w:szCs w:val="18"/>
        </w:rPr>
        <w:t>4</w:t>
      </w:r>
      <w:bookmarkEnd w:id="7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0" w:line="312" w:lineRule="exact"/>
        <w:ind w:left="0" w:right="0" w:firstLine="0"/>
        <w:jc w:val="both"/>
      </w:pPr>
      <w:bookmarkStart w:id="711" w:name="bookmark711"/>
      <w:r>
        <w:rPr>
          <w:rFonts w:ascii="Times New Roman" w:eastAsia="Times New Roman" w:hAnsi="Times New Roman" w:cs="Times New Roman"/>
          <w:color w:val="000000"/>
          <w:spacing w:val="0"/>
          <w:w w:val="100"/>
          <w:position w:val="0"/>
          <w:sz w:val="18"/>
          <w:szCs w:val="18"/>
        </w:rPr>
        <w:t>5</w:t>
      </w:r>
      <w:bookmarkEnd w:id="7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47"/>
        <w:keepNext/>
        <w:keepLines/>
        <w:widowControl w:val="0"/>
        <w:shd w:val="clear" w:color="auto" w:fill="auto"/>
        <w:bidi w:val="0"/>
        <w:spacing w:before="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rFonts w:ascii="Times New Roman" w:eastAsia="Times New Roman" w:hAnsi="Times New Roman" w:cs="Times New Roman"/>
          <w:color w:val="000000"/>
          <w:spacing w:val="0"/>
          <w:w w:val="100"/>
          <w:position w:val="0"/>
        </w:rPr>
        <w:t>9</w:t>
      </w:r>
      <w:r>
        <w:rPr>
          <w:color w:val="000000"/>
          <w:spacing w:val="0"/>
          <w:w w:val="100"/>
          <w:position w:val="0"/>
        </w:rPr>
        <w:t>、营业收入、营业成本</w:t>
      </w:r>
      <w:bookmarkEnd w:id="712"/>
      <w:bookmarkEnd w:id="713"/>
      <w:bookmarkEnd w:id="715"/>
    </w:p>
    <w:p>
      <w:pPr>
        <w:pStyle w:val="Style47"/>
        <w:keepNext/>
        <w:keepLines/>
        <w:widowControl w:val="0"/>
        <w:shd w:val="clear" w:color="auto" w:fill="auto"/>
        <w:bidi w:val="0"/>
        <w:spacing w:before="0" w:line="240" w:lineRule="auto"/>
        <w:ind w:left="0" w:right="0" w:firstLine="0"/>
        <w:jc w:val="both"/>
      </w:pPr>
      <w:bookmarkStart w:id="712" w:name="bookmark712"/>
      <w:bookmarkStart w:id="713" w:name="bookmark713"/>
      <w:bookmarkStart w:id="716" w:name="bookmark7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712"/>
      <w:bookmarkEnd w:id="713"/>
      <w:bookmarkEnd w:id="71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221,941,115.51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246,590,562.38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717"/>
      <w:bookmarkEnd w:id="718"/>
      <w:bookmarkEnd w:id="71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3590"/>
        <w:gridCol w:w="3461"/>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智慧城市管理领域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389,663,610.23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241,101,419.53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204,000,889.58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91,048,093.77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国土资源管理与城市规划领域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16,693,503.09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5,489,142.85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17,940,225.93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6,717,013.47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246,590,562.38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221,941,115.51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19" w:line="1" w:lineRule="exact"/>
      </w:pPr>
    </w:p>
    <w:p>
      <w:pPr>
        <w:pStyle w:val="Style47"/>
        <w:keepNext/>
        <w:keepLines/>
        <w:widowControl w:val="0"/>
        <w:numPr>
          <w:ilvl w:val="0"/>
          <w:numId w:val="21"/>
        </w:numPr>
        <w:shd w:val="clear" w:color="auto" w:fill="auto"/>
        <w:bidi w:val="0"/>
        <w:spacing w:before="0" w:after="360" w:line="240" w:lineRule="auto"/>
        <w:ind w:left="0" w:right="0" w:firstLine="0"/>
        <w:jc w:val="left"/>
      </w:pPr>
      <w:bookmarkStart w:id="720" w:name="bookmark720"/>
      <w:bookmarkStart w:id="721" w:name="bookmark721"/>
      <w:bookmarkStart w:id="722" w:name="bookmark722"/>
      <w:bookmarkStart w:id="723" w:name="bookmark723"/>
      <w:bookmarkEnd w:id="722"/>
      <w:r>
        <w:rPr>
          <w:color w:val="000000"/>
          <w:spacing w:val="0"/>
          <w:w w:val="100"/>
          <w:position w:val="0"/>
        </w:rPr>
        <w:t>主营业务(分产品)</w:t>
      </w:r>
      <w:bookmarkEnd w:id="720"/>
      <w:bookmarkEnd w:id="721"/>
      <w:bookmarkEnd w:id="72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220,835,012.05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91,272,550.04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164,907,298.40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55,248,074.66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100,845,671.50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90,783,082.09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22,016,458.87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16,965,461.38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84,676,429.77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64,534,930.25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35,017,358.24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25,551,571.20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246,590,562.38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221,941,115.51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19" w:line="1" w:lineRule="exact"/>
      </w:pPr>
    </w:p>
    <w:p>
      <w:pPr>
        <w:pStyle w:val="Style47"/>
        <w:keepNext/>
        <w:keepLines/>
        <w:widowControl w:val="0"/>
        <w:numPr>
          <w:ilvl w:val="0"/>
          <w:numId w:val="21"/>
        </w:numPr>
        <w:shd w:val="clear" w:color="auto" w:fill="auto"/>
        <w:bidi w:val="0"/>
        <w:spacing w:before="0" w:after="360" w:line="240" w:lineRule="auto"/>
        <w:ind w:left="0" w:right="0" w:firstLine="0"/>
        <w:jc w:val="left"/>
      </w:pPr>
      <w:bookmarkStart w:id="724" w:name="bookmark724"/>
      <w:bookmarkStart w:id="725" w:name="bookmark725"/>
      <w:bookmarkStart w:id="726" w:name="bookmark726"/>
      <w:bookmarkStart w:id="727" w:name="bookmark727"/>
      <w:bookmarkEnd w:id="726"/>
      <w:r>
        <w:rPr>
          <w:color w:val="000000"/>
          <w:spacing w:val="0"/>
          <w:w w:val="100"/>
          <w:position w:val="0"/>
        </w:rPr>
        <w:t>主营业务(分地区)</w:t>
      </w:r>
      <w:bookmarkEnd w:id="724"/>
      <w:bookmarkEnd w:id="725"/>
      <w:bookmarkEnd w:id="72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234,945,950.48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154,662,890.48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121,605,326.68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52,581,863.58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171,411,162.84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91,927,671.90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100,335,788.83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45,183,243.66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406,357,113.32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246,590,562.38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221,941,115.51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19" w:line="1" w:lineRule="exact"/>
      </w:pPr>
    </w:p>
    <w:p>
      <w:pPr>
        <w:pStyle w:val="Style47"/>
        <w:keepNext/>
        <w:keepLines/>
        <w:widowControl w:val="0"/>
        <w:numPr>
          <w:ilvl w:val="0"/>
          <w:numId w:val="21"/>
        </w:numPr>
        <w:shd w:val="clear" w:color="auto" w:fill="auto"/>
        <w:bidi w:val="0"/>
        <w:spacing w:before="0" w:after="360" w:line="240" w:lineRule="auto"/>
        <w:ind w:left="0" w:right="0" w:firstLine="0"/>
        <w:jc w:val="left"/>
      </w:pPr>
      <w:bookmarkStart w:id="728" w:name="bookmark728"/>
      <w:bookmarkStart w:id="729" w:name="bookmark729"/>
      <w:bookmarkStart w:id="730" w:name="bookmark730"/>
      <w:bookmarkStart w:id="731" w:name="bookmark731"/>
      <w:bookmarkEnd w:id="730"/>
      <w:r>
        <w:rPr>
          <w:color w:val="000000"/>
          <w:spacing w:val="0"/>
          <w:w w:val="100"/>
          <w:position w:val="0"/>
        </w:rPr>
        <w:t>公司来自前五名客户的营业收入情况</w:t>
      </w:r>
      <w:bookmarkEnd w:id="728"/>
      <w:bookmarkEnd w:id="729"/>
      <w:bookmarkEnd w:id="731"/>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延边州公安交通警察支队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22,829,328.19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北京市通州区市政市容管理委员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20,100,338.36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长春高新技术产业开发区建设发 展中心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17,442,256.50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温州市城市管理与行政执法局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11,448,785.52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洛阳市城市监察管理局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11,379,115.30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83,199,823.87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47"/>
        <w:keepNext/>
        <w:keepLines/>
        <w:widowControl w:val="0"/>
        <w:shd w:val="clear" w:color="auto" w:fill="auto"/>
        <w:bidi w:val="0"/>
        <w:spacing w:before="0" w:after="36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3</w:t>
      </w:r>
      <w:bookmarkEnd w:id="734"/>
      <w:r>
        <w:rPr>
          <w:rFonts w:ascii="Times New Roman" w:eastAsia="Times New Roman" w:hAnsi="Times New Roman" w:cs="Times New Roman"/>
          <w:color w:val="000000"/>
          <w:spacing w:val="0"/>
          <w:w w:val="100"/>
          <w:position w:val="0"/>
        </w:rPr>
        <w:t>0</w:t>
      </w:r>
      <w:r>
        <w:rPr>
          <w:color w:val="000000"/>
          <w:spacing w:val="0"/>
          <w:w w:val="100"/>
          <w:position w:val="0"/>
        </w:rPr>
        <w:t>、营业税金及附加</w:t>
      </w:r>
      <w:bookmarkEnd w:id="732"/>
      <w:bookmarkEnd w:id="733"/>
      <w:bookmarkEnd w:id="73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计缴标准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333,683.53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773,939.19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2,535,777.07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1,352,638.16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1,811,269.32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966,170.11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4,713,179.92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3,092,747.46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营业税金及附加的说明</w:t>
      </w:r>
    </w:p>
    <w:p>
      <w:pPr>
        <w:pStyle w:val="Style47"/>
        <w:keepNext/>
        <w:keepLines/>
        <w:widowControl w:val="0"/>
        <w:shd w:val="clear" w:color="auto" w:fill="auto"/>
        <w:bidi w:val="0"/>
        <w:spacing w:before="0" w:after="3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736"/>
      <w:bookmarkEnd w:id="737"/>
      <w:bookmarkEnd w:id="73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11,625,487.35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7,639,001.67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7,129,819.79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5,939,563.48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3,927,048.59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1,962,960.85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2,105,606.45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1,334,046.42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1,689,000.00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1,312,349.21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568,528.73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406,463.20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验收费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346,966.00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190,888.50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137,921.13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133,152.64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155,276.00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769,075.96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349,455.64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29,635,857.69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18,453,471.92</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3</w:t>
      </w:r>
      <w:bookmarkEnd w:id="742"/>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740"/>
      <w:bookmarkEnd w:id="741"/>
      <w:bookmarkEnd w:id="74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23,375,700.21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26,174,259.64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18,685,733.28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4,812,150.00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10,601,008.18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5,570,685.00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3,456,030.00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3,145,030.00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3,033,222.42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2,888,788.59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办公厂租物业费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2,922,867.16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1,403,418.13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1,333,696.46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904,946.37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审计评估费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711,100.00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358,190.00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510,064.75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374,350.37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405,467.80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257,698.60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3,151,592.09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2,718,986.91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68,186,482.35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48,608,503.61</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744"/>
      <w:bookmarkEnd w:id="745"/>
      <w:bookmarkEnd w:id="74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1,168,666.67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-14,299,623.17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-19,890,751.86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38,196.62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-13,032,710.66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-19,852,555.24</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748"/>
      <w:bookmarkEnd w:id="749"/>
      <w:bookmarkEnd w:id="75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7,519,123.05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4,967,269.26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7,519,123.05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4,967,269.26</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752"/>
      <w:bookmarkEnd w:id="753"/>
      <w:bookmarkEnd w:id="755"/>
    </w:p>
    <w:p>
      <w:pPr>
        <w:pStyle w:val="Style47"/>
        <w:keepNext/>
        <w:keepLines/>
        <w:widowControl w:val="0"/>
        <w:shd w:val="clear" w:color="auto" w:fill="auto"/>
        <w:bidi w:val="0"/>
        <w:spacing w:before="0" w:after="360" w:line="240" w:lineRule="auto"/>
        <w:ind w:left="0" w:right="0" w:firstLine="0"/>
        <w:jc w:val="left"/>
      </w:pPr>
      <w:bookmarkStart w:id="752" w:name="bookmark752"/>
      <w:bookmarkStart w:id="753" w:name="bookmark753"/>
      <w:bookmarkStart w:id="756" w:name="bookmark7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752"/>
      <w:bookmarkEnd w:id="753"/>
      <w:bookmarkEnd w:id="75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 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31,343,983.38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11,143,122.95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2,468,928.00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31,424,624.47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11,143,122.95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2,549,569.09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r>
        <w:br w:type="page"/>
      </w:r>
    </w:p>
    <w:p>
      <w:pPr>
        <w:pStyle w:val="Style47"/>
        <w:keepNext/>
        <w:keepLines/>
        <w:widowControl w:val="0"/>
        <w:shd w:val="clear" w:color="auto" w:fill="auto"/>
        <w:bidi w:val="0"/>
        <w:spacing w:before="0" w:line="240" w:lineRule="auto"/>
        <w:ind w:left="0" w:right="0" w:firstLine="0"/>
        <w:jc w:val="left"/>
      </w:pPr>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757"/>
      <w:bookmarkEnd w:id="758"/>
      <w:bookmarkEnd w:id="75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是否属于非经常性损益</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28,875,055.38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7,630,342.95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网格化城市综合管理平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台产业化项目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7"/>
                <w:szCs w:val="17"/>
              </w:rPr>
              <w:t>网络的职能化 城市管理系统及专用智 能终端开发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城市数字化关键技术研</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究与示范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数字社区服务信息平台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自适应威胁管理安全防</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护系统</w:t>
            </w:r>
            <w:r>
              <w:rPr>
                <w:rFonts w:ascii="Times New Roman" w:eastAsia="Times New Roman" w:hAnsi="Times New Roman" w:cs="Times New Roman"/>
                <w:color w:val="000000"/>
                <w:spacing w:val="0"/>
                <w:w w:val="100"/>
                <w:position w:val="0"/>
                <w:sz w:val="18"/>
                <w:szCs w:val="18"/>
              </w:rPr>
              <w:t>ATMSYS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城镇体系规划监测关键 技术研究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中国技术交易所有限公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司补贴费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卫星课题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空间数据库协同审批平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台研究与应用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611,380.00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北京中关村信用促进会 补贴费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31,343,983.38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11,143,122.95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3</w:t>
      </w:r>
      <w:bookmarkEnd w:id="762"/>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760"/>
      <w:bookmarkEnd w:id="761"/>
      <w:bookmarkEnd w:id="7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计入当期非经常性损益</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743.90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4,241.24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47"/>
        <w:keepNext/>
        <w:keepLines/>
        <w:widowControl w:val="0"/>
        <w:shd w:val="clear" w:color="auto" w:fill="auto"/>
        <w:bidi w:val="0"/>
        <w:spacing w:before="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3</w:t>
      </w:r>
      <w:bookmarkEnd w:id="766"/>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764"/>
      <w:bookmarkEnd w:id="765"/>
      <w:bookmarkEnd w:id="767"/>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8,717,808.17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8,349,840.85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-8,065,658.82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652,149.35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7,851,514.89</w:t>
            </w:r>
          </w:p>
        </w:tc>
      </w:tr>
    </w:tbl>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38</w:t>
      </w:r>
      <w:r>
        <w:rPr>
          <w:b/>
          <w:bCs/>
          <w:color w:val="000000"/>
          <w:spacing w:val="0"/>
          <w:w w:val="100"/>
          <w:position w:val="0"/>
          <w:sz w:val="20"/>
          <w:szCs w:val="20"/>
        </w:rPr>
        <w:t>、基本每股收益和稀释每股收益的计算过程</w:t>
      </w:r>
    </w:p>
    <w:p>
      <w:pPr>
        <w:widowControl w:val="0"/>
        <w:spacing w:after="199" w:line="1" w:lineRule="exact"/>
      </w:pPr>
    </w:p>
    <w:p>
      <w:pPr>
        <w:pStyle w:val="Style3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基本每股收益按照归属于本公司普通股股东的当期净利润，除以发行在外普通股的加权 平均数计算。新发行普通股股数，根据发行合同的具体条款，从应收对价之日（一般为股票 发行日）起计算确定。</w:t>
      </w:r>
    </w:p>
    <w:p>
      <w:pPr>
        <w:pStyle w:val="Style3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 xml:space="preserve">稀释每股收益的分子以归属于本公司普通股股东的当期净利润，调整下述因素后确定： </w:t>
      </w:r>
      <w:r>
        <w:rPr>
          <w:color w:val="000000"/>
          <w:spacing w:val="0"/>
          <w:w w:val="100"/>
          <w:position w:val="0"/>
          <w:sz w:val="24"/>
          <w:szCs w:val="24"/>
        </w:rPr>
        <w:t>（1）</w:t>
      </w:r>
      <w:r>
        <w:rPr>
          <w:color w:val="000000"/>
          <w:spacing w:val="0"/>
          <w:w w:val="100"/>
          <w:position w:val="0"/>
        </w:rPr>
        <w:t>当期已确认为费用的稀释性潜在普通股的利息；</w:t>
      </w:r>
      <w:r>
        <w:rPr>
          <w:color w:val="000000"/>
          <w:spacing w:val="0"/>
          <w:w w:val="100"/>
          <w:position w:val="0"/>
          <w:sz w:val="24"/>
          <w:szCs w:val="24"/>
        </w:rPr>
        <w:t>（2）</w:t>
      </w:r>
      <w:r>
        <w:rPr>
          <w:color w:val="000000"/>
          <w:spacing w:val="0"/>
          <w:w w:val="100"/>
          <w:position w:val="0"/>
        </w:rPr>
        <w:t>稀释性潜在普通股转换时将产生 的收益或费用；以及</w:t>
      </w:r>
      <w:r>
        <w:rPr>
          <w:color w:val="000000"/>
          <w:spacing w:val="0"/>
          <w:w w:val="100"/>
          <w:position w:val="0"/>
          <w:sz w:val="24"/>
          <w:szCs w:val="24"/>
        </w:rPr>
        <w:t>（3）</w:t>
      </w:r>
      <w:r>
        <w:rPr>
          <w:color w:val="000000"/>
          <w:spacing w:val="0"/>
          <w:w w:val="100"/>
          <w:position w:val="0"/>
        </w:rPr>
        <w:t>上述调整相关的所得税影响。</w:t>
      </w:r>
    </w:p>
    <w:p>
      <w:pPr>
        <w:pStyle w:val="Style3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稀释每股收益的分母等于下列两项之和：</w:t>
      </w:r>
      <w:r>
        <w:rPr>
          <w:color w:val="000000"/>
          <w:spacing w:val="0"/>
          <w:w w:val="100"/>
          <w:position w:val="0"/>
          <w:sz w:val="24"/>
          <w:szCs w:val="24"/>
        </w:rPr>
        <w:t>（1）</w:t>
      </w:r>
      <w:r>
        <w:rPr>
          <w:color w:val="000000"/>
          <w:spacing w:val="0"/>
          <w:w w:val="100"/>
          <w:position w:val="0"/>
        </w:rPr>
        <w:t>基本每股收益中母公司已发行普通股的加 权平均数；及（</w:t>
      </w:r>
      <w:r>
        <w:rPr>
          <w:color w:val="000000"/>
          <w:spacing w:val="0"/>
          <w:w w:val="100"/>
          <w:position w:val="0"/>
          <w:sz w:val="24"/>
          <w:szCs w:val="24"/>
        </w:rPr>
        <w:t>2）</w:t>
      </w:r>
      <w:r>
        <w:rPr>
          <w:color w:val="000000"/>
          <w:spacing w:val="0"/>
          <w:w w:val="100"/>
          <w:position w:val="0"/>
        </w:rPr>
        <w:t>假定稀释性潜在普通股转换为普通股而增加的普通股的加权平均数。</w:t>
      </w:r>
    </w:p>
    <w:p>
      <w:pPr>
        <w:pStyle w:val="Style32"/>
        <w:keepNext w:val="0"/>
        <w:keepLines w:val="0"/>
        <w:widowControl w:val="0"/>
        <w:shd w:val="clear" w:color="auto" w:fill="auto"/>
        <w:bidi w:val="0"/>
        <w:spacing w:before="0" w:after="120" w:line="465" w:lineRule="exact"/>
        <w:ind w:left="0" w:right="0" w:firstLine="500"/>
        <w:jc w:val="both"/>
      </w:pPr>
      <w:r>
        <w:rPr>
          <w:color w:val="000000"/>
          <w:spacing w:val="0"/>
          <w:w w:val="100"/>
          <w:position w:val="0"/>
        </w:rPr>
        <w:t>在计算稀释性潜在普通股转换为已发行普通股而增加的普通股股数的加权平均数时，以 前期间发行的稀释性潜在普通股，假设在当年年初转换；当年发行的稀释性潜在普通股，假 设在发行日转换。</w:t>
      </w:r>
    </w:p>
    <w:p>
      <w:pPr>
        <w:pStyle w:val="Style32"/>
        <w:keepNext w:val="0"/>
        <w:keepLines w:val="0"/>
        <w:widowControl w:val="0"/>
        <w:shd w:val="clear" w:color="auto" w:fill="auto"/>
        <w:bidi w:val="0"/>
        <w:spacing w:before="0" w:after="120" w:line="240" w:lineRule="auto"/>
        <w:ind w:left="0" w:right="0" w:firstLine="640"/>
        <w:jc w:val="both"/>
      </w:pPr>
      <w:r>
        <w:rPr>
          <w:color w:val="000000"/>
          <w:spacing w:val="0"/>
          <w:w w:val="100"/>
          <w:position w:val="0"/>
          <w:sz w:val="24"/>
          <w:szCs w:val="24"/>
        </w:rPr>
        <w:t>（1）</w:t>
      </w:r>
      <w:r>
        <w:rPr>
          <w:color w:val="000000"/>
          <w:spacing w:val="0"/>
          <w:w w:val="100"/>
          <w:position w:val="0"/>
        </w:rPr>
        <w:t>各期基本每股收益和稀释每股收益金额列示</w:t>
      </w:r>
    </w:p>
    <w:tbl>
      <w:tblPr>
        <w:tblOverlap w:val="never"/>
        <w:jc w:val="center"/>
        <w:tblLayout w:type="fixed"/>
      </w:tblPr>
      <w:tblGrid>
        <w:gridCol w:w="2222"/>
        <w:gridCol w:w="1469"/>
        <w:gridCol w:w="1867"/>
        <w:gridCol w:w="1618"/>
        <w:gridCol w:w="2054"/>
      </w:tblGrid>
      <w:tr>
        <w:trPr>
          <w:trHeight w:val="36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稀释每股收益</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归属于公司普通股股东 的净利润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0.57</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扣除非经常性损益后归 属于公司普通股股东的 净利润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0.83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0.55</w:t>
            </w:r>
          </w:p>
        </w:tc>
      </w:tr>
    </w:tbl>
    <w:p>
      <w:pPr>
        <w:widowControl w:val="0"/>
        <w:spacing w:after="59" w:line="1" w:lineRule="exact"/>
      </w:pPr>
    </w:p>
    <w:p>
      <w:pPr>
        <w:pStyle w:val="Style32"/>
        <w:keepNext w:val="0"/>
        <w:keepLines w:val="0"/>
        <w:widowControl w:val="0"/>
        <w:shd w:val="clear" w:color="auto" w:fill="auto"/>
        <w:bidi w:val="0"/>
        <w:spacing w:before="0" w:after="200" w:line="240" w:lineRule="auto"/>
        <w:ind w:left="0" w:right="0" w:firstLine="640"/>
        <w:jc w:val="both"/>
      </w:pPr>
      <w:r>
        <w:rPr>
          <w:color w:val="000000"/>
          <w:spacing w:val="0"/>
          <w:w w:val="100"/>
          <w:position w:val="0"/>
          <w:sz w:val="24"/>
          <w:szCs w:val="24"/>
        </w:rPr>
        <w:t>（2）</w:t>
      </w:r>
      <w:r>
        <w:rPr>
          <w:color w:val="000000"/>
          <w:spacing w:val="0"/>
          <w:w w:val="100"/>
          <w:position w:val="0"/>
        </w:rPr>
        <w:t>每股收益和稀释每股收益的计算过程</w:t>
      </w:r>
    </w:p>
    <w:p>
      <w:pPr>
        <w:pStyle w:val="Style32"/>
        <w:keepNext w:val="0"/>
        <w:keepLines w:val="0"/>
        <w:widowControl w:val="0"/>
        <w:shd w:val="clear" w:color="auto" w:fill="auto"/>
        <w:bidi w:val="0"/>
        <w:spacing w:before="0" w:after="120" w:line="240" w:lineRule="auto"/>
        <w:ind w:left="0" w:right="0" w:firstLine="500"/>
        <w:jc w:val="both"/>
      </w:pPr>
      <w:r>
        <w:rPr>
          <w:color w:val="000000"/>
          <w:spacing w:val="0"/>
          <w:w w:val="100"/>
          <w:position w:val="0"/>
        </w:rPr>
        <w:t>①计算基本每股收益时，归属于普通股股东的当期净利润为:</w:t>
      </w:r>
    </w:p>
    <w:tbl>
      <w:tblPr>
        <w:tblOverlap w:val="never"/>
        <w:jc w:val="center"/>
        <w:tblLayout w:type="fixed"/>
      </w:tblPr>
      <w:tblGrid>
        <w:gridCol w:w="4435"/>
        <w:gridCol w:w="2453"/>
        <w:gridCol w:w="234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归属于普通股股东的当期净利润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94,035,979.70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72,229,938.08</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94,035,979.70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72,229,938.08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扣除非经常性损益后归属于公司普通股股东的 净利润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103,962,676.96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69,072,253.20</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103,962,676.96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69,072,253.20</w:t>
            </w:r>
          </w:p>
        </w:tc>
      </w:tr>
    </w:tbl>
    <w:p>
      <w:pPr>
        <w:widowControl w:val="0"/>
        <w:spacing w:line="1" w:lineRule="exact"/>
      </w:pPr>
      <w:r>
        <w:br w:type="page"/>
      </w:r>
    </w:p>
    <w:tbl>
      <w:tblPr>
        <w:tblOverlap w:val="never"/>
        <w:jc w:val="center"/>
        <w:tblLayout w:type="fixed"/>
      </w:tblPr>
      <w:tblGrid>
        <w:gridCol w:w="4435"/>
        <w:gridCol w:w="2453"/>
        <w:gridCol w:w="2342"/>
      </w:tblGrid>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0"/>
        <w:keepNext/>
        <w:keepLines/>
        <w:widowControl w:val="0"/>
        <w:shd w:val="clear" w:color="auto" w:fill="auto"/>
        <w:bidi w:val="0"/>
        <w:spacing w:before="0" w:after="100" w:line="240" w:lineRule="auto"/>
        <w:ind w:left="0" w:right="0" w:firstLine="480"/>
        <w:jc w:val="left"/>
      </w:pPr>
      <w:bookmarkStart w:id="768" w:name="bookmark768"/>
      <w:bookmarkStart w:id="769" w:name="bookmark769"/>
      <w:bookmarkStart w:id="770" w:name="bookmark770"/>
      <w:r>
        <w:rPr>
          <w:color w:val="000000"/>
          <w:spacing w:val="0"/>
          <w:w w:val="100"/>
          <w:position w:val="0"/>
        </w:rPr>
        <w:t>②计算稀释性每股收益时，归属于普通股股东的当期净利润为:</w:t>
      </w:r>
      <w:bookmarkEnd w:id="768"/>
      <w:bookmarkEnd w:id="769"/>
      <w:bookmarkEnd w:id="770"/>
    </w:p>
    <w:tbl>
      <w:tblPr>
        <w:tblOverlap w:val="never"/>
        <w:jc w:val="center"/>
        <w:tblLayout w:type="fixed"/>
      </w:tblPr>
      <w:tblGrid>
        <w:gridCol w:w="4056"/>
        <w:gridCol w:w="2592"/>
        <w:gridCol w:w="258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归属于普通股股东的当期净利润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94,035,979.70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72,229,938.08</w:t>
            </w:r>
          </w:p>
        </w:tc>
      </w:tr>
      <w:tr>
        <w:trPr>
          <w:trHeight w:val="9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当期已确认为费用的稀释性潜在普通股的利 息扣除所得税影响后归属于普通股股东的部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稀释性潜在普通股转换时将产生的收益或费 用扣除所得税影响后归属于普通股股东的部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其中：归属于持续经营的净利润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94,035,979.70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72,229,938.08</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0"/>
        <w:keepNext/>
        <w:keepLines/>
        <w:widowControl w:val="0"/>
        <w:numPr>
          <w:ilvl w:val="0"/>
          <w:numId w:val="23"/>
        </w:numPr>
        <w:shd w:val="clear" w:color="auto" w:fill="auto"/>
        <w:bidi w:val="0"/>
        <w:spacing w:before="0" w:after="100" w:line="240" w:lineRule="auto"/>
        <w:ind w:left="0" w:right="0" w:firstLine="480"/>
        <w:jc w:val="left"/>
      </w:pPr>
      <w:bookmarkStart w:id="771" w:name="bookmark771"/>
      <w:bookmarkStart w:id="772" w:name="bookmark772"/>
      <w:bookmarkStart w:id="773" w:name="bookmark773"/>
      <w:bookmarkStart w:id="774" w:name="bookmark774"/>
      <w:bookmarkEnd w:id="773"/>
      <w:r>
        <w:rPr>
          <w:color w:val="000000"/>
          <w:spacing w:val="0"/>
          <w:w w:val="100"/>
          <w:position w:val="0"/>
        </w:rPr>
        <w:t>计算基本每股收益时，分母为发行在外普通股加权平均数，计算过程如下:</w:t>
      </w:r>
      <w:bookmarkEnd w:id="771"/>
      <w:bookmarkEnd w:id="772"/>
      <w:bookmarkEnd w:id="774"/>
    </w:p>
    <w:tbl>
      <w:tblPr>
        <w:tblOverlap w:val="never"/>
        <w:jc w:val="center"/>
        <w:tblLayout w:type="fixed"/>
      </w:tblPr>
      <w:tblGrid>
        <w:gridCol w:w="4546"/>
        <w:gridCol w:w="2424"/>
        <w:gridCol w:w="226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年初发行在外的普通股股数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加：本年发行的普通股加权数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r>
    </w:tbl>
    <w:p>
      <w:pPr>
        <w:widowControl w:val="0"/>
        <w:spacing w:after="99" w:line="1" w:lineRule="exact"/>
      </w:pPr>
    </w:p>
    <w:p>
      <w:pPr>
        <w:pStyle w:val="Style50"/>
        <w:keepNext/>
        <w:keepLines/>
        <w:widowControl w:val="0"/>
        <w:numPr>
          <w:ilvl w:val="0"/>
          <w:numId w:val="23"/>
        </w:numPr>
        <w:shd w:val="clear" w:color="auto" w:fill="auto"/>
        <w:bidi w:val="0"/>
        <w:spacing w:before="0" w:after="100" w:line="240" w:lineRule="auto"/>
        <w:ind w:left="0" w:right="0" w:firstLine="480"/>
        <w:jc w:val="left"/>
      </w:pPr>
      <w:bookmarkStart w:id="775" w:name="bookmark775"/>
      <w:bookmarkStart w:id="776" w:name="bookmark776"/>
      <w:bookmarkStart w:id="777" w:name="bookmark777"/>
      <w:bookmarkStart w:id="778" w:name="bookmark778"/>
      <w:bookmarkEnd w:id="777"/>
      <w:r>
        <w:rPr>
          <w:color w:val="000000"/>
          <w:spacing w:val="0"/>
          <w:w w:val="100"/>
          <w:position w:val="0"/>
        </w:rPr>
        <w:t>计算稀释每股收益时，为发行在外普通股加权平均数的计算过程如下:</w:t>
      </w:r>
      <w:bookmarkEnd w:id="775"/>
      <w:bookmarkEnd w:id="776"/>
      <w:bookmarkEnd w:id="778"/>
    </w:p>
    <w:tbl>
      <w:tblPr>
        <w:tblOverlap w:val="never"/>
        <w:jc w:val="center"/>
        <w:tblLayout w:type="fixed"/>
      </w:tblPr>
      <w:tblGrid>
        <w:gridCol w:w="4594"/>
        <w:gridCol w:w="2256"/>
        <w:gridCol w:w="238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计算基本每股收益的普通股加权平均数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440" w:right="0" w:firstLine="0"/>
              <w:jc w:val="left"/>
              <w:rPr>
                <w:sz w:val="20"/>
                <w:szCs w:val="20"/>
              </w:rPr>
            </w:pPr>
            <w:r>
              <w:rPr>
                <w:color w:val="000000"/>
                <w:spacing w:val="0"/>
                <w:w w:val="100"/>
                <w:position w:val="0"/>
                <w:sz w:val="20"/>
                <w:szCs w:val="20"/>
              </w:rPr>
              <w:t>加：假定稀释性潜在普通股转换为已发行普通 股而增加的普通股加权平均数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620" w:right="0" w:firstLine="20"/>
              <w:jc w:val="left"/>
              <w:rPr>
                <w:sz w:val="20"/>
                <w:szCs w:val="20"/>
              </w:rPr>
            </w:pPr>
            <w:r>
              <w:rPr>
                <w:color w:val="000000"/>
                <w:spacing w:val="0"/>
                <w:w w:val="100"/>
                <w:position w:val="0"/>
                <w:sz w:val="20"/>
                <w:szCs w:val="20"/>
              </w:rPr>
              <w:t>其中：可转换公司债转换而增加的普通股加 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620" w:right="0" w:firstLine="240"/>
              <w:jc w:val="left"/>
              <w:rPr>
                <w:sz w:val="20"/>
                <w:szCs w:val="20"/>
              </w:rPr>
            </w:pPr>
            <w:r>
              <w:rPr>
                <w:color w:val="000000"/>
                <w:spacing w:val="0"/>
                <w:w w:val="100"/>
                <w:position w:val="0"/>
                <w:sz w:val="20"/>
                <w:szCs w:val="20"/>
              </w:rPr>
              <w:t>认股权证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股份期权行权而增加的普通股 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计算稀释每股收益的普通股加权平均数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126,000,000.00</w:t>
            </w:r>
          </w:p>
        </w:tc>
      </w:tr>
    </w:tbl>
    <w:p>
      <w:pPr>
        <w:widowControl w:val="0"/>
        <w:spacing w:after="639" w:line="1" w:lineRule="exact"/>
      </w:pPr>
    </w:p>
    <w:p>
      <w:pPr>
        <w:pStyle w:val="Style47"/>
        <w:keepNext/>
        <w:keepLines/>
        <w:widowControl w:val="0"/>
        <w:shd w:val="clear" w:color="auto" w:fill="auto"/>
        <w:bidi w:val="0"/>
        <w:spacing w:before="0" w:after="360" w:line="240" w:lineRule="auto"/>
        <w:ind w:left="0" w:right="0" w:firstLine="0"/>
        <w:jc w:val="left"/>
      </w:pPr>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39</w:t>
      </w:r>
      <w:r>
        <w:rPr>
          <w:color w:val="000000"/>
          <w:spacing w:val="0"/>
          <w:w w:val="100"/>
          <w:position w:val="0"/>
        </w:rPr>
        <w:t>、现金流量表附注</w:t>
      </w:r>
      <w:bookmarkEnd w:id="779"/>
      <w:bookmarkEnd w:id="780"/>
      <w:bookmarkEnd w:id="781"/>
    </w:p>
    <w:p>
      <w:pPr>
        <w:pStyle w:val="Style47"/>
        <w:keepNext/>
        <w:keepLines/>
        <w:widowControl w:val="0"/>
        <w:shd w:val="clear" w:color="auto" w:fill="auto"/>
        <w:bidi w:val="0"/>
        <w:spacing w:before="0" w:after="360" w:line="240" w:lineRule="auto"/>
        <w:ind w:left="0" w:right="0" w:firstLine="0"/>
        <w:jc w:val="left"/>
      </w:pPr>
      <w:bookmarkStart w:id="779" w:name="bookmark779"/>
      <w:bookmarkStart w:id="780" w:name="bookmark780"/>
      <w:bookmarkStart w:id="782" w:name="bookmark7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779"/>
      <w:bookmarkEnd w:id="780"/>
      <w:bookmarkEnd w:id="78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14,299,623.17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投标保证金、押金及个人备用金等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25,140,141.60</w:t>
            </w:r>
          </w:p>
        </w:tc>
      </w:tr>
    </w:tbl>
    <w:p>
      <w:pPr>
        <w:widowControl w:val="0"/>
        <w:spacing w:line="1" w:lineRule="exact"/>
      </w:pP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收到退回</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年度多缴纳的企业所得税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3,013,046.35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除税费返还外的其他政府补助收入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1,525,000.00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代收社保报销款项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548,292.50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205,725.69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44,731,829.31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783"/>
      <w:bookmarkEnd w:id="784"/>
      <w:bookmarkEnd w:id="78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投标保证金、押金及个人备用金等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39,847,593.16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6,037,977.94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保函户余额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6,670,614.37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5,592,867.30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2,101,314.86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招待费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3,412,666.95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1,419,994.02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829,762.34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审计测评费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宣传费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405,467.80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374,136.24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1,711,577.64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69,115,072.62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40</w:t>
      </w:r>
      <w:r>
        <w:rPr>
          <w:color w:val="000000"/>
          <w:spacing w:val="0"/>
          <w:w w:val="100"/>
          <w:position w:val="0"/>
        </w:rPr>
        <w:t>、现金流量表补充资料</w:t>
      </w:r>
      <w:bookmarkEnd w:id="786"/>
      <w:bookmarkEnd w:id="787"/>
      <w:bookmarkEnd w:id="788"/>
    </w:p>
    <w:p>
      <w:pPr>
        <w:pStyle w:val="Style47"/>
        <w:keepNext/>
        <w:keepLines/>
        <w:widowControl w:val="0"/>
        <w:shd w:val="clear" w:color="auto" w:fill="auto"/>
        <w:bidi w:val="0"/>
        <w:spacing w:before="0" w:after="360" w:line="240" w:lineRule="auto"/>
        <w:ind w:left="0" w:right="0" w:firstLine="0"/>
        <w:jc w:val="left"/>
      </w:pPr>
      <w:bookmarkStart w:id="786" w:name="bookmark786"/>
      <w:bookmarkStart w:id="787" w:name="bookmark787"/>
      <w:bookmarkStart w:id="789" w:name="bookmark78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786"/>
      <w:bookmarkEnd w:id="787"/>
      <w:bookmarkEnd w:id="78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93,516,349.81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72,229,938.08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7,519,123.05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4,967,269.26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4,853,317.17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4,309,752.33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18,685,733.28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4,812,150.00</w:t>
            </w:r>
          </w:p>
        </w:tc>
      </w:tr>
    </w:tbl>
    <w:p>
      <w:pPr>
        <w:widowControl w:val="0"/>
        <w:spacing w:line="1" w:lineRule="exact"/>
      </w:pPr>
      <w:r>
        <w:br w:type="page"/>
      </w:r>
    </w:p>
    <w:tbl>
      <w:tblPr>
        <w:tblOverlap w:val="never"/>
        <w:jc w:val="center"/>
        <w:tblLayout w:type="fixed"/>
      </w:tblPr>
      <w:tblGrid>
        <w:gridCol w:w="4397"/>
        <w:gridCol w:w="2525"/>
        <w:gridCol w:w="266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处置固定资产、无形资产和其他长期资产的损失（收益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-691,317.79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-7,374,341.03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10,290,612.85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-418,453.48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-77,239,105.53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-89,274,178.32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-37,078,948.25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25,064,823.88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13,570,193.04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21,197,217.03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682,623,859.66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666,714,686.65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666,714,686.65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736,117,964.85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15,909,173.01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-69,403,278.20</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790"/>
      <w:bookmarkEnd w:id="791"/>
      <w:bookmarkEnd w:id="79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一、取得子公司及其他营业单位的有关信息：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81,200,000.00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取得子公司及其他营业单位支付的现金和现金等价物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32,480,000.00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48,720,000.00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减：子公司及其他营业单位持有的现金和现金等价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311,896.53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48,408,103.47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97,083,350.80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80,808,137.02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80,499,706.63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64,224,492.85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二、处置子公司及其他营业单位的有关信息：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793"/>
      <w:bookmarkEnd w:id="794"/>
      <w:bookmarkEnd w:id="79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682,623,859.66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666,714,686.65</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57,612.75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682,555,320.73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666,657,073.90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682,623,859.66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666,714,686.65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八</w:t>
      </w:r>
      <w:bookmarkEnd w:id="799"/>
      <w:r>
        <w:rPr>
          <w:color w:val="000000"/>
          <w:spacing w:val="0"/>
          <w:w w:val="100"/>
          <w:position w:val="0"/>
        </w:rPr>
        <w:t>、关联方及关联交易</w:t>
      </w:r>
      <w:bookmarkEnd w:id="797"/>
      <w:bookmarkEnd w:id="798"/>
      <w:bookmarkEnd w:id="800"/>
    </w:p>
    <w:p>
      <w:pPr>
        <w:pStyle w:val="Style47"/>
        <w:keepNext/>
        <w:keepLines/>
        <w:widowControl w:val="0"/>
        <w:shd w:val="clear" w:color="auto" w:fill="auto"/>
        <w:bidi w:val="0"/>
        <w:spacing w:before="0" w:after="340" w:line="240" w:lineRule="auto"/>
        <w:ind w:left="0" w:right="0" w:firstLine="0"/>
        <w:jc w:val="left"/>
      </w:pPr>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801"/>
      <w:bookmarkEnd w:id="802"/>
      <w:bookmarkEnd w:id="803"/>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母公司名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法定代表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rPr>
                <w:sz w:val="17"/>
                <w:szCs w:val="17"/>
              </w:rPr>
            </w:pPr>
            <w:r>
              <w:rPr>
                <w:color w:val="000000"/>
                <w:spacing w:val="0"/>
                <w:w w:val="100"/>
                <w:position w:val="0"/>
                <w:sz w:val="17"/>
                <w:szCs w:val="17"/>
              </w:rPr>
              <w:t>母公司对 本企业的 持股比例</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母公司对 本企业的 表决权比</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本企业最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终控制方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组织机构 代码</w:t>
            </w:r>
          </w:p>
        </w:tc>
      </w:tr>
    </w:tbl>
    <w:p>
      <w:pPr>
        <w:widowControl w:val="0"/>
        <w:spacing w:after="99" w:line="1" w:lineRule="exact"/>
      </w:pP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本企业的母公司情况的说明</w:t>
      </w:r>
    </w:p>
    <w:p>
      <w:pPr>
        <w:pStyle w:val="Style50"/>
        <w:keepNext/>
        <w:keepLines/>
        <w:widowControl w:val="0"/>
        <w:shd w:val="clear" w:color="auto" w:fill="auto"/>
        <w:bidi w:val="0"/>
        <w:spacing w:before="0" w:after="180" w:line="240" w:lineRule="auto"/>
        <w:ind w:left="0" w:right="0" w:firstLine="480"/>
        <w:jc w:val="left"/>
      </w:pPr>
      <w:bookmarkStart w:id="804" w:name="bookmark804"/>
      <w:bookmarkStart w:id="805" w:name="bookmark805"/>
      <w:bookmarkStart w:id="806" w:name="bookmark806"/>
      <w:r>
        <w:rPr>
          <w:color w:val="000000"/>
          <w:spacing w:val="0"/>
          <w:w w:val="100"/>
          <w:position w:val="0"/>
        </w:rPr>
        <w:t>本公司股东吴强华为实际控制人，持有公司</w:t>
      </w:r>
      <w:r>
        <w:rPr>
          <w:color w:val="000000"/>
          <w:spacing w:val="0"/>
          <w:w w:val="100"/>
          <w:position w:val="0"/>
          <w:sz w:val="24"/>
          <w:szCs w:val="24"/>
        </w:rPr>
        <w:t>32.82%</w:t>
      </w:r>
      <w:r>
        <w:rPr>
          <w:color w:val="000000"/>
          <w:spacing w:val="0"/>
          <w:w w:val="100"/>
          <w:position w:val="0"/>
        </w:rPr>
        <w:t>的股权，对本公司的表决权比例为</w:t>
      </w:r>
      <w:bookmarkEnd w:id="804"/>
      <w:bookmarkEnd w:id="805"/>
      <w:bookmarkEnd w:id="806"/>
    </w:p>
    <w:p>
      <w:pPr>
        <w:pStyle w:val="Style50"/>
        <w:keepNext/>
        <w:keepLines/>
        <w:widowControl w:val="0"/>
        <w:shd w:val="clear" w:color="auto" w:fill="auto"/>
        <w:bidi w:val="0"/>
        <w:spacing w:before="0" w:line="240" w:lineRule="auto"/>
        <w:ind w:left="0" w:right="0" w:firstLine="0"/>
        <w:jc w:val="left"/>
      </w:pPr>
      <w:bookmarkStart w:id="804" w:name="bookmark804"/>
      <w:bookmarkStart w:id="805" w:name="bookmark805"/>
      <w:bookmarkStart w:id="807" w:name="bookmark807"/>
      <w:r>
        <w:rPr>
          <w:color w:val="000000"/>
          <w:spacing w:val="0"/>
          <w:w w:val="100"/>
          <w:position w:val="0"/>
          <w:sz w:val="24"/>
          <w:szCs w:val="24"/>
        </w:rPr>
        <w:t>32.82%</w:t>
      </w:r>
      <w:r>
        <w:rPr>
          <w:color w:val="000000"/>
          <w:spacing w:val="0"/>
          <w:w w:val="100"/>
          <w:position w:val="0"/>
        </w:rPr>
        <w:t>。</w:t>
      </w:r>
      <w:bookmarkEnd w:id="804"/>
      <w:bookmarkEnd w:id="805"/>
      <w:bookmarkEnd w:id="807"/>
    </w:p>
    <w:p>
      <w:pPr>
        <w:pStyle w:val="Style47"/>
        <w:keepNext/>
        <w:keepLines/>
        <w:widowControl w:val="0"/>
        <w:shd w:val="clear" w:color="auto" w:fill="auto"/>
        <w:bidi w:val="0"/>
        <w:spacing w:before="0" w:after="340" w:line="240" w:lineRule="auto"/>
        <w:ind w:left="0" w:right="0" w:firstLine="0"/>
        <w:jc w:val="left"/>
      </w:pPr>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808"/>
      <w:bookmarkEnd w:id="809"/>
      <w:bookmarkEnd w:id="810"/>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持股比例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表决权比例</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组织机构代 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上海政通信 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66242110-3</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北京数字政 通信息技术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05734253-8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武汉智慧政 通科技有限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05201485-0</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北京汉王智 通科技有限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张开春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56362673-6</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3</w:t>
      </w:r>
      <w:bookmarkEnd w:id="813"/>
      <w:r>
        <w:rPr>
          <w:color w:val="000000"/>
          <w:spacing w:val="0"/>
          <w:w w:val="100"/>
          <w:position w:val="0"/>
        </w:rPr>
        <w:t>、本企业的其他关联方情况</w:t>
      </w:r>
      <w:bookmarkEnd w:id="811"/>
      <w:bookmarkEnd w:id="812"/>
      <w:bookmarkEnd w:id="81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子公司少数股东的子公司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700907957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子公司少数股东</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633709570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r>
        <w:br w:type="page"/>
      </w:r>
    </w:p>
    <w:p>
      <w:pPr>
        <w:pStyle w:val="Style47"/>
        <w:keepNext/>
        <w:keepLines/>
        <w:widowControl w:val="0"/>
        <w:shd w:val="clear" w:color="auto" w:fill="auto"/>
        <w:bidi w:val="0"/>
        <w:spacing w:before="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4</w:t>
      </w:r>
      <w:bookmarkEnd w:id="817"/>
      <w:r>
        <w:rPr>
          <w:color w:val="000000"/>
          <w:spacing w:val="0"/>
          <w:w w:val="100"/>
          <w:position w:val="0"/>
        </w:rPr>
        <w:t>、关联方交易</w:t>
      </w:r>
      <w:bookmarkEnd w:id="815"/>
      <w:bookmarkEnd w:id="816"/>
      <w:bookmarkEnd w:id="818"/>
    </w:p>
    <w:p>
      <w:pPr>
        <w:pStyle w:val="Style47"/>
        <w:keepNext/>
        <w:keepLines/>
        <w:widowControl w:val="0"/>
        <w:shd w:val="clear" w:color="auto" w:fill="auto"/>
        <w:bidi w:val="0"/>
        <w:spacing w:before="0" w:after="340" w:line="240" w:lineRule="auto"/>
        <w:ind w:left="0" w:right="0" w:firstLine="0"/>
        <w:jc w:val="left"/>
      </w:pPr>
      <w:bookmarkStart w:id="815" w:name="bookmark815"/>
      <w:bookmarkStart w:id="816" w:name="bookmark816"/>
      <w:bookmarkStart w:id="819" w:name="bookmark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815"/>
      <w:bookmarkEnd w:id="816"/>
      <w:bookmarkEnd w:id="81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占同类交 易金额的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汉王制造科技有限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12,622,944.62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关联交易定价方 式及决策程序</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占同类交 易金额的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占同类交 易金额的 比例（%）</w:t>
            </w:r>
          </w:p>
        </w:tc>
      </w:tr>
    </w:tbl>
    <w:p>
      <w:pPr>
        <w:widowControl w:val="0"/>
        <w:spacing w:after="339" w:line="1" w:lineRule="exact"/>
      </w:pPr>
    </w:p>
    <w:p>
      <w:pPr>
        <w:pStyle w:val="Style47"/>
        <w:keepNext/>
        <w:keepLines/>
        <w:widowControl w:val="0"/>
        <w:shd w:val="clear" w:color="auto" w:fill="auto"/>
        <w:bidi w:val="0"/>
        <w:spacing w:before="0" w:line="240" w:lineRule="auto"/>
        <w:ind w:left="0" w:right="0" w:firstLine="0"/>
        <w:jc w:val="left"/>
      </w:pPr>
      <w:bookmarkStart w:id="820" w:name="bookmark820"/>
      <w:bookmarkStart w:id="821" w:name="bookmark821"/>
      <w:bookmarkStart w:id="822" w:name="bookmark8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820"/>
      <w:bookmarkEnd w:id="821"/>
      <w:bookmarkEnd w:id="82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82"/>
        <w:gridCol w:w="1363"/>
        <w:gridCol w:w="1373"/>
        <w:gridCol w:w="1368"/>
        <w:gridCol w:w="1368"/>
        <w:gridCol w:w="1373"/>
        <w:gridCol w:w="141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租赁起始日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租赁终止日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租赁收益定价依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本报告期确认的 租赁收益</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租赁起始日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租赁终止日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本报告期确认的 租赁费</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汉王科技股份有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北京汉王智通科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合同约定每月租</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900,090.00</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金 </w:t>
            </w:r>
            <w:r>
              <w:rPr>
                <w:rFonts w:ascii="Times New Roman" w:eastAsia="Times New Roman" w:hAnsi="Times New Roman" w:cs="Times New Roman"/>
                <w:color w:val="000000"/>
                <w:spacing w:val="0"/>
                <w:w w:val="100"/>
                <w:position w:val="0"/>
                <w:sz w:val="18"/>
                <w:szCs w:val="18"/>
              </w:rPr>
              <w:t xml:space="preserve">75,007.50 </w:t>
            </w:r>
            <w:r>
              <w:rPr>
                <w:color w:val="000000"/>
                <w:spacing w:val="0"/>
                <w:w w:val="100"/>
                <w:position w:val="0"/>
                <w:sz w:val="17"/>
                <w:szCs w:val="17"/>
              </w:rPr>
              <w:t>元</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汉王科技股份有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北京汉王智通科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合同约定每月租</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784,822.42</w:t>
            </w:r>
          </w:p>
        </w:tc>
      </w:tr>
      <w:tr>
        <w:trPr>
          <w:trHeight w:val="35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金 </w:t>
            </w:r>
            <w:r>
              <w:rPr>
                <w:rFonts w:ascii="Times New Roman" w:eastAsia="Times New Roman" w:hAnsi="Times New Roman" w:cs="Times New Roman"/>
                <w:color w:val="000000"/>
                <w:spacing w:val="0"/>
                <w:w w:val="100"/>
                <w:position w:val="0"/>
                <w:sz w:val="18"/>
                <w:szCs w:val="18"/>
              </w:rPr>
              <w:t xml:space="preserve">65,401.87 </w:t>
            </w:r>
            <w:r>
              <w:rPr>
                <w:color w:val="000000"/>
                <w:spacing w:val="0"/>
                <w:w w:val="100"/>
                <w:position w:val="0"/>
                <w:sz w:val="17"/>
                <w:szCs w:val="17"/>
              </w:rPr>
              <w:t>元</w:t>
            </w:r>
          </w:p>
        </w:tc>
        <w:tc>
          <w:tcPr>
            <w:vMerge/>
            <w:tcBorders>
              <w:left w:val="single" w:sz="4"/>
              <w:right w:val="single" w:sz="4"/>
            </w:tcBorders>
            <w:shd w:val="clear" w:color="auto" w:fill="FFFFFF"/>
            <w:vAlign w:val="center"/>
          </w:tcPr>
          <w:p>
            <w:pPr/>
          </w:p>
        </w:tc>
      </w:tr>
      <w:tr>
        <w:trPr>
          <w:trHeight w:val="43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汉王科技股份有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北京汉王智通科 技有限公司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合同约定每月租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金 </w:t>
            </w:r>
            <w:r>
              <w:rPr>
                <w:rFonts w:ascii="Times New Roman" w:eastAsia="Times New Roman" w:hAnsi="Times New Roman" w:cs="Times New Roman"/>
                <w:color w:val="000000"/>
                <w:spacing w:val="0"/>
                <w:w w:val="100"/>
                <w:position w:val="0"/>
                <w:sz w:val="18"/>
                <w:szCs w:val="18"/>
              </w:rPr>
              <w:t xml:space="preserve">10,462.75 </w:t>
            </w:r>
            <w:r>
              <w:rPr>
                <w:color w:val="000000"/>
                <w:spacing w:val="0"/>
                <w:w w:val="100"/>
                <w:position w:val="0"/>
                <w:sz w:val="17"/>
                <w:szCs w:val="17"/>
              </w:rPr>
              <w:t>元</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125,553.00</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汉王科技股份有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北京汉王智通科 技有限公司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合同约定每天租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r>
              <w:rPr>
                <w:rFonts w:ascii="Times New Roman" w:eastAsia="Times New Roman" w:hAnsi="Times New Roman" w:cs="Times New Roman"/>
                <w:color w:val="000000"/>
                <w:spacing w:val="0"/>
                <w:w w:val="100"/>
                <w:position w:val="0"/>
                <w:sz w:val="18"/>
                <w:szCs w:val="18"/>
              </w:rPr>
              <w:t>341.33</w:t>
            </w:r>
            <w:r>
              <w:rPr>
                <w:color w:val="000000"/>
                <w:spacing w:val="0"/>
                <w:w w:val="100"/>
                <w:position w:val="0"/>
                <w:sz w:val="17"/>
                <w:szCs w:val="17"/>
              </w:rPr>
              <w:t>元</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50,602.77</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r>
        <w:br w:type="page"/>
      </w:r>
    </w:p>
    <w:p>
      <w:pPr>
        <w:pStyle w:val="Style47"/>
        <w:keepNext/>
        <w:keepLines/>
        <w:widowControl w:val="0"/>
        <w:shd w:val="clear" w:color="auto" w:fill="auto"/>
        <w:bidi w:val="0"/>
        <w:spacing w:before="0" w:after="36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5</w:t>
      </w:r>
      <w:bookmarkEnd w:id="825"/>
      <w:r>
        <w:rPr>
          <w:color w:val="000000"/>
          <w:spacing w:val="0"/>
          <w:w w:val="100"/>
          <w:position w:val="0"/>
        </w:rPr>
        <w:t>、关联方应收应付款项</w:t>
      </w:r>
      <w:bookmarkEnd w:id="823"/>
      <w:bookmarkEnd w:id="824"/>
      <w:bookmarkEnd w:id="82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48,218.97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汉王科技股份有限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60,550.00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1,491,573.29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1,491,573.29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2,141,259.27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25,084,114.88</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汉王科技股份有限公司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26,023,218.87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28,400,000.00</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九</w:t>
      </w:r>
      <w:bookmarkEnd w:id="829"/>
      <w:r>
        <w:rPr>
          <w:color w:val="000000"/>
          <w:spacing w:val="0"/>
          <w:w w:val="100"/>
          <w:position w:val="0"/>
        </w:rPr>
        <w:t>、股份支付</w:t>
      </w:r>
      <w:bookmarkEnd w:id="827"/>
      <w:bookmarkEnd w:id="828"/>
      <w:bookmarkEnd w:id="830"/>
    </w:p>
    <w:p>
      <w:pPr>
        <w:pStyle w:val="Style47"/>
        <w:keepNext/>
        <w:keepLines/>
        <w:widowControl w:val="0"/>
        <w:shd w:val="clear" w:color="auto" w:fill="auto"/>
        <w:bidi w:val="0"/>
        <w:spacing w:before="0" w:after="360" w:line="240" w:lineRule="auto"/>
        <w:ind w:left="0" w:right="0" w:firstLine="0"/>
        <w:jc w:val="left"/>
      </w:pPr>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831"/>
      <w:bookmarkEnd w:id="832"/>
      <w:bookmarkEnd w:id="83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003"/>
        <w:gridCol w:w="558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首次授予期权的行权价为为</w:t>
            </w:r>
            <w:r>
              <w:rPr>
                <w:rFonts w:ascii="Times New Roman" w:eastAsia="Times New Roman" w:hAnsi="Times New Roman" w:cs="Times New Roman"/>
                <w:color w:val="000000"/>
                <w:spacing w:val="0"/>
                <w:w w:val="100"/>
                <w:position w:val="0"/>
                <w:sz w:val="18"/>
                <w:szCs w:val="18"/>
              </w:rPr>
              <w:t>15.53</w:t>
            </w:r>
            <w:r>
              <w:rPr>
                <w:color w:val="000000"/>
                <w:spacing w:val="0"/>
                <w:w w:val="100"/>
                <w:position w:val="0"/>
                <w:sz w:val="17"/>
                <w:szCs w:val="17"/>
              </w:rPr>
              <w:t>元，剩余合同期限为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日第二次授予期权的行权价为</w:t>
            </w:r>
            <w:r>
              <w:rPr>
                <w:rFonts w:ascii="Times New Roman" w:eastAsia="Times New Roman" w:hAnsi="Times New Roman" w:cs="Times New Roman"/>
                <w:color w:val="000000"/>
                <w:spacing w:val="0"/>
                <w:w w:val="100"/>
                <w:position w:val="0"/>
                <w:sz w:val="18"/>
                <w:szCs w:val="18"/>
              </w:rPr>
              <w:t>16.81</w:t>
            </w:r>
            <w:r>
              <w:rPr>
                <w:color w:val="000000"/>
                <w:spacing w:val="0"/>
                <w:w w:val="100"/>
                <w:position w:val="0"/>
                <w:sz w:val="17"/>
                <w:szCs w:val="17"/>
              </w:rPr>
              <w:t>元，剩余合同期限为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32"/>
        <w:keepNext w:val="0"/>
        <w:keepLines w:val="0"/>
        <w:widowControl w:val="0"/>
        <w:shd w:val="clear" w:color="auto" w:fill="auto"/>
        <w:bidi w:val="0"/>
        <w:spacing w:before="0" w:after="440" w:line="467" w:lineRule="exact"/>
        <w:ind w:left="0" w:right="0" w:firstLine="500"/>
        <w:jc w:val="left"/>
      </w:pPr>
      <w:r>
        <w:rPr>
          <w:color w:val="000000"/>
          <w:spacing w:val="0"/>
          <w:w w:val="100"/>
          <w:position w:val="0"/>
        </w:rPr>
        <w:t>公司</w:t>
      </w:r>
      <w:r>
        <w:rPr>
          <w:color w:val="000000"/>
          <w:spacing w:val="0"/>
          <w:w w:val="100"/>
          <w:position w:val="0"/>
          <w:sz w:val="24"/>
          <w:szCs w:val="24"/>
        </w:rPr>
        <w:t>2012</w:t>
      </w:r>
      <w:r>
        <w:rPr>
          <w:color w:val="000000"/>
          <w:spacing w:val="0"/>
          <w:w w:val="100"/>
          <w:position w:val="0"/>
        </w:rPr>
        <w:t>年度股东大会审议通过</w:t>
      </w:r>
      <w:r>
        <w:rPr>
          <w:color w:val="000000"/>
          <w:spacing w:val="0"/>
          <w:w w:val="100"/>
          <w:position w:val="0"/>
          <w:sz w:val="24"/>
          <w:szCs w:val="24"/>
        </w:rPr>
        <w:t>2012</w:t>
      </w:r>
      <w:r>
        <w:rPr>
          <w:color w:val="000000"/>
          <w:spacing w:val="0"/>
          <w:w w:val="100"/>
          <w:position w:val="0"/>
        </w:rPr>
        <w:t>年度利润分配及资本公积金转增股本方案，向全体 股东每</w:t>
      </w:r>
      <w:r>
        <w:rPr>
          <w:color w:val="000000"/>
          <w:spacing w:val="0"/>
          <w:w w:val="100"/>
          <w:position w:val="0"/>
          <w:sz w:val="24"/>
          <w:szCs w:val="24"/>
        </w:rPr>
        <w:t>10</w:t>
      </w:r>
      <w:r>
        <w:rPr>
          <w:color w:val="000000"/>
          <w:spacing w:val="0"/>
          <w:w w:val="100"/>
          <w:position w:val="0"/>
        </w:rPr>
        <w:t>股派发现金股利</w:t>
      </w:r>
      <w:r>
        <w:rPr>
          <w:color w:val="000000"/>
          <w:spacing w:val="0"/>
          <w:w w:val="100"/>
          <w:position w:val="0"/>
          <w:sz w:val="24"/>
          <w:szCs w:val="24"/>
        </w:rPr>
        <w:t>2</w:t>
      </w:r>
      <w:r>
        <w:rPr>
          <w:color w:val="000000"/>
          <w:spacing w:val="0"/>
          <w:w w:val="100"/>
          <w:position w:val="0"/>
        </w:rPr>
        <w:t>元（含税），资本公积金每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5</w:t>
      </w:r>
      <w:r>
        <w:rPr>
          <w:color w:val="000000"/>
          <w:spacing w:val="0"/>
          <w:w w:val="100"/>
          <w:position w:val="0"/>
        </w:rPr>
        <w:t>股。根据公司股东大会的授权, 董事会应对股票期权激励计划的期权数量进行调整。</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9</w:t>
      </w:r>
      <w:r>
        <w:rPr>
          <w:color w:val="000000"/>
          <w:spacing w:val="0"/>
          <w:w w:val="100"/>
          <w:position w:val="0"/>
        </w:rPr>
        <w:t>日授予的</w:t>
      </w:r>
      <w:r>
        <w:rPr>
          <w:color w:val="000000"/>
          <w:spacing w:val="0"/>
          <w:w w:val="100"/>
          <w:position w:val="0"/>
          <w:sz w:val="24"/>
          <w:szCs w:val="24"/>
        </w:rPr>
        <w:t>182</w:t>
      </w:r>
      <w:r>
        <w:rPr>
          <w:color w:val="000000"/>
          <w:spacing w:val="0"/>
          <w:w w:val="100"/>
          <w:position w:val="0"/>
        </w:rPr>
        <w:t xml:space="preserve">万份行权价 </w:t>
      </w:r>
      <w:r>
        <w:rPr>
          <w:color w:val="000000"/>
          <w:spacing w:val="0"/>
          <w:w w:val="100"/>
          <w:position w:val="0"/>
          <w:sz w:val="24"/>
          <w:szCs w:val="24"/>
        </w:rPr>
        <w:t>23.70</w:t>
      </w:r>
      <w:r>
        <w:rPr>
          <w:color w:val="000000"/>
          <w:spacing w:val="0"/>
          <w:w w:val="100"/>
          <w:position w:val="0"/>
        </w:rPr>
        <w:t>元的股份期权，期权数量变更为</w:t>
      </w:r>
      <w:r>
        <w:rPr>
          <w:color w:val="000000"/>
          <w:spacing w:val="0"/>
          <w:w w:val="100"/>
          <w:position w:val="0"/>
          <w:sz w:val="24"/>
          <w:szCs w:val="24"/>
        </w:rPr>
        <w:t>273</w:t>
      </w:r>
      <w:r>
        <w:rPr>
          <w:color w:val="000000"/>
          <w:spacing w:val="0"/>
          <w:w w:val="100"/>
          <w:position w:val="0"/>
        </w:rPr>
        <w:t>万份，行权价格变更为</w:t>
      </w:r>
      <w:r>
        <w:rPr>
          <w:color w:val="000000"/>
          <w:spacing w:val="0"/>
          <w:w w:val="100"/>
          <w:position w:val="0"/>
          <w:sz w:val="24"/>
          <w:szCs w:val="24"/>
        </w:rPr>
        <w:t>15.53</w:t>
      </w:r>
      <w:r>
        <w:rPr>
          <w:color w:val="000000"/>
          <w:spacing w:val="0"/>
          <w:w w:val="100"/>
          <w:position w:val="0"/>
        </w:rPr>
        <w:t>元；</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22</w:t>
      </w:r>
      <w:r>
        <w:rPr>
          <w:color w:val="000000"/>
          <w:spacing w:val="0"/>
          <w:w w:val="100"/>
          <w:position w:val="0"/>
        </w:rPr>
        <w:t>日授 予的</w:t>
      </w:r>
      <w:r>
        <w:rPr>
          <w:color w:val="000000"/>
          <w:spacing w:val="0"/>
          <w:w w:val="100"/>
          <w:position w:val="0"/>
          <w:sz w:val="24"/>
          <w:szCs w:val="24"/>
        </w:rPr>
        <w:t>18</w:t>
      </w:r>
      <w:r>
        <w:rPr>
          <w:color w:val="000000"/>
          <w:spacing w:val="0"/>
          <w:w w:val="100"/>
          <w:position w:val="0"/>
        </w:rPr>
        <w:t>万份行权价格</w:t>
      </w:r>
      <w:r>
        <w:rPr>
          <w:color w:val="000000"/>
          <w:spacing w:val="0"/>
          <w:w w:val="100"/>
          <w:position w:val="0"/>
          <w:sz w:val="24"/>
          <w:szCs w:val="24"/>
        </w:rPr>
        <w:t>25.42</w:t>
      </w:r>
      <w:r>
        <w:rPr>
          <w:color w:val="000000"/>
          <w:spacing w:val="0"/>
          <w:w w:val="100"/>
          <w:position w:val="0"/>
        </w:rPr>
        <w:t>元的股份期权，期权数量变更为</w:t>
      </w:r>
      <w:r>
        <w:rPr>
          <w:color w:val="000000"/>
          <w:spacing w:val="0"/>
          <w:w w:val="100"/>
          <w:position w:val="0"/>
          <w:sz w:val="24"/>
          <w:szCs w:val="24"/>
        </w:rPr>
        <w:t>27</w:t>
      </w:r>
      <w:r>
        <w:rPr>
          <w:color w:val="000000"/>
          <w:spacing w:val="0"/>
          <w:w w:val="100"/>
          <w:position w:val="0"/>
        </w:rPr>
        <w:t>万份，行权价格变更为</w:t>
      </w:r>
      <w:r>
        <w:rPr>
          <w:color w:val="000000"/>
          <w:spacing w:val="0"/>
          <w:w w:val="100"/>
          <w:position w:val="0"/>
          <w:sz w:val="24"/>
          <w:szCs w:val="24"/>
        </w:rPr>
        <w:t>16.81</w:t>
      </w:r>
      <w:r>
        <w:rPr>
          <w:color w:val="000000"/>
          <w:spacing w:val="0"/>
          <w:w w:val="100"/>
          <w:position w:val="0"/>
        </w:rPr>
        <w:t>元。</w:t>
      </w:r>
    </w:p>
    <w:p>
      <w:pPr>
        <w:pStyle w:val="Style47"/>
        <w:keepNext/>
        <w:keepLines/>
        <w:widowControl w:val="0"/>
        <w:shd w:val="clear" w:color="auto" w:fill="auto"/>
        <w:bidi w:val="0"/>
        <w:spacing w:before="0" w:after="360" w:line="240" w:lineRule="auto"/>
        <w:ind w:left="0" w:right="0" w:firstLine="0"/>
        <w:jc w:val="left"/>
      </w:pPr>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834"/>
      <w:bookmarkEnd w:id="835"/>
      <w:bookmarkEnd w:id="83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公司选择</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sz w:val="17"/>
                <w:szCs w:val="17"/>
              </w:rPr>
              <w:t>模型来计算期权的公允价值。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对可行权权益工具数量的最佳估计的确定方法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根据最新取得的可行权人数变动、业绩指标完成情况等后续</w:t>
            </w:r>
          </w:p>
        </w:tc>
      </w:tr>
    </w:tbl>
    <w:p>
      <w:pPr>
        <w:widowControl w:val="0"/>
        <w:spacing w:line="1" w:lineRule="exact"/>
      </w:pPr>
    </w:p>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信息，修正预计可行权的股票期权数量。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资本公积中以权益结算的股份支付的累计金额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6,601,060.00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6,601,060.00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以权益结算的股份支付的说明</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、以股份支付服务情况</w:t>
      </w:r>
    </w:p>
    <w:p>
      <w:pPr>
        <w:widowControl w:val="0"/>
        <w:spacing w:after="35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以股份支付换取的职工服务总额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6,601,060.00</w:t>
            </w:r>
          </w:p>
        </w:tc>
      </w:tr>
    </w:tbl>
    <w:p>
      <w:pPr>
        <w:widowControl w:val="0"/>
        <w:spacing w:after="119" w:line="1" w:lineRule="exact"/>
      </w:pPr>
    </w:p>
    <w:p>
      <w:pPr>
        <w:pStyle w:val="Style32"/>
        <w:keepNext w:val="0"/>
        <w:keepLines w:val="0"/>
        <w:widowControl w:val="0"/>
        <w:shd w:val="clear" w:color="auto" w:fill="auto"/>
        <w:bidi w:val="0"/>
        <w:spacing w:before="0" w:after="360" w:line="467" w:lineRule="exact"/>
        <w:ind w:left="0" w:right="0" w:firstLine="0"/>
        <w:jc w:val="left"/>
      </w:pPr>
      <w:r>
        <w:rPr>
          <w:b/>
          <w:bCs/>
          <w:color w:val="000000"/>
          <w:spacing w:val="0"/>
          <w:w w:val="100"/>
          <w:position w:val="0"/>
        </w:rPr>
        <w:t>十、或有事项</w:t>
      </w:r>
    </w:p>
    <w:p>
      <w:pPr>
        <w:pStyle w:val="Style32"/>
        <w:keepNext w:val="0"/>
        <w:keepLines w:val="0"/>
        <w:widowControl w:val="0"/>
        <w:shd w:val="clear" w:color="auto" w:fill="auto"/>
        <w:bidi w:val="0"/>
        <w:spacing w:before="0" w:after="20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、为其他单位提供债务担保形成的或有负债及其财务影响</w:t>
      </w:r>
    </w:p>
    <w:p>
      <w:pPr>
        <w:pStyle w:val="Style32"/>
        <w:keepNext w:val="0"/>
        <w:keepLines w:val="0"/>
        <w:widowControl w:val="0"/>
        <w:shd w:val="clear" w:color="auto" w:fill="auto"/>
        <w:bidi w:val="0"/>
        <w:spacing w:before="0" w:after="200" w:line="463" w:lineRule="exact"/>
        <w:ind w:left="0" w:right="0" w:firstLine="500"/>
        <w:jc w:val="both"/>
      </w:pPr>
      <w:r>
        <w:rPr>
          <w:color w:val="000000"/>
          <w:spacing w:val="0"/>
          <w:w w:val="100"/>
          <w:position w:val="0"/>
        </w:rPr>
        <w:t>本公司为北京汉王智通科技有限公司提供最高额保证，在民生银行提供最高额授信担保 为</w:t>
      </w:r>
      <w:r>
        <w:rPr>
          <w:color w:val="000000"/>
          <w:spacing w:val="0"/>
          <w:w w:val="100"/>
          <w:position w:val="0"/>
          <w:sz w:val="24"/>
          <w:szCs w:val="24"/>
        </w:rPr>
        <w:t>8000</w:t>
      </w:r>
      <w:r>
        <w:rPr>
          <w:color w:val="000000"/>
          <w:spacing w:val="0"/>
          <w:w w:val="100"/>
          <w:position w:val="0"/>
        </w:rPr>
        <w:t>万元人民币，已使用</w:t>
      </w:r>
      <w:r>
        <w:rPr>
          <w:color w:val="000000"/>
          <w:spacing w:val="0"/>
          <w:w w:val="100"/>
          <w:position w:val="0"/>
          <w:sz w:val="24"/>
          <w:szCs w:val="24"/>
        </w:rPr>
        <w:t>80,000,000.0</w:t>
      </w:r>
      <w:r>
        <w:rPr>
          <w:color w:val="000000"/>
          <w:spacing w:val="0"/>
          <w:w w:val="100"/>
          <w:position w:val="0"/>
          <w:sz w:val="24"/>
          <w:szCs w:val="24"/>
        </w:rPr>
        <w:t>0</w:t>
      </w:r>
      <w:r>
        <w:rPr>
          <w:color w:val="000000"/>
          <w:spacing w:val="0"/>
          <w:w w:val="100"/>
          <w:position w:val="0"/>
        </w:rPr>
        <w:t>元。本公司与张开春为北京汉王智通科技有限公司 提供联合担保，在招商银行提供最高额授信担保</w:t>
      </w:r>
      <w:r>
        <w:rPr>
          <w:color w:val="000000"/>
          <w:spacing w:val="0"/>
          <w:w w:val="100"/>
          <w:position w:val="0"/>
          <w:sz w:val="24"/>
          <w:szCs w:val="24"/>
        </w:rPr>
        <w:t>2000</w:t>
      </w:r>
      <w:r>
        <w:rPr>
          <w:color w:val="000000"/>
          <w:spacing w:val="0"/>
          <w:w w:val="100"/>
          <w:position w:val="0"/>
        </w:rPr>
        <w:t>万，已使用</w:t>
      </w:r>
      <w:r>
        <w:rPr>
          <w:color w:val="000000"/>
          <w:spacing w:val="0"/>
          <w:w w:val="100"/>
          <w:position w:val="0"/>
          <w:sz w:val="24"/>
          <w:szCs w:val="24"/>
        </w:rPr>
        <w:t>4,394,955.10</w:t>
      </w:r>
      <w:r>
        <w:rPr>
          <w:color w:val="000000"/>
          <w:spacing w:val="0"/>
          <w:w w:val="100"/>
          <w:position w:val="0"/>
        </w:rPr>
        <w:t>元。</w:t>
      </w:r>
    </w:p>
    <w:p>
      <w:pPr>
        <w:pStyle w:val="Style32"/>
        <w:keepNext w:val="0"/>
        <w:keepLines w:val="0"/>
        <w:widowControl w:val="0"/>
        <w:shd w:val="clear" w:color="auto" w:fill="auto"/>
        <w:bidi w:val="0"/>
        <w:spacing w:before="0" w:after="360" w:line="467" w:lineRule="exact"/>
        <w:ind w:left="0" w:right="0" w:firstLine="0"/>
        <w:jc w:val="both"/>
      </w:pPr>
      <w:r>
        <w:rPr>
          <w:b/>
          <w:bCs/>
          <w:color w:val="000000"/>
          <w:spacing w:val="0"/>
          <w:w w:val="100"/>
          <w:position w:val="0"/>
        </w:rPr>
        <w:t>十一、承诺事项</w:t>
      </w:r>
    </w:p>
    <w:p>
      <w:pPr>
        <w:pStyle w:val="Style32"/>
        <w:keepNext w:val="0"/>
        <w:keepLines w:val="0"/>
        <w:widowControl w:val="0"/>
        <w:shd w:val="clear" w:color="auto" w:fill="auto"/>
        <w:bidi w:val="0"/>
        <w:spacing w:before="0" w:after="20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、前期承诺履行情况</w:t>
      </w:r>
    </w:p>
    <w:p>
      <w:pPr>
        <w:pStyle w:val="Style32"/>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根据本公司</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日《关于使用超募资金收购北京汉王智通科技有限公司</w:t>
      </w:r>
      <w:r>
        <w:rPr>
          <w:color w:val="000000"/>
          <w:spacing w:val="0"/>
          <w:w w:val="100"/>
          <w:position w:val="0"/>
          <w:sz w:val="24"/>
          <w:szCs w:val="24"/>
        </w:rPr>
        <w:t>90%</w:t>
      </w:r>
      <w:r>
        <w:rPr>
          <w:color w:val="000000"/>
          <w:spacing w:val="0"/>
          <w:w w:val="100"/>
          <w:position w:val="0"/>
        </w:rPr>
        <w:t>股权 的公告》，本公司拟用超募资金</w:t>
      </w:r>
      <w:r>
        <w:rPr>
          <w:color w:val="000000"/>
          <w:spacing w:val="0"/>
          <w:w w:val="100"/>
          <w:position w:val="0"/>
          <w:sz w:val="24"/>
          <w:szCs w:val="24"/>
        </w:rPr>
        <w:t>10,440</w:t>
      </w:r>
      <w:r>
        <w:rPr>
          <w:color w:val="000000"/>
          <w:spacing w:val="0"/>
          <w:w w:val="100"/>
          <w:position w:val="0"/>
        </w:rPr>
        <w:t>万元收购汉王科技股份有限公司（以下简称“汉王科 技”）全资子公司北京汉王智通科技有限公司（以下简称“汉王智通”）</w:t>
      </w:r>
      <w:r>
        <w:rPr>
          <w:color w:val="000000"/>
          <w:spacing w:val="0"/>
          <w:w w:val="100"/>
          <w:position w:val="0"/>
          <w:sz w:val="24"/>
          <w:szCs w:val="24"/>
        </w:rPr>
        <w:t>90%</w:t>
      </w:r>
      <w:r>
        <w:rPr>
          <w:color w:val="000000"/>
          <w:spacing w:val="0"/>
          <w:w w:val="100"/>
          <w:position w:val="0"/>
        </w:rPr>
        <w:t>的股权。本公司 分二次向汉王科技收购汉王智通</w:t>
      </w:r>
      <w:r>
        <w:rPr>
          <w:color w:val="000000"/>
          <w:spacing w:val="0"/>
          <w:w w:val="100"/>
          <w:position w:val="0"/>
          <w:sz w:val="24"/>
          <w:szCs w:val="24"/>
        </w:rPr>
        <w:t>90%</w:t>
      </w:r>
      <w:r>
        <w:rPr>
          <w:color w:val="000000"/>
          <w:spacing w:val="0"/>
          <w:w w:val="100"/>
          <w:position w:val="0"/>
        </w:rPr>
        <w:t>的股权，首次收购汉王科技</w:t>
      </w:r>
      <w:r>
        <w:rPr>
          <w:color w:val="000000"/>
          <w:spacing w:val="0"/>
          <w:w w:val="100"/>
          <w:position w:val="0"/>
          <w:sz w:val="24"/>
          <w:szCs w:val="24"/>
        </w:rPr>
        <w:t>70%</w:t>
      </w:r>
      <w:r>
        <w:rPr>
          <w:color w:val="000000"/>
          <w:spacing w:val="0"/>
          <w:w w:val="100"/>
          <w:position w:val="0"/>
        </w:rPr>
        <w:t>股权，第二次收购汉王科 技</w:t>
      </w:r>
      <w:r>
        <w:rPr>
          <w:color w:val="000000"/>
          <w:spacing w:val="0"/>
          <w:w w:val="100"/>
          <w:position w:val="0"/>
          <w:sz w:val="24"/>
          <w:szCs w:val="24"/>
        </w:rPr>
        <w:t>20%</w:t>
      </w:r>
      <w:r>
        <w:rPr>
          <w:color w:val="000000"/>
          <w:spacing w:val="0"/>
          <w:w w:val="100"/>
          <w:position w:val="0"/>
        </w:rPr>
        <w:t>的股权。首次</w:t>
      </w:r>
      <w:r>
        <w:rPr>
          <w:color w:val="000000"/>
          <w:spacing w:val="0"/>
          <w:w w:val="100"/>
          <w:position w:val="0"/>
          <w:sz w:val="24"/>
          <w:szCs w:val="24"/>
        </w:rPr>
        <w:t>70%</w:t>
      </w:r>
      <w:r>
        <w:rPr>
          <w:color w:val="000000"/>
          <w:spacing w:val="0"/>
          <w:w w:val="100"/>
          <w:position w:val="0"/>
        </w:rPr>
        <w:t>股权已于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日交割完毕。</w:t>
      </w:r>
    </w:p>
    <w:p>
      <w:pPr>
        <w:pStyle w:val="Style32"/>
        <w:keepNext w:val="0"/>
        <w:keepLines w:val="0"/>
        <w:widowControl w:val="0"/>
        <w:shd w:val="clear" w:color="auto" w:fill="auto"/>
        <w:bidi w:val="0"/>
        <w:spacing w:before="0" w:after="360" w:line="467" w:lineRule="exact"/>
        <w:ind w:left="0" w:right="0" w:firstLine="0"/>
        <w:jc w:val="left"/>
      </w:pPr>
      <w:r>
        <w:rPr>
          <w:b/>
          <w:bCs/>
          <w:color w:val="000000"/>
          <w:spacing w:val="0"/>
          <w:w w:val="100"/>
          <w:position w:val="0"/>
        </w:rPr>
        <w:t>十二、资产负债表日后事项</w:t>
      </w:r>
    </w:p>
    <w:p>
      <w:pPr>
        <w:pStyle w:val="Style32"/>
        <w:keepNext w:val="0"/>
        <w:keepLines w:val="0"/>
        <w:widowControl w:val="0"/>
        <w:shd w:val="clear" w:color="auto" w:fill="auto"/>
        <w:bidi w:val="0"/>
        <w:spacing w:before="0" w:after="20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、其他资产负债表日后事项说明</w:t>
      </w:r>
    </w:p>
    <w:p>
      <w:pPr>
        <w:pStyle w:val="Style32"/>
        <w:keepNext w:val="0"/>
        <w:keepLines w:val="0"/>
        <w:widowControl w:val="0"/>
        <w:shd w:val="clear" w:color="auto" w:fill="auto"/>
        <w:bidi w:val="0"/>
        <w:spacing w:before="0" w:after="200" w:line="467" w:lineRule="exact"/>
        <w:ind w:left="0" w:right="0" w:firstLine="500"/>
        <w:jc w:val="both"/>
      </w:pPr>
      <w:r>
        <w:rPr>
          <w:color w:val="000000"/>
          <w:spacing w:val="0"/>
          <w:w w:val="100"/>
          <w:position w:val="0"/>
          <w:sz w:val="24"/>
          <w:szCs w:val="24"/>
        </w:rPr>
        <w:t>1</w:t>
      </w:r>
      <w:r>
        <w:rPr>
          <w:color w:val="000000"/>
          <w:spacing w:val="0"/>
          <w:w w:val="100"/>
          <w:position w:val="0"/>
        </w:rPr>
        <w:t>、</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日，公司召开第二届董事会第十九次会议，审议分配预案如下：公司以 总股本</w:t>
      </w:r>
      <w:r>
        <w:rPr>
          <w:color w:val="000000"/>
          <w:spacing w:val="0"/>
          <w:w w:val="100"/>
          <w:position w:val="0"/>
          <w:sz w:val="24"/>
          <w:szCs w:val="24"/>
        </w:rPr>
        <w:t>126,000,000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2</w:t>
      </w:r>
      <w:r>
        <w:rPr>
          <w:color w:val="000000"/>
          <w:spacing w:val="0"/>
          <w:w w:val="100"/>
          <w:position w:val="0"/>
        </w:rPr>
        <w:t>元（含税），共计派发现金 红利</w:t>
      </w:r>
      <w:r>
        <w:rPr>
          <w:color w:val="000000"/>
          <w:spacing w:val="0"/>
          <w:w w:val="100"/>
          <w:position w:val="0"/>
          <w:sz w:val="24"/>
          <w:szCs w:val="24"/>
        </w:rPr>
        <w:t>25,200,000</w:t>
      </w:r>
      <w:r>
        <w:rPr>
          <w:color w:val="000000"/>
          <w:spacing w:val="0"/>
          <w:w w:val="100"/>
          <w:position w:val="0"/>
        </w:rPr>
        <w:t>元，剩余未分配利润结转以后年度分配。同时以资本公积向全体股东每</w:t>
      </w:r>
      <w:r>
        <w:rPr>
          <w:color w:val="000000"/>
          <w:spacing w:val="0"/>
          <w:w w:val="100"/>
          <w:position w:val="0"/>
          <w:sz w:val="24"/>
          <w:szCs w:val="24"/>
        </w:rPr>
        <w:t>10</w:t>
      </w:r>
      <w:r>
        <w:rPr>
          <w:color w:val="000000"/>
          <w:spacing w:val="0"/>
          <w:w w:val="100"/>
          <w:position w:val="0"/>
        </w:rPr>
        <w:t>股 转增</w:t>
      </w:r>
      <w:r>
        <w:rPr>
          <w:color w:val="000000"/>
          <w:spacing w:val="0"/>
          <w:w w:val="100"/>
          <w:position w:val="0"/>
          <w:sz w:val="24"/>
          <w:szCs w:val="24"/>
        </w:rPr>
        <w:t>5</w:t>
      </w:r>
      <w:r>
        <w:rPr>
          <w:color w:val="000000"/>
          <w:spacing w:val="0"/>
          <w:w w:val="100"/>
          <w:position w:val="0"/>
        </w:rPr>
        <w:t>股，合计转增股本</w:t>
      </w:r>
      <w:r>
        <w:rPr>
          <w:color w:val="000000"/>
          <w:spacing w:val="0"/>
          <w:w w:val="100"/>
          <w:position w:val="0"/>
          <w:sz w:val="24"/>
          <w:szCs w:val="24"/>
        </w:rPr>
        <w:t>63,000,000.0</w:t>
      </w:r>
      <w:r>
        <w:rPr>
          <w:color w:val="000000"/>
          <w:spacing w:val="0"/>
          <w:w w:val="100"/>
          <w:position w:val="0"/>
          <w:sz w:val="24"/>
          <w:szCs w:val="24"/>
        </w:rPr>
        <w:t>0</w:t>
      </w:r>
      <w:r>
        <w:rPr>
          <w:color w:val="000000"/>
          <w:spacing w:val="0"/>
          <w:w w:val="100"/>
          <w:position w:val="0"/>
        </w:rPr>
        <w:t>股。转增股本后公司总股本变更为</w:t>
      </w:r>
      <w:r>
        <w:rPr>
          <w:color w:val="000000"/>
          <w:spacing w:val="0"/>
          <w:w w:val="100"/>
          <w:position w:val="0"/>
          <w:sz w:val="24"/>
          <w:szCs w:val="24"/>
        </w:rPr>
        <w:t>189,000,000.00</w:t>
      </w:r>
      <w:r>
        <w:rPr>
          <w:color w:val="000000"/>
          <w:spacing w:val="0"/>
          <w:w w:val="100"/>
          <w:position w:val="0"/>
        </w:rPr>
        <w:t>股。</w:t>
      </w:r>
    </w:p>
    <w:p>
      <w:pPr>
        <w:pStyle w:val="Style32"/>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2014</w:t>
      </w:r>
      <w:r>
        <w:rPr>
          <w:color w:val="000000"/>
          <w:spacing w:val="0"/>
          <w:w w:val="100"/>
          <w:position w:val="0"/>
        </w:rPr>
        <w:t>年初，财政部分别以财会</w:t>
      </w:r>
      <w:r>
        <w:rPr>
          <w:color w:val="000000"/>
          <w:spacing w:val="0"/>
          <w:w w:val="100"/>
          <w:position w:val="0"/>
          <w:sz w:val="24"/>
          <w:szCs w:val="24"/>
        </w:rPr>
        <w:t>[2014]6</w:t>
      </w:r>
      <w:r>
        <w:rPr>
          <w:color w:val="000000"/>
          <w:spacing w:val="0"/>
          <w:w w:val="100"/>
          <w:position w:val="0"/>
        </w:rPr>
        <w:t>号、</w:t>
      </w:r>
      <w:r>
        <w:rPr>
          <w:color w:val="000000"/>
          <w:spacing w:val="0"/>
          <w:w w:val="100"/>
          <w:position w:val="0"/>
          <w:sz w:val="24"/>
          <w:szCs w:val="24"/>
        </w:rPr>
        <w:t>7</w:t>
      </w:r>
      <w:r>
        <w:rPr>
          <w:color w:val="000000"/>
          <w:spacing w:val="0"/>
          <w:w w:val="100"/>
          <w:position w:val="0"/>
        </w:rPr>
        <w:t>号、</w:t>
      </w:r>
      <w:r>
        <w:rPr>
          <w:color w:val="000000"/>
          <w:spacing w:val="0"/>
          <w:w w:val="100"/>
          <w:position w:val="0"/>
          <w:sz w:val="24"/>
          <w:szCs w:val="24"/>
        </w:rPr>
        <w:t>8</w:t>
      </w:r>
      <w:r>
        <w:rPr>
          <w:color w:val="000000"/>
          <w:spacing w:val="0"/>
          <w:w w:val="100"/>
          <w:position w:val="0"/>
        </w:rPr>
        <w:t>号、</w:t>
      </w:r>
      <w:r>
        <w:rPr>
          <w:color w:val="000000"/>
          <w:spacing w:val="0"/>
          <w:w w:val="100"/>
          <w:position w:val="0"/>
          <w:sz w:val="24"/>
          <w:szCs w:val="24"/>
        </w:rPr>
        <w:t>10</w:t>
      </w:r>
      <w:r>
        <w:rPr>
          <w:color w:val="000000"/>
          <w:spacing w:val="0"/>
          <w:w w:val="100"/>
          <w:position w:val="0"/>
        </w:rPr>
        <w:t>号、</w:t>
      </w:r>
      <w:r>
        <w:rPr>
          <w:color w:val="000000"/>
          <w:spacing w:val="0"/>
          <w:w w:val="100"/>
          <w:position w:val="0"/>
          <w:sz w:val="24"/>
          <w:szCs w:val="24"/>
        </w:rPr>
        <w:t>11</w:t>
      </w:r>
      <w:r>
        <w:rPr>
          <w:color w:val="000000"/>
          <w:spacing w:val="0"/>
          <w:w w:val="100"/>
          <w:position w:val="0"/>
        </w:rPr>
        <w:t>号发布了《企业会计 准则第</w:t>
      </w:r>
      <w:r>
        <w:rPr>
          <w:color w:val="000000"/>
          <w:spacing w:val="0"/>
          <w:w w:val="100"/>
          <w:position w:val="0"/>
          <w:sz w:val="24"/>
          <w:szCs w:val="24"/>
        </w:rPr>
        <w:t>39</w:t>
      </w:r>
      <w:r>
        <w:rPr>
          <w:color w:val="000000"/>
          <w:spacing w:val="0"/>
          <w:w w:val="100"/>
          <w:position w:val="0"/>
        </w:rPr>
        <w:t>号一一公允价值计量》、《企业会计准则第</w:t>
      </w:r>
      <w:r>
        <w:rPr>
          <w:color w:val="000000"/>
          <w:spacing w:val="0"/>
          <w:w w:val="100"/>
          <w:position w:val="0"/>
          <w:sz w:val="24"/>
          <w:szCs w:val="24"/>
        </w:rPr>
        <w:t>30</w:t>
      </w:r>
      <w:r>
        <w:rPr>
          <w:color w:val="000000"/>
          <w:spacing w:val="0"/>
          <w:w w:val="100"/>
          <w:position w:val="0"/>
        </w:rPr>
        <w:t>号一一财务报表列报</w:t>
      </w:r>
      <w:r>
        <w:rPr>
          <w:color w:val="000000"/>
          <w:spacing w:val="0"/>
          <w:w w:val="100"/>
          <w:position w:val="0"/>
          <w:sz w:val="24"/>
          <w:szCs w:val="24"/>
        </w:rPr>
        <w:t>（2014</w:t>
      </w:r>
      <w:r>
        <w:rPr>
          <w:color w:val="000000"/>
          <w:spacing w:val="0"/>
          <w:w w:val="100"/>
          <w:position w:val="0"/>
        </w:rPr>
        <w:t>年修订）》、 《企业会计准则第</w:t>
      </w:r>
      <w:r>
        <w:rPr>
          <w:color w:val="000000"/>
          <w:spacing w:val="0"/>
          <w:w w:val="100"/>
          <w:position w:val="0"/>
          <w:sz w:val="24"/>
          <w:szCs w:val="24"/>
        </w:rPr>
        <w:t>9</w:t>
      </w:r>
      <w:r>
        <w:rPr>
          <w:color w:val="000000"/>
          <w:spacing w:val="0"/>
          <w:w w:val="100"/>
          <w:position w:val="0"/>
        </w:rPr>
        <w:t>号一一职工薪酬</w:t>
      </w:r>
      <w:r>
        <w:rPr>
          <w:color w:val="000000"/>
          <w:spacing w:val="0"/>
          <w:w w:val="100"/>
          <w:position w:val="0"/>
          <w:sz w:val="24"/>
          <w:szCs w:val="24"/>
        </w:rPr>
        <w:t>（2014</w:t>
      </w:r>
      <w:r>
        <w:rPr>
          <w:color w:val="000000"/>
          <w:spacing w:val="0"/>
          <w:w w:val="100"/>
          <w:position w:val="0"/>
        </w:rPr>
        <w:t>年修订）》、《企业会计准则第</w:t>
      </w:r>
      <w:r>
        <w:rPr>
          <w:color w:val="000000"/>
          <w:spacing w:val="0"/>
          <w:w w:val="100"/>
          <w:position w:val="0"/>
          <w:sz w:val="24"/>
          <w:szCs w:val="24"/>
        </w:rPr>
        <w:t>33</w:t>
      </w:r>
      <w:r>
        <w:rPr>
          <w:color w:val="000000"/>
          <w:spacing w:val="0"/>
          <w:w w:val="100"/>
          <w:position w:val="0"/>
        </w:rPr>
        <w:t>号一一合并财务 报表</w:t>
      </w:r>
      <w:r>
        <w:rPr>
          <w:color w:val="000000"/>
          <w:spacing w:val="0"/>
          <w:w w:val="100"/>
          <w:position w:val="0"/>
          <w:sz w:val="24"/>
          <w:szCs w:val="24"/>
        </w:rPr>
        <w:t>（2014</w:t>
      </w:r>
      <w:r>
        <w:rPr>
          <w:color w:val="000000"/>
          <w:spacing w:val="0"/>
          <w:w w:val="100"/>
          <w:position w:val="0"/>
        </w:rPr>
        <w:t>年修订）》及《企业会计准则第</w:t>
      </w:r>
      <w:r>
        <w:rPr>
          <w:color w:val="000000"/>
          <w:spacing w:val="0"/>
          <w:w w:val="100"/>
          <w:position w:val="0"/>
          <w:sz w:val="24"/>
          <w:szCs w:val="24"/>
        </w:rPr>
        <w:t>40</w:t>
      </w:r>
      <w:r>
        <w:rPr>
          <w:color w:val="000000"/>
          <w:spacing w:val="0"/>
          <w:w w:val="100"/>
          <w:position w:val="0"/>
        </w:rPr>
        <w:t>号——合营安排》，要求自</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日起在 所有执行企业会计准则的企业范围内施行，鼓励在境外上市的企业提前执行。</w:t>
      </w:r>
    </w:p>
    <w:p>
      <w:pPr>
        <w:pStyle w:val="Style32"/>
        <w:keepNext w:val="0"/>
        <w:keepLines w:val="0"/>
        <w:widowControl w:val="0"/>
        <w:shd w:val="clear" w:color="auto" w:fill="auto"/>
        <w:bidi w:val="0"/>
        <w:spacing w:before="0" w:after="0" w:line="490" w:lineRule="exact"/>
        <w:ind w:left="0" w:right="0" w:firstLine="480"/>
        <w:jc w:val="both"/>
      </w:pPr>
      <w:r>
        <w:rPr>
          <w:color w:val="000000"/>
          <w:spacing w:val="0"/>
          <w:w w:val="100"/>
          <w:position w:val="0"/>
        </w:rPr>
        <w:t>本公司将自</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日起开始执行上述各项准则，并将依据上述各项准则的规定对相 关会计政策进行变更。以下为所涉及的会计政策变更的主要内容：</w:t>
      </w:r>
    </w:p>
    <w:p>
      <w:pPr>
        <w:pStyle w:val="Style32"/>
        <w:keepNext w:val="0"/>
        <w:keepLines w:val="0"/>
        <w:widowControl w:val="0"/>
        <w:numPr>
          <w:ilvl w:val="0"/>
          <w:numId w:val="25"/>
        </w:numPr>
        <w:shd w:val="clear" w:color="auto" w:fill="auto"/>
        <w:tabs>
          <w:tab w:pos="841" w:val="left"/>
        </w:tabs>
        <w:bidi w:val="0"/>
        <w:spacing w:before="0" w:after="0" w:line="470" w:lineRule="exact"/>
        <w:ind w:left="0" w:right="0" w:firstLine="480"/>
        <w:jc w:val="both"/>
      </w:pPr>
      <w:bookmarkStart w:id="837" w:name="bookmark837"/>
      <w:bookmarkEnd w:id="837"/>
      <w:r>
        <w:rPr>
          <w:color w:val="000000"/>
          <w:spacing w:val="0"/>
          <w:w w:val="100"/>
          <w:position w:val="0"/>
        </w:rPr>
        <w:t>《企业会计准则第</w:t>
      </w:r>
      <w:r>
        <w:rPr>
          <w:color w:val="000000"/>
          <w:spacing w:val="0"/>
          <w:w w:val="100"/>
          <w:position w:val="0"/>
          <w:sz w:val="24"/>
          <w:szCs w:val="24"/>
        </w:rPr>
        <w:t>9</w:t>
      </w:r>
      <w:r>
        <w:rPr>
          <w:color w:val="000000"/>
          <w:spacing w:val="0"/>
          <w:w w:val="100"/>
          <w:position w:val="0"/>
        </w:rPr>
        <w:t>号一一职工薪酬</w:t>
      </w:r>
      <w:r>
        <w:rPr>
          <w:color w:val="000000"/>
          <w:spacing w:val="0"/>
          <w:w w:val="100"/>
          <w:position w:val="0"/>
          <w:sz w:val="24"/>
          <w:szCs w:val="24"/>
        </w:rPr>
        <w:t>（2014</w:t>
      </w:r>
      <w:r>
        <w:rPr>
          <w:color w:val="000000"/>
          <w:spacing w:val="0"/>
          <w:w w:val="100"/>
          <w:position w:val="0"/>
        </w:rPr>
        <w:t>年修订）》完整地规范了离职后福利的会计 处理，将离职后福利计划分类为设定提存计划和设定受益计划。设定提存计划，是指向独立 的基金缴存固定费用后，企业不再承担进一步支付义务的离职后福利计划；设定受益计划， 是指除设定提存计划以外的离职后福利计划。企业应当在职工为其提供服务的会计期间，将 根据设定提存计划计算的应缴存金额确认为负债，并计入当期损益或相关资产成本；对于设 定受益计划，企业应当采用预期累计福利单位法并依据适当的精算假设，计量设定受益计划 所产生的义务，并根据设定受益计划确定的公式将产生的福利义务归属于职工提供服务的期 间，并计入当期损益，重新计量设定收益计划净负债或净资产所产生的变动计入其他综合收 益。此外，该修订后准则还充实了关于短期薪酬会计处理规范，充实了关于辞退福利的会计 处理规定，并引入了其他长期职工福利，完整地规范职工薪酬的会计处理。</w:t>
      </w:r>
    </w:p>
    <w:p>
      <w:pPr>
        <w:pStyle w:val="Style32"/>
        <w:keepNext w:val="0"/>
        <w:keepLines w:val="0"/>
        <w:widowControl w:val="0"/>
        <w:numPr>
          <w:ilvl w:val="0"/>
          <w:numId w:val="25"/>
        </w:numPr>
        <w:shd w:val="clear" w:color="auto" w:fill="auto"/>
        <w:tabs>
          <w:tab w:pos="841" w:val="left"/>
        </w:tabs>
        <w:bidi w:val="0"/>
        <w:spacing w:before="0" w:after="0" w:line="472" w:lineRule="exact"/>
        <w:ind w:left="0" w:right="0" w:firstLine="480"/>
        <w:jc w:val="both"/>
      </w:pPr>
      <w:bookmarkStart w:id="838" w:name="bookmark838"/>
      <w:bookmarkEnd w:id="838"/>
      <w:r>
        <w:rPr>
          <w:color w:val="000000"/>
          <w:spacing w:val="0"/>
          <w:w w:val="100"/>
          <w:position w:val="0"/>
        </w:rPr>
        <w:t>《企业会计准则第</w:t>
      </w:r>
      <w:r>
        <w:rPr>
          <w:color w:val="000000"/>
          <w:spacing w:val="0"/>
          <w:w w:val="100"/>
          <w:position w:val="0"/>
          <w:sz w:val="24"/>
          <w:szCs w:val="24"/>
        </w:rPr>
        <w:t>30</w:t>
      </w:r>
      <w:r>
        <w:rPr>
          <w:color w:val="000000"/>
          <w:spacing w:val="0"/>
          <w:w w:val="100"/>
          <w:position w:val="0"/>
        </w:rPr>
        <w:t>号一一财务报表列报</w:t>
      </w:r>
      <w:r>
        <w:rPr>
          <w:color w:val="000000"/>
          <w:spacing w:val="0"/>
          <w:w w:val="100"/>
          <w:position w:val="0"/>
          <w:sz w:val="24"/>
          <w:szCs w:val="24"/>
        </w:rPr>
        <w:t>（2014</w:t>
      </w:r>
      <w:r>
        <w:rPr>
          <w:color w:val="000000"/>
          <w:spacing w:val="0"/>
          <w:w w:val="100"/>
          <w:position w:val="0"/>
        </w:rPr>
        <w:t>年修订）》进一步规范了财务报表的 列报，在持续经营评价、正常经营周期、充实附注披露内容等方面进行了修订完善，并将“费 用按照性质分类的利润表补充资料”作为强制性披露内容。该准则要求在利润表其他综合收 益部分的列报，应将其他综合收益项目划分为两类：</w:t>
      </w:r>
      <w:r>
        <w:rPr>
          <w:color w:val="000000"/>
          <w:spacing w:val="0"/>
          <w:w w:val="100"/>
          <w:position w:val="0"/>
          <w:sz w:val="24"/>
          <w:szCs w:val="24"/>
        </w:rPr>
        <w:t>（1）</w:t>
      </w:r>
      <w:r>
        <w:rPr>
          <w:color w:val="000000"/>
          <w:spacing w:val="0"/>
          <w:w w:val="100"/>
          <w:position w:val="0"/>
        </w:rPr>
        <w:t>后续不会重分类至损益的项目；</w:t>
      </w:r>
      <w:r>
        <w:rPr>
          <w:color w:val="000000"/>
          <w:spacing w:val="0"/>
          <w:w w:val="100"/>
          <w:position w:val="0"/>
          <w:sz w:val="24"/>
          <w:szCs w:val="24"/>
        </w:rPr>
        <w:t xml:space="preserve">（2） </w:t>
      </w:r>
      <w:r>
        <w:rPr>
          <w:color w:val="000000"/>
          <w:spacing w:val="0"/>
          <w:w w:val="100"/>
          <w:position w:val="0"/>
        </w:rPr>
        <w:t>在满足特定条件的情况下，后续可能重分类至损益的项目。本公司将根据该项修订后的准则， 对财务报表列报进行变更。</w:t>
      </w:r>
    </w:p>
    <w:p>
      <w:pPr>
        <w:pStyle w:val="Style32"/>
        <w:keepNext w:val="0"/>
        <w:keepLines w:val="0"/>
        <w:widowControl w:val="0"/>
        <w:numPr>
          <w:ilvl w:val="0"/>
          <w:numId w:val="25"/>
        </w:numPr>
        <w:shd w:val="clear" w:color="auto" w:fill="auto"/>
        <w:tabs>
          <w:tab w:pos="841" w:val="left"/>
        </w:tabs>
        <w:bidi w:val="0"/>
        <w:spacing w:before="0" w:after="0" w:line="470" w:lineRule="exact"/>
        <w:ind w:left="0" w:right="0" w:firstLine="480"/>
        <w:jc w:val="both"/>
      </w:pPr>
      <w:bookmarkStart w:id="839" w:name="bookmark839"/>
      <w:bookmarkEnd w:id="839"/>
      <w:r>
        <w:rPr>
          <w:color w:val="000000"/>
          <w:spacing w:val="0"/>
          <w:w w:val="100"/>
          <w:position w:val="0"/>
        </w:rPr>
        <w:t>根据《企业会计准则第</w:t>
      </w:r>
      <w:r>
        <w:rPr>
          <w:color w:val="000000"/>
          <w:spacing w:val="0"/>
          <w:w w:val="100"/>
          <w:position w:val="0"/>
          <w:sz w:val="24"/>
          <w:szCs w:val="24"/>
        </w:rPr>
        <w:t>33</w:t>
      </w:r>
      <w:r>
        <w:rPr>
          <w:color w:val="000000"/>
          <w:spacing w:val="0"/>
          <w:w w:val="100"/>
          <w:position w:val="0"/>
        </w:rPr>
        <w:t>号一一合并财务报表</w:t>
      </w:r>
      <w:r>
        <w:rPr>
          <w:color w:val="000000"/>
          <w:spacing w:val="0"/>
          <w:w w:val="100"/>
          <w:position w:val="0"/>
          <w:sz w:val="24"/>
          <w:szCs w:val="24"/>
        </w:rPr>
        <w:t>（2014</w:t>
      </w:r>
      <w:r>
        <w:rPr>
          <w:color w:val="000000"/>
          <w:spacing w:val="0"/>
          <w:w w:val="100"/>
          <w:position w:val="0"/>
        </w:rPr>
        <w:t>年修订）》，合并财务报表的合 并范围应当以控制为基础予以确定。该准则建立了判断控制存在与否的单一模型，规定对被 投资方形成控制需要具备的三个要素为：</w:t>
      </w:r>
      <w:r>
        <w:rPr>
          <w:color w:val="000000"/>
          <w:spacing w:val="0"/>
          <w:w w:val="100"/>
          <w:position w:val="0"/>
          <w:sz w:val="24"/>
          <w:szCs w:val="24"/>
        </w:rPr>
        <w:t>（1）</w:t>
      </w:r>
      <w:r>
        <w:rPr>
          <w:color w:val="000000"/>
          <w:spacing w:val="0"/>
          <w:w w:val="100"/>
          <w:position w:val="0"/>
        </w:rPr>
        <w:t>拥有对被投资方的权力；</w:t>
      </w:r>
      <w:r>
        <w:rPr>
          <w:color w:val="000000"/>
          <w:spacing w:val="0"/>
          <w:w w:val="100"/>
          <w:position w:val="0"/>
          <w:sz w:val="24"/>
          <w:szCs w:val="24"/>
        </w:rPr>
        <w:t>（2）</w:t>
      </w:r>
      <w:r>
        <w:rPr>
          <w:color w:val="000000"/>
          <w:spacing w:val="0"/>
          <w:w w:val="100"/>
          <w:position w:val="0"/>
        </w:rPr>
        <w:t>通过参与被投 资方的相关活动而享有可变回报；</w:t>
      </w:r>
      <w:r>
        <w:rPr>
          <w:color w:val="000000"/>
          <w:spacing w:val="0"/>
          <w:w w:val="100"/>
          <w:position w:val="0"/>
          <w:sz w:val="24"/>
          <w:szCs w:val="24"/>
        </w:rPr>
        <w:t>（3）</w:t>
      </w:r>
      <w:r>
        <w:rPr>
          <w:color w:val="000000"/>
          <w:spacing w:val="0"/>
          <w:w w:val="100"/>
          <w:position w:val="0"/>
        </w:rPr>
        <w:t>有能力运用对被投资方的权力影响其回报金额。在此 基础上，该准则对控制权的判断给出了较原准则更多的指引。根据该准则的规定。</w:t>
      </w:r>
    </w:p>
    <w:p>
      <w:pPr>
        <w:pStyle w:val="Style32"/>
        <w:keepNext w:val="0"/>
        <w:keepLines w:val="0"/>
        <w:widowControl w:val="0"/>
        <w:numPr>
          <w:ilvl w:val="0"/>
          <w:numId w:val="25"/>
        </w:numPr>
        <w:shd w:val="clear" w:color="auto" w:fill="auto"/>
        <w:tabs>
          <w:tab w:pos="361" w:val="left"/>
        </w:tabs>
        <w:bidi w:val="0"/>
        <w:spacing w:before="0" w:after="0" w:line="470" w:lineRule="exact"/>
        <w:ind w:left="0" w:right="0" w:firstLine="480"/>
        <w:jc w:val="both"/>
      </w:pPr>
      <w:bookmarkStart w:id="840" w:name="bookmark840"/>
      <w:bookmarkEnd w:id="840"/>
      <w:r>
        <w:rPr>
          <w:color w:val="000000"/>
          <w:spacing w:val="0"/>
          <w:w w:val="100"/>
          <w:position w:val="0"/>
        </w:rPr>
        <w:t>《企业会计准则第</w:t>
      </w:r>
      <w:r>
        <w:rPr>
          <w:color w:val="000000"/>
          <w:spacing w:val="0"/>
          <w:w w:val="100"/>
          <w:position w:val="0"/>
          <w:sz w:val="24"/>
          <w:szCs w:val="24"/>
        </w:rPr>
        <w:t>40</w:t>
      </w:r>
      <w:r>
        <w:rPr>
          <w:color w:val="000000"/>
          <w:spacing w:val="0"/>
          <w:w w:val="100"/>
          <w:position w:val="0"/>
        </w:rPr>
        <w:t xml:space="preserve">号一一合营安排》规范了对一项由两个或两个以上的参与方共同 </w:t>
      </w:r>
      <w:r>
        <w:rPr>
          <w:color w:val="000000"/>
          <w:spacing w:val="0"/>
          <w:w w:val="100"/>
          <w:position w:val="0"/>
        </w:rPr>
        <w:t>控制的安排的认定、分类及核算。合营安排根据合营方在其中享有的权利和承担的义务，分 为共同经营和合营企业。共同经营，是指合营方享有该安排相关资产且承担该安排相关负债 的合营安排。合营企业，是指合营方仅对该安排的净资产享有权利的合营安排。该准则要求 合营方对合营企业的投资采用权益法核算，对共同经营则确认其资产（包括其对任何共同持 有资产应享有的份额）、其负债（包括其对任何共同产生负债应承担的份额）、其收入（包 括其对共同经营因出售产出所产生的收入应享有的份额）及其费用（包括其对共同经营发生 的费用应承担的份额）。</w:t>
      </w:r>
    </w:p>
    <w:p>
      <w:pPr>
        <w:pStyle w:val="Style32"/>
        <w:keepNext w:val="0"/>
        <w:keepLines w:val="0"/>
        <w:widowControl w:val="0"/>
        <w:numPr>
          <w:ilvl w:val="0"/>
          <w:numId w:val="25"/>
        </w:numPr>
        <w:shd w:val="clear" w:color="auto" w:fill="auto"/>
        <w:tabs>
          <w:tab w:pos="841" w:val="left"/>
        </w:tabs>
        <w:bidi w:val="0"/>
        <w:spacing w:before="0" w:after="0" w:line="469" w:lineRule="exact"/>
        <w:ind w:left="0" w:right="0" w:firstLine="480"/>
        <w:jc w:val="both"/>
      </w:pPr>
      <w:bookmarkStart w:id="841" w:name="bookmark841"/>
      <w:bookmarkEnd w:id="841"/>
      <w:r>
        <w:rPr>
          <w:color w:val="000000"/>
          <w:spacing w:val="0"/>
          <w:w w:val="100"/>
          <w:position w:val="0"/>
        </w:rPr>
        <w:t>《企业会计准则第</w:t>
      </w:r>
      <w:r>
        <w:rPr>
          <w:color w:val="000000"/>
          <w:spacing w:val="0"/>
          <w:w w:val="100"/>
          <w:position w:val="0"/>
          <w:sz w:val="24"/>
          <w:szCs w:val="24"/>
        </w:rPr>
        <w:t>39</w:t>
      </w:r>
      <w:r>
        <w:rPr>
          <w:color w:val="000000"/>
          <w:spacing w:val="0"/>
          <w:w w:val="100"/>
          <w:position w:val="0"/>
        </w:rPr>
        <w:t>号一一公允价值计量》规范了公允价值定义，明确了公允价值计 量的方法，根据公允价值计量所使用的输入值将公允价值计量划分为三个层次，并对公允价 值计量相关信息的披露作出了具体要求。但该准则并未改变其他会计准则对于哪些场合下应 运用公允价值计量的规定。</w:t>
      </w:r>
    </w:p>
    <w:p>
      <w:pPr>
        <w:pStyle w:val="Style32"/>
        <w:keepNext w:val="0"/>
        <w:keepLines w:val="0"/>
        <w:widowControl w:val="0"/>
        <w:numPr>
          <w:ilvl w:val="0"/>
          <w:numId w:val="25"/>
        </w:numPr>
        <w:shd w:val="clear" w:color="auto" w:fill="auto"/>
        <w:tabs>
          <w:tab w:pos="841" w:val="left"/>
        </w:tabs>
        <w:bidi w:val="0"/>
        <w:spacing w:before="0" w:after="0" w:line="470" w:lineRule="exact"/>
        <w:ind w:left="0" w:right="0" w:firstLine="480"/>
        <w:jc w:val="both"/>
      </w:pPr>
      <w:bookmarkStart w:id="842" w:name="bookmark842"/>
      <w:bookmarkEnd w:id="842"/>
      <w:r>
        <w:rPr>
          <w:color w:val="000000"/>
          <w:spacing w:val="0"/>
          <w:w w:val="100"/>
          <w:position w:val="0"/>
        </w:rPr>
        <w:t>《企业会计准则第</w:t>
      </w:r>
      <w:r>
        <w:rPr>
          <w:color w:val="000000"/>
          <w:spacing w:val="0"/>
          <w:w w:val="100"/>
          <w:position w:val="0"/>
          <w:sz w:val="24"/>
          <w:szCs w:val="24"/>
        </w:rPr>
        <w:t>2</w:t>
      </w:r>
      <w:r>
        <w:rPr>
          <w:color w:val="000000"/>
          <w:spacing w:val="0"/>
          <w:w w:val="100"/>
          <w:position w:val="0"/>
        </w:rPr>
        <w:t>号一一长期股权投资</w:t>
      </w:r>
      <w:r>
        <w:rPr>
          <w:color w:val="000000"/>
          <w:spacing w:val="0"/>
          <w:w w:val="100"/>
          <w:position w:val="0"/>
          <w:sz w:val="24"/>
          <w:szCs w:val="24"/>
        </w:rPr>
        <w:t>（2014</w:t>
      </w:r>
      <w:r>
        <w:rPr>
          <w:color w:val="000000"/>
          <w:spacing w:val="0"/>
          <w:w w:val="100"/>
          <w:position w:val="0"/>
        </w:rPr>
        <w:t>年修订）》的规范范围与原准则相比有 所缩减，仅规范对子公司、合营企业和联营企业的长期股权投资的确认和计量，投资方对被 投资单位不具有控制、共同控制和重大影响的长期股权投资将变为属于《企业会计准则第</w:t>
      </w:r>
      <w:r>
        <w:rPr>
          <w:color w:val="000000"/>
          <w:spacing w:val="0"/>
          <w:w w:val="100"/>
          <w:position w:val="0"/>
          <w:sz w:val="24"/>
          <w:szCs w:val="24"/>
        </w:rPr>
        <w:t xml:space="preserve">22 </w:t>
      </w:r>
      <w:r>
        <w:rPr>
          <w:color w:val="000000"/>
          <w:spacing w:val="0"/>
          <w:w w:val="100"/>
          <w:position w:val="0"/>
        </w:rPr>
        <w:t>号一一金融工具确认和计量》的规范范围。此外还引入了其他一些重要变化，包括：强调对 于同一控制下企业合并形成的长期股权投资的会计核算所依据的“账面价值”是指“被合并 方所有者权益在最终控制方合并财务报表中的账面价值的份额”；明确投资方对于被投资单 位除净损益、其他综合收益和利润分配以外所有者权益的其他变动，应当调整长期股权投资 的账面价值并计入所有者权益；调整了核算方法转换时的衔接规定；新增了关于持有待售的 对合营、联营企业投资的处理；引入对通过下属投资主体所持有的合营、联营企业投资的公 允价值计量选择权等等。</w:t>
      </w:r>
    </w:p>
    <w:p>
      <w:pPr>
        <w:pStyle w:val="Style32"/>
        <w:keepNext w:val="0"/>
        <w:keepLines w:val="0"/>
        <w:widowControl w:val="0"/>
        <w:numPr>
          <w:ilvl w:val="0"/>
          <w:numId w:val="25"/>
        </w:numPr>
        <w:shd w:val="clear" w:color="auto" w:fill="auto"/>
        <w:tabs>
          <w:tab w:pos="841" w:val="left"/>
        </w:tabs>
        <w:bidi w:val="0"/>
        <w:spacing w:before="0" w:after="0" w:line="470" w:lineRule="exact"/>
        <w:ind w:left="0" w:right="0" w:firstLine="480"/>
        <w:jc w:val="both"/>
      </w:pPr>
      <w:bookmarkStart w:id="843" w:name="bookmark843"/>
      <w:bookmarkEnd w:id="843"/>
      <w:r>
        <w:rPr>
          <w:color w:val="000000"/>
          <w:spacing w:val="0"/>
          <w:w w:val="100"/>
          <w:position w:val="0"/>
        </w:rPr>
        <w:t>《企业会计准则第</w:t>
      </w:r>
      <w:r>
        <w:rPr>
          <w:color w:val="000000"/>
          <w:spacing w:val="0"/>
          <w:w w:val="100"/>
          <w:position w:val="0"/>
          <w:sz w:val="24"/>
          <w:szCs w:val="24"/>
        </w:rPr>
        <w:t>41</w:t>
      </w:r>
      <w:r>
        <w:rPr>
          <w:color w:val="000000"/>
          <w:spacing w:val="0"/>
          <w:w w:val="100"/>
          <w:position w:val="0"/>
        </w:rPr>
        <w:t>号一一在其他主体中权益的披露》适用于企业在子公司、合营安 排、联营企业和未纳入合并财务报表范围的结构化主体中权益的披露。该准则要求披露对其 他主体实施控制、共同控制或重大影响的重大判断和假设，以及这些判断和假设变更的情况; 并针对在子公司中的权益、在合营安排或联营企业中的权益、在未纳入合并财务报表范围的 结构化主体中的权益，分别规定了详细的披露要求。根据该准则要求披露的信息将有助于财 务报表使用者评估本公司在其他主体中权益的性质和相关风险，以及该权益对本公司财务状 况、经营成果和现金流量的影响。该准则生效后，本公司比较财务报表中披露的该准则施行 日之前的信息将按照该准则的规定进行调整（有关未纳入合并财务报表范围的结构化主体的</w:t>
      </w:r>
      <w:r>
        <w:br w:type="page"/>
      </w:r>
    </w:p>
    <w:p>
      <w:pPr>
        <w:pStyle w:val="Style50"/>
        <w:keepNext/>
        <w:keepLines/>
        <w:widowControl w:val="0"/>
        <w:shd w:val="clear" w:color="auto" w:fill="auto"/>
        <w:bidi w:val="0"/>
        <w:spacing w:before="0" w:after="420" w:line="240" w:lineRule="auto"/>
        <w:ind w:left="0" w:right="0" w:firstLine="0"/>
        <w:jc w:val="left"/>
      </w:pPr>
      <w:bookmarkStart w:id="844" w:name="bookmark844"/>
      <w:bookmarkStart w:id="845" w:name="bookmark845"/>
      <w:bookmarkStart w:id="846" w:name="bookmark846"/>
      <w:r>
        <w:rPr>
          <w:color w:val="000000"/>
          <w:spacing w:val="0"/>
          <w:w w:val="100"/>
          <w:position w:val="0"/>
        </w:rPr>
        <w:t>披露要求除外)。</w:t>
      </w:r>
      <w:bookmarkEnd w:id="844"/>
      <w:bookmarkEnd w:id="845"/>
      <w:bookmarkEnd w:id="846"/>
    </w:p>
    <w:p>
      <w:pPr>
        <w:pStyle w:val="Style26"/>
        <w:keepNext/>
        <w:keepLines/>
        <w:widowControl w:val="0"/>
        <w:shd w:val="clear" w:color="auto" w:fill="auto"/>
        <w:bidi w:val="0"/>
        <w:spacing w:before="0" w:after="360" w:line="240" w:lineRule="auto"/>
        <w:ind w:left="0" w:right="0" w:firstLine="0"/>
        <w:jc w:val="left"/>
      </w:pPr>
      <w:bookmarkStart w:id="847" w:name="bookmark847"/>
      <w:bookmarkStart w:id="848" w:name="bookmark848"/>
      <w:bookmarkStart w:id="849" w:name="bookmark849"/>
      <w:r>
        <w:rPr>
          <w:color w:val="000000"/>
          <w:spacing w:val="0"/>
          <w:w w:val="100"/>
          <w:position w:val="0"/>
        </w:rPr>
        <w:t>十三、母公司财务报表主要项目注释</w:t>
      </w:r>
      <w:bookmarkEnd w:id="847"/>
      <w:bookmarkEnd w:id="848"/>
      <w:bookmarkEnd w:id="849"/>
    </w:p>
    <w:p>
      <w:pPr>
        <w:pStyle w:val="Style47"/>
        <w:keepNext/>
        <w:keepLines/>
        <w:widowControl w:val="0"/>
        <w:shd w:val="clear" w:color="auto" w:fill="auto"/>
        <w:bidi w:val="0"/>
        <w:spacing w:before="0" w:after="360" w:line="240" w:lineRule="auto"/>
        <w:ind w:left="0" w:right="0" w:firstLine="0"/>
        <w:jc w:val="left"/>
      </w:pPr>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850"/>
      <w:bookmarkEnd w:id="851"/>
      <w:bookmarkEnd w:id="852"/>
    </w:p>
    <w:p>
      <w:pPr>
        <w:pStyle w:val="Style47"/>
        <w:keepNext/>
        <w:keepLines/>
        <w:widowControl w:val="0"/>
        <w:shd w:val="clear" w:color="auto" w:fill="auto"/>
        <w:bidi w:val="0"/>
        <w:spacing w:before="0" w:after="360" w:line="240" w:lineRule="auto"/>
        <w:ind w:left="0" w:right="0" w:firstLine="0"/>
        <w:jc w:val="left"/>
      </w:pPr>
      <w:bookmarkStart w:id="850" w:name="bookmark850"/>
      <w:bookmarkStart w:id="851" w:name="bookmark851"/>
      <w:bookmarkStart w:id="853" w:name="bookmark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850"/>
      <w:bookmarkEnd w:id="851"/>
      <w:bookmarkEnd w:id="85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按组合计提坏账准备的应收账款</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176,606,878.68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14,875,034.90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140,907,294.44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9,964,588.69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176,606,878.68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14,875,034.90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140,907,294.44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9,964,588.69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176,606,878.68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14,875,034.90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140,907,294.44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9,964,588.69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79" w:line="1" w:lineRule="exact"/>
      </w:pPr>
    </w:p>
    <w:p>
      <w:pPr>
        <w:pStyle w:val="Style50"/>
        <w:keepNext/>
        <w:keepLines/>
        <w:widowControl w:val="0"/>
        <w:shd w:val="clear" w:color="auto" w:fill="auto"/>
        <w:bidi w:val="0"/>
        <w:spacing w:before="0" w:after="0" w:line="240" w:lineRule="auto"/>
        <w:ind w:left="0" w:right="0" w:firstLine="620"/>
        <w:jc w:val="left"/>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)应收账款按账龄列示</w:t>
      </w:r>
      <w:bookmarkEnd w:id="854"/>
      <w:bookmarkEnd w:id="855"/>
      <w:bookmarkEnd w:id="856"/>
    </w:p>
    <w:tbl>
      <w:tblPr>
        <w:tblOverlap w:val="never"/>
        <w:jc w:val="center"/>
        <w:tblLayout w:type="fixed"/>
      </w:tblPr>
      <w:tblGrid>
        <w:gridCol w:w="1373"/>
        <w:gridCol w:w="2294"/>
        <w:gridCol w:w="1790"/>
        <w:gridCol w:w="2054"/>
        <w:gridCol w:w="1718"/>
      </w:tblGrid>
      <w:tr>
        <w:trPr>
          <w:trHeight w:val="36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124,553,568.91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117,564,145.01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83.43</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39,594,552.31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16,387,816.94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9,677,387.53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5,879,832.49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2,781,369.93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1,075,500.00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0.77</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176,606,878.68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140,907,294.44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239" w:line="1" w:lineRule="exact"/>
      </w:pPr>
    </w:p>
    <w:p>
      <w:pPr>
        <w:pStyle w:val="Style28"/>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353"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14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075"/>
        <w:gridCol w:w="1992"/>
        <w:gridCol w:w="662"/>
        <w:gridCol w:w="1464"/>
        <w:gridCol w:w="2126"/>
        <w:gridCol w:w="662"/>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124,553,568.91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6,227,678.45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117,564,145.01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5,878,207.25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39,594,552.31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3,959,455.23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16,387,816.94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1,638,781.69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9,677,387.53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2,903,216.26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5,879,832.49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1,763,949.75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1,763,369.93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881,684.96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176,606,878.68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14,875,034.90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140,907,294.44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9,964,588.69</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left"/>
      </w:pPr>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857"/>
      <w:bookmarkEnd w:id="858"/>
      <w:bookmarkEnd w:id="85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占应收账款总额的比例</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山东动脉智能系统技术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3,893,600.00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西安旭龙电子技术有限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3,861,750.00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洛阳市涧西区城市综合 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3,754,004.00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大武口住房保障和城市 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2,564,102.56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常德市城市管理行政执 法局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16,423,456.56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860"/>
      <w:bookmarkEnd w:id="861"/>
      <w:bookmarkEnd w:id="862"/>
    </w:p>
    <w:p>
      <w:pPr>
        <w:pStyle w:val="Style47"/>
        <w:keepNext/>
        <w:keepLines/>
        <w:widowControl w:val="0"/>
        <w:shd w:val="clear" w:color="auto" w:fill="auto"/>
        <w:bidi w:val="0"/>
        <w:spacing w:before="0" w:after="360" w:line="240" w:lineRule="auto"/>
        <w:ind w:left="0" w:right="0" w:firstLine="0"/>
        <w:jc w:val="left"/>
      </w:pPr>
      <w:bookmarkStart w:id="860" w:name="bookmark860"/>
      <w:bookmarkStart w:id="861" w:name="bookmark861"/>
      <w:bookmarkStart w:id="863" w:name="bookmark8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860"/>
      <w:bookmarkEnd w:id="861"/>
      <w:bookmarkEnd w:id="8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982"/>
        <w:gridCol w:w="1848"/>
        <w:gridCol w:w="1848"/>
        <w:gridCol w:w="1728"/>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bl>
    <w:p>
      <w:pPr>
        <w:widowControl w:val="0"/>
        <w:spacing w:line="1" w:lineRule="exact"/>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right"/>
              <w:rPr>
                <w:sz w:val="17"/>
                <w:szCs w:val="17"/>
              </w:rPr>
            </w:pPr>
            <w:r>
              <w:rPr>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15,398,388.32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40,881,783.82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72.64</w:t>
            </w:r>
          </w:p>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29,220,072.61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56,280,172.14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29,220,072.61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56,280,172.14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29,220,072.61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79" w:line="1" w:lineRule="exact"/>
      </w:pPr>
    </w:p>
    <w:p>
      <w:pPr>
        <w:widowControl w:val="0"/>
        <w:spacing w:line="1" w:lineRule="exact"/>
      </w:pPr>
    </w:p>
    <w:tbl>
      <w:tblPr>
        <w:tblOverlap w:val="never"/>
        <w:jc w:val="center"/>
        <w:tblLayout w:type="fixed"/>
      </w:tblPr>
      <w:tblGrid>
        <w:gridCol w:w="1373"/>
        <w:gridCol w:w="2294"/>
        <w:gridCol w:w="1790"/>
        <w:gridCol w:w="2054"/>
        <w:gridCol w:w="1718"/>
      </w:tblGrid>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w:t>
            </w:r>
          </w:p>
        </w:tc>
        <w:tc>
          <w:tcPr>
            <w:gridSpan w:val="4"/>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他应收款按账龄列示</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46,670,310.81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25,713,273.85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6,160,105.83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2,660,614.76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2,603,571.50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531,096.00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20"/>
                <w:szCs w:val="20"/>
              </w:rPr>
            </w:pPr>
            <w:r>
              <w:rPr>
                <w:rFonts w:ascii="Times New Roman" w:eastAsia="Times New Roman" w:hAnsi="Times New Roman" w:cs="Times New Roman"/>
                <w:color w:val="000000"/>
                <w:spacing w:val="0"/>
                <w:w w:val="100"/>
                <w:position w:val="0"/>
                <w:sz w:val="20"/>
                <w:szCs w:val="20"/>
              </w:rPr>
              <w:t>846,184.00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315,088.00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20"/>
                <w:szCs w:val="20"/>
              </w:rPr>
            </w:pPr>
            <w:r>
              <w:rPr>
                <w:rFonts w:ascii="Times New Roman" w:eastAsia="Times New Roman" w:hAnsi="Times New Roman" w:cs="Times New Roman"/>
                <w:color w:val="000000"/>
                <w:spacing w:val="0"/>
                <w:w w:val="100"/>
                <w:position w:val="0"/>
                <w:sz w:val="20"/>
                <w:szCs w:val="20"/>
              </w:rPr>
              <w:t>56,280,172.14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29,220,072.61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239" w:line="1" w:lineRule="exact"/>
      </w:pPr>
    </w:p>
    <w:p>
      <w:pPr>
        <w:pStyle w:val="Style28"/>
        <w:keepNext w:val="0"/>
        <w:keepLines w:val="0"/>
        <w:widowControl w:val="0"/>
        <w:shd w:val="clear" w:color="auto" w:fill="auto"/>
        <w:bidi w:val="0"/>
        <w:spacing w:before="0" w:after="0" w:line="354"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4" w:lineRule="exact"/>
        <w:ind w:left="0" w:right="0" w:firstLine="0"/>
        <w:jc w:val="left"/>
      </w:pPr>
      <w:r>
        <w:rPr>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54"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354"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70"/>
        <w:gridCol w:w="2856"/>
        <w:gridCol w:w="276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15,398,388.32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40,881,783.82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56,280,172.14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64"/>
      <w:bookmarkEnd w:id="865"/>
      <w:bookmarkEnd w:id="866"/>
    </w:p>
    <w:p>
      <w:pPr>
        <w:pStyle w:val="Style28"/>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北京汉王智通科技有限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15,398,388.32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应收增值税返还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国税局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13,376,038.13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定期存款利息收入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鄂尔多斯市东胜区信息 化委员会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3,929,750.00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温州市城市管理与行政 执法局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38,553,176.45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bl>
    <w:p>
      <w:pPr>
        <w:widowControl w:val="0"/>
        <w:spacing w:after="339" w:line="1" w:lineRule="exact"/>
      </w:pPr>
    </w:p>
    <w:p>
      <w:pPr>
        <w:pStyle w:val="Style47"/>
        <w:keepNext/>
        <w:keepLines/>
        <w:widowControl w:val="0"/>
        <w:numPr>
          <w:ilvl w:val="0"/>
          <w:numId w:val="27"/>
        </w:numPr>
        <w:shd w:val="clear" w:color="auto" w:fill="auto"/>
        <w:bidi w:val="0"/>
        <w:spacing w:before="0" w:after="34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其他应收关联方账款情况</w:t>
      </w:r>
      <w:bookmarkEnd w:id="867"/>
      <w:bookmarkEnd w:id="868"/>
      <w:bookmarkEnd w:id="87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北京汉王智通科技有限公司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15,398,388.32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15,398,388.32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color w:val="000000"/>
          <w:spacing w:val="0"/>
          <w:w w:val="100"/>
          <w:position w:val="0"/>
        </w:rPr>
        <w:t>、长期股权投资</w:t>
      </w:r>
      <w:bookmarkEnd w:id="871"/>
      <w:bookmarkEnd w:id="872"/>
      <w:bookmarkEnd w:id="87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rPr>
                <w:sz w:val="17"/>
                <w:szCs w:val="17"/>
              </w:rPr>
            </w:pPr>
            <w:r>
              <w:rPr>
                <w:color w:val="000000"/>
                <w:spacing w:val="0"/>
                <w:w w:val="100"/>
                <w:position w:val="0"/>
                <w:sz w:val="17"/>
                <w:szCs w:val="17"/>
              </w:rPr>
              <w:t>在被投资 单位表决 权比例</w:t>
            </w:r>
          </w:p>
          <w:p>
            <w:pPr>
              <w:pStyle w:val="Style22"/>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本期计提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本期现金 红利</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上海政通 信息科技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武汉智慧 政通科技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北京数字 政通信息 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北京汉王 智通科技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81,200,00</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81,200,00</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47"/>
        <w:keepNext/>
        <w:keepLines/>
        <w:widowControl w:val="0"/>
        <w:shd w:val="clear" w:color="auto" w:fill="auto"/>
        <w:bidi w:val="0"/>
        <w:spacing w:before="0" w:after="3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4</w:t>
      </w:r>
      <w:bookmarkEnd w:id="877"/>
      <w:r>
        <w:rPr>
          <w:color w:val="000000"/>
          <w:spacing w:val="0"/>
          <w:w w:val="100"/>
          <w:position w:val="0"/>
        </w:rPr>
        <w:t>、营业收入和营业成本</w:t>
      </w:r>
      <w:bookmarkEnd w:id="875"/>
      <w:bookmarkEnd w:id="876"/>
      <w:bookmarkEnd w:id="878"/>
    </w:p>
    <w:p>
      <w:pPr>
        <w:pStyle w:val="Style47"/>
        <w:keepNext/>
        <w:keepLines/>
        <w:widowControl w:val="0"/>
        <w:shd w:val="clear" w:color="auto" w:fill="auto"/>
        <w:bidi w:val="0"/>
        <w:spacing w:before="0" w:after="360" w:line="240" w:lineRule="auto"/>
        <w:ind w:left="0" w:right="0" w:firstLine="0"/>
        <w:jc w:val="left"/>
      </w:pPr>
      <w:bookmarkStart w:id="875" w:name="bookmark875"/>
      <w:bookmarkStart w:id="876" w:name="bookmark876"/>
      <w:bookmarkStart w:id="879" w:name="bookmark879"/>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875"/>
      <w:bookmarkEnd w:id="876"/>
      <w:bookmarkEnd w:id="87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292,693,340.40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221,941,115.51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292,693,340.40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221,977,115.51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154,519,508.19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880"/>
      <w:bookmarkEnd w:id="881"/>
      <w:bookmarkEnd w:id="88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智慧城市管理领域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275,999,837.31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149,030,365.34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204,000,889.58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91,048,093.77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国土资源管理与城市规划领 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16,693,503.09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5,489,142.85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17,940,225.93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6,717,013.47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292,693,340.40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154,519,508.19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221,941,115.51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19" w:line="1" w:lineRule="exact"/>
      </w:pPr>
    </w:p>
    <w:p>
      <w:pPr>
        <w:pStyle w:val="Style47"/>
        <w:keepNext/>
        <w:keepLines/>
        <w:widowControl w:val="0"/>
        <w:numPr>
          <w:ilvl w:val="0"/>
          <w:numId w:val="29"/>
        </w:numPr>
        <w:shd w:val="clear" w:color="auto" w:fill="auto"/>
        <w:bidi w:val="0"/>
        <w:spacing w:before="0" w:after="360" w:line="240" w:lineRule="auto"/>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主营业务(分产品)</w:t>
      </w:r>
      <w:bookmarkEnd w:id="883"/>
      <w:bookmarkEnd w:id="884"/>
      <w:bookmarkEnd w:id="88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184,782,533.77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70,878,560.10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164,907,298.40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55,248,074.66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23,234,376.86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19,106,017.84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22,016,458.87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16,965,461.38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84,676,429.77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64,534,930.25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35,017,358.24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25,551,571.20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292,693,340.40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154,519,508.19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221,941,115.51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19" w:line="1" w:lineRule="exact"/>
      </w:pPr>
    </w:p>
    <w:p>
      <w:pPr>
        <w:pStyle w:val="Style47"/>
        <w:keepNext/>
        <w:keepLines/>
        <w:widowControl w:val="0"/>
        <w:numPr>
          <w:ilvl w:val="0"/>
          <w:numId w:val="29"/>
        </w:numPr>
        <w:shd w:val="clear" w:color="auto" w:fill="auto"/>
        <w:bidi w:val="0"/>
        <w:spacing w:before="0" w:after="36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主营业务(分地区)</w:t>
      </w:r>
      <w:bookmarkEnd w:id="887"/>
      <w:bookmarkEnd w:id="888"/>
      <w:bookmarkEnd w:id="890"/>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147,789,477.58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78,753,774.92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121,605,326.68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52,581,863.58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144,903,862.82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75,765,733.27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100,335,788.83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45,183,243.66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292,693,340.40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154,519,508.19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221,941,115.51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97,765,107.24</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w:t>
      </w:r>
      <w:bookmarkEnd w:id="893"/>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891"/>
      <w:bookmarkEnd w:id="892"/>
      <w:bookmarkEnd w:id="89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北京市通州区市政市容管理委员会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20,100,338.36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长春高新技术产业开发区建设发展中心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17,442,256.50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温州市城市管理与行政执法局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11,448,785.52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洛阳市城市监察管理局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11,379,115.30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天津市滨海新区环境保护和市容管理局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8,194,111.08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68,564,606.76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47"/>
        <w:keepNext/>
        <w:keepLines/>
        <w:widowControl w:val="0"/>
        <w:shd w:val="clear" w:color="auto" w:fill="auto"/>
        <w:bidi w:val="0"/>
        <w:spacing w:before="0" w:after="34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5</w:t>
      </w:r>
      <w:bookmarkEnd w:id="897"/>
      <w:r>
        <w:rPr>
          <w:color w:val="000000"/>
          <w:spacing w:val="0"/>
          <w:w w:val="100"/>
          <w:position w:val="0"/>
        </w:rPr>
        <w:t>、现金流量表补充资料</w:t>
      </w:r>
      <w:bookmarkEnd w:id="895"/>
      <w:bookmarkEnd w:id="896"/>
      <w:bookmarkEnd w:id="89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95,262,627.80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72,213,281.56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4,910,446.21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4,967,269.26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4,653,307.65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4,309,752.33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6,149,400.00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4,812,150.00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-1,627,520.62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-498,325.96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1,908,743.56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-418,453.48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-61,467,183.77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-79,274,178.32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32,563,734.78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25,136,435.88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82,273,658.42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31,252,172.51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646,165,208.50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644,266,979.59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644,266,979.59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733,927,198.84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1,898,228.91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-89,660,219.25</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899" w:name="bookmark899"/>
      <w:bookmarkStart w:id="900" w:name="bookmark900"/>
      <w:bookmarkStart w:id="901" w:name="bookmark901"/>
      <w:r>
        <w:rPr>
          <w:color w:val="000000"/>
          <w:spacing w:val="0"/>
          <w:w w:val="100"/>
          <w:position w:val="0"/>
        </w:rPr>
        <w:t>十四、补充资料</w:t>
      </w:r>
      <w:bookmarkEnd w:id="899"/>
      <w:bookmarkEnd w:id="900"/>
      <w:bookmarkEnd w:id="901"/>
    </w:p>
    <w:p>
      <w:pPr>
        <w:pStyle w:val="Style47"/>
        <w:keepNext/>
        <w:keepLines/>
        <w:widowControl w:val="0"/>
        <w:shd w:val="clear" w:color="auto" w:fill="auto"/>
        <w:bidi w:val="0"/>
        <w:spacing w:before="0" w:after="340" w:line="240" w:lineRule="auto"/>
        <w:ind w:left="0" w:right="0" w:firstLine="0"/>
        <w:jc w:val="left"/>
      </w:pPr>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902"/>
      <w:bookmarkEnd w:id="903"/>
      <w:bookmarkEnd w:id="90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79,897.19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2,468,928.00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-23,271,695.10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主要是由于收购汉王智通公司 的资产评估过程中存货产生了 评估增值，而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年该部分存 货已实现销售，相应的评估增值 一并结转损益。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-5,564,541.26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-5,231,631.40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-9,926,697.25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40" w:line="240" w:lineRule="auto"/>
        <w:ind w:left="0" w:right="0" w:firstLine="0"/>
        <w:jc w:val="left"/>
      </w:pPr>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905"/>
      <w:bookmarkEnd w:id="906"/>
      <w:bookmarkEnd w:id="90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加权平均净资产收益率</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3</w:t>
      </w:r>
      <w:bookmarkEnd w:id="910"/>
      <w:r>
        <w:rPr>
          <w:color w:val="000000"/>
          <w:spacing w:val="0"/>
          <w:w w:val="100"/>
          <w:position w:val="0"/>
        </w:rPr>
        <w:t>、公司主要会计报表项目的异常情况及原因的说明</w:t>
      </w:r>
      <w:bookmarkEnd w:id="908"/>
      <w:bookmarkEnd w:id="909"/>
      <w:bookmarkEnd w:id="911"/>
    </w:p>
    <w:p>
      <w:pPr>
        <w:pStyle w:val="Style50"/>
        <w:keepNext/>
        <w:keepLines/>
        <w:widowControl w:val="0"/>
        <w:shd w:val="clear" w:color="auto" w:fill="auto"/>
        <w:bidi w:val="0"/>
        <w:spacing w:before="0" w:after="220" w:line="240" w:lineRule="auto"/>
        <w:ind w:left="0" w:right="0" w:firstLine="600"/>
        <w:jc w:val="left"/>
      </w:pPr>
      <w:bookmarkStart w:id="912" w:name="bookmark912"/>
      <w:bookmarkStart w:id="913" w:name="bookmark913"/>
      <w:bookmarkStart w:id="914" w:name="bookmark914"/>
      <w:r>
        <w:rPr>
          <w:color w:val="000000"/>
          <w:spacing w:val="0"/>
          <w:w w:val="100"/>
          <w:position w:val="0"/>
          <w:sz w:val="24"/>
          <w:szCs w:val="24"/>
        </w:rPr>
        <w:t>（1）</w:t>
      </w:r>
      <w:r>
        <w:rPr>
          <w:color w:val="000000"/>
          <w:spacing w:val="0"/>
          <w:w w:val="100"/>
          <w:position w:val="0"/>
        </w:rPr>
        <w:t>货币资金</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689,294,474.03</w:t>
      </w:r>
      <w:r>
        <w:rPr>
          <w:color w:val="000000"/>
          <w:spacing w:val="0"/>
          <w:w w:val="100"/>
          <w:position w:val="0"/>
        </w:rPr>
        <w:t>元，比年初数增加</w:t>
      </w:r>
      <w:r>
        <w:rPr>
          <w:color w:val="000000"/>
          <w:spacing w:val="0"/>
          <w:w w:val="100"/>
          <w:position w:val="0"/>
          <w:sz w:val="24"/>
          <w:szCs w:val="24"/>
        </w:rPr>
        <w:t>3.39%</w:t>
      </w:r>
      <w:r>
        <w:rPr>
          <w:color w:val="000000"/>
          <w:spacing w:val="0"/>
          <w:w w:val="100"/>
          <w:position w:val="0"/>
        </w:rPr>
        <w:t>，其主</w:t>
      </w:r>
      <w:bookmarkEnd w:id="912"/>
      <w:bookmarkEnd w:id="913"/>
      <w:bookmarkEnd w:id="914"/>
    </w:p>
    <w:p>
      <w:pPr>
        <w:pStyle w:val="Style50"/>
        <w:keepNext/>
        <w:keepLines/>
        <w:widowControl w:val="0"/>
        <w:shd w:val="clear" w:color="auto" w:fill="auto"/>
        <w:bidi w:val="0"/>
        <w:spacing w:before="0" w:after="0" w:line="240" w:lineRule="auto"/>
        <w:ind w:left="0" w:right="0" w:firstLine="0"/>
        <w:jc w:val="left"/>
      </w:pPr>
      <w:bookmarkStart w:id="912" w:name="bookmark912"/>
      <w:bookmarkStart w:id="913" w:name="bookmark913"/>
      <w:bookmarkStart w:id="915" w:name="bookmark915"/>
      <w:r>
        <w:rPr>
          <w:color w:val="000000"/>
          <w:spacing w:val="0"/>
          <w:w w:val="100"/>
          <w:position w:val="0"/>
        </w:rPr>
        <w:t>要原因是：销售商品收到的现金增加，取得借款收到现金增加，同时采购商品支付的现金增</w:t>
      </w:r>
      <w:bookmarkEnd w:id="912"/>
      <w:bookmarkEnd w:id="913"/>
      <w:bookmarkEnd w:id="915"/>
      <w:r>
        <w:rPr>
          <w:color w:val="000000"/>
          <w:spacing w:val="0"/>
          <w:w w:val="100"/>
          <w:position w:val="0"/>
        </w:rPr>
        <w:t xml:space="preserve"> </w:t>
      </w:r>
      <w:r>
        <w:rPr>
          <w:rStyle w:val="CharStyle33"/>
        </w:rPr>
        <w:t>加。</w:t>
      </w:r>
    </w:p>
    <w:p>
      <w:pPr>
        <w:pStyle w:val="Style32"/>
        <w:keepNext w:val="0"/>
        <w:keepLines w:val="0"/>
        <w:widowControl w:val="0"/>
        <w:numPr>
          <w:ilvl w:val="0"/>
          <w:numId w:val="31"/>
        </w:numPr>
        <w:shd w:val="clear" w:color="auto" w:fill="auto"/>
        <w:tabs>
          <w:tab w:pos="1141" w:val="left"/>
        </w:tabs>
        <w:bidi w:val="0"/>
        <w:spacing w:before="0" w:after="0" w:line="494" w:lineRule="exact"/>
        <w:ind w:left="0" w:right="0" w:firstLine="500"/>
        <w:jc w:val="both"/>
      </w:pPr>
      <w:bookmarkStart w:id="916" w:name="bookmark916"/>
      <w:bookmarkEnd w:id="916"/>
      <w:r>
        <w:rPr>
          <w:color w:val="000000"/>
          <w:spacing w:val="0"/>
          <w:w w:val="100"/>
          <w:position w:val="0"/>
        </w:rPr>
        <w:t>应收票据</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300,000.00</w:t>
      </w:r>
      <w:r>
        <w:rPr>
          <w:color w:val="000000"/>
          <w:spacing w:val="0"/>
          <w:w w:val="100"/>
          <w:position w:val="0"/>
        </w:rPr>
        <w:t>元，比年初数减少</w:t>
      </w:r>
      <w:r>
        <w:rPr>
          <w:color w:val="000000"/>
          <w:spacing w:val="0"/>
          <w:w w:val="100"/>
          <w:position w:val="0"/>
          <w:sz w:val="24"/>
          <w:szCs w:val="24"/>
        </w:rPr>
        <w:t>70.48%</w:t>
      </w:r>
      <w:r>
        <w:rPr>
          <w:color w:val="000000"/>
          <w:spacing w:val="0"/>
          <w:w w:val="100"/>
          <w:position w:val="0"/>
        </w:rPr>
        <w:t>，其主要 原因是：以票据结算的业务减少。</w:t>
      </w:r>
    </w:p>
    <w:p>
      <w:pPr>
        <w:pStyle w:val="Style32"/>
        <w:keepNext w:val="0"/>
        <w:keepLines w:val="0"/>
        <w:widowControl w:val="0"/>
        <w:numPr>
          <w:ilvl w:val="0"/>
          <w:numId w:val="31"/>
        </w:numPr>
        <w:shd w:val="clear" w:color="auto" w:fill="auto"/>
        <w:tabs>
          <w:tab w:pos="1141" w:val="left"/>
        </w:tabs>
        <w:bidi w:val="0"/>
        <w:spacing w:before="0" w:after="0" w:line="490" w:lineRule="exact"/>
        <w:ind w:left="0" w:right="0" w:firstLine="500"/>
        <w:jc w:val="both"/>
      </w:pPr>
      <w:bookmarkStart w:id="917" w:name="bookmark917"/>
      <w:bookmarkEnd w:id="917"/>
      <w:r>
        <w:rPr>
          <w:color w:val="000000"/>
          <w:spacing w:val="0"/>
          <w:w w:val="100"/>
          <w:position w:val="0"/>
        </w:rPr>
        <w:t>应收账款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206,278,465.62</w:t>
      </w:r>
      <w:r>
        <w:rPr>
          <w:color w:val="000000"/>
          <w:spacing w:val="0"/>
          <w:w w:val="100"/>
          <w:position w:val="0"/>
        </w:rPr>
        <w:t>元，比年初增加</w:t>
      </w:r>
      <w:r>
        <w:rPr>
          <w:color w:val="000000"/>
          <w:spacing w:val="0"/>
          <w:w w:val="100"/>
          <w:position w:val="0"/>
          <w:sz w:val="24"/>
          <w:szCs w:val="24"/>
        </w:rPr>
        <w:t>34.12%,</w:t>
      </w:r>
      <w:r>
        <w:rPr>
          <w:color w:val="000000"/>
          <w:spacing w:val="0"/>
          <w:w w:val="100"/>
          <w:position w:val="0"/>
        </w:rPr>
        <w:t>其主要 原因是：销售增加使应收账款增加。</w:t>
      </w:r>
    </w:p>
    <w:p>
      <w:pPr>
        <w:pStyle w:val="Style32"/>
        <w:keepNext w:val="0"/>
        <w:keepLines w:val="0"/>
        <w:widowControl w:val="0"/>
        <w:numPr>
          <w:ilvl w:val="0"/>
          <w:numId w:val="31"/>
        </w:numPr>
        <w:shd w:val="clear" w:color="auto" w:fill="auto"/>
        <w:tabs>
          <w:tab w:pos="1141" w:val="left"/>
        </w:tabs>
        <w:bidi w:val="0"/>
        <w:spacing w:before="0" w:after="0" w:line="494" w:lineRule="exact"/>
        <w:ind w:left="0" w:right="0" w:firstLine="500"/>
        <w:jc w:val="both"/>
      </w:pPr>
      <w:bookmarkStart w:id="918" w:name="bookmark918"/>
      <w:bookmarkEnd w:id="918"/>
      <w:r>
        <w:rPr>
          <w:color w:val="000000"/>
          <w:spacing w:val="0"/>
          <w:w w:val="100"/>
          <w:position w:val="0"/>
        </w:rPr>
        <w:t>预付账款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3,901,315.97</w:t>
      </w:r>
      <w:r>
        <w:rPr>
          <w:color w:val="000000"/>
          <w:spacing w:val="0"/>
          <w:w w:val="100"/>
          <w:position w:val="0"/>
        </w:rPr>
        <w:t>元，比年初增加</w:t>
      </w:r>
      <w:r>
        <w:rPr>
          <w:color w:val="000000"/>
          <w:spacing w:val="0"/>
          <w:w w:val="100"/>
          <w:position w:val="0"/>
          <w:sz w:val="24"/>
          <w:szCs w:val="24"/>
        </w:rPr>
        <w:t>190.17%,</w:t>
      </w:r>
      <w:r>
        <w:rPr>
          <w:color w:val="000000"/>
          <w:spacing w:val="0"/>
          <w:w w:val="100"/>
          <w:position w:val="0"/>
        </w:rPr>
        <w:t>其主要 原因是：预付项目货款增加。</w:t>
      </w:r>
    </w:p>
    <w:p>
      <w:pPr>
        <w:pStyle w:val="Style32"/>
        <w:keepNext w:val="0"/>
        <w:keepLines w:val="0"/>
        <w:widowControl w:val="0"/>
        <w:numPr>
          <w:ilvl w:val="0"/>
          <w:numId w:val="31"/>
        </w:numPr>
        <w:shd w:val="clear" w:color="auto" w:fill="auto"/>
        <w:tabs>
          <w:tab w:pos="1141" w:val="left"/>
        </w:tabs>
        <w:bidi w:val="0"/>
        <w:spacing w:before="0" w:after="0" w:line="475" w:lineRule="exact"/>
        <w:ind w:left="0" w:right="0" w:firstLine="500"/>
        <w:jc w:val="both"/>
      </w:pPr>
      <w:bookmarkStart w:id="919" w:name="bookmark919"/>
      <w:bookmarkEnd w:id="919"/>
      <w:r>
        <w:rPr>
          <w:color w:val="000000"/>
          <w:spacing w:val="0"/>
          <w:w w:val="100"/>
          <w:position w:val="0"/>
        </w:rPr>
        <w:t>其他应收款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48,910,706.03</w:t>
      </w:r>
      <w:r>
        <w:rPr>
          <w:color w:val="000000"/>
          <w:spacing w:val="0"/>
          <w:w w:val="100"/>
          <w:position w:val="0"/>
        </w:rPr>
        <w:t>元，比年初增加</w:t>
      </w:r>
      <w:r>
        <w:rPr>
          <w:color w:val="000000"/>
          <w:spacing w:val="0"/>
          <w:w w:val="100"/>
          <w:position w:val="0"/>
          <w:sz w:val="24"/>
          <w:szCs w:val="24"/>
        </w:rPr>
        <w:t>33.13%</w:t>
      </w:r>
      <w:r>
        <w:rPr>
          <w:color w:val="000000"/>
          <w:spacing w:val="0"/>
          <w:w w:val="100"/>
          <w:position w:val="0"/>
        </w:rPr>
        <w:t>，其主 要原因是：应收增值税退税增加</w:t>
      </w:r>
      <w:r>
        <w:rPr>
          <w:color w:val="000000"/>
          <w:spacing w:val="0"/>
          <w:w w:val="100"/>
          <w:position w:val="0"/>
          <w:sz w:val="24"/>
          <w:szCs w:val="24"/>
        </w:rPr>
        <w:t>13,376,038.13</w:t>
      </w:r>
      <w:r>
        <w:rPr>
          <w:color w:val="000000"/>
          <w:spacing w:val="0"/>
          <w:w w:val="100"/>
          <w:position w:val="0"/>
        </w:rPr>
        <w:t>元。</w:t>
      </w:r>
    </w:p>
    <w:p>
      <w:pPr>
        <w:pStyle w:val="Style32"/>
        <w:keepNext w:val="0"/>
        <w:keepLines w:val="0"/>
        <w:widowControl w:val="0"/>
        <w:numPr>
          <w:ilvl w:val="0"/>
          <w:numId w:val="31"/>
        </w:numPr>
        <w:shd w:val="clear" w:color="auto" w:fill="auto"/>
        <w:tabs>
          <w:tab w:pos="1141" w:val="left"/>
        </w:tabs>
        <w:bidi w:val="0"/>
        <w:spacing w:before="0" w:after="0" w:line="494" w:lineRule="exact"/>
        <w:ind w:left="0" w:right="0" w:firstLine="500"/>
        <w:jc w:val="both"/>
      </w:pPr>
      <w:bookmarkStart w:id="920" w:name="bookmark920"/>
      <w:bookmarkEnd w:id="920"/>
      <w:r>
        <w:rPr>
          <w:color w:val="000000"/>
          <w:spacing w:val="0"/>
          <w:w w:val="100"/>
          <w:position w:val="0"/>
        </w:rPr>
        <w:t>其他流动资产</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3,236,105.13</w:t>
      </w:r>
      <w:r>
        <w:rPr>
          <w:color w:val="000000"/>
          <w:spacing w:val="0"/>
          <w:w w:val="100"/>
          <w:position w:val="0"/>
        </w:rPr>
        <w:t>元，比年初增加</w:t>
      </w:r>
      <w:r>
        <w:rPr>
          <w:color w:val="000000"/>
          <w:spacing w:val="0"/>
          <w:w w:val="100"/>
          <w:position w:val="0"/>
          <w:sz w:val="24"/>
          <w:szCs w:val="24"/>
        </w:rPr>
        <w:t>100.00%,</w:t>
      </w:r>
      <w:r>
        <w:rPr>
          <w:color w:val="000000"/>
          <w:spacing w:val="0"/>
          <w:w w:val="100"/>
          <w:position w:val="0"/>
        </w:rPr>
        <w:t>其 主要原因是：待抵扣进项税增加。</w:t>
      </w:r>
    </w:p>
    <w:p>
      <w:pPr>
        <w:pStyle w:val="Style32"/>
        <w:keepNext w:val="0"/>
        <w:keepLines w:val="0"/>
        <w:widowControl w:val="0"/>
        <w:numPr>
          <w:ilvl w:val="0"/>
          <w:numId w:val="31"/>
        </w:numPr>
        <w:shd w:val="clear" w:color="auto" w:fill="auto"/>
        <w:tabs>
          <w:tab w:pos="1141" w:val="left"/>
        </w:tabs>
        <w:bidi w:val="0"/>
        <w:spacing w:before="0" w:after="0" w:line="494" w:lineRule="exact"/>
        <w:ind w:left="0" w:right="0" w:firstLine="500"/>
        <w:jc w:val="both"/>
      </w:pPr>
      <w:bookmarkStart w:id="921" w:name="bookmark921"/>
      <w:bookmarkEnd w:id="921"/>
      <w:r>
        <w:rPr>
          <w:color w:val="000000"/>
          <w:spacing w:val="0"/>
          <w:w w:val="100"/>
          <w:position w:val="0"/>
        </w:rPr>
        <w:t>长期应收款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32,961,018.24</w:t>
      </w:r>
      <w:r>
        <w:rPr>
          <w:color w:val="000000"/>
          <w:spacing w:val="0"/>
          <w:w w:val="100"/>
          <w:position w:val="0"/>
        </w:rPr>
        <w:t>元，比年初增加</w:t>
      </w:r>
      <w:r>
        <w:rPr>
          <w:color w:val="000000"/>
          <w:spacing w:val="0"/>
          <w:w w:val="100"/>
          <w:position w:val="0"/>
          <w:sz w:val="24"/>
          <w:szCs w:val="24"/>
        </w:rPr>
        <w:t>100.00%,</w:t>
      </w:r>
      <w:r>
        <w:rPr>
          <w:color w:val="000000"/>
          <w:spacing w:val="0"/>
          <w:w w:val="100"/>
          <w:position w:val="0"/>
        </w:rPr>
        <w:t>其主 要原因是：分期收款销售商品的应收款增加。</w:t>
      </w:r>
    </w:p>
    <w:p>
      <w:pPr>
        <w:pStyle w:val="Style32"/>
        <w:keepNext w:val="0"/>
        <w:keepLines w:val="0"/>
        <w:widowControl w:val="0"/>
        <w:numPr>
          <w:ilvl w:val="0"/>
          <w:numId w:val="31"/>
        </w:numPr>
        <w:shd w:val="clear" w:color="auto" w:fill="auto"/>
        <w:tabs>
          <w:tab w:pos="1141" w:val="left"/>
        </w:tabs>
        <w:bidi w:val="0"/>
        <w:spacing w:before="0" w:after="0" w:line="494" w:lineRule="exact"/>
        <w:ind w:left="0" w:right="0" w:firstLine="500"/>
        <w:jc w:val="both"/>
      </w:pPr>
      <w:bookmarkStart w:id="922" w:name="bookmark922"/>
      <w:bookmarkEnd w:id="922"/>
      <w:r>
        <w:rPr>
          <w:color w:val="000000"/>
          <w:spacing w:val="0"/>
          <w:w w:val="100"/>
          <w:position w:val="0"/>
        </w:rPr>
        <w:t>固定资产</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84,627,100.13</w:t>
      </w:r>
      <w:r>
        <w:rPr>
          <w:color w:val="000000"/>
          <w:spacing w:val="0"/>
          <w:w w:val="100"/>
          <w:position w:val="0"/>
        </w:rPr>
        <w:t>元，比年初增加</w:t>
      </w:r>
      <w:r>
        <w:rPr>
          <w:color w:val="000000"/>
          <w:spacing w:val="0"/>
          <w:w w:val="100"/>
          <w:position w:val="0"/>
          <w:sz w:val="24"/>
          <w:szCs w:val="24"/>
        </w:rPr>
        <w:t>89.89%，</w:t>
      </w:r>
      <w:r>
        <w:rPr>
          <w:color w:val="000000"/>
          <w:spacing w:val="0"/>
          <w:w w:val="100"/>
          <w:position w:val="0"/>
        </w:rPr>
        <w:t>其主要 原因是：武汉研发中心办公楼达到可使用状态转固。</w:t>
      </w:r>
    </w:p>
    <w:p>
      <w:pPr>
        <w:pStyle w:val="Style32"/>
        <w:keepNext w:val="0"/>
        <w:keepLines w:val="0"/>
        <w:widowControl w:val="0"/>
        <w:numPr>
          <w:ilvl w:val="0"/>
          <w:numId w:val="31"/>
        </w:numPr>
        <w:shd w:val="clear" w:color="auto" w:fill="auto"/>
        <w:tabs>
          <w:tab w:pos="1126" w:val="left"/>
        </w:tabs>
        <w:bidi w:val="0"/>
        <w:spacing w:before="0" w:after="0" w:line="494" w:lineRule="exact"/>
        <w:ind w:left="0" w:right="0" w:firstLine="500"/>
        <w:jc w:val="both"/>
      </w:pPr>
      <w:bookmarkStart w:id="923" w:name="bookmark923"/>
      <w:bookmarkEnd w:id="923"/>
      <w:r>
        <w:rPr>
          <w:color w:val="000000"/>
          <w:spacing w:val="0"/>
          <w:w w:val="100"/>
          <w:position w:val="0"/>
        </w:rPr>
        <w:t>在建工程</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1,891,807.89</w:t>
      </w:r>
      <w:r>
        <w:rPr>
          <w:color w:val="000000"/>
          <w:spacing w:val="0"/>
          <w:w w:val="100"/>
          <w:position w:val="0"/>
        </w:rPr>
        <w:t>元，比年初减少</w:t>
      </w:r>
      <w:r>
        <w:rPr>
          <w:color w:val="000000"/>
          <w:spacing w:val="0"/>
          <w:w w:val="100"/>
          <w:position w:val="0"/>
          <w:sz w:val="24"/>
          <w:szCs w:val="24"/>
        </w:rPr>
        <w:t>93.34%，</w:t>
      </w:r>
      <w:r>
        <w:rPr>
          <w:color w:val="000000"/>
          <w:spacing w:val="0"/>
          <w:w w:val="100"/>
          <w:position w:val="0"/>
        </w:rPr>
        <w:t>其主要原 因是：武汉研发中心办公楼达到可使用状态转固。</w:t>
      </w:r>
    </w:p>
    <w:p>
      <w:pPr>
        <w:pStyle w:val="Style32"/>
        <w:keepNext w:val="0"/>
        <w:keepLines w:val="0"/>
        <w:widowControl w:val="0"/>
        <w:numPr>
          <w:ilvl w:val="0"/>
          <w:numId w:val="31"/>
        </w:numPr>
        <w:shd w:val="clear" w:color="auto" w:fill="auto"/>
        <w:tabs>
          <w:tab w:pos="1256" w:val="left"/>
        </w:tabs>
        <w:bidi w:val="0"/>
        <w:spacing w:before="0" w:after="0" w:line="490" w:lineRule="exact"/>
        <w:ind w:left="0" w:right="0" w:firstLine="500"/>
        <w:jc w:val="both"/>
      </w:pPr>
      <w:bookmarkStart w:id="924" w:name="bookmark924"/>
      <w:bookmarkEnd w:id="924"/>
      <w:r>
        <w:rPr>
          <w:color w:val="000000"/>
          <w:spacing w:val="0"/>
          <w:w w:val="100"/>
          <w:position w:val="0"/>
        </w:rPr>
        <w:t>无形资产</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82,817,254.45</w:t>
      </w:r>
      <w:r>
        <w:rPr>
          <w:color w:val="000000"/>
          <w:spacing w:val="0"/>
          <w:w w:val="100"/>
          <w:position w:val="0"/>
        </w:rPr>
        <w:t>元，比年初减少</w:t>
      </w:r>
      <w:r>
        <w:rPr>
          <w:color w:val="000000"/>
          <w:spacing w:val="0"/>
          <w:w w:val="100"/>
          <w:position w:val="0"/>
          <w:sz w:val="24"/>
          <w:szCs w:val="24"/>
        </w:rPr>
        <w:t>18.41%,</w:t>
      </w:r>
      <w:r>
        <w:rPr>
          <w:color w:val="000000"/>
          <w:spacing w:val="0"/>
          <w:w w:val="100"/>
          <w:position w:val="0"/>
        </w:rPr>
        <w:t>其主要 原因是：无形资产摊销增加。</w:t>
      </w:r>
    </w:p>
    <w:p>
      <w:pPr>
        <w:pStyle w:val="Style32"/>
        <w:keepNext w:val="0"/>
        <w:keepLines w:val="0"/>
        <w:widowControl w:val="0"/>
        <w:numPr>
          <w:ilvl w:val="0"/>
          <w:numId w:val="31"/>
        </w:numPr>
        <w:shd w:val="clear" w:color="auto" w:fill="auto"/>
        <w:tabs>
          <w:tab w:pos="1261" w:val="left"/>
        </w:tabs>
        <w:bidi w:val="0"/>
        <w:spacing w:before="0" w:after="0" w:line="494" w:lineRule="exact"/>
        <w:ind w:left="0" w:right="0" w:firstLine="500"/>
        <w:jc w:val="both"/>
      </w:pPr>
      <w:bookmarkStart w:id="925" w:name="bookmark925"/>
      <w:bookmarkEnd w:id="925"/>
      <w:r>
        <w:rPr>
          <w:color w:val="000000"/>
          <w:spacing w:val="0"/>
          <w:w w:val="100"/>
          <w:position w:val="0"/>
        </w:rPr>
        <w:t>开发支出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31,452,691.76</w:t>
      </w:r>
      <w:r>
        <w:rPr>
          <w:color w:val="000000"/>
          <w:spacing w:val="0"/>
          <w:w w:val="100"/>
          <w:position w:val="0"/>
        </w:rPr>
        <w:t>元，比年初增加</w:t>
      </w:r>
      <w:r>
        <w:rPr>
          <w:color w:val="000000"/>
          <w:spacing w:val="0"/>
          <w:w w:val="100"/>
          <w:position w:val="0"/>
          <w:sz w:val="24"/>
          <w:szCs w:val="24"/>
        </w:rPr>
        <w:t>181.89%</w:t>
      </w:r>
      <w:r>
        <w:rPr>
          <w:color w:val="000000"/>
          <w:spacing w:val="0"/>
          <w:w w:val="100"/>
          <w:position w:val="0"/>
        </w:rPr>
        <w:t>，其主 要原因是：新增开发支出资本化项目。</w:t>
      </w:r>
    </w:p>
    <w:p>
      <w:pPr>
        <w:pStyle w:val="Style32"/>
        <w:keepNext w:val="0"/>
        <w:keepLines w:val="0"/>
        <w:widowControl w:val="0"/>
        <w:shd w:val="clear" w:color="auto" w:fill="auto"/>
        <w:bidi w:val="0"/>
        <w:spacing w:before="0" w:after="0" w:line="494" w:lineRule="exact"/>
        <w:ind w:left="0" w:right="0" w:firstLine="500"/>
        <w:jc w:val="both"/>
      </w:pPr>
      <w:bookmarkStart w:id="926" w:name="bookmark926"/>
      <w:r>
        <w:rPr>
          <w:color w:val="000000"/>
          <w:spacing w:val="0"/>
          <w:w w:val="100"/>
          <w:position w:val="0"/>
          <w:sz w:val="24"/>
          <w:szCs w:val="24"/>
        </w:rPr>
        <w:t>(</w:t>
      </w:r>
      <w:bookmarkEnd w:id="926"/>
      <w:r>
        <w:rPr>
          <w:color w:val="000000"/>
          <w:spacing w:val="0"/>
          <w:w w:val="100"/>
          <w:position w:val="0"/>
          <w:sz w:val="24"/>
          <w:szCs w:val="24"/>
        </w:rPr>
        <w:t xml:space="preserve">12 </w:t>
      </w:r>
      <w:r>
        <w:rPr>
          <w:color w:val="000000"/>
          <w:spacing w:val="0"/>
          <w:w w:val="100"/>
          <w:position w:val="0"/>
        </w:rPr>
        <w:t>)短期借款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84,394,955.10</w:t>
      </w:r>
      <w:r>
        <w:rPr>
          <w:color w:val="000000"/>
          <w:spacing w:val="0"/>
          <w:w w:val="100"/>
          <w:position w:val="0"/>
        </w:rPr>
        <w:t>元，比年初增加</w:t>
      </w:r>
      <w:r>
        <w:rPr>
          <w:color w:val="000000"/>
          <w:spacing w:val="0"/>
          <w:w w:val="100"/>
          <w:position w:val="0"/>
          <w:sz w:val="24"/>
          <w:szCs w:val="24"/>
        </w:rPr>
        <w:t>100.00%</w:t>
      </w:r>
      <w:r>
        <w:rPr>
          <w:color w:val="000000"/>
          <w:spacing w:val="0"/>
          <w:w w:val="100"/>
          <w:position w:val="0"/>
        </w:rPr>
        <w:t>，其主 要原因是：补充流动资金借款增加。</w:t>
      </w:r>
    </w:p>
    <w:p>
      <w:pPr>
        <w:pStyle w:val="Style32"/>
        <w:keepNext w:val="0"/>
        <w:keepLines w:val="0"/>
        <w:widowControl w:val="0"/>
        <w:numPr>
          <w:ilvl w:val="0"/>
          <w:numId w:val="33"/>
        </w:numPr>
        <w:shd w:val="clear" w:color="auto" w:fill="auto"/>
        <w:tabs>
          <w:tab w:pos="1256" w:val="left"/>
        </w:tabs>
        <w:bidi w:val="0"/>
        <w:spacing w:before="0" w:after="0" w:line="494" w:lineRule="exact"/>
        <w:ind w:left="0" w:right="0" w:firstLine="500"/>
        <w:jc w:val="both"/>
      </w:pPr>
      <w:bookmarkStart w:id="927" w:name="bookmark927"/>
      <w:bookmarkEnd w:id="927"/>
      <w:r>
        <w:rPr>
          <w:color w:val="000000"/>
          <w:spacing w:val="0"/>
          <w:w w:val="100"/>
          <w:position w:val="0"/>
        </w:rPr>
        <w:t>应付票据</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1,378,080.00</w:t>
      </w:r>
      <w:r>
        <w:rPr>
          <w:color w:val="000000"/>
          <w:spacing w:val="0"/>
          <w:w w:val="100"/>
          <w:position w:val="0"/>
        </w:rPr>
        <w:t>元，比年初增加</w:t>
      </w:r>
      <w:r>
        <w:rPr>
          <w:color w:val="000000"/>
          <w:spacing w:val="0"/>
          <w:w w:val="100"/>
          <w:position w:val="0"/>
          <w:sz w:val="24"/>
          <w:szCs w:val="24"/>
        </w:rPr>
        <w:t>100.00%,</w:t>
      </w:r>
      <w:r>
        <w:rPr>
          <w:color w:val="000000"/>
          <w:spacing w:val="0"/>
          <w:w w:val="100"/>
          <w:position w:val="0"/>
        </w:rPr>
        <w:t>其主要 原因是：开出承兑汇票尚未到期。</w:t>
      </w:r>
    </w:p>
    <w:p>
      <w:pPr>
        <w:pStyle w:val="Style32"/>
        <w:keepNext w:val="0"/>
        <w:keepLines w:val="0"/>
        <w:widowControl w:val="0"/>
        <w:numPr>
          <w:ilvl w:val="0"/>
          <w:numId w:val="33"/>
        </w:numPr>
        <w:shd w:val="clear" w:color="auto" w:fill="auto"/>
        <w:tabs>
          <w:tab w:pos="1256" w:val="left"/>
        </w:tabs>
        <w:bidi w:val="0"/>
        <w:spacing w:before="0" w:after="0" w:line="494" w:lineRule="exact"/>
        <w:ind w:left="0" w:right="0" w:firstLine="500"/>
        <w:jc w:val="both"/>
      </w:pPr>
      <w:bookmarkStart w:id="928" w:name="bookmark928"/>
      <w:bookmarkEnd w:id="928"/>
      <w:r>
        <w:rPr>
          <w:color w:val="000000"/>
          <w:spacing w:val="0"/>
          <w:w w:val="100"/>
          <w:position w:val="0"/>
        </w:rPr>
        <w:t>预收账款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9,797,965.04</w:t>
      </w:r>
      <w:r>
        <w:rPr>
          <w:color w:val="000000"/>
          <w:spacing w:val="0"/>
          <w:w w:val="100"/>
          <w:position w:val="0"/>
        </w:rPr>
        <w:t>元，比年初增加</w:t>
      </w:r>
      <w:r>
        <w:rPr>
          <w:color w:val="000000"/>
          <w:spacing w:val="0"/>
          <w:w w:val="100"/>
          <w:position w:val="0"/>
          <w:sz w:val="24"/>
          <w:szCs w:val="24"/>
        </w:rPr>
        <w:t>89.17%,</w:t>
      </w:r>
      <w:r>
        <w:rPr>
          <w:color w:val="000000"/>
          <w:spacing w:val="0"/>
          <w:w w:val="100"/>
          <w:position w:val="0"/>
        </w:rPr>
        <w:t>其主要 原因是：收到尚未到达收入确认条件的项目款增加。</w:t>
      </w:r>
    </w:p>
    <w:p>
      <w:pPr>
        <w:pStyle w:val="Style32"/>
        <w:keepNext w:val="0"/>
        <w:keepLines w:val="0"/>
        <w:widowControl w:val="0"/>
        <w:numPr>
          <w:ilvl w:val="0"/>
          <w:numId w:val="33"/>
        </w:numPr>
        <w:shd w:val="clear" w:color="auto" w:fill="auto"/>
        <w:tabs>
          <w:tab w:pos="1261" w:val="left"/>
        </w:tabs>
        <w:bidi w:val="0"/>
        <w:spacing w:before="0" w:after="0" w:line="480" w:lineRule="exact"/>
        <w:ind w:left="0" w:right="0" w:firstLine="500"/>
        <w:jc w:val="both"/>
      </w:pPr>
      <w:bookmarkStart w:id="929" w:name="bookmark929"/>
      <w:bookmarkEnd w:id="929"/>
      <w:r>
        <w:rPr>
          <w:color w:val="000000"/>
          <w:spacing w:val="0"/>
          <w:w w:val="100"/>
          <w:position w:val="0"/>
        </w:rPr>
        <w:t>应付职工薪酬</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3,498,562.30</w:t>
      </w:r>
      <w:r>
        <w:rPr>
          <w:color w:val="000000"/>
          <w:spacing w:val="0"/>
          <w:w w:val="100"/>
          <w:position w:val="0"/>
        </w:rPr>
        <w:t>元，比年初数减少</w:t>
      </w:r>
      <w:r>
        <w:rPr>
          <w:color w:val="000000"/>
          <w:spacing w:val="0"/>
          <w:w w:val="100"/>
          <w:position w:val="0"/>
          <w:sz w:val="24"/>
          <w:szCs w:val="24"/>
        </w:rPr>
        <w:t xml:space="preserve">37.54%, </w:t>
      </w:r>
      <w:r>
        <w:rPr>
          <w:color w:val="000000"/>
          <w:spacing w:val="0"/>
          <w:w w:val="100"/>
          <w:position w:val="0"/>
        </w:rPr>
        <w:t>其主要原因是：社保局提前划拨</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月社会保险。</w:t>
      </w:r>
    </w:p>
    <w:p>
      <w:pPr>
        <w:pStyle w:val="Style32"/>
        <w:keepNext w:val="0"/>
        <w:keepLines w:val="0"/>
        <w:widowControl w:val="0"/>
        <w:shd w:val="clear" w:color="auto" w:fill="auto"/>
        <w:tabs>
          <w:tab w:pos="1256" w:val="left"/>
        </w:tabs>
        <w:bidi w:val="0"/>
        <w:spacing w:before="0" w:after="0" w:line="490" w:lineRule="exact"/>
        <w:ind w:left="0" w:right="0" w:firstLine="480"/>
        <w:jc w:val="both"/>
      </w:pPr>
      <w:bookmarkStart w:id="930" w:name="bookmark930"/>
      <w:r>
        <w:rPr>
          <w:color w:val="000000"/>
          <w:spacing w:val="0"/>
          <w:w w:val="100"/>
          <w:position w:val="0"/>
          <w:sz w:val="24"/>
          <w:szCs w:val="24"/>
        </w:rPr>
        <w:t>（</w:t>
      </w:r>
      <w:bookmarkEnd w:id="930"/>
      <w:r>
        <w:rPr>
          <w:color w:val="000000"/>
          <w:spacing w:val="0"/>
          <w:w w:val="100"/>
          <w:position w:val="0"/>
          <w:sz w:val="24"/>
          <w:szCs w:val="24"/>
        </w:rPr>
        <w:t>16）</w:t>
        <w:tab/>
      </w:r>
      <w:r>
        <w:rPr>
          <w:color w:val="000000"/>
          <w:spacing w:val="0"/>
          <w:w w:val="100"/>
          <w:position w:val="0"/>
        </w:rPr>
        <w:t>应交税费</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20,624,756.49</w:t>
      </w:r>
      <w:r>
        <w:rPr>
          <w:color w:val="000000"/>
          <w:spacing w:val="0"/>
          <w:w w:val="100"/>
          <w:position w:val="0"/>
        </w:rPr>
        <w:t>元，比年初数增加</w:t>
      </w:r>
      <w:r>
        <w:rPr>
          <w:color w:val="000000"/>
          <w:spacing w:val="0"/>
          <w:w w:val="100"/>
          <w:position w:val="0"/>
          <w:sz w:val="24"/>
          <w:szCs w:val="24"/>
        </w:rPr>
        <w:t>86.19%,</w:t>
      </w:r>
      <w:r>
        <w:rPr>
          <w:color w:val="000000"/>
          <w:spacing w:val="0"/>
          <w:w w:val="100"/>
          <w:position w:val="0"/>
        </w:rPr>
        <w:t>其主 要原因是：收入增加导致应交增值税、企业所得税及营业税附加增加。</w:t>
      </w:r>
    </w:p>
    <w:p>
      <w:pPr>
        <w:pStyle w:val="Style32"/>
        <w:keepNext w:val="0"/>
        <w:keepLines w:val="0"/>
        <w:widowControl w:val="0"/>
        <w:shd w:val="clear" w:color="auto" w:fill="auto"/>
        <w:tabs>
          <w:tab w:pos="1256" w:val="left"/>
        </w:tabs>
        <w:bidi w:val="0"/>
        <w:spacing w:before="0" w:after="0" w:line="490" w:lineRule="exact"/>
        <w:ind w:left="0" w:right="0" w:firstLine="480"/>
        <w:jc w:val="both"/>
      </w:pPr>
      <w:bookmarkStart w:id="931" w:name="bookmark931"/>
      <w:r>
        <w:rPr>
          <w:color w:val="000000"/>
          <w:spacing w:val="0"/>
          <w:w w:val="100"/>
          <w:position w:val="0"/>
          <w:sz w:val="24"/>
          <w:szCs w:val="24"/>
        </w:rPr>
        <w:t>（</w:t>
      </w:r>
      <w:bookmarkEnd w:id="931"/>
      <w:r>
        <w:rPr>
          <w:color w:val="000000"/>
          <w:spacing w:val="0"/>
          <w:w w:val="100"/>
          <w:position w:val="0"/>
          <w:sz w:val="24"/>
          <w:szCs w:val="24"/>
        </w:rPr>
        <w:t>17）</w:t>
        <w:tab/>
      </w:r>
      <w:r>
        <w:rPr>
          <w:color w:val="000000"/>
          <w:spacing w:val="0"/>
          <w:w w:val="100"/>
          <w:position w:val="0"/>
        </w:rPr>
        <w:t>其他应付款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28,231,946.08</w:t>
      </w:r>
      <w:r>
        <w:rPr>
          <w:color w:val="000000"/>
          <w:spacing w:val="0"/>
          <w:w w:val="100"/>
          <w:position w:val="0"/>
        </w:rPr>
        <w:t>元，比年初数减少</w:t>
      </w:r>
      <w:r>
        <w:rPr>
          <w:color w:val="000000"/>
          <w:spacing w:val="0"/>
          <w:w w:val="100"/>
          <w:position w:val="0"/>
          <w:sz w:val="24"/>
          <w:szCs w:val="24"/>
        </w:rPr>
        <w:t>54.85%</w:t>
      </w:r>
      <w:r>
        <w:rPr>
          <w:color w:val="000000"/>
          <w:spacing w:val="0"/>
          <w:w w:val="100"/>
          <w:position w:val="0"/>
        </w:rPr>
        <w:t>，其 主要原因是：主要是本期支付了剩余购买股权款项。</w:t>
      </w:r>
    </w:p>
    <w:p>
      <w:pPr>
        <w:pStyle w:val="Style32"/>
        <w:keepNext w:val="0"/>
        <w:keepLines w:val="0"/>
        <w:widowControl w:val="0"/>
        <w:shd w:val="clear" w:color="auto" w:fill="auto"/>
        <w:tabs>
          <w:tab w:pos="1256" w:val="left"/>
        </w:tabs>
        <w:bidi w:val="0"/>
        <w:spacing w:before="0" w:after="0" w:line="480" w:lineRule="exact"/>
        <w:ind w:left="0" w:right="0" w:firstLine="480"/>
        <w:jc w:val="both"/>
      </w:pPr>
      <w:bookmarkStart w:id="932" w:name="bookmark932"/>
      <w:r>
        <w:rPr>
          <w:color w:val="000000"/>
          <w:spacing w:val="0"/>
          <w:w w:val="100"/>
          <w:position w:val="0"/>
          <w:sz w:val="24"/>
          <w:szCs w:val="24"/>
        </w:rPr>
        <w:t>（</w:t>
      </w:r>
      <w:bookmarkEnd w:id="932"/>
      <w:r>
        <w:rPr>
          <w:color w:val="000000"/>
          <w:spacing w:val="0"/>
          <w:w w:val="100"/>
          <w:position w:val="0"/>
          <w:sz w:val="24"/>
          <w:szCs w:val="24"/>
        </w:rPr>
        <w:t>18）</w:t>
        <w:tab/>
      </w:r>
      <w:r>
        <w:rPr>
          <w:color w:val="000000"/>
          <w:spacing w:val="0"/>
          <w:w w:val="100"/>
          <w:position w:val="0"/>
        </w:rPr>
        <w:t>专项应付款</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0.00</w:t>
      </w:r>
      <w:r>
        <w:rPr>
          <w:color w:val="000000"/>
          <w:spacing w:val="0"/>
          <w:w w:val="100"/>
          <w:position w:val="0"/>
        </w:rPr>
        <w:t>元，比年初数减少</w:t>
      </w:r>
      <w:r>
        <w:rPr>
          <w:color w:val="000000"/>
          <w:spacing w:val="0"/>
          <w:w w:val="100"/>
          <w:position w:val="0"/>
          <w:sz w:val="24"/>
          <w:szCs w:val="24"/>
        </w:rPr>
        <w:t>100.00%,</w:t>
      </w:r>
      <w:r>
        <w:rPr>
          <w:color w:val="000000"/>
          <w:spacing w:val="0"/>
          <w:w w:val="100"/>
          <w:position w:val="0"/>
        </w:rPr>
        <w:t>其主要原因 是：自适应威胁管理安全防护系统</w:t>
      </w:r>
      <w:r>
        <w:rPr>
          <w:color w:val="000000"/>
          <w:spacing w:val="0"/>
          <w:w w:val="100"/>
          <w:position w:val="0"/>
          <w:sz w:val="24"/>
          <w:szCs w:val="24"/>
        </w:rPr>
        <w:t>ATMSYS</w:t>
      </w:r>
      <w:r>
        <w:rPr>
          <w:color w:val="000000"/>
          <w:spacing w:val="0"/>
          <w:w w:val="100"/>
          <w:position w:val="0"/>
        </w:rPr>
        <w:t>结题。</w:t>
      </w:r>
    </w:p>
    <w:p>
      <w:pPr>
        <w:pStyle w:val="Style32"/>
        <w:keepNext w:val="0"/>
        <w:keepLines w:val="0"/>
        <w:widowControl w:val="0"/>
        <w:shd w:val="clear" w:color="auto" w:fill="auto"/>
        <w:tabs>
          <w:tab w:pos="1256" w:val="left"/>
        </w:tabs>
        <w:bidi w:val="0"/>
        <w:spacing w:before="0" w:after="0" w:line="480" w:lineRule="exact"/>
        <w:ind w:left="0" w:right="0" w:firstLine="480"/>
        <w:jc w:val="both"/>
      </w:pPr>
      <w:bookmarkStart w:id="933" w:name="bookmark933"/>
      <w:r>
        <w:rPr>
          <w:color w:val="000000"/>
          <w:spacing w:val="0"/>
          <w:w w:val="100"/>
          <w:position w:val="0"/>
          <w:sz w:val="24"/>
          <w:szCs w:val="24"/>
        </w:rPr>
        <w:t>（</w:t>
      </w:r>
      <w:bookmarkEnd w:id="933"/>
      <w:r>
        <w:rPr>
          <w:color w:val="000000"/>
          <w:spacing w:val="0"/>
          <w:w w:val="100"/>
          <w:position w:val="0"/>
          <w:sz w:val="24"/>
          <w:szCs w:val="24"/>
        </w:rPr>
        <w:t>19）</w:t>
        <w:tab/>
      </w:r>
      <w:r>
        <w:rPr>
          <w:color w:val="000000"/>
          <w:spacing w:val="0"/>
          <w:w w:val="100"/>
          <w:position w:val="0"/>
        </w:rPr>
        <w:t>预计负债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2,030,000.00</w:t>
      </w:r>
      <w:r>
        <w:rPr>
          <w:color w:val="000000"/>
          <w:spacing w:val="0"/>
          <w:w w:val="100"/>
          <w:position w:val="0"/>
        </w:rPr>
        <w:t>元，比年初数增加</w:t>
      </w:r>
      <w:r>
        <w:rPr>
          <w:color w:val="000000"/>
          <w:spacing w:val="0"/>
          <w:w w:val="100"/>
          <w:position w:val="0"/>
          <w:sz w:val="24"/>
          <w:szCs w:val="24"/>
        </w:rPr>
        <w:t>495.31%，</w:t>
      </w:r>
      <w:r>
        <w:rPr>
          <w:color w:val="000000"/>
          <w:spacing w:val="0"/>
          <w:w w:val="100"/>
          <w:position w:val="0"/>
        </w:rPr>
        <w:t>其主 要原因是：本年度完工项目增加。</w:t>
      </w:r>
    </w:p>
    <w:p>
      <w:pPr>
        <w:pStyle w:val="Style32"/>
        <w:keepNext w:val="0"/>
        <w:keepLines w:val="0"/>
        <w:widowControl w:val="0"/>
        <w:shd w:val="clear" w:color="auto" w:fill="auto"/>
        <w:tabs>
          <w:tab w:pos="1256" w:val="left"/>
        </w:tabs>
        <w:bidi w:val="0"/>
        <w:spacing w:before="0" w:after="0" w:line="485" w:lineRule="exact"/>
        <w:ind w:left="0" w:right="0" w:firstLine="480"/>
        <w:jc w:val="both"/>
      </w:pPr>
      <w:bookmarkStart w:id="934" w:name="bookmark934"/>
      <w:r>
        <w:rPr>
          <w:color w:val="000000"/>
          <w:spacing w:val="0"/>
          <w:w w:val="100"/>
          <w:position w:val="0"/>
          <w:sz w:val="24"/>
          <w:szCs w:val="24"/>
        </w:rPr>
        <w:t>（</w:t>
      </w:r>
      <w:bookmarkEnd w:id="934"/>
      <w:r>
        <w:rPr>
          <w:color w:val="000000"/>
          <w:spacing w:val="0"/>
          <w:w w:val="100"/>
          <w:position w:val="0"/>
          <w:sz w:val="24"/>
          <w:szCs w:val="24"/>
        </w:rPr>
        <w:t>20）</w:t>
        <w:tab/>
      </w:r>
      <w:r>
        <w:rPr>
          <w:color w:val="000000"/>
          <w:spacing w:val="0"/>
          <w:w w:val="100"/>
          <w:position w:val="0"/>
        </w:rPr>
        <w:t>递延所得税负债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12,684,731.02</w:t>
      </w:r>
      <w:r>
        <w:rPr>
          <w:color w:val="000000"/>
          <w:spacing w:val="0"/>
          <w:w w:val="100"/>
          <w:position w:val="0"/>
        </w:rPr>
        <w:t>元，比年初数减少</w:t>
      </w:r>
      <w:r>
        <w:rPr>
          <w:color w:val="000000"/>
          <w:spacing w:val="0"/>
          <w:w w:val="100"/>
          <w:position w:val="0"/>
          <w:sz w:val="24"/>
          <w:szCs w:val="24"/>
        </w:rPr>
        <w:t xml:space="preserve">36.76%， </w:t>
      </w:r>
      <w:r>
        <w:rPr>
          <w:color w:val="000000"/>
          <w:spacing w:val="0"/>
          <w:w w:val="100"/>
          <w:position w:val="0"/>
        </w:rPr>
        <w:t>其主要原因是：非同一控制下企业合并产生的暂时性差异减少。</w:t>
      </w:r>
    </w:p>
    <w:p>
      <w:pPr>
        <w:pStyle w:val="Style32"/>
        <w:keepNext w:val="0"/>
        <w:keepLines w:val="0"/>
        <w:widowControl w:val="0"/>
        <w:shd w:val="clear" w:color="auto" w:fill="auto"/>
        <w:tabs>
          <w:tab w:pos="1256" w:val="left"/>
        </w:tabs>
        <w:bidi w:val="0"/>
        <w:spacing w:before="0" w:after="0" w:line="485" w:lineRule="exact"/>
        <w:ind w:left="0" w:right="0" w:firstLine="480"/>
        <w:jc w:val="both"/>
      </w:pPr>
      <w:bookmarkStart w:id="935" w:name="bookmark935"/>
      <w:r>
        <w:rPr>
          <w:color w:val="000000"/>
          <w:spacing w:val="0"/>
          <w:w w:val="100"/>
          <w:position w:val="0"/>
          <w:sz w:val="24"/>
          <w:szCs w:val="24"/>
        </w:rPr>
        <w:t>（</w:t>
      </w:r>
      <w:bookmarkEnd w:id="935"/>
      <w:r>
        <w:rPr>
          <w:color w:val="000000"/>
          <w:spacing w:val="0"/>
          <w:w w:val="100"/>
          <w:position w:val="0"/>
          <w:sz w:val="24"/>
          <w:szCs w:val="24"/>
        </w:rPr>
        <w:t>21）</w:t>
        <w:tab/>
      </w:r>
      <w:r>
        <w:rPr>
          <w:color w:val="000000"/>
          <w:spacing w:val="0"/>
          <w:w w:val="100"/>
          <w:position w:val="0"/>
        </w:rPr>
        <w:t>其他非流动负债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1,469,500.00</w:t>
      </w:r>
      <w:r>
        <w:rPr>
          <w:color w:val="000000"/>
          <w:spacing w:val="0"/>
          <w:w w:val="100"/>
          <w:position w:val="0"/>
        </w:rPr>
        <w:t>元，比年初数减少</w:t>
      </w:r>
      <w:r>
        <w:rPr>
          <w:color w:val="000000"/>
          <w:spacing w:val="0"/>
          <w:w w:val="100"/>
          <w:position w:val="0"/>
          <w:sz w:val="24"/>
          <w:szCs w:val="24"/>
        </w:rPr>
        <w:t xml:space="preserve">35.26%， </w:t>
      </w:r>
      <w:r>
        <w:rPr>
          <w:color w:val="000000"/>
          <w:spacing w:val="0"/>
          <w:w w:val="100"/>
          <w:position w:val="0"/>
        </w:rPr>
        <w:t>其主要原因是：递延收益结转营业外收入。</w:t>
      </w:r>
    </w:p>
    <w:p>
      <w:pPr>
        <w:pStyle w:val="Style32"/>
        <w:keepNext w:val="0"/>
        <w:keepLines w:val="0"/>
        <w:widowControl w:val="0"/>
        <w:shd w:val="clear" w:color="auto" w:fill="auto"/>
        <w:tabs>
          <w:tab w:pos="1256" w:val="left"/>
        </w:tabs>
        <w:bidi w:val="0"/>
        <w:spacing w:before="0" w:after="0" w:line="475" w:lineRule="exact"/>
        <w:ind w:left="0" w:right="0" w:firstLine="480"/>
        <w:jc w:val="both"/>
      </w:pPr>
      <w:bookmarkStart w:id="936" w:name="bookmark936"/>
      <w:r>
        <w:rPr>
          <w:color w:val="000000"/>
          <w:spacing w:val="0"/>
          <w:w w:val="100"/>
          <w:position w:val="0"/>
          <w:sz w:val="24"/>
          <w:szCs w:val="24"/>
        </w:rPr>
        <w:t>（</w:t>
      </w:r>
      <w:bookmarkEnd w:id="936"/>
      <w:r>
        <w:rPr>
          <w:color w:val="000000"/>
          <w:spacing w:val="0"/>
          <w:w w:val="100"/>
          <w:position w:val="0"/>
          <w:sz w:val="24"/>
          <w:szCs w:val="24"/>
        </w:rPr>
        <w:t>22）</w:t>
        <w:tab/>
      </w:r>
      <w:r>
        <w:rPr>
          <w:color w:val="000000"/>
          <w:spacing w:val="0"/>
          <w:w w:val="100"/>
          <w:position w:val="0"/>
        </w:rPr>
        <w:t>股本</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126,000,000.00</w:t>
      </w:r>
      <w:r>
        <w:rPr>
          <w:color w:val="000000"/>
          <w:spacing w:val="0"/>
          <w:w w:val="100"/>
          <w:position w:val="0"/>
        </w:rPr>
        <w:t>元，比年初数增加</w:t>
      </w:r>
      <w:r>
        <w:rPr>
          <w:color w:val="000000"/>
          <w:spacing w:val="0"/>
          <w:w w:val="100"/>
          <w:position w:val="0"/>
          <w:sz w:val="24"/>
          <w:szCs w:val="24"/>
        </w:rPr>
        <w:t>50.00%，</w:t>
      </w:r>
      <w:r>
        <w:rPr>
          <w:color w:val="000000"/>
          <w:spacing w:val="0"/>
          <w:w w:val="100"/>
          <w:position w:val="0"/>
        </w:rPr>
        <w:t>其主要 原因是：根据《公司</w:t>
      </w:r>
      <w:r>
        <w:rPr>
          <w:color w:val="000000"/>
          <w:spacing w:val="0"/>
          <w:w w:val="100"/>
          <w:position w:val="0"/>
          <w:sz w:val="24"/>
          <w:szCs w:val="24"/>
        </w:rPr>
        <w:t>2012</w:t>
      </w:r>
      <w:r>
        <w:rPr>
          <w:color w:val="000000"/>
          <w:spacing w:val="0"/>
          <w:w w:val="100"/>
          <w:position w:val="0"/>
        </w:rPr>
        <w:t>年度利润分配方案》用资本公积转增股本。</w:t>
      </w:r>
    </w:p>
    <w:p>
      <w:pPr>
        <w:pStyle w:val="Style32"/>
        <w:keepNext w:val="0"/>
        <w:keepLines w:val="0"/>
        <w:widowControl w:val="0"/>
        <w:shd w:val="clear" w:color="auto" w:fill="auto"/>
        <w:tabs>
          <w:tab w:pos="1256" w:val="left"/>
        </w:tabs>
        <w:bidi w:val="0"/>
        <w:spacing w:before="0" w:after="0" w:line="475" w:lineRule="exact"/>
        <w:ind w:left="0" w:right="0" w:firstLine="480"/>
        <w:jc w:val="both"/>
      </w:pPr>
      <w:bookmarkStart w:id="937" w:name="bookmark937"/>
      <w:r>
        <w:rPr>
          <w:color w:val="000000"/>
          <w:spacing w:val="0"/>
          <w:w w:val="100"/>
          <w:position w:val="0"/>
          <w:sz w:val="24"/>
          <w:szCs w:val="24"/>
        </w:rPr>
        <w:t>（</w:t>
      </w:r>
      <w:bookmarkEnd w:id="937"/>
      <w:r>
        <w:rPr>
          <w:color w:val="000000"/>
          <w:spacing w:val="0"/>
          <w:w w:val="100"/>
          <w:position w:val="0"/>
          <w:sz w:val="24"/>
          <w:szCs w:val="24"/>
        </w:rPr>
        <w:t>23）</w:t>
        <w:tab/>
      </w:r>
      <w:r>
        <w:rPr>
          <w:color w:val="000000"/>
          <w:spacing w:val="0"/>
          <w:w w:val="100"/>
          <w:position w:val="0"/>
        </w:rPr>
        <w:t>资本公积</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658,684,369.68</w:t>
      </w:r>
      <w:r>
        <w:rPr>
          <w:color w:val="000000"/>
          <w:spacing w:val="0"/>
          <w:w w:val="100"/>
          <w:position w:val="0"/>
        </w:rPr>
        <w:t>元，比年初数减少</w:t>
      </w:r>
      <w:r>
        <w:rPr>
          <w:color w:val="000000"/>
          <w:spacing w:val="0"/>
          <w:w w:val="100"/>
          <w:position w:val="0"/>
          <w:sz w:val="24"/>
          <w:szCs w:val="24"/>
        </w:rPr>
        <w:t>5.53%，</w:t>
      </w:r>
      <w:r>
        <w:rPr>
          <w:color w:val="000000"/>
          <w:spacing w:val="0"/>
          <w:w w:val="100"/>
          <w:position w:val="0"/>
        </w:rPr>
        <w:t>其主 要原因是：根据《公司</w:t>
      </w:r>
      <w:r>
        <w:rPr>
          <w:color w:val="000000"/>
          <w:spacing w:val="0"/>
          <w:w w:val="100"/>
          <w:position w:val="0"/>
          <w:sz w:val="24"/>
          <w:szCs w:val="24"/>
        </w:rPr>
        <w:t>2012</w:t>
      </w:r>
      <w:r>
        <w:rPr>
          <w:color w:val="000000"/>
          <w:spacing w:val="0"/>
          <w:w w:val="100"/>
          <w:position w:val="0"/>
        </w:rPr>
        <w:t>年度利润分配方案》用资本公积转增股本。</w:t>
      </w:r>
    </w:p>
    <w:p>
      <w:pPr>
        <w:pStyle w:val="Style32"/>
        <w:keepNext w:val="0"/>
        <w:keepLines w:val="0"/>
        <w:widowControl w:val="0"/>
        <w:shd w:val="clear" w:color="auto" w:fill="auto"/>
        <w:tabs>
          <w:tab w:pos="1256" w:val="left"/>
        </w:tabs>
        <w:bidi w:val="0"/>
        <w:spacing w:before="0" w:after="0" w:line="485" w:lineRule="exact"/>
        <w:ind w:left="0" w:right="0" w:firstLine="480"/>
        <w:jc w:val="both"/>
      </w:pPr>
      <w:bookmarkStart w:id="938" w:name="bookmark938"/>
      <w:r>
        <w:rPr>
          <w:color w:val="000000"/>
          <w:spacing w:val="0"/>
          <w:w w:val="100"/>
          <w:position w:val="0"/>
          <w:sz w:val="24"/>
          <w:szCs w:val="24"/>
        </w:rPr>
        <w:t>（</w:t>
      </w:r>
      <w:bookmarkEnd w:id="938"/>
      <w:r>
        <w:rPr>
          <w:color w:val="000000"/>
          <w:spacing w:val="0"/>
          <w:w w:val="100"/>
          <w:position w:val="0"/>
          <w:sz w:val="24"/>
          <w:szCs w:val="24"/>
        </w:rPr>
        <w:t>24）</w:t>
        <w:tab/>
      </w:r>
      <w:r>
        <w:rPr>
          <w:color w:val="000000"/>
          <w:spacing w:val="0"/>
          <w:w w:val="100"/>
          <w:position w:val="0"/>
        </w:rPr>
        <w:t>盈余公积</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日年末数为</w:t>
      </w:r>
      <w:r>
        <w:rPr>
          <w:color w:val="000000"/>
          <w:spacing w:val="0"/>
          <w:w w:val="100"/>
          <w:position w:val="0"/>
          <w:sz w:val="24"/>
          <w:szCs w:val="24"/>
        </w:rPr>
        <w:t>31,203,862.26</w:t>
      </w:r>
      <w:r>
        <w:rPr>
          <w:color w:val="000000"/>
          <w:spacing w:val="0"/>
          <w:w w:val="100"/>
          <w:position w:val="0"/>
        </w:rPr>
        <w:t>元，比年初数增加</w:t>
      </w:r>
      <w:r>
        <w:rPr>
          <w:color w:val="000000"/>
          <w:spacing w:val="0"/>
          <w:w w:val="100"/>
          <w:position w:val="0"/>
          <w:sz w:val="24"/>
          <w:szCs w:val="24"/>
        </w:rPr>
        <w:t>43.95%，</w:t>
      </w:r>
      <w:r>
        <w:rPr>
          <w:color w:val="000000"/>
          <w:spacing w:val="0"/>
          <w:w w:val="100"/>
          <w:position w:val="0"/>
        </w:rPr>
        <w:t>其主 要原因是：公司按净利润</w:t>
      </w:r>
      <w:r>
        <w:rPr>
          <w:color w:val="000000"/>
          <w:spacing w:val="0"/>
          <w:w w:val="100"/>
          <w:position w:val="0"/>
          <w:sz w:val="24"/>
          <w:szCs w:val="24"/>
        </w:rPr>
        <w:t>10%</w:t>
      </w:r>
      <w:r>
        <w:rPr>
          <w:color w:val="000000"/>
          <w:spacing w:val="0"/>
          <w:w w:val="100"/>
          <w:position w:val="0"/>
        </w:rPr>
        <w:t>提取盈余公积。</w:t>
      </w:r>
    </w:p>
    <w:p>
      <w:pPr>
        <w:pStyle w:val="Style32"/>
        <w:keepNext w:val="0"/>
        <w:keepLines w:val="0"/>
        <w:widowControl w:val="0"/>
        <w:shd w:val="clear" w:color="auto" w:fill="auto"/>
        <w:tabs>
          <w:tab w:pos="1246" w:val="left"/>
        </w:tabs>
        <w:bidi w:val="0"/>
        <w:spacing w:before="0" w:after="0" w:line="490" w:lineRule="exact"/>
        <w:ind w:left="0" w:right="0" w:firstLine="480"/>
        <w:jc w:val="both"/>
      </w:pPr>
      <w:bookmarkStart w:id="939" w:name="bookmark939"/>
      <w:r>
        <w:rPr>
          <w:color w:val="000000"/>
          <w:spacing w:val="0"/>
          <w:w w:val="100"/>
          <w:position w:val="0"/>
          <w:sz w:val="24"/>
          <w:szCs w:val="24"/>
        </w:rPr>
        <w:t>（</w:t>
      </w:r>
      <w:bookmarkEnd w:id="939"/>
      <w:r>
        <w:rPr>
          <w:color w:val="000000"/>
          <w:spacing w:val="0"/>
          <w:w w:val="100"/>
          <w:position w:val="0"/>
          <w:sz w:val="24"/>
          <w:szCs w:val="24"/>
        </w:rPr>
        <w:t>25）</w:t>
        <w:tab/>
      </w:r>
      <w:r>
        <w:rPr>
          <w:color w:val="000000"/>
          <w:spacing w:val="0"/>
          <w:w w:val="100"/>
          <w:position w:val="0"/>
        </w:rPr>
        <w:t>营业收入</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406,357,113.32</w:t>
      </w:r>
      <w:r>
        <w:rPr>
          <w:color w:val="000000"/>
          <w:spacing w:val="0"/>
          <w:w w:val="100"/>
          <w:position w:val="0"/>
        </w:rPr>
        <w:t>元，比上年数增加</w:t>
      </w:r>
      <w:r>
        <w:rPr>
          <w:color w:val="000000"/>
          <w:spacing w:val="0"/>
          <w:w w:val="100"/>
          <w:position w:val="0"/>
          <w:sz w:val="24"/>
          <w:szCs w:val="24"/>
        </w:rPr>
        <w:t>83.06%，</w:t>
      </w:r>
      <w:r>
        <w:rPr>
          <w:color w:val="000000"/>
          <w:spacing w:val="0"/>
          <w:w w:val="100"/>
          <w:position w:val="0"/>
        </w:rPr>
        <w:t>其主要原 因是：智慧城市管理领域收入增加较多，同时本期增加了收入合并范围。</w:t>
      </w:r>
    </w:p>
    <w:p>
      <w:pPr>
        <w:pStyle w:val="Style32"/>
        <w:keepNext w:val="0"/>
        <w:keepLines w:val="0"/>
        <w:widowControl w:val="0"/>
        <w:shd w:val="clear" w:color="auto" w:fill="auto"/>
        <w:tabs>
          <w:tab w:pos="1261" w:val="left"/>
        </w:tabs>
        <w:bidi w:val="0"/>
        <w:spacing w:before="0" w:after="0" w:line="490" w:lineRule="exact"/>
        <w:ind w:left="0" w:right="0" w:firstLine="480"/>
        <w:jc w:val="both"/>
      </w:pPr>
      <w:bookmarkStart w:id="940" w:name="bookmark940"/>
      <w:r>
        <w:rPr>
          <w:color w:val="000000"/>
          <w:spacing w:val="0"/>
          <w:w w:val="100"/>
          <w:position w:val="0"/>
          <w:sz w:val="24"/>
          <w:szCs w:val="24"/>
        </w:rPr>
        <w:t>（</w:t>
      </w:r>
      <w:bookmarkEnd w:id="940"/>
      <w:r>
        <w:rPr>
          <w:color w:val="000000"/>
          <w:spacing w:val="0"/>
          <w:w w:val="100"/>
          <w:position w:val="0"/>
          <w:sz w:val="24"/>
          <w:szCs w:val="24"/>
        </w:rPr>
        <w:t>26）</w:t>
        <w:tab/>
      </w:r>
      <w:r>
        <w:rPr>
          <w:color w:val="000000"/>
          <w:spacing w:val="0"/>
          <w:w w:val="100"/>
          <w:position w:val="0"/>
        </w:rPr>
        <w:t>营业成本</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246,590,562.38</w:t>
      </w:r>
      <w:r>
        <w:rPr>
          <w:color w:val="000000"/>
          <w:spacing w:val="0"/>
          <w:w w:val="100"/>
          <w:position w:val="0"/>
        </w:rPr>
        <w:t>元，比上年数增加</w:t>
      </w:r>
      <w:r>
        <w:rPr>
          <w:color w:val="000000"/>
          <w:spacing w:val="0"/>
          <w:w w:val="100"/>
          <w:position w:val="0"/>
          <w:sz w:val="24"/>
          <w:szCs w:val="24"/>
        </w:rPr>
        <w:t>152.23%,</w:t>
      </w:r>
      <w:r>
        <w:rPr>
          <w:color w:val="000000"/>
          <w:spacing w:val="0"/>
          <w:w w:val="100"/>
          <w:position w:val="0"/>
        </w:rPr>
        <w:t>其主要 原因是：智慧城市管理领域收入增加较多，同时本期增加了收入合并范围。</w:t>
      </w:r>
    </w:p>
    <w:p>
      <w:pPr>
        <w:pStyle w:val="Style32"/>
        <w:keepNext w:val="0"/>
        <w:keepLines w:val="0"/>
        <w:widowControl w:val="0"/>
        <w:shd w:val="clear" w:color="auto" w:fill="auto"/>
        <w:bidi w:val="0"/>
        <w:spacing w:before="0" w:after="0" w:line="490" w:lineRule="exact"/>
        <w:ind w:left="0" w:right="0" w:firstLine="480"/>
        <w:jc w:val="both"/>
      </w:pPr>
      <w:bookmarkStart w:id="941" w:name="bookmark941"/>
      <w:r>
        <w:rPr>
          <w:color w:val="000000"/>
          <w:spacing w:val="0"/>
          <w:w w:val="100"/>
          <w:position w:val="0"/>
          <w:sz w:val="24"/>
          <w:szCs w:val="24"/>
        </w:rPr>
        <w:t>（</w:t>
      </w:r>
      <w:bookmarkEnd w:id="941"/>
      <w:r>
        <w:rPr>
          <w:color w:val="000000"/>
          <w:spacing w:val="0"/>
          <w:w w:val="100"/>
          <w:position w:val="0"/>
          <w:sz w:val="24"/>
          <w:szCs w:val="24"/>
        </w:rPr>
        <w:t xml:space="preserve">27 </w:t>
      </w:r>
      <w:r>
        <w:rPr>
          <w:color w:val="000000"/>
          <w:spacing w:val="0"/>
          <w:w w:val="100"/>
          <w:position w:val="0"/>
        </w:rPr>
        <w:t>）营业税金及附加</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4,713,179.92</w:t>
      </w:r>
      <w:r>
        <w:rPr>
          <w:color w:val="000000"/>
          <w:spacing w:val="0"/>
          <w:w w:val="100"/>
          <w:position w:val="0"/>
        </w:rPr>
        <w:t>元，比上年数增加</w:t>
      </w:r>
      <w:r>
        <w:rPr>
          <w:color w:val="000000"/>
          <w:spacing w:val="0"/>
          <w:w w:val="100"/>
          <w:position w:val="0"/>
          <w:sz w:val="24"/>
          <w:szCs w:val="24"/>
        </w:rPr>
        <w:t>52.39%</w:t>
      </w:r>
      <w:r>
        <w:rPr>
          <w:color w:val="000000"/>
          <w:spacing w:val="0"/>
          <w:w w:val="100"/>
          <w:position w:val="0"/>
        </w:rPr>
        <w:t>，其主 要原因是：销售收入增加。</w:t>
      </w:r>
    </w:p>
    <w:p>
      <w:pPr>
        <w:pStyle w:val="Style32"/>
        <w:keepNext w:val="0"/>
        <w:keepLines w:val="0"/>
        <w:widowControl w:val="0"/>
        <w:shd w:val="clear" w:color="auto" w:fill="auto"/>
        <w:tabs>
          <w:tab w:pos="1256" w:val="left"/>
        </w:tabs>
        <w:bidi w:val="0"/>
        <w:spacing w:before="0" w:after="0" w:line="490" w:lineRule="exact"/>
        <w:ind w:left="0" w:right="0" w:firstLine="480"/>
        <w:jc w:val="both"/>
      </w:pPr>
      <w:bookmarkStart w:id="942" w:name="bookmark942"/>
      <w:r>
        <w:rPr>
          <w:color w:val="000000"/>
          <w:spacing w:val="0"/>
          <w:w w:val="100"/>
          <w:position w:val="0"/>
          <w:sz w:val="24"/>
          <w:szCs w:val="24"/>
        </w:rPr>
        <w:t>（</w:t>
      </w:r>
      <w:bookmarkEnd w:id="942"/>
      <w:r>
        <w:rPr>
          <w:color w:val="000000"/>
          <w:spacing w:val="0"/>
          <w:w w:val="100"/>
          <w:position w:val="0"/>
          <w:sz w:val="24"/>
          <w:szCs w:val="24"/>
        </w:rPr>
        <w:t>28）</w:t>
        <w:tab/>
      </w:r>
      <w:r>
        <w:rPr>
          <w:color w:val="000000"/>
          <w:spacing w:val="0"/>
          <w:w w:val="100"/>
          <w:position w:val="0"/>
        </w:rPr>
        <w:t>销售费用</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29,635,857.69</w:t>
      </w:r>
      <w:r>
        <w:rPr>
          <w:color w:val="000000"/>
          <w:spacing w:val="0"/>
          <w:w w:val="100"/>
          <w:position w:val="0"/>
        </w:rPr>
        <w:t>元，比上年数增加</w:t>
      </w:r>
      <w:r>
        <w:rPr>
          <w:color w:val="000000"/>
          <w:spacing w:val="0"/>
          <w:w w:val="100"/>
          <w:position w:val="0"/>
          <w:sz w:val="24"/>
          <w:szCs w:val="24"/>
        </w:rPr>
        <w:t>60.60%，</w:t>
      </w:r>
      <w:r>
        <w:rPr>
          <w:color w:val="000000"/>
          <w:spacing w:val="0"/>
          <w:w w:val="100"/>
          <w:position w:val="0"/>
        </w:rPr>
        <w:t>其主要原因 是：销售费用合并范围增加。</w:t>
      </w:r>
    </w:p>
    <w:p>
      <w:pPr>
        <w:pStyle w:val="Style32"/>
        <w:keepNext w:val="0"/>
        <w:keepLines w:val="0"/>
        <w:widowControl w:val="0"/>
        <w:shd w:val="clear" w:color="auto" w:fill="auto"/>
        <w:tabs>
          <w:tab w:pos="1256" w:val="left"/>
        </w:tabs>
        <w:bidi w:val="0"/>
        <w:spacing w:before="0" w:after="0" w:line="485" w:lineRule="exact"/>
        <w:ind w:left="0" w:right="0" w:firstLine="480"/>
        <w:jc w:val="both"/>
      </w:pPr>
      <w:bookmarkStart w:id="943" w:name="bookmark943"/>
      <w:r>
        <w:rPr>
          <w:color w:val="000000"/>
          <w:spacing w:val="0"/>
          <w:w w:val="100"/>
          <w:position w:val="0"/>
          <w:sz w:val="24"/>
          <w:szCs w:val="24"/>
        </w:rPr>
        <w:t>（</w:t>
      </w:r>
      <w:bookmarkEnd w:id="943"/>
      <w:r>
        <w:rPr>
          <w:color w:val="000000"/>
          <w:spacing w:val="0"/>
          <w:w w:val="100"/>
          <w:position w:val="0"/>
          <w:sz w:val="24"/>
          <w:szCs w:val="24"/>
        </w:rPr>
        <w:t>29）</w:t>
        <w:tab/>
      </w:r>
      <w:r>
        <w:rPr>
          <w:color w:val="000000"/>
          <w:spacing w:val="0"/>
          <w:w w:val="100"/>
          <w:position w:val="0"/>
        </w:rPr>
        <w:t>管理费用</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68,186,482.35</w:t>
      </w:r>
      <w:r>
        <w:rPr>
          <w:color w:val="000000"/>
          <w:spacing w:val="0"/>
          <w:w w:val="100"/>
          <w:position w:val="0"/>
        </w:rPr>
        <w:t>元，比上年数增加</w:t>
      </w:r>
      <w:r>
        <w:rPr>
          <w:color w:val="000000"/>
          <w:spacing w:val="0"/>
          <w:w w:val="100"/>
          <w:position w:val="0"/>
          <w:sz w:val="24"/>
          <w:szCs w:val="24"/>
        </w:rPr>
        <w:t>40.28%，</w:t>
      </w:r>
      <w:r>
        <w:rPr>
          <w:color w:val="000000"/>
          <w:spacing w:val="0"/>
          <w:w w:val="100"/>
          <w:position w:val="0"/>
        </w:rPr>
        <w:t>其主要原因 是：管理费用合并范围增加。</w:t>
      </w:r>
    </w:p>
    <w:p>
      <w:pPr>
        <w:pStyle w:val="Style32"/>
        <w:keepNext w:val="0"/>
        <w:keepLines w:val="0"/>
        <w:widowControl w:val="0"/>
        <w:shd w:val="clear" w:color="auto" w:fill="auto"/>
        <w:tabs>
          <w:tab w:pos="685" w:val="left"/>
        </w:tabs>
        <w:bidi w:val="0"/>
        <w:spacing w:before="0" w:after="0" w:line="485" w:lineRule="exact"/>
        <w:ind w:left="0" w:right="0" w:firstLine="480"/>
        <w:jc w:val="both"/>
      </w:pPr>
      <w:bookmarkStart w:id="944" w:name="bookmark944"/>
      <w:r>
        <w:rPr>
          <w:color w:val="000000"/>
          <w:spacing w:val="0"/>
          <w:w w:val="100"/>
          <w:position w:val="0"/>
          <w:sz w:val="24"/>
          <w:szCs w:val="24"/>
        </w:rPr>
        <w:t>（</w:t>
      </w:r>
      <w:bookmarkEnd w:id="944"/>
      <w:r>
        <w:rPr>
          <w:color w:val="000000"/>
          <w:spacing w:val="0"/>
          <w:w w:val="100"/>
          <w:position w:val="0"/>
          <w:sz w:val="24"/>
          <w:szCs w:val="24"/>
        </w:rPr>
        <w:t>30）</w:t>
        <w:tab/>
      </w:r>
      <w:r>
        <w:rPr>
          <w:color w:val="000000"/>
          <w:spacing w:val="0"/>
          <w:w w:val="100"/>
          <w:position w:val="0"/>
        </w:rPr>
        <w:t>财务费用</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-13,032,710.66</w:t>
      </w:r>
      <w:r>
        <w:rPr>
          <w:color w:val="000000"/>
          <w:spacing w:val="0"/>
          <w:w w:val="100"/>
          <w:position w:val="0"/>
        </w:rPr>
        <w:t>元，比上年数减少</w:t>
      </w:r>
      <w:r>
        <w:rPr>
          <w:color w:val="000000"/>
          <w:spacing w:val="0"/>
          <w:w w:val="100"/>
          <w:position w:val="0"/>
          <w:sz w:val="24"/>
          <w:szCs w:val="24"/>
        </w:rPr>
        <w:t>34.35%，</w:t>
      </w:r>
      <w:r>
        <w:rPr>
          <w:color w:val="000000"/>
          <w:spacing w:val="0"/>
          <w:w w:val="100"/>
          <w:position w:val="0"/>
        </w:rPr>
        <w:t xml:space="preserve">其主要原 </w:t>
      </w:r>
      <w:r>
        <w:rPr>
          <w:color w:val="000000"/>
          <w:spacing w:val="0"/>
          <w:w w:val="100"/>
          <w:position w:val="0"/>
        </w:rPr>
        <w:t>因是：利息收入减少，利息支出增加。</w:t>
      </w:r>
    </w:p>
    <w:p>
      <w:pPr>
        <w:pStyle w:val="Style32"/>
        <w:keepNext w:val="0"/>
        <w:keepLines w:val="0"/>
        <w:widowControl w:val="0"/>
        <w:shd w:val="clear" w:color="auto" w:fill="auto"/>
        <w:tabs>
          <w:tab w:pos="1261" w:val="left"/>
        </w:tabs>
        <w:bidi w:val="0"/>
        <w:spacing w:before="0" w:after="0" w:line="485" w:lineRule="exact"/>
        <w:ind w:left="0" w:right="0" w:firstLine="480"/>
        <w:jc w:val="both"/>
      </w:pPr>
      <w:bookmarkStart w:id="945" w:name="bookmark945"/>
      <w:r>
        <w:rPr>
          <w:color w:val="000000"/>
          <w:spacing w:val="0"/>
          <w:w w:val="100"/>
          <w:position w:val="0"/>
          <w:sz w:val="24"/>
          <w:szCs w:val="24"/>
        </w:rPr>
        <w:t>（</w:t>
      </w:r>
      <w:bookmarkEnd w:id="945"/>
      <w:r>
        <w:rPr>
          <w:color w:val="000000"/>
          <w:spacing w:val="0"/>
          <w:w w:val="100"/>
          <w:position w:val="0"/>
          <w:sz w:val="24"/>
          <w:szCs w:val="24"/>
        </w:rPr>
        <w:t>31）</w:t>
        <w:tab/>
      </w:r>
      <w:r>
        <w:rPr>
          <w:color w:val="000000"/>
          <w:spacing w:val="0"/>
          <w:w w:val="100"/>
          <w:position w:val="0"/>
        </w:rPr>
        <w:t>资产减值损失</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7,519,123.05</w:t>
      </w:r>
      <w:r>
        <w:rPr>
          <w:color w:val="000000"/>
          <w:spacing w:val="0"/>
          <w:w w:val="100"/>
          <w:position w:val="0"/>
        </w:rPr>
        <w:t>元，比上年数增加</w:t>
      </w:r>
      <w:r>
        <w:rPr>
          <w:color w:val="000000"/>
          <w:spacing w:val="0"/>
          <w:w w:val="100"/>
          <w:position w:val="0"/>
          <w:sz w:val="24"/>
          <w:szCs w:val="24"/>
        </w:rPr>
        <w:t>51.37%</w:t>
      </w:r>
      <w:r>
        <w:rPr>
          <w:color w:val="000000"/>
          <w:spacing w:val="0"/>
          <w:w w:val="100"/>
          <w:position w:val="0"/>
        </w:rPr>
        <w:t>，其主要 原因是：应收账款余额增加。</w:t>
      </w:r>
    </w:p>
    <w:p>
      <w:pPr>
        <w:pStyle w:val="Style32"/>
        <w:keepNext w:val="0"/>
        <w:keepLines w:val="0"/>
        <w:widowControl w:val="0"/>
        <w:shd w:val="clear" w:color="auto" w:fill="auto"/>
        <w:tabs>
          <w:tab w:pos="1261" w:val="left"/>
        </w:tabs>
        <w:bidi w:val="0"/>
        <w:spacing w:before="0" w:after="0" w:line="494" w:lineRule="exact"/>
        <w:ind w:left="0" w:right="0" w:firstLine="480"/>
        <w:jc w:val="both"/>
      </w:pPr>
      <w:bookmarkStart w:id="946" w:name="bookmark946"/>
      <w:r>
        <w:rPr>
          <w:color w:val="000000"/>
          <w:spacing w:val="0"/>
          <w:w w:val="100"/>
          <w:position w:val="0"/>
          <w:sz w:val="24"/>
          <w:szCs w:val="24"/>
        </w:rPr>
        <w:t>（</w:t>
      </w:r>
      <w:bookmarkEnd w:id="946"/>
      <w:r>
        <w:rPr>
          <w:color w:val="000000"/>
          <w:spacing w:val="0"/>
          <w:w w:val="100"/>
          <w:position w:val="0"/>
          <w:sz w:val="24"/>
          <w:szCs w:val="24"/>
        </w:rPr>
        <w:t>32）</w:t>
        <w:tab/>
      </w:r>
      <w:r>
        <w:rPr>
          <w:color w:val="000000"/>
          <w:spacing w:val="0"/>
          <w:w w:val="100"/>
          <w:position w:val="0"/>
        </w:rPr>
        <w:t>营业外收入</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31,424,624.47</w:t>
      </w:r>
      <w:r>
        <w:rPr>
          <w:color w:val="000000"/>
          <w:spacing w:val="0"/>
          <w:w w:val="100"/>
          <w:position w:val="0"/>
        </w:rPr>
        <w:t>元，比上年数增加</w:t>
      </w:r>
      <w:r>
        <w:rPr>
          <w:color w:val="000000"/>
          <w:spacing w:val="0"/>
          <w:w w:val="100"/>
          <w:position w:val="0"/>
          <w:sz w:val="24"/>
          <w:szCs w:val="24"/>
        </w:rPr>
        <w:t>182.01%,</w:t>
      </w:r>
      <w:r>
        <w:rPr>
          <w:color w:val="000000"/>
          <w:spacing w:val="0"/>
          <w:w w:val="100"/>
          <w:position w:val="0"/>
        </w:rPr>
        <w:t>其主要 原因是：本年度增值税退税增加较大。</w:t>
      </w:r>
    </w:p>
    <w:p>
      <w:pPr>
        <w:pStyle w:val="Style32"/>
        <w:keepNext w:val="0"/>
        <w:keepLines w:val="0"/>
        <w:widowControl w:val="0"/>
        <w:shd w:val="clear" w:color="auto" w:fill="auto"/>
        <w:tabs>
          <w:tab w:pos="1256" w:val="left"/>
        </w:tabs>
        <w:bidi w:val="0"/>
        <w:spacing w:before="0" w:after="0" w:line="494" w:lineRule="exact"/>
        <w:ind w:left="0" w:right="0" w:firstLine="480"/>
        <w:jc w:val="both"/>
      </w:pPr>
      <w:bookmarkStart w:id="947" w:name="bookmark947"/>
      <w:r>
        <w:rPr>
          <w:color w:val="000000"/>
          <w:spacing w:val="0"/>
          <w:w w:val="100"/>
          <w:position w:val="0"/>
          <w:sz w:val="24"/>
          <w:szCs w:val="24"/>
        </w:rPr>
        <w:t>（</w:t>
      </w:r>
      <w:bookmarkEnd w:id="947"/>
      <w:r>
        <w:rPr>
          <w:color w:val="000000"/>
          <w:spacing w:val="0"/>
          <w:w w:val="100"/>
          <w:position w:val="0"/>
          <w:sz w:val="24"/>
          <w:szCs w:val="24"/>
        </w:rPr>
        <w:t>33）</w:t>
        <w:tab/>
      </w:r>
      <w:r>
        <w:rPr>
          <w:color w:val="000000"/>
          <w:spacing w:val="0"/>
          <w:w w:val="100"/>
          <w:position w:val="0"/>
        </w:rPr>
        <w:t>营业外支出</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743.9</w:t>
      </w:r>
      <w:r>
        <w:rPr>
          <w:color w:val="000000"/>
          <w:spacing w:val="0"/>
          <w:w w:val="100"/>
          <w:position w:val="0"/>
          <w:sz w:val="24"/>
          <w:szCs w:val="24"/>
        </w:rPr>
        <w:t>0</w:t>
      </w:r>
      <w:r>
        <w:rPr>
          <w:color w:val="000000"/>
          <w:spacing w:val="0"/>
          <w:w w:val="100"/>
          <w:position w:val="0"/>
        </w:rPr>
        <w:t>元，比上年数减少</w:t>
      </w:r>
      <w:r>
        <w:rPr>
          <w:color w:val="000000"/>
          <w:spacing w:val="0"/>
          <w:w w:val="100"/>
          <w:position w:val="0"/>
          <w:sz w:val="24"/>
          <w:szCs w:val="24"/>
        </w:rPr>
        <w:t>82.46%</w:t>
      </w:r>
      <w:r>
        <w:rPr>
          <w:color w:val="000000"/>
          <w:spacing w:val="0"/>
          <w:w w:val="100"/>
          <w:position w:val="0"/>
        </w:rPr>
        <w:t>，其主要原因是： 资产处置减少。</w:t>
      </w:r>
    </w:p>
    <w:p>
      <w:pPr>
        <w:pStyle w:val="Style32"/>
        <w:keepNext w:val="0"/>
        <w:keepLines w:val="0"/>
        <w:widowControl w:val="0"/>
        <w:shd w:val="clear" w:color="auto" w:fill="auto"/>
        <w:tabs>
          <w:tab w:pos="1261" w:val="left"/>
        </w:tabs>
        <w:bidi w:val="0"/>
        <w:spacing w:before="0" w:after="0" w:line="494" w:lineRule="exact"/>
        <w:ind w:left="0" w:right="0" w:firstLine="480"/>
        <w:jc w:val="both"/>
        <w:sectPr>
          <w:footnotePr>
            <w:pos w:val="pageBottom"/>
            <w:numFmt w:val="decimal"/>
            <w:numRestart w:val="continuous"/>
          </w:footnotePr>
          <w:pgSz w:w="11900" w:h="16840"/>
          <w:pgMar w:top="1152" w:right="1037" w:bottom="1394" w:left="1053" w:header="0" w:footer="3" w:gutter="0"/>
          <w:cols w:space="720"/>
          <w:noEndnote/>
          <w:rtlGutter w:val="0"/>
          <w:docGrid w:linePitch="360"/>
        </w:sectPr>
      </w:pPr>
      <w:bookmarkStart w:id="948" w:name="bookmark948"/>
      <w:r>
        <w:rPr>
          <w:color w:val="000000"/>
          <w:spacing w:val="0"/>
          <w:w w:val="100"/>
          <w:position w:val="0"/>
          <w:sz w:val="24"/>
          <w:szCs w:val="24"/>
        </w:rPr>
        <w:t>（</w:t>
      </w:r>
      <w:bookmarkEnd w:id="948"/>
      <w:r>
        <w:rPr>
          <w:color w:val="000000"/>
          <w:spacing w:val="0"/>
          <w:w w:val="100"/>
          <w:position w:val="0"/>
          <w:sz w:val="24"/>
          <w:szCs w:val="24"/>
        </w:rPr>
        <w:t>34）</w:t>
        <w:tab/>
      </w:r>
      <w:r>
        <w:rPr>
          <w:color w:val="000000"/>
          <w:spacing w:val="0"/>
          <w:w w:val="100"/>
          <w:position w:val="0"/>
        </w:rPr>
        <w:t>所得税费用</w:t>
      </w:r>
      <w:r>
        <w:rPr>
          <w:color w:val="000000"/>
          <w:spacing w:val="0"/>
          <w:w w:val="100"/>
          <w:position w:val="0"/>
          <w:sz w:val="24"/>
          <w:szCs w:val="24"/>
        </w:rPr>
        <w:t>2013</w:t>
      </w:r>
      <w:r>
        <w:rPr>
          <w:color w:val="000000"/>
          <w:spacing w:val="0"/>
          <w:w w:val="100"/>
          <w:position w:val="0"/>
        </w:rPr>
        <w:t>年度发生数为</w:t>
      </w:r>
      <w:r>
        <w:rPr>
          <w:color w:val="000000"/>
          <w:spacing w:val="0"/>
          <w:w w:val="100"/>
          <w:position w:val="0"/>
          <w:sz w:val="24"/>
          <w:szCs w:val="24"/>
        </w:rPr>
        <w:t>652,149.35</w:t>
      </w:r>
      <w:r>
        <w:rPr>
          <w:color w:val="000000"/>
          <w:spacing w:val="0"/>
          <w:w w:val="100"/>
          <w:position w:val="0"/>
        </w:rPr>
        <w:t>元，比上年数减少</w:t>
      </w:r>
      <w:r>
        <w:rPr>
          <w:color w:val="000000"/>
          <w:spacing w:val="0"/>
          <w:w w:val="100"/>
          <w:position w:val="0"/>
          <w:sz w:val="24"/>
          <w:szCs w:val="24"/>
        </w:rPr>
        <w:t>91.69%，</w:t>
      </w:r>
      <w:r>
        <w:rPr>
          <w:color w:val="000000"/>
          <w:spacing w:val="0"/>
          <w:w w:val="100"/>
          <w:position w:val="0"/>
        </w:rPr>
        <w:t>其主要原因 是：非同一控制下企业合并产生的暂时性差异减少，导致递延所得税负债减少。</w:t>
      </w:r>
    </w:p>
    <w:p>
      <w:pPr>
        <w:pStyle w:val="Style8"/>
        <w:keepNext/>
        <w:keepLines/>
        <w:widowControl w:val="0"/>
        <w:shd w:val="clear" w:color="auto" w:fill="auto"/>
        <w:bidi w:val="0"/>
        <w:spacing w:before="0" w:after="580" w:line="240" w:lineRule="auto"/>
        <w:ind w:left="0" w:right="0" w:firstLine="0"/>
        <w:jc w:val="center"/>
      </w:pPr>
      <w:bookmarkStart w:id="949" w:name="bookmark949"/>
      <w:bookmarkStart w:id="950" w:name="bookmark950"/>
      <w:bookmarkStart w:id="951" w:name="bookmark951"/>
      <w:r>
        <w:rPr>
          <w:color w:val="000000"/>
          <w:spacing w:val="0"/>
          <w:w w:val="100"/>
          <w:position w:val="0"/>
        </w:rPr>
        <w:t>第十节备查文件目录</w:t>
      </w:r>
      <w:bookmarkEnd w:id="949"/>
      <w:bookmarkEnd w:id="950"/>
      <w:bookmarkEnd w:id="951"/>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952" w:name="bookmark952"/>
      <w:bookmarkStart w:id="953" w:name="bookmark953"/>
      <w:r>
        <w:rPr>
          <w:color w:val="000000"/>
          <w:spacing w:val="0"/>
          <w:w w:val="100"/>
          <w:position w:val="0"/>
        </w:rPr>
        <w:t>一</w:t>
      </w:r>
      <w:bookmarkEnd w:id="953"/>
      <w:r>
        <w:rPr>
          <w:color w:val="000000"/>
          <w:spacing w:val="0"/>
          <w:w w:val="100"/>
          <w:position w:val="0"/>
        </w:rPr>
        <w:t>、</w:t>
        <w:tab/>
        <w:t>载有公司法定代表人、主管会计工作负责人、公司会计机构负责人（会计主管人员）签名并盖章的财务报表。</w:t>
      </w:r>
      <w:bookmarkEnd w:id="952"/>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954" w:name="bookmark954"/>
      <w:r>
        <w:rPr>
          <w:color w:val="000000"/>
          <w:spacing w:val="0"/>
          <w:w w:val="100"/>
          <w:position w:val="0"/>
        </w:rPr>
        <w:t>二</w:t>
      </w:r>
      <w:bookmarkEnd w:id="954"/>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955" w:name="bookmark955"/>
      <w:r>
        <w:rPr>
          <w:color w:val="000000"/>
          <w:spacing w:val="0"/>
          <w:w w:val="100"/>
          <w:position w:val="0"/>
        </w:rPr>
        <w:t>三</w:t>
      </w:r>
      <w:bookmarkEnd w:id="955"/>
      <w:r>
        <w:rPr>
          <w:color w:val="000000"/>
          <w:spacing w:val="0"/>
          <w:w w:val="100"/>
          <w:position w:val="0"/>
        </w:rPr>
        <w:t>、</w:t>
        <w:tab/>
        <w:t>报告期内在中国证监会指定网站上公开披露过的所有公司文件的正本及公告的原稿。</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956" w:name="bookmark956"/>
      <w:r>
        <w:rPr>
          <w:color w:val="000000"/>
          <w:spacing w:val="0"/>
          <w:w w:val="100"/>
          <w:position w:val="0"/>
        </w:rPr>
        <w:t>四</w:t>
      </w:r>
      <w:bookmarkEnd w:id="95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年度报告文件原件。</w:t>
      </w:r>
    </w:p>
    <w:p>
      <w:pPr>
        <w:pStyle w:val="Style28"/>
        <w:keepNext w:val="0"/>
        <w:keepLines w:val="0"/>
        <w:widowControl w:val="0"/>
        <w:shd w:val="clear" w:color="auto" w:fill="auto"/>
        <w:tabs>
          <w:tab w:pos="430" w:val="left"/>
        </w:tabs>
        <w:bidi w:val="0"/>
        <w:spacing w:before="0" w:after="100" w:line="240" w:lineRule="auto"/>
        <w:ind w:left="0" w:right="0" w:firstLine="0"/>
        <w:jc w:val="left"/>
      </w:pPr>
      <w:bookmarkStart w:id="957" w:name="bookmark957"/>
      <w:r>
        <w:rPr>
          <w:color w:val="000000"/>
          <w:spacing w:val="0"/>
          <w:w w:val="100"/>
          <w:position w:val="0"/>
        </w:rPr>
        <w:t>五</w:t>
      </w:r>
      <w:bookmarkEnd w:id="957"/>
      <w:r>
        <w:rPr>
          <w:color w:val="000000"/>
          <w:spacing w:val="0"/>
          <w:w w:val="100"/>
          <w:position w:val="0"/>
        </w:rPr>
        <w:t>、</w:t>
        <w:tab/>
        <w:t>其他相关资料。</w:t>
      </w:r>
    </w:p>
    <w:p>
      <w:pPr>
        <w:pStyle w:val="Style28"/>
        <w:keepNext w:val="0"/>
        <w:keepLines w:val="0"/>
        <w:widowControl w:val="0"/>
        <w:shd w:val="clear" w:color="auto" w:fill="auto"/>
        <w:tabs>
          <w:tab w:pos="430" w:val="left"/>
        </w:tabs>
        <w:bidi w:val="0"/>
        <w:spacing w:before="0" w:after="1680" w:line="240" w:lineRule="auto"/>
        <w:ind w:left="0" w:right="0" w:firstLine="0"/>
        <w:jc w:val="left"/>
      </w:pPr>
      <w:bookmarkStart w:id="958" w:name="bookmark958"/>
      <w:r>
        <w:rPr>
          <w:color w:val="000000"/>
          <w:spacing w:val="0"/>
          <w:w w:val="100"/>
          <w:position w:val="0"/>
        </w:rPr>
        <w:t>六</w:t>
      </w:r>
      <w:bookmarkEnd w:id="958"/>
      <w:r>
        <w:rPr>
          <w:color w:val="000000"/>
          <w:spacing w:val="0"/>
          <w:w w:val="100"/>
          <w:position w:val="0"/>
        </w:rPr>
        <w:t>、</w:t>
        <w:tab/>
        <w:t>以上备查文件的备置地点：公司董事会秘书办公室。</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北京数字政通科技股份有限公司</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法定代表人：吴强华</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sectPr>
      <w:footnotePr>
        <w:pos w:val="pageBottom"/>
        <w:numFmt w:val="decimal"/>
        <w:numRestart w:val="continuous"/>
      </w:footnotePr>
      <w:pgSz w:w="11900" w:h="16840"/>
      <w:pgMar w:top="1969" w:right="1109"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6707505</wp:posOffset>
              </wp:positionH>
              <wp:positionV relativeFrom="page">
                <wp:posOffset>9987915</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8.14999999999998pt;margin-top:786.45000000000005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4250690</wp:posOffset>
              </wp:positionH>
              <wp:positionV relativeFrom="page">
                <wp:posOffset>561340</wp:posOffset>
              </wp:positionV>
              <wp:extent cx="2560320" cy="106680"/>
              <wp:wrapNone/>
              <wp:docPr id="2" name="Shape 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4.69999999999999pt;margin-top:44.2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672465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95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7" name="Shape 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6)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22"/>
      <w:szCs w:val="22"/>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1">
    <w:name w:val="标题 #3_"/>
    <w:basedOn w:val="DefaultParagraphFont"/>
    <w:link w:val="Style50"/>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50" w:after="103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1"/>
    <w:basedOn w:val="Normal"/>
    <w:link w:val="CharStyle9"/>
    <w:pPr>
      <w:widowControl w:val="0"/>
      <w:shd w:val="clear" w:color="auto" w:fill="auto"/>
      <w:spacing w:after="4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6)"/>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60"/>
    </w:pPr>
    <w:rPr>
      <w:rFonts w:ascii="SimSun" w:eastAsia="SimSun" w:hAnsi="SimSun" w:cs="SimSun"/>
      <w:b/>
      <w:bCs/>
      <w:i w:val="0"/>
      <w:iCs w:val="0"/>
      <w:smallCaps w:val="0"/>
      <w:strike w:val="0"/>
      <w:sz w:val="20"/>
      <w:szCs w:val="20"/>
      <w:u w:val="none"/>
      <w:shd w:val="clear" w:color="auto" w:fill="auto"/>
    </w:rPr>
  </w:style>
  <w:style w:type="paragraph" w:customStyle="1" w:styleId="Style22">
    <w:name w:val="其他"/>
    <w:basedOn w:val="Normal"/>
    <w:link w:val="CharStyle2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270" w:line="469" w:lineRule="exact"/>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正文文本 (2)"/>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7">
    <w:name w:val="标题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标题 #3"/>
    <w:basedOn w:val="Normal"/>
    <w:link w:val="CharStyle51"/>
    <w:pPr>
      <w:widowControl w:val="0"/>
      <w:shd w:val="clear" w:color="auto" w:fill="auto"/>
      <w:spacing w:after="440"/>
      <w:ind w:firstLine="500"/>
      <w:outlineLvl w:val="2"/>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北京数字政通科技股份有限公司2013年度报告全文</dc:title>
  <dc:subject/>
  <dc:creator>北京数字政通科技股份有限公司</dc:creator>
  <cp:keywords/>
</cp:coreProperties>
</file>