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3405" w:lineRule="exact"/>
        <w:ind w:left="7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drawing>
          <wp:inline distT="0" distB="0" distL="0" distR="0">
            <wp:extent cx="5380989" cy="21621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380989" cy="2162175"/>
                    </a:xfrm>
                    <a:prstGeom prst="rect">
                      <a:avLst/>
                    </a:prstGeom>
                  </pic:spPr>
                </pic:pic>
              </a:graphicData>
            </a:graphic>
          </wp:inline>
        </w:drawing>
      </w:r>
      <w:r>
        <w:rPr>
          <w:rFonts w:ascii="Times New Roman" w:hAnsi="Times New Roman" w:cs="Times New Roman" w:eastAsia="Times New Roman" w:hint="default"/>
          <w:position w:val="-67"/>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423" w:right="2423" w:firstLine="0"/>
        <w:jc w:val="center"/>
        <w:rPr>
          <w:rFonts w:ascii="宋体" w:hAnsi="宋体" w:cs="宋体" w:eastAsia="宋体" w:hint="default"/>
          <w:sz w:val="36"/>
          <w:szCs w:val="36"/>
        </w:rPr>
      </w:pPr>
      <w:r>
        <w:rPr>
          <w:rFonts w:ascii="宋体" w:hAnsi="宋体" w:cs="宋体" w:eastAsia="宋体" w:hint="default"/>
          <w:b/>
          <w:bCs/>
          <w:sz w:val="36"/>
          <w:szCs w:val="36"/>
        </w:rPr>
        <w:t>北京数字政通科技股份有限公司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423" w:right="2422" w:firstLine="0"/>
        <w:jc w:val="center"/>
        <w:rPr>
          <w:rFonts w:ascii="Times New Roman" w:hAnsi="Times New Roman" w:cs="Times New Roman" w:eastAsia="Times New Roman" w:hint="default"/>
          <w:sz w:val="22"/>
          <w:szCs w:val="22"/>
        </w:rPr>
      </w:pPr>
      <w:r>
        <w:rPr>
          <w:rFonts w:ascii="Times New Roman"/>
          <w:b/>
          <w:sz w:val="22"/>
        </w:rPr>
        <w:t>2015-020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423"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公司负责人吴强华、主管会计工作负责人殷小敏及会计机构负责人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向华声明：保证年度报告中财务报告的真实、准确、完整。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3"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公司基本情况简介</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会计数据和财务指标摘要</w:t>
            </w:r>
            <w:r>
              <w:rPr>
                <w:rFonts w:ascii="宋体" w:hAnsi="宋体" w:cs="宋体" w:eastAsia="宋体" w:hint="default"/>
              </w:rPr>
              <w:tab/>
              <w:t>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董事会报告</w:t>
            </w:r>
            <w:r>
              <w:rPr>
                <w:rFonts w:ascii="宋体" w:hAnsi="宋体" w:cs="宋体" w:eastAsia="宋体" w:hint="default"/>
              </w:rPr>
              <w:tab/>
              <w:t>10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35</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董事、监事、高级管理人员和员工情况</w:t>
            </w:r>
            <w:r>
              <w:rPr>
                <w:rFonts w:ascii="宋体" w:hAnsi="宋体" w:cs="宋体" w:eastAsia="宋体" w:hint="default"/>
              </w:rPr>
              <w:tab/>
              <w:t>54</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公司治理</w:t>
            </w:r>
            <w:r>
              <w:rPr>
                <w:rFonts w:ascii="宋体" w:hAnsi="宋体" w:cs="宋体" w:eastAsia="宋体" w:hint="default"/>
              </w:rPr>
              <w:tab/>
              <w:t>60</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财务报告</w:t>
            </w:r>
            <w:r>
              <w:rPr>
                <w:rFonts w:ascii="宋体" w:hAnsi="宋体" w:cs="宋体" w:eastAsia="宋体" w:hint="default"/>
              </w:rPr>
              <w:tab/>
              <w:t>63</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备查文件目录</w:t>
            </w:r>
            <w:r>
              <w:rPr>
                <w:rFonts w:ascii="宋体" w:hAnsi="宋体" w:cs="宋体" w:eastAsia="宋体" w:hint="default"/>
              </w:rPr>
              <w:tab/>
              <w:t>151</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980"/>
        </w:sectPr>
      </w:pPr>
    </w:p>
    <w:p>
      <w:pPr>
        <w:spacing w:before="946"/>
        <w:ind w:left="2423"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公司、本公司、数字政通、发行人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汉王智通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北京汉王智通科技有限公司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北京数字政通信息技术有限公司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上海政通信息科技有限公司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安徽数字政通科技有限责任公司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克拉玛依子公司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克拉玛依数字政通信息科技有限责任公司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300075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数字政通</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5"/>
                <w:sz w:val="18"/>
              </w:rPr>
              <w:t>eGOVA </w:t>
            </w:r>
            <w:r>
              <w:rPr>
                <w:rFonts w:ascii="Times New Roman"/>
                <w:sz w:val="18"/>
              </w:rPr>
              <w:t>Co,.</w:t>
            </w:r>
            <w:r>
              <w:rPr>
                <w:rFonts w:ascii="Times New Roman"/>
                <w:spacing w:val="-8"/>
                <w:sz w:val="18"/>
              </w:rPr>
              <w:t> </w:t>
            </w:r>
            <w:r>
              <w:rPr>
                <w:rFonts w:ascii="Times New Roman"/>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5"/>
                <w:sz w:val="18"/>
              </w:rPr>
              <w:t>eGOVA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吴强华</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号枫蓝国际中心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号楼国际软件大厦三区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www.egova.com.cn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许菲</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号楼国</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际软件大厦三区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北京市海淀区中关村软件园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号楼国</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际软件大厦三区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010-51611618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010-51611618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010-51611688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010-51611688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egova@egova.com.cn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110108801160143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80116014-3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股份公司成立登记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110108801160143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80116014-3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公司首次发行股票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110108801160143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80116014-3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注册资本、注册地址</w:t>
            </w:r>
            <w:r>
              <w:rPr>
                <w:rFonts w:ascii="宋体" w:hAnsi="宋体" w:cs="宋体" w:eastAsia="宋体" w:hint="default"/>
                <w:sz w:val="18"/>
                <w:szCs w:val="18"/>
              </w:rPr>
              <w:t> 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110108801160143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80116014-3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注册资本、注册地 址、经营范围变更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110108003382370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pacing w:val="-1"/>
                <w:w w:val="95"/>
                <w:sz w:val="18"/>
              </w:rPr>
              <w:t>110108801160143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80116014-3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744208"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9"/>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51"/>
        <w:gridCol w:w="1424"/>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546,086,754.32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406,357,113.32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221,977,115.51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303,910,169.09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246,590,562.38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97,765,107.24</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106,794,015.69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62,744,618.59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68,942,571.26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133,674,897.53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94,168,499.16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80,081,452.97</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119,057,772.04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94,035,979.70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72,229,938.08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51"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117,821,188.06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103,962,676.95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69,072,253.20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-59,276,710.47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13,570,193.04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-536.82%</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13,570,193.04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-0.3117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-389.42%</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0.1615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190,142,800.00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1,411,907,794.79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1,259,512,565.52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1,128,684,426.71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260,775,125.00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199,209,123.34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148,553,364.34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1,140,954,229.52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1,037,715,788.44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957,023,778.74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8.2358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11.3931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bl>
    <w:p>
      <w:pPr>
        <w:spacing w:line="316" w:lineRule="auto" w:before="5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7"/>
        <w:gridCol w:w="4912"/>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0.6261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3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4"/>
      <w:bookmarkEnd w:id="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84,801.26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79,897.19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-4,241.24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1,291,367.64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2,468,928.00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3,512,780.00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不包含增值税退税</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-23,271,695.10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136,667.88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-5,564,541.26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350,853.88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2,817.04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-5,231,631.40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1,236,583.98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-9,926,697.25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3,157,684.88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173" w:firstLine="480"/>
        <w:jc w:val="left"/>
      </w:pPr>
      <w:r>
        <w:rPr/>
        <w:t>公司报告期不存在将根据《公开发行证券的公司信息披露解释性公告第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号——非经常 性损益》定义、列举的非经常性损益项目界定为经常性损益的项目的情形。</w:t>
      </w:r>
    </w:p>
    <w:p>
      <w:pPr>
        <w:spacing w:line="240" w:lineRule="auto" w:before="11"/>
        <w:rPr>
          <w:rFonts w:ascii="宋体" w:hAnsi="宋体" w:cs="宋体" w:eastAsia="宋体" w:hint="default"/>
          <w:sz w:val="19"/>
          <w:szCs w:val="19"/>
        </w:rPr>
      </w:pPr>
    </w:p>
    <w:p>
      <w:pPr>
        <w:spacing w:line="528" w:lineRule="auto" w:before="0"/>
        <w:ind w:left="633" w:right="7013" w:hanging="480"/>
        <w:jc w:val="left"/>
        <w:rPr>
          <w:rFonts w:ascii="宋体" w:hAnsi="宋体" w:cs="宋体" w:eastAsia="宋体" w:hint="default"/>
          <w:sz w:val="24"/>
          <w:szCs w:val="24"/>
        </w:rPr>
      </w:pPr>
      <w:bookmarkStart w:name="四、重大风险提示" w:id="16"/>
      <w:bookmarkEnd w:id="16"/>
      <w:r>
        <w:rPr/>
      </w:r>
      <w:r>
        <w:rPr>
          <w:rFonts w:ascii="宋体" w:hAnsi="宋体" w:cs="宋体" w:eastAsia="宋体" w:hint="default"/>
          <w:b/>
          <w:bCs/>
          <w:sz w:val="24"/>
          <w:szCs w:val="24"/>
        </w:rPr>
        <w:t>四、重大风险提示</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、依赖政府采购风险</w:t>
      </w:r>
    </w:p>
    <w:p>
      <w:pPr>
        <w:spacing w:after="0" w:line="528" w:lineRule="auto"/>
        <w:jc w:val="left"/>
        <w:rPr>
          <w:rFonts w:ascii="宋体" w:hAnsi="宋体" w:cs="宋体" w:eastAsia="宋体" w:hint="default"/>
          <w:sz w:val="24"/>
          <w:szCs w:val="24"/>
        </w:rPr>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5" w:firstLine="480"/>
        <w:jc w:val="left"/>
      </w:pPr>
      <w:r>
        <w:rPr>
          <w:spacing w:val="-3"/>
        </w:rPr>
        <w:t>公司产品主要是各级政府（部、省、市、区、县政府）的数字化城市管理平台以及国土、</w:t>
      </w:r>
      <w:r>
        <w:rPr/>
        <w:t> </w:t>
      </w:r>
      <w:r>
        <w:rPr>
          <w:spacing w:val="-3"/>
        </w:rPr>
        <w:t>规划等政府主管部门的专用管理信息系统。客户定位于各级政府（部、省、市、区、县政府）</w:t>
      </w:r>
      <w:r>
        <w:rPr>
          <w:spacing w:val="-82"/>
        </w:rPr>
        <w:t> </w:t>
      </w:r>
      <w:r>
        <w:rPr>
          <w:spacing w:val="-82"/>
        </w:rPr>
      </w:r>
      <w:r>
        <w:rPr>
          <w:spacing w:val="-3"/>
        </w:rPr>
        <w:t>部门，虽然街道、乡镇、城市各个专业部门（如执法、污水、供水、园林、海塘、公路等）、</w:t>
      </w:r>
      <w:r>
        <w:rPr>
          <w:spacing w:val="-117"/>
        </w:rPr>
        <w:t> </w:t>
      </w:r>
      <w:r>
        <w:rPr>
          <w:spacing w:val="-117"/>
        </w:rPr>
      </w:r>
      <w:r>
        <w:rPr/>
        <w:t>大型企业也是公司的目标用户群，但目前公司销售收入主要来源于政府采购，项目均通过各 级政府招投标过程获得。面对尚不明朗的宏观经济形势，地方政府和行业主管部门可能存在 财政紧缩、推迟或减少对电子政务系统的投入，未来将会对公司的经营产生一定影响。</w:t>
      </w:r>
    </w:p>
    <w:p>
      <w:pPr>
        <w:pStyle w:val="BodyText"/>
        <w:spacing w:line="357" w:lineRule="auto"/>
        <w:ind w:left="634" w:right="95"/>
        <w:jc w:val="left"/>
      </w:pPr>
      <w:r>
        <w:rPr>
          <w:rFonts w:ascii="宋体" w:hAnsi="宋体" w:cs="宋体" w:eastAsia="宋体" w:hint="default"/>
        </w:rPr>
        <w:t>2</w:t>
      </w:r>
      <w:r>
        <w:rPr/>
        <w:t>、市场竞争加剧的风险 </w:t>
      </w:r>
      <w:r>
        <w:rPr>
          <w:spacing w:val="-3"/>
        </w:rPr>
        <w:t>公司在传统数字城市管理领域有着较强的市场竞争力，但随着智慧城市建设的高速发展，</w:t>
      </w:r>
    </w:p>
    <w:p>
      <w:pPr>
        <w:pStyle w:val="BodyText"/>
        <w:spacing w:line="357" w:lineRule="auto"/>
        <w:ind w:left="154" w:right="270"/>
        <w:jc w:val="both"/>
      </w:pPr>
      <w:r>
        <w:rPr/>
        <w:t>数字政通的业务也在不断延伸，将不可避免的与更多规模和实力更强的行业公司进行竞争， 市场竞争呈逐步加剧的态势，如果公司在发展过程中不能持续保持技术领先优势以及不断提 升市场营销和本地化服务能力，将有可能面临市场份额下滑，技术、服务能力被竞争对手超 越的风险，同时可能会导致毛利率下降的风险。</w:t>
      </w:r>
    </w:p>
    <w:p>
      <w:pPr>
        <w:pStyle w:val="BodyText"/>
        <w:spacing w:line="357" w:lineRule="auto"/>
        <w:ind w:left="633" w:right="253"/>
        <w:jc w:val="left"/>
      </w:pPr>
      <w:r>
        <w:rPr>
          <w:rFonts w:ascii="宋体" w:hAnsi="宋体" w:cs="宋体" w:eastAsia="宋体" w:hint="default"/>
        </w:rPr>
        <w:t>3</w:t>
      </w:r>
      <w:r>
        <w:rPr/>
        <w:t>、核心技术人员流失风险 软件行业属于智力密集型行业，核心技术人员对公司的产品创新、持续发展起着关键的</w:t>
      </w:r>
    </w:p>
    <w:p>
      <w:pPr>
        <w:pStyle w:val="BodyText"/>
        <w:spacing w:line="357" w:lineRule="auto"/>
        <w:ind w:right="270"/>
        <w:jc w:val="both"/>
      </w:pPr>
      <w:r>
        <w:rPr/>
        <w:t>作用，核心技术人员的稳定对公司的发展具有重要影响。经过多年发展，公司现已拥有一支 高素质的技术人员队伍，为了吸引和稳定现有核心技术团队，公司已建立完善的知识管理体 系，采取了一系列吸引和稳定核心技术人员的措施，包括实施股权激励计划，提高核心技术 人员福利待遇、增加培训机会、创造良好的工作和文化氛围等，努力维护技术团队的稳定发 展，但考虑到软件行业技术变革速度快、人员流动率偏高的特点，未来如果公司的核心技术 团队流失率过高，将不利于公司各项经营目标的实现，对公司未来发展将产生不利影响。</w:t>
      </w:r>
    </w:p>
    <w:p>
      <w:pPr>
        <w:spacing w:after="0" w:line="357" w:lineRule="auto"/>
        <w:jc w:val="both"/>
        <w:sectPr>
          <w:pgSz w:w="11910" w:h="16840"/>
          <w:pgMar w:header="747"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509"/>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报告期内主要业务回顾"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、报告期内主要业务回顾</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240" w:lineRule="auto" w:before="0"/>
        <w:ind w:left="633" w:right="95"/>
        <w:jc w:val="left"/>
      </w:pPr>
      <w:r>
        <w:rPr>
          <w:rFonts w:ascii="宋体" w:hAnsi="宋体" w:cs="宋体" w:eastAsia="宋体" w:hint="default"/>
          <w:spacing w:val="8"/>
        </w:rPr>
        <w:t>2014</w:t>
      </w:r>
      <w:r>
        <w:rPr>
          <w:spacing w:val="8"/>
        </w:rPr>
        <w:t>年，公司实现营业收入</w:t>
      </w:r>
      <w:r>
        <w:rPr>
          <w:rFonts w:ascii="宋体" w:hAnsi="宋体" w:cs="宋体" w:eastAsia="宋体" w:hint="default"/>
          <w:spacing w:val="8"/>
        </w:rPr>
        <w:t>54,608.68</w:t>
      </w:r>
      <w:r>
        <w:rPr>
          <w:spacing w:val="8"/>
        </w:rPr>
        <w:t>万元，比上年同期增长</w:t>
      </w:r>
      <w:r>
        <w:rPr>
          <w:rFonts w:ascii="宋体" w:hAnsi="宋体" w:cs="宋体" w:eastAsia="宋体" w:hint="default"/>
          <w:spacing w:val="8"/>
        </w:rPr>
        <w:t>34.39%</w:t>
      </w:r>
      <w:r>
        <w:rPr>
          <w:spacing w:val="8"/>
        </w:rPr>
        <w:t>；实现利润总额</w:t>
      </w:r>
    </w:p>
    <w:p>
      <w:pPr>
        <w:pStyle w:val="BodyText"/>
        <w:spacing w:line="357" w:lineRule="auto" w:before="154"/>
        <w:ind w:right="232"/>
        <w:jc w:val="both"/>
      </w:pPr>
      <w:r>
        <w:rPr>
          <w:rFonts w:ascii="宋体" w:hAnsi="宋体" w:cs="宋体" w:eastAsia="宋体" w:hint="default"/>
        </w:rPr>
        <w:t>13,367.49</w:t>
      </w:r>
      <w:r>
        <w:rPr/>
        <w:t>万元，比上年同期增长</w:t>
      </w:r>
      <w:r>
        <w:rPr>
          <w:rFonts w:ascii="宋体" w:hAnsi="宋体" w:cs="宋体" w:eastAsia="宋体" w:hint="default"/>
        </w:rPr>
        <w:t>41.95%</w:t>
      </w:r>
      <w:r>
        <w:rPr/>
        <w:t>；归属于上市公司股东的净利润</w:t>
      </w:r>
      <w:r>
        <w:rPr>
          <w:rFonts w:ascii="宋体" w:hAnsi="宋体" w:cs="宋体" w:eastAsia="宋体" w:hint="default"/>
        </w:rPr>
        <w:t>11,905.78</w:t>
      </w:r>
      <w:r>
        <w:rPr/>
        <w:t>万元，比</w:t>
      </w:r>
      <w:r>
        <w:rPr>
          <w:spacing w:val="-92"/>
        </w:rPr>
        <w:t> </w:t>
      </w:r>
      <w:r>
        <w:rPr>
          <w:spacing w:val="-92"/>
        </w:rPr>
      </w:r>
      <w:r>
        <w:rPr/>
        <w:t>上年同期增长</w:t>
      </w:r>
      <w:r>
        <w:rPr>
          <w:rFonts w:ascii="宋体" w:hAnsi="宋体" w:cs="宋体" w:eastAsia="宋体" w:hint="default"/>
        </w:rPr>
        <w:t>26.61%</w:t>
      </w:r>
      <w:r>
        <w:rPr/>
        <w:t>。</w:t>
      </w:r>
    </w:p>
    <w:p>
      <w:pPr>
        <w:pStyle w:val="BodyText"/>
        <w:spacing w:line="240" w:lineRule="auto" w:before="76"/>
        <w:ind w:left="634" w:right="95"/>
        <w:jc w:val="left"/>
      </w:pPr>
      <w:r>
        <w:rPr/>
        <w:t>公司在报告期内的总体经营情况概述如下：</w:t>
      </w:r>
    </w:p>
    <w:p>
      <w:pPr>
        <w:spacing w:line="388" w:lineRule="auto" w:before="193"/>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（一）智慧城市建设领域取得了扎扎实实的进步</w:t>
      </w:r>
      <w:r>
        <w:rPr>
          <w:rFonts w:ascii="宋体" w:hAnsi="宋体" w:cs="宋体" w:eastAsia="宋体" w:hint="default"/>
          <w:b/>
          <w:bCs/>
          <w:w w:val="99"/>
          <w:sz w:val="24"/>
          <w:szCs w:val="24"/>
        </w:rPr>
        <w:t> </w:t>
      </w:r>
      <w:r>
        <w:rPr>
          <w:rFonts w:ascii="宋体" w:hAnsi="宋体" w:cs="宋体" w:eastAsia="宋体" w:hint="default"/>
          <w:sz w:val="24"/>
          <w:szCs w:val="24"/>
        </w:rPr>
        <w:t>2014</w:t>
      </w:r>
      <w:r>
        <w:rPr>
          <w:rFonts w:ascii="宋体" w:hAnsi="宋体" w:cs="宋体" w:eastAsia="宋体" w:hint="default"/>
          <w:sz w:val="24"/>
          <w:szCs w:val="24"/>
        </w:rPr>
        <w:t>年，中国智慧城市的建设面临复杂的形势。一方面，随着城市化进程的不断推进，</w:t>
      </w:r>
    </w:p>
    <w:p>
      <w:pPr>
        <w:pStyle w:val="BodyText"/>
        <w:spacing w:line="357" w:lineRule="auto" w:before="5"/>
        <w:ind w:right="229"/>
        <w:jc w:val="both"/>
      </w:pPr>
      <w:r>
        <w:rPr/>
        <w:t>城市发展与环境、资源的矛盾不断突出，交通拥堵愈加明显、环境污染不断加重、食品安全 事件频发、看病困难„„城市发展面临诸多挑战，城市居民对城市“智慧化”运行和发展的</w:t>
      </w:r>
      <w:r>
        <w:rPr>
          <w:spacing w:val="12"/>
        </w:rPr>
        <w:t> </w:t>
      </w:r>
      <w:r>
        <w:rPr>
          <w:spacing w:val="12"/>
        </w:rPr>
      </w:r>
      <w:r>
        <w:rPr/>
        <w:t>呼声越来越高，各城市政府也越来越重视民生以及城市的绿色可持续发展，智慧城市利用信 息通信技术，使城市变得更加智慧，解决城市发展之困，提高城市竞争力，已经成为越来越 多城市的共识。另一方面，中国经济增速下滑，地方债务沉重，一些地方政府的财政支付能</w:t>
      </w:r>
      <w:r>
        <w:rPr>
          <w:spacing w:val="-109"/>
        </w:rPr>
        <w:t> </w:t>
      </w:r>
      <w:r>
        <w:rPr>
          <w:spacing w:val="-109"/>
        </w:rPr>
      </w:r>
      <w:r>
        <w:rPr/>
        <w:t>力下降，投资决策更加谨慎，智慧城市建设的资金缺乏，盈利模式不清晰。</w:t>
      </w:r>
    </w:p>
    <w:p>
      <w:pPr>
        <w:pStyle w:val="BodyText"/>
        <w:spacing w:line="357" w:lineRule="auto" w:before="74"/>
        <w:ind w:right="95" w:firstLine="480"/>
        <w:jc w:val="left"/>
      </w:pPr>
      <w:r>
        <w:rPr/>
        <w:t>面对复杂的市场形势，公司冷静思考、沉着应对，坚定不移地执行既定的发展战略，认 </w:t>
      </w:r>
      <w:r>
        <w:rPr>
          <w:spacing w:val="-2"/>
        </w:rPr>
        <w:t>真分析市场需求的特点和方向，围绕主营业务不断增强智慧城市建设核心竞争力。报告期内，</w:t>
      </w:r>
      <w:r>
        <w:rPr/>
        <w:t> 公司延续智慧城市的发展理念和方向，通过深耕细作，取得了一系列扎扎实实的进步。</w:t>
      </w:r>
    </w:p>
    <w:p>
      <w:pPr>
        <w:pStyle w:val="BodyText"/>
        <w:spacing w:line="357" w:lineRule="auto" w:before="74"/>
        <w:ind w:right="97" w:firstLine="480"/>
        <w:jc w:val="left"/>
      </w:pPr>
      <w:r>
        <w:rPr/>
        <w:t>在传统优势市场</w:t>
      </w:r>
      <w:r>
        <w:rPr>
          <w:rFonts w:ascii="宋体" w:hAnsi="宋体" w:cs="宋体" w:eastAsia="宋体" w:hint="default"/>
        </w:rPr>
        <w:t>--</w:t>
      </w:r>
      <w:r>
        <w:rPr/>
        <w:t>数字化城市管理领域，各地城市管理模式正在发生显著的变化，越来 越多的城市管理者从被动响应到主动服务，走出办公室，走进基层，贴近群众和城市生活， </w:t>
      </w:r>
      <w:r>
        <w:rPr>
          <w:spacing w:val="3"/>
        </w:rPr>
        <w:t>公司敏锐的观察到这一情况，在</w:t>
      </w:r>
      <w:r>
        <w:rPr>
          <w:rFonts w:ascii="宋体" w:hAnsi="宋体" w:cs="宋体" w:eastAsia="宋体" w:hint="default"/>
          <w:spacing w:val="3"/>
        </w:rPr>
        <w:t>2014</w:t>
      </w:r>
      <w:r>
        <w:rPr>
          <w:spacing w:val="3"/>
        </w:rPr>
        <w:t>年全面推广基于互联网</w:t>
      </w:r>
      <w:r>
        <w:rPr>
          <w:rFonts w:ascii="宋体" w:hAnsi="宋体" w:cs="宋体" w:eastAsia="宋体" w:hint="default"/>
          <w:spacing w:val="3"/>
        </w:rPr>
        <w:t>+</w:t>
      </w:r>
      <w:r>
        <w:rPr>
          <w:spacing w:val="3"/>
        </w:rPr>
        <w:t>模式的智慧城市管理产品——</w:t>
      </w:r>
      <w:r>
        <w:rPr>
          <w:spacing w:val="-104"/>
        </w:rPr>
        <w:t> </w:t>
      </w:r>
      <w:r>
        <w:rPr>
          <w:spacing w:val="-104"/>
        </w:rPr>
      </w:r>
      <w:r>
        <w:rPr>
          <w:spacing w:val="-5"/>
        </w:rPr>
        <w:t>“智信平台”。该系统采用移动互联网技术，融合了城管通、处置通、领导通等众多城市管理</w:t>
      </w:r>
      <w:r>
        <w:rPr/>
        <w:t> </w:t>
      </w:r>
      <w:r>
        <w:rPr>
          <w:spacing w:val="-12"/>
        </w:rPr>
        <w:t>移动应用，实现数字城管全移动应用的“平台化”，促进数字城管应用模式从“</w:t>
      </w:r>
      <w:r>
        <w:rPr>
          <w:rFonts w:ascii="宋体" w:hAnsi="宋体" w:cs="宋体" w:eastAsia="宋体" w:hint="default"/>
          <w:spacing w:val="-12"/>
        </w:rPr>
        <w:t>PC</w:t>
      </w:r>
      <w:r>
        <w:rPr>
          <w:spacing w:val="-12"/>
        </w:rPr>
        <w:t>”到“</w:t>
      </w:r>
      <w:r>
        <w:rPr>
          <w:rFonts w:ascii="宋体" w:hAnsi="宋体" w:cs="宋体" w:eastAsia="宋体" w:hint="default"/>
          <w:spacing w:val="-12"/>
        </w:rPr>
        <w:t>Mobile</w:t>
      </w:r>
      <w:r>
        <w:rPr>
          <w:spacing w:val="-12"/>
        </w:rPr>
        <w:t>”</w:t>
      </w:r>
      <w:r>
        <w:rPr/>
        <w:t> 的跨越提升；综合了城管监督员、街镇工作人员、部门处置人员等基层工作人员和市区两级 </w:t>
      </w:r>
      <w:r>
        <w:rPr>
          <w:spacing w:val="-11"/>
        </w:rPr>
        <w:t>领导及管理部门的业务需求，实现数字城管业务流程的“移动互联化”，促进数字城管业务“扁</w:t>
      </w:r>
      <w:r>
        <w:rPr>
          <w:spacing w:val="-101"/>
        </w:rPr>
        <w:t> </w:t>
      </w:r>
      <w:r>
        <w:rPr>
          <w:spacing w:val="-101"/>
        </w:rPr>
      </w:r>
      <w:r>
        <w:rPr>
          <w:spacing w:val="-5"/>
        </w:rPr>
        <w:t>平化”，进一步提升城市管理处置效率；集成了消息提醒、群组互动、即时通讯、实时对讲等</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4"/>
        <w:jc w:val="both"/>
      </w:pPr>
      <w:r>
        <w:rPr/>
        <w:t>具有实用高效的功能插件，大大丰富了系统用户体验；提供标准化的服务接口，支持政府公</w:t>
      </w:r>
      <w:r>
        <w:rPr>
          <w:spacing w:val="-114"/>
        </w:rPr>
        <w:t> </w:t>
      </w:r>
      <w:r>
        <w:rPr>
          <w:spacing w:val="-114"/>
        </w:rPr>
      </w:r>
      <w:r>
        <w:rPr/>
        <w:t>文通知、人员移动考勤、部门信息共享等外部应用组件接入，充分体现平台的开放性和可扩 展性。</w:t>
      </w:r>
    </w:p>
    <w:p>
      <w:pPr>
        <w:pStyle w:val="BodyText"/>
        <w:spacing w:line="357" w:lineRule="auto" w:before="75"/>
        <w:ind w:right="108" w:firstLine="480"/>
        <w:jc w:val="left"/>
      </w:pPr>
      <w:r>
        <w:rPr/>
        <w:t>报告期内，公司还率先实施建设了全国第一个数字化城市管理省级平台——四川省城乡 环境综合治理数字化监管平台项目。该项目以四川省城乡环境综合治理工作为主线，以创新 城乡环境综合治理模式，实现城乡环境综合治理工作的标准化、制度化、规范化，形成全省 城乡环境综合治理监督到位、协调到位、指挥到位的信息化监管体系，形成具有四川省特色 的城乡环境综合治理模式和运行机制。四川省级管理平台建成后，将逐步将平台监管范围扩</w:t>
      </w:r>
      <w:r>
        <w:rPr>
          <w:spacing w:val="-109"/>
        </w:rPr>
        <w:t> </w:t>
      </w:r>
      <w:r>
        <w:rPr>
          <w:spacing w:val="-109"/>
        </w:rPr>
      </w:r>
      <w:r>
        <w:rPr>
          <w:spacing w:val="-5"/>
        </w:rPr>
        <w:t>展到全省</w:t>
      </w:r>
      <w:r>
        <w:rPr>
          <w:rFonts w:ascii="宋体" w:hAnsi="宋体" w:cs="宋体" w:eastAsia="宋体" w:hint="default"/>
          <w:spacing w:val="-5"/>
        </w:rPr>
        <w:t>18</w:t>
      </w:r>
      <w:r>
        <w:rPr>
          <w:spacing w:val="-5"/>
        </w:rPr>
        <w:t>个市、</w:t>
      </w:r>
      <w:r>
        <w:rPr>
          <w:rFonts w:ascii="宋体" w:hAnsi="宋体" w:cs="宋体" w:eastAsia="宋体" w:hint="default"/>
          <w:spacing w:val="-5"/>
        </w:rPr>
        <w:t>3</w:t>
      </w:r>
      <w:r>
        <w:rPr>
          <w:spacing w:val="-5"/>
        </w:rPr>
        <w:t>个州以及区县，最终实现全省城乡环境综合治理数字化监管一体化的目标。</w:t>
      </w:r>
      <w:r>
        <w:rPr>
          <w:spacing w:val="-107"/>
        </w:rPr>
        <w:t> </w:t>
      </w:r>
      <w:r>
        <w:rPr>
          <w:spacing w:val="-107"/>
        </w:rPr>
      </w:r>
      <w:r>
        <w:rPr/>
        <w:t>该平台在城乡环境综合治理数字化监管组织机构的建设、评价考核体系的建设、人员管理制 度、监管运行机制、基础数据管理机制、指挥处置手册等方面实现了体制机制创新，未来有 机会在全国范围内进行推广。该项目的顺利实施，标志着公司承接省级项目的能力得到显著 提升，技术实力、服务理念得到市场的进一步认可。</w:t>
      </w:r>
    </w:p>
    <w:p>
      <w:pPr>
        <w:pStyle w:val="BodyText"/>
        <w:spacing w:line="357" w:lineRule="auto" w:before="76"/>
        <w:ind w:right="151" w:firstLine="480"/>
        <w:jc w:val="both"/>
      </w:pPr>
      <w:r>
        <w:rPr/>
        <w:t>报告期内，在智慧城市运营服务方面，公司继续开拓进取，发展了西北、东南等区域的 新市场，现业务已覆盖全国 </w:t>
      </w:r>
      <w:r>
        <w:rPr>
          <w:rFonts w:ascii="宋体" w:hAnsi="宋体" w:cs="宋体" w:eastAsia="宋体" w:hint="default"/>
        </w:rPr>
        <w:t>70%</w:t>
      </w:r>
      <w:r>
        <w:rPr/>
        <w:t>的省份，已为天津、杭州、乌鲁木齐、宁波、开封、攀枝花</w:t>
      </w:r>
      <w:r>
        <w:rPr>
          <w:spacing w:val="-111"/>
        </w:rPr>
        <w:t> </w:t>
      </w:r>
      <w:r>
        <w:rPr>
          <w:spacing w:val="-111"/>
        </w:rPr>
      </w:r>
      <w:r>
        <w:rPr/>
        <w:t>等近</w:t>
      </w:r>
      <w:r>
        <w:rPr>
          <w:spacing w:val="-53"/>
        </w:rPr>
        <w:t> </w:t>
      </w:r>
      <w:r>
        <w:rPr>
          <w:rFonts w:ascii="宋体" w:hAnsi="宋体" w:cs="宋体" w:eastAsia="宋体" w:hint="default"/>
        </w:rPr>
        <w:t>60</w:t>
      </w:r>
      <w:r>
        <w:rPr>
          <w:rFonts w:ascii="宋体" w:hAnsi="宋体" w:cs="宋体" w:eastAsia="宋体" w:hint="default"/>
          <w:spacing w:val="-53"/>
        </w:rPr>
        <w:t> </w:t>
      </w:r>
      <w:r>
        <w:rPr>
          <w:spacing w:val="-3"/>
        </w:rPr>
        <w:t>个城市的政府相关部门提供丰富、实用、多元化、本地化的信息采集外包服务，包括</w:t>
      </w:r>
      <w:r>
        <w:rPr>
          <w:spacing w:val="-109"/>
        </w:rPr>
        <w:t> </w:t>
      </w:r>
      <w:r>
        <w:rPr>
          <w:spacing w:val="-109"/>
        </w:rPr>
      </w:r>
      <w:r>
        <w:rPr/>
        <w:t>文明程度指数测评服务、专项普查服务、空间数据更新服务、移动信息采集等服务，帮助客 户在海量数据中凝练智能，汲取有效信息形成新价值，实时更新服务，让城市的管理者正确 评价文明建设程度，并有效提高信息采集的准确性和安全性。与此同时，随着运营服务业务</w:t>
      </w:r>
      <w:r>
        <w:rPr>
          <w:spacing w:val="-113"/>
        </w:rPr>
        <w:t> </w:t>
      </w:r>
      <w:r>
        <w:rPr>
          <w:spacing w:val="-113"/>
        </w:rPr>
      </w:r>
      <w:r>
        <w:rPr/>
        <w:t>的快速发展，为了加强对各地项目的运行数据、实施质量、成本执行、人员效率等的全方位 监管，公司专门研发了基于云计算平台的全国智慧城市运营服务统一管理系统，为遍布各区 域的</w:t>
      </w:r>
      <w:r>
        <w:rPr>
          <w:spacing w:val="-60"/>
        </w:rPr>
        <w:t> </w:t>
      </w:r>
      <w:r>
        <w:rPr>
          <w:rFonts w:ascii="宋体" w:hAnsi="宋体" w:cs="宋体" w:eastAsia="宋体" w:hint="default"/>
        </w:rPr>
        <w:t>3000</w:t>
      </w:r>
      <w:r>
        <w:rPr>
          <w:rFonts w:ascii="宋体" w:hAnsi="宋体" w:cs="宋体" w:eastAsia="宋体" w:hint="default"/>
          <w:spacing w:val="-60"/>
        </w:rPr>
        <w:t> </w:t>
      </w:r>
      <w:r>
        <w:rPr/>
        <w:t>余名城市管理运营服务工作人员提供高效的数字化运营平台，做到服务标准可控、</w:t>
      </w:r>
    </w:p>
    <w:p>
      <w:pPr>
        <w:pStyle w:val="BodyText"/>
        <w:spacing w:line="357" w:lineRule="auto"/>
        <w:ind w:right="230"/>
        <w:jc w:val="both"/>
      </w:pPr>
      <w:r>
        <w:rPr>
          <w:spacing w:val="-3"/>
        </w:rPr>
        <w:t>成本支出可控、团队管理可控、运行状况可控，有效保障了全国</w:t>
      </w:r>
      <w:r>
        <w:rPr>
          <w:spacing w:val="-60"/>
        </w:rPr>
        <w:t> </w:t>
      </w:r>
      <w:r>
        <w:rPr>
          <w:rFonts w:ascii="宋体" w:hAnsi="宋体" w:cs="宋体" w:eastAsia="宋体" w:hint="default"/>
        </w:rPr>
        <w:t>60</w:t>
      </w:r>
      <w:r>
        <w:rPr>
          <w:rFonts w:ascii="宋体" w:hAnsi="宋体" w:cs="宋体" w:eastAsia="宋体" w:hint="default"/>
          <w:spacing w:val="-60"/>
        </w:rPr>
        <w:t> </w:t>
      </w:r>
      <w:r>
        <w:rPr/>
        <w:t>余个项目的正常运行，并 为在全国市场进一步大力推进运营服务业务奠定了坚实的发展基础。鉴于智慧城市运营服务</w:t>
      </w:r>
      <w:r>
        <w:rPr>
          <w:spacing w:val="-114"/>
        </w:rPr>
        <w:t> </w:t>
      </w:r>
      <w:r>
        <w:rPr>
          <w:spacing w:val="-114"/>
        </w:rPr>
      </w:r>
      <w:r>
        <w:rPr/>
        <w:t>业务的蓬勃发展，为进一步提升服务的专业性，</w:t>
      </w:r>
      <w:r>
        <w:rPr>
          <w:rFonts w:ascii="宋体" w:hAnsi="宋体" w:cs="宋体" w:eastAsia="宋体" w:hint="default"/>
        </w:rPr>
        <w:t>2015</w:t>
      </w:r>
      <w:r>
        <w:rPr>
          <w:rFonts w:ascii="宋体" w:hAnsi="宋体" w:cs="宋体" w:eastAsia="宋体" w:hint="default"/>
          <w:spacing w:val="-80"/>
        </w:rPr>
        <w:t> </w:t>
      </w:r>
      <w:r>
        <w:rPr/>
        <w:t>年初，公司在天津设立了政通智慧城市 运营服务科技有限公司，专注发展智慧城市运营服务业务，致力于为城市提供更加专业、高 效、多元化的服务。</w:t>
      </w:r>
    </w:p>
    <w:p>
      <w:pPr>
        <w:pStyle w:val="BodyText"/>
        <w:spacing w:line="357" w:lineRule="auto" w:before="75"/>
        <w:ind w:right="95" w:firstLine="480"/>
        <w:jc w:val="left"/>
      </w:pPr>
      <w:r>
        <w:rPr/>
        <w:t>随着城市管理需求的提升，大数据应用的市场在逐渐成熟，客户要求更加精准、高效地 采集和应用城市数据，满足城市专项测量、互联网街景地图的需要，为未来开展各种增值服</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5" w:lineRule="auto" w:before="26"/>
        <w:ind w:right="230"/>
        <w:jc w:val="both"/>
      </w:pPr>
      <w:r>
        <w:rPr/>
        <w:t>务提供保证。公司利用超募资金发展的基于国外</w:t>
      </w:r>
      <w:r>
        <w:rPr>
          <w:spacing w:val="-60"/>
        </w:rPr>
        <w:t> </w:t>
      </w:r>
      <w:r>
        <w:rPr>
          <w:rFonts w:ascii="宋体" w:hAnsi="宋体" w:cs="宋体" w:eastAsia="宋体" w:hint="default"/>
        </w:rPr>
        <w:t>Ladybug</w:t>
      </w:r>
      <w:r>
        <w:rPr>
          <w:rFonts w:ascii="宋体" w:hAnsi="宋体" w:cs="宋体" w:eastAsia="宋体" w:hint="default"/>
          <w:spacing w:val="-60"/>
        </w:rPr>
        <w:t> </w:t>
      </w:r>
      <w:r>
        <w:rPr/>
        <w:t>和</w:t>
      </w:r>
      <w:r>
        <w:rPr>
          <w:spacing w:val="-60"/>
        </w:rPr>
        <w:t> </w:t>
      </w:r>
      <w:r>
        <w:rPr>
          <w:rFonts w:ascii="宋体" w:hAnsi="宋体" w:cs="宋体" w:eastAsia="宋体" w:hint="default"/>
        </w:rPr>
        <w:t>Eyesis</w:t>
      </w:r>
      <w:r>
        <w:rPr>
          <w:rFonts w:ascii="宋体" w:hAnsi="宋体" w:cs="宋体" w:eastAsia="宋体" w:hint="default"/>
          <w:spacing w:val="-22"/>
        </w:rPr>
        <w:t> </w:t>
      </w:r>
      <w:r>
        <w:rPr>
          <w:rFonts w:ascii="宋体" w:hAnsi="宋体" w:cs="宋体" w:eastAsia="宋体" w:hint="default"/>
        </w:rPr>
        <w:t>4</w:t>
      </w:r>
      <w:r>
        <w:rPr>
          <w:rFonts w:ascii="Arial" w:hAnsi="Arial" w:cs="Arial" w:eastAsia="Arial" w:hint="default"/>
        </w:rPr>
        <w:t>π</w:t>
      </w:r>
      <w:r>
        <w:rPr>
          <w:rFonts w:ascii="Arial" w:hAnsi="Arial" w:cs="Arial" w:eastAsia="Arial" w:hint="default"/>
          <w:spacing w:val="7"/>
        </w:rPr>
        <w:t> </w:t>
      </w:r>
      <w:r>
        <w:rPr/>
        <w:t>技术的城市街景采集 系统已经不能充分满足国内客户的个性化需要，为此，报告期内，为提供更高质量的城市全 </w:t>
      </w:r>
      <w:r>
        <w:rPr>
          <w:spacing w:val="-4"/>
        </w:rPr>
        <w:t>景数据，公司自主研发了全新一代三维实景移动测量平台，新平台的整体分辨率最高可达</w:t>
      </w:r>
      <w:r>
        <w:rPr>
          <w:spacing w:val="-48"/>
        </w:rPr>
        <w:t> </w:t>
      </w:r>
      <w:r>
        <w:rPr>
          <w:rFonts w:ascii="宋体" w:hAnsi="宋体" w:cs="宋体" w:eastAsia="宋体" w:hint="default"/>
        </w:rPr>
        <w:t>1.2 </w:t>
      </w:r>
      <w:r>
        <w:rPr/>
        <w:t>亿像素，并具备丰富的色彩及饱和度，提供更清晰的城市全景效果，充分满足互联网及移动</w:t>
      </w:r>
      <w:r>
        <w:rPr>
          <w:spacing w:val="-111"/>
        </w:rPr>
        <w:t> </w:t>
      </w:r>
      <w:r>
        <w:rPr>
          <w:spacing w:val="-111"/>
        </w:rPr>
      </w:r>
      <w:r>
        <w:rPr>
          <w:spacing w:val="-2"/>
        </w:rPr>
        <w:t>互联网的应用要求</w:t>
      </w:r>
      <w:r>
        <w:rPr>
          <w:rFonts w:ascii="宋体" w:hAnsi="宋体" w:cs="宋体" w:eastAsia="宋体" w:hint="default"/>
          <w:spacing w:val="-2"/>
        </w:rPr>
        <w:t>,</w:t>
      </w:r>
      <w:r>
        <w:rPr>
          <w:spacing w:val="-2"/>
        </w:rPr>
        <w:t>该系统全部为国产化自主研发，具有完全的自有知识产权，在稳定性和安</w:t>
      </w:r>
      <w:r>
        <w:rPr/>
        <w:t> 全性方面得到进一步提升，目前已应用于多个城市实景项目的数据采集。</w:t>
      </w:r>
    </w:p>
    <w:p>
      <w:pPr>
        <w:pStyle w:val="BodyText"/>
        <w:spacing w:line="357" w:lineRule="auto" w:before="77"/>
        <w:ind w:right="95" w:firstLine="480"/>
        <w:jc w:val="left"/>
      </w:pPr>
      <w:r>
        <w:rPr/>
        <w:t>在创新社会管理领域，中央十八届四中全会提出了《中共中央关于全面推进依法治国若 干重大问题的决定》的总目标，要求“深化行政执法体制改革。根据不同层级政府的事权和 </w:t>
      </w:r>
      <w:r>
        <w:rPr>
          <w:spacing w:val="-3"/>
        </w:rPr>
        <w:t>职能，按照减少层次、整合队伍、提高效率的原则，合理配置执法力量。理顺城管执法体制，</w:t>
      </w:r>
      <w:r>
        <w:rPr>
          <w:spacing w:val="-81"/>
        </w:rPr>
        <w:t> </w:t>
      </w:r>
      <w:r>
        <w:rPr>
          <w:spacing w:val="-81"/>
        </w:rPr>
      </w:r>
      <w:r>
        <w:rPr/>
        <w:t>加强城市管理综合执法机构建设，提高执法和服务水平”，这对公司的社会管理业务是重大 的发展契机。报告期内，公司与天津市紧密合作，在滨海新区率先试点开展全新的综合行政 执法平台建设，按照“依法治国”的理念，围绕“理顺城市管理执法体制，提高执法和服务</w:t>
      </w:r>
      <w:r>
        <w:rPr>
          <w:spacing w:val="-108"/>
        </w:rPr>
        <w:t> </w:t>
      </w:r>
      <w:r>
        <w:rPr>
          <w:spacing w:val="-108"/>
        </w:rPr>
      </w:r>
      <w:r>
        <w:rPr/>
        <w:t>水平”的具体要求积极开展应用探索，平台充分体现了</w:t>
      </w:r>
      <w:r>
        <w:rPr>
          <w:spacing w:val="-26"/>
        </w:rPr>
        <w:t> </w:t>
      </w:r>
      <w:r>
        <w:rPr>
          <w:spacing w:val="-3"/>
        </w:rPr>
        <w:t>“重心下移、条块结合”的综合执法</w:t>
      </w:r>
      <w:r>
        <w:rPr/>
        <w:t> 管理模式，在统一监督指挥下的精细化执法监督管理体系下，整合城管、交通、卫生、市容 等</w:t>
      </w:r>
      <w:r>
        <w:rPr>
          <w:spacing w:val="-58"/>
        </w:rPr>
        <w:t> </w:t>
      </w:r>
      <w:r>
        <w:rPr>
          <w:rFonts w:ascii="宋体" w:hAnsi="宋体" w:cs="宋体" w:eastAsia="宋体" w:hint="default"/>
        </w:rPr>
        <w:t>13</w:t>
      </w:r>
      <w:r>
        <w:rPr>
          <w:rFonts w:ascii="宋体" w:hAnsi="宋体" w:cs="宋体" w:eastAsia="宋体" w:hint="default"/>
          <w:spacing w:val="-58"/>
        </w:rPr>
        <w:t> </w:t>
      </w:r>
      <w:r>
        <w:rPr/>
        <w:t>大类近</w:t>
      </w:r>
      <w:r>
        <w:rPr>
          <w:spacing w:val="-58"/>
        </w:rPr>
        <w:t> </w:t>
      </w:r>
      <w:r>
        <w:rPr>
          <w:rFonts w:ascii="宋体" w:hAnsi="宋体" w:cs="宋体" w:eastAsia="宋体" w:hint="default"/>
        </w:rPr>
        <w:t>300</w:t>
      </w:r>
      <w:r>
        <w:rPr>
          <w:rFonts w:ascii="宋体" w:hAnsi="宋体" w:cs="宋体" w:eastAsia="宋体" w:hint="default"/>
          <w:spacing w:val="-58"/>
        </w:rPr>
        <w:t> </w:t>
      </w:r>
      <w:r>
        <w:rPr>
          <w:spacing w:val="-3"/>
        </w:rPr>
        <w:t>项行政处罚权，通过编制编码化、电子化的执法工作手册，研发智能化的综</w:t>
      </w:r>
      <w:r>
        <w:rPr>
          <w:spacing w:val="-115"/>
        </w:rPr>
        <w:t> </w:t>
      </w:r>
      <w:r>
        <w:rPr>
          <w:spacing w:val="-115"/>
        </w:rPr>
      </w:r>
      <w:r>
        <w:rPr/>
        <w:t>合执法办案系统和长效化的综合执法监督系统，推进综合执法，着力解决权责交叉、多头执 法问题，建立权责统一、权威高效的行政执法体制。该项目为国内首个城市综合执法试点项</w:t>
      </w:r>
      <w:r>
        <w:rPr>
          <w:spacing w:val="-114"/>
        </w:rPr>
        <w:t> </w:t>
      </w:r>
      <w:r>
        <w:rPr>
          <w:spacing w:val="-114"/>
        </w:rPr>
      </w:r>
      <w:r>
        <w:rPr/>
        <w:t>目，受到天津市委市政府的高度重视，并在《新闻联播》节目中进行了宣传报道。天津示范 项目在全国有很好的推广价值，公司将着力在全国市场配合各地政府的综合执法改革进程推</w:t>
      </w:r>
      <w:r>
        <w:rPr>
          <w:spacing w:val="-117"/>
        </w:rPr>
        <w:t> </w:t>
      </w:r>
      <w:r>
        <w:rPr>
          <w:spacing w:val="-117"/>
        </w:rPr>
      </w:r>
      <w:r>
        <w:rPr/>
        <w:t>进这一平台的市场应用。</w:t>
      </w:r>
    </w:p>
    <w:p>
      <w:pPr>
        <w:pStyle w:val="BodyText"/>
        <w:spacing w:line="357" w:lineRule="auto" w:before="76"/>
        <w:ind w:left="154" w:right="219" w:firstLine="480"/>
        <w:jc w:val="left"/>
      </w:pPr>
      <w:r>
        <w:rPr/>
        <w:t>随着城市的发展，城市地下管网的管理矛盾日趋突出。城市地下管线种类繁多，包括供 </w:t>
      </w:r>
      <w:r>
        <w:rPr>
          <w:spacing w:val="-4"/>
        </w:rPr>
        <w:t>水、排水、燃气、热力、电力、通信、广播电视、工业等</w:t>
      </w:r>
      <w:r>
        <w:rPr>
          <w:spacing w:val="-56"/>
        </w:rPr>
        <w:t> </w:t>
      </w:r>
      <w:r>
        <w:rPr>
          <w:rFonts w:ascii="宋体" w:hAnsi="宋体" w:cs="宋体" w:eastAsia="宋体" w:hint="default"/>
        </w:rPr>
        <w:t>8</w:t>
      </w:r>
      <w:r>
        <w:rPr>
          <w:rFonts w:ascii="宋体" w:hAnsi="宋体" w:cs="宋体" w:eastAsia="宋体" w:hint="default"/>
          <w:spacing w:val="-57"/>
        </w:rPr>
        <w:t> </w:t>
      </w:r>
      <w:r>
        <w:rPr/>
        <w:t>大类</w:t>
      </w:r>
      <w:r>
        <w:rPr>
          <w:spacing w:val="-57"/>
        </w:rPr>
        <w:t> </w:t>
      </w:r>
      <w:r>
        <w:rPr>
          <w:rFonts w:ascii="宋体" w:hAnsi="宋体" w:cs="宋体" w:eastAsia="宋体" w:hint="default"/>
        </w:rPr>
        <w:t>20</w:t>
      </w:r>
      <w:r>
        <w:rPr>
          <w:rFonts w:ascii="宋体" w:hAnsi="宋体" w:cs="宋体" w:eastAsia="宋体" w:hint="default"/>
          <w:spacing w:val="-57"/>
        </w:rPr>
        <w:t> </w:t>
      </w:r>
      <w:r>
        <w:rPr/>
        <w:t>余种管线，管理体制和权</w:t>
      </w:r>
    </w:p>
    <w:p>
      <w:pPr>
        <w:pStyle w:val="BodyText"/>
        <w:spacing w:line="357" w:lineRule="auto"/>
        <w:ind w:left="154" w:right="231"/>
        <w:jc w:val="both"/>
      </w:pPr>
      <w:r>
        <w:rPr>
          <w:spacing w:val="-3"/>
        </w:rPr>
        <w:t>属复杂，涉及中央和地方两个层面</w:t>
      </w:r>
      <w:r>
        <w:rPr>
          <w:spacing w:val="-78"/>
        </w:rPr>
        <w:t> </w:t>
      </w:r>
      <w:r>
        <w:rPr>
          <w:rFonts w:ascii="宋体" w:hAnsi="宋体" w:cs="宋体" w:eastAsia="宋体" w:hint="default"/>
        </w:rPr>
        <w:t>30</w:t>
      </w:r>
      <w:r>
        <w:rPr>
          <w:rFonts w:ascii="宋体" w:hAnsi="宋体" w:cs="宋体" w:eastAsia="宋体" w:hint="default"/>
          <w:spacing w:val="-78"/>
        </w:rPr>
        <w:t> </w:t>
      </w:r>
      <w:r>
        <w:rPr/>
        <w:t>多个职能和权属部门，由于历史和管理体制等方面的原 因，地下管线基本上是由各建设单位各自为政、条块分割、多头敷设、多头管理。为解决这 一问题，</w:t>
      </w:r>
      <w:r>
        <w:rPr>
          <w:rFonts w:ascii="宋体" w:hAnsi="宋体" w:cs="宋体" w:eastAsia="宋体" w:hint="default"/>
        </w:rPr>
        <w:t>2014</w:t>
      </w:r>
      <w:r>
        <w:rPr>
          <w:rFonts w:ascii="宋体" w:hAnsi="宋体" w:cs="宋体" w:eastAsia="宋体" w:hint="default"/>
          <w:spacing w:val="-68"/>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月，国家出台了《国务院办公厅关于加强城市地下管线建设管理的指导意 </w:t>
      </w:r>
      <w:r>
        <w:rPr>
          <w:spacing w:val="-12"/>
        </w:rPr>
        <w:t>见》、《住房城乡建设部等部门关于开展城市地下管线普查工作的通知》、《城市地下管线探测</w:t>
      </w:r>
      <w:r>
        <w:rPr>
          <w:spacing w:val="-89"/>
        </w:rPr>
        <w:t> </w:t>
      </w:r>
      <w:r>
        <w:rPr>
          <w:spacing w:val="-89"/>
        </w:rPr>
      </w:r>
      <w:r>
        <w:rPr>
          <w:spacing w:val="-6"/>
        </w:rPr>
        <w:t>技术规程》、《城市测量规范》等若干指导意见及相关标准，对城市地下管线建设管理工作进</w:t>
      </w:r>
      <w:r>
        <w:rPr>
          <w:spacing w:val="-108"/>
        </w:rPr>
        <w:t> </w:t>
      </w:r>
      <w:r>
        <w:rPr>
          <w:spacing w:val="-108"/>
        </w:rPr>
      </w:r>
      <w:r>
        <w:rPr/>
        <w:t>行了全面部署，明确了今后一个时期我国城市地下管线建设管理的主要目标、基本原则，重 点任务等。顺应市场形势的发展，报告期内，公司继续加强在地下管线领域的业务拓展，并</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4"/>
        <w:jc w:val="both"/>
      </w:pPr>
      <w:r>
        <w:rPr/>
        <w:t>不断完善已有的地下管线综合平台，该系统是一个集管线数据普查、数据入库管理、数据维</w:t>
      </w:r>
      <w:r>
        <w:rPr>
          <w:spacing w:val="-116"/>
        </w:rPr>
        <w:t> </w:t>
      </w:r>
      <w:r>
        <w:rPr>
          <w:spacing w:val="-116"/>
        </w:rPr>
      </w:r>
      <w:r>
        <w:rPr/>
        <w:t>护更新、地下管线精细化管理以及为管理者和专业部门提供服务等功能为一体的综合管理平 台。同时，依托地下管网数据能够建立一系列的统计分析工具，为各专业部门审批、应急突</w:t>
      </w:r>
      <w:r>
        <w:rPr>
          <w:spacing w:val="-114"/>
        </w:rPr>
        <w:t> </w:t>
      </w:r>
      <w:r>
        <w:rPr>
          <w:spacing w:val="-114"/>
        </w:rPr>
      </w:r>
      <w:r>
        <w:rPr/>
        <w:t>发状况调度以及领导的决策提供辅助支撑服务。报告期内，公司地下管线业务继续在江西省 宜春市、安徽省滁州市等多地开展应用推广，并获得了良好的使用效果。</w:t>
      </w:r>
    </w:p>
    <w:p>
      <w:pPr>
        <w:pStyle w:val="BodyText"/>
        <w:spacing w:line="357" w:lineRule="auto" w:before="77"/>
        <w:ind w:right="96" w:firstLine="480"/>
        <w:jc w:val="left"/>
      </w:pPr>
      <w:r>
        <w:rPr>
          <w:rFonts w:ascii="宋体" w:hAnsi="宋体" w:cs="宋体" w:eastAsia="宋体" w:hint="default"/>
        </w:rPr>
        <w:t>2014</w:t>
      </w:r>
      <w:r>
        <w:rPr>
          <w:rFonts w:ascii="宋体" w:hAnsi="宋体" w:cs="宋体" w:eastAsia="宋体" w:hint="default"/>
          <w:spacing w:val="-65"/>
        </w:rPr>
        <w:t> </w:t>
      </w:r>
      <w:r>
        <w:rPr/>
        <w:t>年，公司的智能交通业务取得了长足的发展，在保持高速公路</w:t>
      </w:r>
      <w:r>
        <w:rPr>
          <w:spacing w:val="-65"/>
        </w:rPr>
        <w:t> </w:t>
      </w:r>
      <w:r>
        <w:rPr>
          <w:rFonts w:ascii="宋体" w:hAnsi="宋体" w:cs="宋体" w:eastAsia="宋体" w:hint="default"/>
        </w:rPr>
        <w:t>MTC/ETC</w:t>
      </w:r>
      <w:r>
        <w:rPr>
          <w:rFonts w:ascii="宋体" w:hAnsi="宋体" w:cs="宋体" w:eastAsia="宋体" w:hint="default"/>
          <w:spacing w:val="-65"/>
        </w:rPr>
        <w:t> </w:t>
      </w:r>
      <w:r>
        <w:rPr/>
        <w:t>收费车道市 场占有率绝对领先的情况下，发力于路径识别、高清卡口、超速预检、称重等领域，各项业 务齐头并进，市场布局已成功延伸到国道、省道、大桥，城市道路等道路智能管理信息化领 域。报告期内，公司推出了业界领先的高速公路网络路径智能识别系统，配备最高 </w:t>
      </w:r>
      <w:r>
        <w:rPr>
          <w:rFonts w:ascii="宋体" w:hAnsi="宋体" w:cs="宋体" w:eastAsia="宋体" w:hint="default"/>
        </w:rPr>
        <w:t>600</w:t>
      </w:r>
      <w:r>
        <w:rPr>
          <w:rFonts w:ascii="宋体" w:hAnsi="宋体" w:cs="宋体" w:eastAsia="宋体" w:hint="default"/>
          <w:spacing w:val="-81"/>
        </w:rPr>
        <w:t> </w:t>
      </w:r>
      <w:r>
        <w:rPr/>
        <w:t>万像 素的嵌入式</w:t>
      </w:r>
      <w:r>
        <w:rPr>
          <w:spacing w:val="-56"/>
        </w:rPr>
        <w:t> </w:t>
      </w:r>
      <w:r>
        <w:rPr>
          <w:rFonts w:ascii="宋体" w:hAnsi="宋体" w:cs="宋体" w:eastAsia="宋体" w:hint="default"/>
        </w:rPr>
        <w:t>CCD</w:t>
      </w:r>
      <w:r>
        <w:rPr>
          <w:rFonts w:ascii="宋体" w:hAnsi="宋体" w:cs="宋体" w:eastAsia="宋体" w:hint="default"/>
          <w:spacing w:val="-56"/>
        </w:rPr>
        <w:t> </w:t>
      </w:r>
      <w:r>
        <w:rPr>
          <w:spacing w:val="-3"/>
        </w:rPr>
        <w:t>智能识别摄像机，改变了行业“视频</w:t>
      </w:r>
      <w:r>
        <w:rPr>
          <w:rFonts w:ascii="宋体" w:hAnsi="宋体" w:cs="宋体" w:eastAsia="宋体" w:hint="default"/>
          <w:spacing w:val="-3"/>
        </w:rPr>
        <w:t>+</w:t>
      </w:r>
      <w:r>
        <w:rPr>
          <w:spacing w:val="-3"/>
        </w:rPr>
        <w:t>分析”的传统分体模式架构，提供了一</w:t>
      </w:r>
      <w:r>
        <w:rPr>
          <w:spacing w:val="-111"/>
        </w:rPr>
        <w:t> </w:t>
      </w:r>
      <w:r>
        <w:rPr>
          <w:spacing w:val="-111"/>
        </w:rPr>
      </w:r>
      <w:r>
        <w:rPr>
          <w:spacing w:val="-6"/>
        </w:rPr>
        <w:t>整套更简洁高效的智能交通管理解决方案。同时，公司新推出了高清识别监控</w:t>
      </w:r>
      <w:r>
        <w:rPr>
          <w:spacing w:val="-59"/>
        </w:rPr>
        <w:t> </w:t>
      </w:r>
      <w:r>
        <w:rPr>
          <w:rFonts w:ascii="宋体" w:hAnsi="宋体" w:cs="宋体" w:eastAsia="宋体" w:hint="default"/>
        </w:rPr>
        <w:t>TC</w:t>
      </w:r>
      <w:r>
        <w:rPr>
          <w:rFonts w:ascii="宋体" w:hAnsi="宋体" w:cs="宋体" w:eastAsia="宋体" w:hint="default"/>
          <w:spacing w:val="-60"/>
        </w:rPr>
        <w:t> </w:t>
      </w:r>
      <w:r>
        <w:rPr/>
        <w:t>系列一体机， 彻底颠覆了收费车道原有的机电系统复杂布局及设备重复现象，重新定义了车道监控和车牌 识别新模式，在全国多省份率先使用，引领了行业发展方向。</w:t>
      </w:r>
    </w:p>
    <w:p>
      <w:pPr>
        <w:pStyle w:val="BodyText"/>
        <w:spacing w:line="357" w:lineRule="auto" w:before="76"/>
        <w:ind w:right="229" w:firstLine="480"/>
        <w:jc w:val="both"/>
      </w:pPr>
      <w:r>
        <w:rPr/>
        <w:t>在平安城市管理领域，公司立足于视频数据的深度应用，开发了“智通云隼”——新一</w:t>
      </w:r>
      <w:r>
        <w:rPr>
          <w:spacing w:val="2"/>
        </w:rPr>
        <w:t> </w:t>
      </w:r>
      <w:r>
        <w:rPr/>
        <w:t>代警务云智能情报分析研判平台。该平台是公司基于大数据警务云应用理念，结合公安机关</w:t>
      </w:r>
      <w:r>
        <w:rPr/>
        <w:t> 实战需求，以车辆全信息二次识别技术为核心研发的情报分析研判系统。系统以现有的大量</w:t>
      </w:r>
      <w:r>
        <w:rPr>
          <w:spacing w:val="-113"/>
        </w:rPr>
        <w:t> </w:t>
      </w:r>
      <w:r>
        <w:rPr>
          <w:spacing w:val="-113"/>
        </w:rPr>
      </w:r>
      <w:r>
        <w:rPr/>
        <w:t>道路卡口、小区卡口、电子警察视频抓拍前端所生成的海量数据为基础，通过海量信息全维 度识别、海量数据深度挖掘、独特的警用数据研判模型为主要技术应用手段，实现实时警情 预知预警、案件线索快速反查等功能，极大地提高了针对涉车违法案件的自动预知、预警、 </w:t>
      </w:r>
      <w:r>
        <w:rPr>
          <w:spacing w:val="-8"/>
        </w:rPr>
        <w:t>预防能力。平台的主要特点包括：（</w:t>
      </w:r>
      <w:r>
        <w:rPr>
          <w:rFonts w:ascii="宋体" w:hAnsi="宋体" w:cs="宋体" w:eastAsia="宋体" w:hint="default"/>
          <w:spacing w:val="-8"/>
        </w:rPr>
        <w:t>1</w:t>
      </w:r>
      <w:r>
        <w:rPr>
          <w:spacing w:val="-8"/>
        </w:rPr>
        <w:t>）、车辆全信息二次识别技术：真正意义全信息识别，彻</w:t>
      </w:r>
      <w:r>
        <w:rPr>
          <w:spacing w:val="-109"/>
        </w:rPr>
        <w:t> </w:t>
      </w:r>
      <w:r>
        <w:rPr>
          <w:spacing w:val="-109"/>
        </w:rPr>
      </w:r>
      <w:r>
        <w:rPr>
          <w:spacing w:val="-8"/>
        </w:rPr>
        <w:t>底告别单一车牌识别模式。（</w:t>
      </w:r>
      <w:r>
        <w:rPr>
          <w:rFonts w:ascii="宋体" w:hAnsi="宋体" w:cs="宋体" w:eastAsia="宋体" w:hint="default"/>
          <w:spacing w:val="-8"/>
        </w:rPr>
        <w:t>2</w:t>
      </w:r>
      <w:r>
        <w:rPr>
          <w:spacing w:val="-8"/>
        </w:rPr>
        <w:t>）、车脸特征检索及局部比对技术：以图搜图、一车多牌、一牌</w:t>
      </w:r>
      <w:r>
        <w:rPr>
          <w:spacing w:val="-108"/>
        </w:rPr>
        <w:t> </w:t>
      </w:r>
      <w:r>
        <w:rPr>
          <w:spacing w:val="-108"/>
        </w:rPr>
      </w:r>
      <w:r>
        <w:rPr>
          <w:spacing w:val="-8"/>
        </w:rPr>
        <w:t>多车自动对比。（</w:t>
      </w:r>
      <w:r>
        <w:rPr>
          <w:rFonts w:ascii="宋体" w:hAnsi="宋体" w:cs="宋体" w:eastAsia="宋体" w:hint="default"/>
          <w:spacing w:val="-8"/>
        </w:rPr>
        <w:t>3</w:t>
      </w:r>
      <w:r>
        <w:rPr>
          <w:spacing w:val="-8"/>
        </w:rPr>
        <w:t>）、视频离线车辆检识技术：基于高清离线视频车辆检索，同时对检索目标</w:t>
      </w:r>
      <w:r>
        <w:rPr>
          <w:spacing w:val="-108"/>
        </w:rPr>
        <w:t> </w:t>
      </w:r>
      <w:r>
        <w:rPr>
          <w:spacing w:val="-108"/>
        </w:rPr>
      </w:r>
      <w:r>
        <w:rPr>
          <w:spacing w:val="-8"/>
        </w:rPr>
        <w:t>完成车辆全信息识别。（</w:t>
      </w:r>
      <w:r>
        <w:rPr>
          <w:rFonts w:ascii="宋体" w:hAnsi="宋体" w:cs="宋体" w:eastAsia="宋体" w:hint="default"/>
          <w:spacing w:val="-8"/>
        </w:rPr>
        <w:t>4</w:t>
      </w:r>
      <w:r>
        <w:rPr>
          <w:spacing w:val="-8"/>
        </w:rPr>
        <w:t>）、警用数据研判模型：通过警用数据研判模型比对，实施自动推送</w:t>
      </w:r>
      <w:r>
        <w:rPr>
          <w:spacing w:val="-108"/>
        </w:rPr>
        <w:t> </w:t>
      </w:r>
      <w:r>
        <w:rPr>
          <w:spacing w:val="-108"/>
        </w:rPr>
      </w:r>
      <w:r>
        <w:rPr/>
        <w:t>关注数据。报告期内，该平台已经在山东省某市实际运行，帮助当地公安机关破获多起重要 案件，真正实现了公安警情的全警种预测预警，未来具有较好的推广价值。</w:t>
      </w:r>
    </w:p>
    <w:p>
      <w:pPr>
        <w:pStyle w:val="BodyText"/>
        <w:spacing w:line="357" w:lineRule="auto" w:before="74"/>
        <w:ind w:right="231" w:firstLine="600"/>
        <w:jc w:val="both"/>
      </w:pPr>
      <w:r>
        <w:rPr>
          <w:spacing w:val="-3"/>
        </w:rPr>
        <w:t>报告期内，为探索智慧城市建设的投资和运营管理新模式，公司与四川省兴文县人民政</w:t>
      </w:r>
      <w:r>
        <w:rPr/>
        <w:t> 府签署了“智慧兴文”战略合作框架协议。协议约定双方以 </w:t>
      </w:r>
      <w:r>
        <w:rPr>
          <w:rFonts w:ascii="宋体" w:hAnsi="宋体" w:cs="宋体" w:eastAsia="宋体" w:hint="default"/>
        </w:rPr>
        <w:t>PPP</w:t>
      </w:r>
      <w:r>
        <w:rPr>
          <w:rFonts w:ascii="宋体" w:hAnsi="宋体" w:cs="宋体" w:eastAsia="宋体" w:hint="default"/>
          <w:spacing w:val="-81"/>
        </w:rPr>
        <w:t> </w:t>
      </w:r>
      <w:r>
        <w:rPr/>
        <w:t>合作模式全面展开“智慧兴 文”的建设、运营、服务合作，兴文县政府负责“智慧兴文”项目的组织、审定规划与重大 </w:t>
      </w:r>
      <w:r>
        <w:rPr>
          <w:spacing w:val="-6"/>
        </w:rPr>
        <w:t>事项决策，公司负责“智慧兴文”项目的规划设计、建设及相关项目运营。“智慧兴文”建设</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5"/>
        <w:jc w:val="left"/>
      </w:pPr>
      <w:r>
        <w:rPr>
          <w:spacing w:val="-3"/>
        </w:rPr>
        <w:t>具体建设内容主要包括但不仅限于：智慧城管、智慧医疗、智慧社区、智慧养老、智慧教育、</w:t>
      </w:r>
      <w:r>
        <w:rPr>
          <w:spacing w:val="-82"/>
        </w:rPr>
        <w:t> </w:t>
      </w:r>
      <w:r>
        <w:rPr>
          <w:spacing w:val="-82"/>
        </w:rPr>
      </w:r>
      <w:r>
        <w:rPr/>
        <w:t>智慧旅游、智能交通等，并建设城市应急指挥中心平台、市民主页平台、城乡公共数据库平 台、数据交换与共享平台和地理信息公共服务平台等五大信息平台。每个项目的具体投资额 度按照“智慧兴文”的规划设计方案确定，兴文县政府承诺投入专项资金购买智慧兴文项目 中的公共服务，公司依法取得特定的增值业务特许经营许可并开展业务经营。该框架协议的 签署，有助于全面完善公司全国智慧城市发展战略布局，不断积累智慧城市项目建设和运营</w:t>
      </w:r>
      <w:r>
        <w:rPr>
          <w:spacing w:val="-112"/>
        </w:rPr>
        <w:t> </w:t>
      </w:r>
      <w:r>
        <w:rPr>
          <w:spacing w:val="-112"/>
        </w:rPr>
      </w:r>
      <w:r>
        <w:rPr/>
        <w:t>经验，进一步探索</w:t>
      </w:r>
      <w:r>
        <w:rPr>
          <w:spacing w:val="-60"/>
        </w:rPr>
        <w:t> </w:t>
      </w:r>
      <w:r>
        <w:rPr>
          <w:rFonts w:ascii="宋体" w:hAnsi="宋体" w:cs="宋体" w:eastAsia="宋体" w:hint="default"/>
        </w:rPr>
        <w:t>PPP</w:t>
      </w:r>
      <w:r>
        <w:rPr>
          <w:rFonts w:ascii="宋体" w:hAnsi="宋体" w:cs="宋体" w:eastAsia="宋体" w:hint="default"/>
          <w:spacing w:val="-60"/>
        </w:rPr>
        <w:t> </w:t>
      </w:r>
      <w:r>
        <w:rPr/>
        <w:t>合作模式，提升公司的核心竞争力和行业影响力。</w:t>
      </w:r>
    </w:p>
    <w:p>
      <w:pPr>
        <w:spacing w:line="388" w:lineRule="auto" w:before="7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（二）从</w:t>
      </w:r>
      <w:r>
        <w:rPr>
          <w:rFonts w:ascii="宋体" w:hAnsi="宋体" w:cs="宋体" w:eastAsia="宋体" w:hint="default"/>
          <w:b/>
          <w:bCs/>
          <w:sz w:val="24"/>
          <w:szCs w:val="24"/>
        </w:rPr>
        <w:t>B2B</w:t>
      </w:r>
      <w:r>
        <w:rPr>
          <w:rFonts w:ascii="宋体" w:hAnsi="宋体" w:cs="宋体" w:eastAsia="宋体" w:hint="default"/>
          <w:b/>
          <w:bCs/>
          <w:sz w:val="24"/>
          <w:szCs w:val="24"/>
        </w:rPr>
        <w:t>业务模式向</w:t>
      </w:r>
      <w:r>
        <w:rPr>
          <w:rFonts w:ascii="宋体" w:hAnsi="宋体" w:cs="宋体" w:eastAsia="宋体" w:hint="default"/>
          <w:b/>
          <w:bCs/>
          <w:sz w:val="24"/>
          <w:szCs w:val="24"/>
        </w:rPr>
        <w:t>B2C</w:t>
      </w:r>
      <w:r>
        <w:rPr>
          <w:rFonts w:ascii="宋体" w:hAnsi="宋体" w:cs="宋体" w:eastAsia="宋体" w:hint="default"/>
          <w:b/>
          <w:bCs/>
          <w:sz w:val="24"/>
          <w:szCs w:val="24"/>
        </w:rPr>
        <w:t>业务模式全面延伸</w:t>
      </w:r>
      <w:r>
        <w:rPr>
          <w:rFonts w:ascii="宋体" w:hAnsi="宋体" w:cs="宋体" w:eastAsia="宋体" w:hint="default"/>
          <w:b/>
          <w:bCs/>
          <w:w w:val="99"/>
          <w:sz w:val="24"/>
          <w:szCs w:val="24"/>
        </w:rPr>
        <w:t> </w:t>
      </w:r>
      <w:r>
        <w:rPr>
          <w:rFonts w:ascii="宋体" w:hAnsi="宋体" w:cs="宋体" w:eastAsia="宋体" w:hint="default"/>
          <w:sz w:val="24"/>
          <w:szCs w:val="24"/>
        </w:rPr>
        <w:t>公司的愿景是成为国内领先的智慧城市应用与信息服务提供商，这一愿景的实现需要公</w:t>
      </w:r>
    </w:p>
    <w:p>
      <w:pPr>
        <w:pStyle w:val="BodyText"/>
        <w:spacing w:line="357" w:lineRule="auto" w:before="5"/>
        <w:ind w:right="230"/>
        <w:jc w:val="both"/>
      </w:pPr>
      <w:r>
        <w:rPr/>
        <w:t>司建立可持续发展的业务模式。在过去的十年间，公司已经为超过三百个城市的政府客户提 供了包括智慧城管、智慧社区、智能交通、平安城市等内容的智慧城市综合性解决方案和服 务，随着市场形势的发展，公司希望借助人工智能、移动互联、云计算和大数据技术，将业 务从传统的</w:t>
      </w:r>
      <w:r>
        <w:rPr>
          <w:spacing w:val="-50"/>
        </w:rPr>
        <w:t> </w:t>
      </w:r>
      <w:r>
        <w:rPr>
          <w:rFonts w:ascii="宋体" w:hAnsi="宋体" w:cs="宋体" w:eastAsia="宋体" w:hint="default"/>
        </w:rPr>
        <w:t>B2B</w:t>
      </w:r>
      <w:r>
        <w:rPr>
          <w:rFonts w:ascii="宋体" w:hAnsi="宋体" w:cs="宋体" w:eastAsia="宋体" w:hint="default"/>
          <w:spacing w:val="-51"/>
        </w:rPr>
        <w:t> </w:t>
      </w:r>
      <w:r>
        <w:rPr/>
        <w:t>模式向</w:t>
      </w:r>
      <w:r>
        <w:rPr>
          <w:spacing w:val="-51"/>
        </w:rPr>
        <w:t> </w:t>
      </w:r>
      <w:r>
        <w:rPr>
          <w:rFonts w:ascii="宋体" w:hAnsi="宋体" w:cs="宋体" w:eastAsia="宋体" w:hint="default"/>
        </w:rPr>
        <w:t>B2C</w:t>
      </w:r>
      <w:r>
        <w:rPr>
          <w:rFonts w:ascii="宋体" w:hAnsi="宋体" w:cs="宋体" w:eastAsia="宋体" w:hint="default"/>
          <w:spacing w:val="-51"/>
        </w:rPr>
        <w:t> </w:t>
      </w:r>
      <w:r>
        <w:rPr/>
        <w:t>模式全面延伸，通过本地化、个性化、商业化的服务，将服务半 径拓展到城市居民和消费者端，从而提升公司在市场中的核心价值。</w:t>
      </w:r>
    </w:p>
    <w:p>
      <w:pPr>
        <w:pStyle w:val="BodyText"/>
        <w:spacing w:line="357" w:lineRule="auto" w:before="75"/>
        <w:ind w:right="109" w:firstLine="480"/>
        <w:jc w:val="left"/>
      </w:pPr>
      <w:r>
        <w:rPr/>
        <w:t>报告期内，公司以智能泊车业务为重点，吹响了向 </w:t>
      </w:r>
      <w:r>
        <w:rPr>
          <w:rFonts w:ascii="宋体" w:hAnsi="宋体" w:cs="宋体" w:eastAsia="宋体" w:hint="default"/>
        </w:rPr>
        <w:t>C</w:t>
      </w:r>
      <w:r>
        <w:rPr>
          <w:rFonts w:ascii="宋体" w:hAnsi="宋体" w:cs="宋体" w:eastAsia="宋体" w:hint="default"/>
          <w:spacing w:val="-81"/>
        </w:rPr>
        <w:t> </w:t>
      </w:r>
      <w:r>
        <w:rPr/>
        <w:t>端进军的号角。公司新推出的智能 泊车系统是基于公司控股子公司在车牌智能识别领域十余年的技术积累，综合运用物联网、 </w:t>
      </w:r>
      <w:r>
        <w:rPr>
          <w:spacing w:val="-3"/>
        </w:rPr>
        <w:t>云计算、移动互联网等先进技术，全新打造的“互联网</w:t>
      </w:r>
      <w:r>
        <w:rPr>
          <w:rFonts w:ascii="宋体" w:hAnsi="宋体" w:cs="宋体" w:eastAsia="宋体" w:hint="default"/>
          <w:spacing w:val="-3"/>
        </w:rPr>
        <w:t>+</w:t>
      </w:r>
      <w:r>
        <w:rPr>
          <w:spacing w:val="-3"/>
        </w:rPr>
        <w:t>”时代的城市静态交通解决方案。公</w:t>
      </w:r>
      <w:r>
        <w:rPr>
          <w:spacing w:val="-81"/>
        </w:rPr>
        <w:t> </w:t>
      </w:r>
      <w:r>
        <w:rPr>
          <w:spacing w:val="-81"/>
        </w:rPr>
      </w:r>
      <w:r>
        <w:rPr/>
        <w:t>司将智能泊车管理平台作为汽车物联网和汽车后服务市场的入口，自主研发了智通慧眼（专 </w:t>
      </w:r>
      <w:r>
        <w:rPr>
          <w:spacing w:val="-6"/>
        </w:rPr>
        <w:t>用于停车场出入口的车牌识别摄像一体机）、智泊盒子（停车收费专用终端）、智泊芯（专用</w:t>
      </w:r>
      <w:r>
        <w:rPr>
          <w:spacing w:val="-112"/>
        </w:rPr>
        <w:t> </w:t>
      </w:r>
      <w:r>
        <w:rPr>
          <w:spacing w:val="-112"/>
        </w:rPr>
      </w:r>
      <w:r>
        <w:rPr>
          <w:spacing w:val="-8"/>
        </w:rPr>
        <w:t>于停车场出入口控制中心）、智泊管家（专用于出入口、小区物业到集团公司一体化解决方案）</w:t>
      </w:r>
      <w:r>
        <w:rPr>
          <w:spacing w:val="-108"/>
        </w:rPr>
        <w:t> </w:t>
      </w:r>
      <w:r>
        <w:rPr>
          <w:spacing w:val="-108"/>
        </w:rPr>
      </w:r>
      <w:r>
        <w:rPr/>
        <w:t>和智泊通（专用于停车场车主的移动应用服务）等一系列全新的软硬件产品，通过运用国内 先进的车辆全信息识别算法，达到复杂应用场景下平均</w:t>
      </w:r>
      <w:r>
        <w:rPr>
          <w:spacing w:val="-60"/>
        </w:rPr>
        <w:t> </w:t>
      </w:r>
      <w:r>
        <w:rPr>
          <w:rFonts w:ascii="宋体" w:hAnsi="宋体" w:cs="宋体" w:eastAsia="宋体" w:hint="default"/>
        </w:rPr>
        <w:t>98%</w:t>
      </w:r>
      <w:r>
        <w:rPr/>
        <w:t>以上的超高识别率。</w:t>
      </w:r>
    </w:p>
    <w:p>
      <w:pPr>
        <w:pStyle w:val="BodyText"/>
        <w:spacing w:line="357" w:lineRule="auto" w:before="74"/>
        <w:ind w:right="231" w:firstLine="480"/>
        <w:jc w:val="both"/>
      </w:pPr>
      <w:r>
        <w:rPr/>
        <w:t>公司的智能泊车管理平台具有三个显著的优势：首先，能够提供停车收费、车证管理、 车场监控、电子支付、</w:t>
      </w:r>
      <w:r>
        <w:rPr>
          <w:rFonts w:ascii="宋体" w:hAnsi="宋体" w:cs="宋体" w:eastAsia="宋体" w:hint="default"/>
        </w:rPr>
        <w:t>VIP</w:t>
      </w:r>
      <w:r>
        <w:rPr>
          <w:rFonts w:ascii="宋体" w:hAnsi="宋体" w:cs="宋体" w:eastAsia="宋体" w:hint="default"/>
          <w:spacing w:val="3"/>
        </w:rPr>
        <w:t> </w:t>
      </w:r>
      <w:r>
        <w:rPr/>
        <w:t>服务等专业化停车管理服务，全面提高停车管理水平，提升车主 满意度；其次，能够对城市的静态交通管理提供最直接有效的技术支撑，解决城市停车资源 分配不均衡、管理难度高、重点地区和重点时段停车拥堵的问题；第三，能够建立基于</w:t>
      </w:r>
      <w:r>
        <w:rPr>
          <w:spacing w:val="7"/>
        </w:rPr>
        <w:t> </w:t>
      </w:r>
      <w:r>
        <w:rPr>
          <w:rFonts w:ascii="宋体" w:hAnsi="宋体" w:cs="宋体" w:eastAsia="宋体" w:hint="default"/>
        </w:rPr>
        <w:t>LBS </w:t>
      </w:r>
      <w:r>
        <w:rPr/>
        <w:t>技术的精准停车数据云，为基于互联网服务的车位管理、分时停车、共享拼车、汽车美容、 维修保养、车辆保险等增值业务提供不可或缺的数据入口。</w:t>
      </w:r>
    </w:p>
    <w:p>
      <w:pPr>
        <w:pStyle w:val="BodyText"/>
        <w:spacing w:line="240" w:lineRule="auto" w:before="76"/>
        <w:ind w:left="633" w:right="95"/>
        <w:jc w:val="left"/>
      </w:pPr>
      <w:r>
        <w:rPr/>
        <w:t>公司正在通过多种方式积极拓展智能泊车业务。</w:t>
      </w:r>
      <w:r>
        <w:rPr>
          <w:rFonts w:ascii="宋体" w:hAnsi="宋体" w:cs="宋体" w:eastAsia="宋体" w:hint="default"/>
        </w:rPr>
        <w:t>2014</w:t>
      </w:r>
      <w:r>
        <w:rPr/>
        <w:t>年，公司与北京、广东、新疆等地</w:t>
      </w:r>
    </w:p>
    <w:p>
      <w:pPr>
        <w:spacing w:after="0" w:line="240"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2"/>
        <w:jc w:val="both"/>
      </w:pPr>
      <w:r>
        <w:rPr/>
        <w:t>的数家国内领先的物业管理公司达成合作，其将应用公司的全体系智能泊车产品提升物业停</w:t>
      </w:r>
      <w:r>
        <w:rPr>
          <w:spacing w:val="-109"/>
        </w:rPr>
        <w:t> </w:t>
      </w:r>
      <w:r>
        <w:rPr>
          <w:spacing w:val="-109"/>
        </w:rPr>
      </w:r>
      <w:r>
        <w:rPr/>
        <w:t>车的管理水平；</w:t>
      </w:r>
      <w:r>
        <w:rPr>
          <w:rFonts w:ascii="宋体" w:hAnsi="宋体" w:cs="宋体" w:eastAsia="宋体" w:hint="default"/>
        </w:rPr>
        <w:t>2015</w:t>
      </w:r>
      <w:r>
        <w:rPr/>
        <w:t>年初，公司与山东省最大的第三方物业管理公司诚信行物业管理公司达</w:t>
      </w:r>
      <w:r>
        <w:rPr>
          <w:spacing w:val="-115"/>
        </w:rPr>
        <w:t> </w:t>
      </w:r>
      <w:r>
        <w:rPr>
          <w:spacing w:val="-115"/>
        </w:rPr>
      </w:r>
      <w:r>
        <w:rPr/>
        <w:t>成合作，双方合资成立智能泊车管理公司，共同推动智能泊车业务的发展。截止报告期末， 公司的智能泊车业务已经开拓到全国</w:t>
      </w:r>
      <w:r>
        <w:rPr>
          <w:rFonts w:ascii="宋体" w:hAnsi="宋体" w:cs="宋体" w:eastAsia="宋体" w:hint="default"/>
        </w:rPr>
        <w:t>24</w:t>
      </w:r>
      <w:r>
        <w:rPr/>
        <w:t>个城市，覆盖</w:t>
      </w:r>
      <w:r>
        <w:rPr>
          <w:rFonts w:ascii="宋体" w:hAnsi="宋体" w:cs="宋体" w:eastAsia="宋体" w:hint="default"/>
        </w:rPr>
        <w:t>1000</w:t>
      </w:r>
      <w:r>
        <w:rPr/>
        <w:t>多个停车场，并正全速向全国市场</w:t>
      </w:r>
      <w:r>
        <w:rPr>
          <w:spacing w:val="-112"/>
        </w:rPr>
        <w:t> </w:t>
      </w:r>
      <w:r>
        <w:rPr>
          <w:spacing w:val="-112"/>
        </w:rPr>
      </w:r>
      <w:r>
        <w:rPr/>
        <w:t>积极拓展。</w:t>
      </w:r>
    </w:p>
    <w:p>
      <w:pPr>
        <w:spacing w:line="240" w:lineRule="auto" w:before="8"/>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报告期内主要经营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、报告期内主要经营情况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主营业务分析" w:id="22"/>
      <w:bookmarkEnd w:id="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pStyle w:val="BodyText"/>
        <w:spacing w:line="357" w:lineRule="auto" w:before="130"/>
        <w:ind w:right="232" w:firstLine="480"/>
        <w:jc w:val="both"/>
      </w:pPr>
      <w:r>
        <w:rPr/>
        <w:t>报告期内，公司实现主营业务收入 </w:t>
      </w:r>
      <w:r>
        <w:rPr>
          <w:rFonts w:ascii="宋体" w:hAnsi="宋体" w:cs="宋体" w:eastAsia="宋体" w:hint="default"/>
        </w:rPr>
        <w:t>546,086,754.32 </w:t>
      </w:r>
      <w:r>
        <w:rPr/>
        <w:t>元，比上年同期增长</w:t>
      </w:r>
      <w:r>
        <w:rPr>
          <w:spacing w:val="-83"/>
        </w:rPr>
        <w:t> </w:t>
      </w:r>
      <w:r>
        <w:rPr>
          <w:rFonts w:ascii="宋体" w:hAnsi="宋体" w:cs="宋体" w:eastAsia="宋体" w:hint="default"/>
        </w:rPr>
        <w:t>34.39%</w:t>
      </w:r>
      <w:r>
        <w:rPr/>
        <w:t>，主要 原因是智慧城市管理领域行业持续景气，智慧城市领域各项业务保持快速增长；</w:t>
      </w:r>
    </w:p>
    <w:p>
      <w:pPr>
        <w:pStyle w:val="BodyText"/>
        <w:spacing w:line="357" w:lineRule="auto" w:before="76"/>
        <w:ind w:right="232" w:firstLine="480"/>
        <w:jc w:val="both"/>
      </w:pPr>
      <w:r>
        <w:rPr/>
        <w:t>报告期内，公司营业成本 </w:t>
      </w:r>
      <w:r>
        <w:rPr>
          <w:rFonts w:ascii="宋体" w:hAnsi="宋体" w:cs="宋体" w:eastAsia="宋体" w:hint="default"/>
        </w:rPr>
        <w:t>303,910,169.09 </w:t>
      </w:r>
      <w:r>
        <w:rPr/>
        <w:t>元，较上年同期增长</w:t>
      </w:r>
      <w:r>
        <w:rPr>
          <w:spacing w:val="-84"/>
        </w:rPr>
        <w:t> </w:t>
      </w:r>
      <w:r>
        <w:rPr>
          <w:rFonts w:ascii="宋体" w:hAnsi="宋体" w:cs="宋体" w:eastAsia="宋体" w:hint="default"/>
        </w:rPr>
        <w:t>23.24%</w:t>
      </w:r>
      <w:r>
        <w:rPr/>
        <w:t>，营业成本增长 较快的主要原因是收入快速增加使营业成本相应增加；</w:t>
      </w:r>
    </w:p>
    <w:p>
      <w:pPr>
        <w:pStyle w:val="BodyText"/>
        <w:spacing w:line="357" w:lineRule="auto" w:before="74"/>
        <w:ind w:right="99" w:firstLine="480"/>
        <w:jc w:val="left"/>
      </w:pPr>
      <w:r>
        <w:rPr>
          <w:spacing w:val="-6"/>
        </w:rPr>
        <w:t>报告期内，销售费用、管理费用和财务费用，较上年同期增加</w:t>
      </w:r>
      <w:r>
        <w:rPr>
          <w:spacing w:val="-54"/>
        </w:rPr>
        <w:t> </w:t>
      </w:r>
      <w:r>
        <w:rPr>
          <w:rFonts w:ascii="宋体" w:hAnsi="宋体" w:cs="宋体" w:eastAsia="宋体" w:hint="default"/>
          <w:spacing w:val="-4"/>
        </w:rPr>
        <w:t>34.84%</w:t>
      </w:r>
      <w:r>
        <w:rPr>
          <w:spacing w:val="-4"/>
        </w:rPr>
        <w:t>、</w:t>
      </w:r>
      <w:r>
        <w:rPr>
          <w:rFonts w:ascii="宋体" w:hAnsi="宋体" w:cs="宋体" w:eastAsia="宋体" w:hint="default"/>
          <w:spacing w:val="-4"/>
        </w:rPr>
        <w:t>21.63%</w:t>
      </w:r>
      <w:r>
        <w:rPr>
          <w:spacing w:val="-4"/>
        </w:rPr>
        <w:t>和</w:t>
      </w:r>
      <w:r>
        <w:rPr>
          <w:spacing w:val="-54"/>
        </w:rPr>
        <w:t> </w:t>
      </w:r>
      <w:r>
        <w:rPr>
          <w:rFonts w:ascii="宋体" w:hAnsi="宋体" w:cs="宋体" w:eastAsia="宋体" w:hint="default"/>
        </w:rPr>
        <w:t>27.55%</w:t>
      </w:r>
      <w:r>
        <w:rPr/>
        <w:t>， 主要原因是随着收入规模的增加，费用相应增加；</w:t>
      </w:r>
    </w:p>
    <w:p>
      <w:pPr>
        <w:pStyle w:val="BodyText"/>
        <w:spacing w:line="357" w:lineRule="auto" w:before="75"/>
        <w:ind w:left="154" w:right="230" w:firstLine="480"/>
        <w:jc w:val="both"/>
      </w:pPr>
      <w:r>
        <w:rPr/>
        <w:t>报告期内，公司研发投入</w:t>
      </w:r>
      <w:r>
        <w:rPr>
          <w:spacing w:val="-68"/>
        </w:rPr>
        <w:t> </w:t>
      </w:r>
      <w:r>
        <w:rPr>
          <w:rFonts w:ascii="宋体" w:hAnsi="宋体" w:cs="宋体" w:eastAsia="宋体" w:hint="default"/>
        </w:rPr>
        <w:t>57,368,233.35</w:t>
      </w:r>
      <w:r>
        <w:rPr>
          <w:rFonts w:ascii="宋体" w:hAnsi="宋体" w:cs="宋体" w:eastAsia="宋体" w:hint="default"/>
          <w:spacing w:val="-68"/>
        </w:rPr>
        <w:t> </w:t>
      </w:r>
      <w:r>
        <w:rPr/>
        <w:t>元，较上年同期增加</w:t>
      </w:r>
      <w:r>
        <w:rPr>
          <w:spacing w:val="-68"/>
        </w:rPr>
        <w:t> </w:t>
      </w:r>
      <w:r>
        <w:rPr>
          <w:rFonts w:ascii="宋体" w:hAnsi="宋体" w:cs="宋体" w:eastAsia="宋体" w:hint="default"/>
        </w:rPr>
        <w:t>31.37%</w:t>
      </w:r>
      <w:r>
        <w:rPr/>
        <w:t>，主要原因是公司 持续加大科研投入力度，相应研发人员的数量和工资水平都有所增加，同时研发设备折旧增 加；</w:t>
      </w:r>
    </w:p>
    <w:p>
      <w:pPr>
        <w:pStyle w:val="BodyText"/>
        <w:spacing w:line="357" w:lineRule="auto" w:before="76"/>
        <w:ind w:right="231" w:firstLine="480"/>
        <w:jc w:val="both"/>
      </w:pPr>
      <w:r>
        <w:rPr>
          <w:spacing w:val="7"/>
        </w:rPr>
        <w:t>报告期内，公司经营活动产生的现金流量净额</w:t>
      </w:r>
      <w:r>
        <w:rPr>
          <w:rFonts w:ascii="宋体" w:hAnsi="宋体" w:cs="宋体" w:eastAsia="宋体" w:hint="default"/>
          <w:spacing w:val="7"/>
        </w:rPr>
        <w:t>-59,276,710.47</w:t>
      </w:r>
      <w:r>
        <w:rPr>
          <w:rFonts w:ascii="宋体" w:hAnsi="宋体" w:cs="宋体" w:eastAsia="宋体" w:hint="default"/>
          <w:spacing w:val="37"/>
        </w:rPr>
        <w:t> </w:t>
      </w:r>
      <w:r>
        <w:rPr>
          <w:spacing w:val="11"/>
        </w:rPr>
        <w:t>元，较上年同期减少</w:t>
      </w:r>
      <w:r>
        <w:rPr/>
        <w:t> </w:t>
      </w:r>
      <w:r>
        <w:rPr>
          <w:rFonts w:ascii="宋体" w:hAnsi="宋体" w:cs="宋体" w:eastAsia="宋体" w:hint="default"/>
          <w:spacing w:val="-2"/>
        </w:rPr>
        <w:t>536.82%</w:t>
      </w:r>
      <w:r>
        <w:rPr>
          <w:spacing w:val="-2"/>
        </w:rPr>
        <w:t>，主要因公司控股子公司汉王智通部分项目回款周期较长且在报告期内偿还大额项目</w:t>
      </w:r>
      <w:r>
        <w:rPr>
          <w:spacing w:val="-114"/>
        </w:rPr>
        <w:t> </w:t>
      </w:r>
      <w:r>
        <w:rPr>
          <w:spacing w:val="-114"/>
        </w:rPr>
      </w:r>
      <w:r>
        <w:rPr/>
        <w:t>借款影响。</w:t>
      </w:r>
    </w:p>
    <w:p>
      <w:pPr>
        <w:spacing w:before="4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546,086,754.32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406,357,113.32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34.39%</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驱动收入变化的因素</w:t>
      </w:r>
    </w:p>
    <w:p>
      <w:pPr>
        <w:pStyle w:val="BodyText"/>
        <w:spacing w:line="357" w:lineRule="auto" w:before="146"/>
        <w:ind w:right="216" w:firstLine="480"/>
        <w:jc w:val="left"/>
      </w:pPr>
      <w:r>
        <w:rPr/>
        <w:t>报告期内，公司实现主营业务收入 </w:t>
      </w:r>
      <w:r>
        <w:rPr>
          <w:rFonts w:ascii="宋体" w:hAnsi="宋体" w:cs="宋体" w:eastAsia="宋体" w:hint="default"/>
        </w:rPr>
        <w:t>546,086,754.32 </w:t>
      </w:r>
      <w:r>
        <w:rPr/>
        <w:t>元，比上年同期增长</w:t>
      </w:r>
      <w:r>
        <w:rPr>
          <w:spacing w:val="-83"/>
        </w:rPr>
        <w:t> </w:t>
      </w:r>
      <w:r>
        <w:rPr>
          <w:rFonts w:ascii="宋体" w:hAnsi="宋体" w:cs="宋体" w:eastAsia="宋体" w:hint="default"/>
        </w:rPr>
        <w:t>34.39%</w:t>
      </w:r>
      <w:r>
        <w:rPr/>
        <w:t>，主要 原因是公司持续拓展市场，主营业务保持持续增长。</w:t>
      </w:r>
    </w:p>
    <w:p>
      <w:pPr>
        <w:spacing w:before="46"/>
        <w:ind w:left="153" w:right="95"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80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40" w:lineRule="auto" w:before="116"/>
        <w:ind w:left="153" w:right="26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38" w:lineRule="auto" w:before="40"/>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800"/>
          <w:cols w:num="2" w:equalWidth="0">
            <w:col w:w="4475" w:space="4445"/>
            <w:col w:w="12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119,989,863.67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91,272,550.04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104,830,245.96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90,783,082.09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79,090,059.46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64,534,930.25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3"/>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39,959,907.87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29,635,857.69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人员工资和办公费用增加所致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82,935,768.92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68,186,482.35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研发投入增加和无形资产摊销所致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-9,442,774.90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-13,032,710.66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利息支出增加所致</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6,669,458.43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652,149.35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922.69%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利润总额增加及递延所得税影响所 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330" w:firstLine="480"/>
        <w:jc w:val="both"/>
      </w:pPr>
      <w:r>
        <w:rPr>
          <w:rFonts w:ascii="宋体" w:hAnsi="宋体" w:cs="宋体" w:eastAsia="宋体" w:hint="default"/>
        </w:rPr>
        <w:t>2014</w:t>
      </w:r>
      <w:r>
        <w:rPr>
          <w:rFonts w:ascii="宋体" w:hAnsi="宋体" w:cs="宋体" w:eastAsia="宋体" w:hint="default"/>
          <w:spacing w:val="-80"/>
        </w:rPr>
        <w:t> </w:t>
      </w:r>
      <w:r>
        <w:rPr/>
        <w:t>年，公司为了进一步增强核心技术与产品的竞争能力，继续加强了研发投入，</w:t>
      </w:r>
      <w:r>
        <w:rPr>
          <w:rFonts w:ascii="宋体" w:hAnsi="宋体" w:cs="宋体" w:eastAsia="宋体" w:hint="default"/>
        </w:rPr>
        <w:t>2013 </w:t>
      </w:r>
      <w:r>
        <w:rPr/>
        <w:t>年研发费用总额为</w:t>
      </w:r>
      <w:r>
        <w:rPr>
          <w:spacing w:val="-67"/>
        </w:rPr>
        <w:t> </w:t>
      </w:r>
      <w:r>
        <w:rPr>
          <w:rFonts w:ascii="宋体" w:hAnsi="宋体" w:cs="宋体" w:eastAsia="宋体" w:hint="default"/>
        </w:rPr>
        <w:t>57,368,233.35</w:t>
      </w:r>
      <w:r>
        <w:rPr>
          <w:rFonts w:ascii="宋体" w:hAnsi="宋体" w:cs="宋体" w:eastAsia="宋体" w:hint="default"/>
          <w:spacing w:val="-67"/>
        </w:rPr>
        <w:t> </w:t>
      </w:r>
      <w:r>
        <w:rPr/>
        <w:t>元，较上年同期增长</w:t>
      </w:r>
      <w:r>
        <w:rPr>
          <w:spacing w:val="-67"/>
        </w:rPr>
        <w:t> </w:t>
      </w:r>
      <w:r>
        <w:rPr>
          <w:rFonts w:ascii="宋体" w:hAnsi="宋体" w:cs="宋体" w:eastAsia="宋体" w:hint="default"/>
        </w:rPr>
        <w:t>31.37%</w:t>
      </w:r>
      <w:r>
        <w:rPr/>
        <w:t>，其中研发费用资本化金额合 计为</w:t>
      </w:r>
      <w:r>
        <w:rPr>
          <w:spacing w:val="-50"/>
        </w:rPr>
        <w:t> </w:t>
      </w:r>
      <w:r>
        <w:rPr>
          <w:rFonts w:ascii="宋体" w:hAnsi="宋体" w:cs="宋体" w:eastAsia="宋体" w:hint="default"/>
        </w:rPr>
        <w:t>26,946,660.15</w:t>
      </w:r>
      <w:r>
        <w:rPr>
          <w:rFonts w:ascii="宋体" w:hAnsi="宋体" w:cs="宋体" w:eastAsia="宋体" w:hint="default"/>
          <w:spacing w:val="-51"/>
        </w:rPr>
        <w:t> </w:t>
      </w:r>
      <w:r>
        <w:rPr/>
        <w:t>元，费用化金额合计为</w:t>
      </w:r>
      <w:r>
        <w:rPr>
          <w:spacing w:val="-50"/>
        </w:rPr>
        <w:t> </w:t>
      </w:r>
      <w:r>
        <w:rPr>
          <w:rFonts w:ascii="宋体" w:hAnsi="宋体" w:cs="宋体" w:eastAsia="宋体" w:hint="default"/>
        </w:rPr>
        <w:t>30,421,573.20</w:t>
      </w:r>
      <w:r>
        <w:rPr>
          <w:rFonts w:ascii="宋体" w:hAnsi="宋体" w:cs="宋体" w:eastAsia="宋体" w:hint="default"/>
          <w:spacing w:val="-51"/>
        </w:rPr>
        <w:t> </w:t>
      </w:r>
      <w:r>
        <w:rPr/>
        <w:t>元，研发投入占销售收入比例为 </w:t>
      </w:r>
      <w:r>
        <w:rPr>
          <w:rFonts w:ascii="宋体" w:hAnsi="宋体" w:cs="宋体" w:eastAsia="宋体" w:hint="default"/>
        </w:rPr>
        <w:t>10.51%</w:t>
      </w:r>
      <w:r>
        <w:rPr/>
        <w:t>。</w:t>
      </w:r>
      <w:r>
        <w:rPr>
          <w:rFonts w:ascii="宋体" w:hAnsi="宋体" w:cs="宋体" w:eastAsia="宋体" w:hint="default"/>
        </w:rPr>
        <w:t>2015</w:t>
      </w:r>
      <w:r>
        <w:rPr>
          <w:rFonts w:ascii="宋体" w:hAnsi="宋体" w:cs="宋体" w:eastAsia="宋体" w:hint="default"/>
          <w:spacing w:val="-81"/>
        </w:rPr>
        <w:t> </w:t>
      </w:r>
      <w:r>
        <w:rPr/>
        <w:t>年，公司将进一步加大研发力度，在移动互联、物联网、大数据、云计算等技 术领域上继续加大研发投入。报告期内</w:t>
      </w:r>
      <w:r>
        <w:rPr>
          <w:rFonts w:ascii="宋体" w:hAnsi="宋体" w:cs="宋体" w:eastAsia="宋体" w:hint="default"/>
        </w:rPr>
        <w:t>,</w:t>
      </w:r>
      <w:r>
        <w:rPr/>
        <w:t>公司取得了多项专利和软件著作权，具体如下：</w:t>
      </w:r>
    </w:p>
    <w:p>
      <w:pPr>
        <w:spacing w:line="240" w:lineRule="auto" w:before="7"/>
        <w:rPr>
          <w:rFonts w:ascii="宋体" w:hAnsi="宋体" w:cs="宋体" w:eastAsia="宋体" w:hint="default"/>
          <w:sz w:val="5"/>
          <w:szCs w:val="5"/>
        </w:rPr>
      </w:pPr>
    </w:p>
    <w:p>
      <w:pPr>
        <w:spacing w:line="1485" w:lineRule="exact"/>
        <w:ind w:left="154"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6267450" cy="9429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267450" cy="942975"/>
                    </a:xfrm>
                    <a:prstGeom prst="rect">
                      <a:avLst/>
                    </a:prstGeom>
                  </pic:spPr>
                </pic:pic>
              </a:graphicData>
            </a:graphic>
          </wp:inline>
        </w:drawing>
      </w:r>
      <w:r>
        <w:rPr>
          <w:rFonts w:ascii="宋体" w:hAnsi="宋体" w:cs="宋体" w:eastAsia="宋体" w:hint="default"/>
          <w:position w:val="-29"/>
          <w:sz w:val="20"/>
          <w:szCs w:val="20"/>
        </w:rPr>
      </w:r>
    </w:p>
    <w:p>
      <w:pPr>
        <w:spacing w:after="0" w:line="1485" w:lineRule="exact"/>
        <w:rPr>
          <w:rFonts w:ascii="宋体" w:hAnsi="宋体" w:cs="宋体" w:eastAsia="宋体" w:hint="default"/>
          <w:sz w:val="20"/>
          <w:szCs w:val="20"/>
        </w:rPr>
        <w:sectPr>
          <w:type w:val="continuous"/>
          <w:pgSz w:w="11910" w:h="16840"/>
          <w:pgMar w:top="1060" w:bottom="1160" w:left="980" w:right="8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6720" w:lineRule="exact"/>
        <w:ind w:left="154" w:right="0" w:firstLine="0"/>
        <w:rPr>
          <w:rFonts w:ascii="宋体" w:hAnsi="宋体" w:cs="宋体" w:eastAsia="宋体" w:hint="default"/>
          <w:sz w:val="20"/>
          <w:szCs w:val="20"/>
        </w:rPr>
      </w:pPr>
      <w:r>
        <w:rPr>
          <w:rFonts w:ascii="宋体" w:hAnsi="宋体" w:cs="宋体" w:eastAsia="宋体" w:hint="default"/>
          <w:position w:val="-133"/>
          <w:sz w:val="20"/>
          <w:szCs w:val="20"/>
        </w:rPr>
        <w:drawing>
          <wp:inline distT="0" distB="0" distL="0" distR="0">
            <wp:extent cx="6267449" cy="42672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6267449" cy="4267200"/>
                    </a:xfrm>
                    <a:prstGeom prst="rect">
                      <a:avLst/>
                    </a:prstGeom>
                  </pic:spPr>
                </pic:pic>
              </a:graphicData>
            </a:graphic>
          </wp:inline>
        </w:drawing>
      </w:r>
      <w:r>
        <w:rPr>
          <w:rFonts w:ascii="宋体" w:hAnsi="宋体" w:cs="宋体" w:eastAsia="宋体" w:hint="default"/>
          <w:position w:val="-133"/>
          <w:sz w:val="20"/>
          <w:szCs w:val="20"/>
        </w:rPr>
      </w:r>
    </w:p>
    <w:p>
      <w:pPr>
        <w:spacing w:line="240" w:lineRule="auto" w:before="12"/>
        <w:rPr>
          <w:rFonts w:ascii="宋体" w:hAnsi="宋体" w:cs="宋体" w:eastAsia="宋体" w:hint="default"/>
          <w:sz w:val="29"/>
          <w:szCs w:val="2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57,368,233.35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43,670,685.47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37,331,966.14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26,946,660.15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20,294,985.26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11,157,706.50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2"/>
        <w:ind w:left="633" w:right="0"/>
        <w:jc w:val="left"/>
      </w:pPr>
      <w:r>
        <w:rPr/>
        <w:t>研发投入资本化率增加主要是公司加大研发投入。</w:t>
      </w:r>
    </w:p>
    <w:p>
      <w:pPr>
        <w:spacing w:line="240" w:lineRule="auto" w:before="2"/>
        <w:rPr>
          <w:rFonts w:ascii="宋体" w:hAnsi="宋体" w:cs="宋体" w:eastAsia="宋体" w:hint="default"/>
          <w:sz w:val="9"/>
          <w:szCs w:val="9"/>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before="103"/>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453,101,923.73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424,007,551.64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512,378,634.20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410,437,358.60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-59,276,710.47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13,570,193.04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-536.82%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402,437,957.77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31,710,058.46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1,169.12%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-402,342,957.77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-31,607,308.46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1,172.94%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174,666,197.00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84,394,955.10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164,150,264.17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50,448,666.67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225.38%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10,515,932.83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33,946,288.43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-451,103,735.41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15,909,173.01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-2,935.49%</w:t>
            </w:r>
            <w:r>
              <w:rPr>
                <w:rFonts w:ascii="Times New Roman"/>
                <w:sz w:val="18"/>
              </w:rPr>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213" w:firstLine="480"/>
        <w:jc w:val="left"/>
      </w:pPr>
      <w:r>
        <w:rPr>
          <w:rFonts w:ascii="宋体" w:hAnsi="宋体" w:cs="宋体" w:eastAsia="宋体" w:hint="default"/>
        </w:rPr>
        <w:t>1</w:t>
      </w:r>
      <w:r>
        <w:rPr/>
        <w:t>、经营活动产生的现金流量净额同比减少</w:t>
      </w:r>
      <w:r>
        <w:rPr>
          <w:spacing w:val="-80"/>
        </w:rPr>
        <w:t> </w:t>
      </w:r>
      <w:r>
        <w:rPr>
          <w:rFonts w:ascii="宋体" w:hAnsi="宋体" w:cs="宋体" w:eastAsia="宋体" w:hint="default"/>
        </w:rPr>
        <w:t>536.82%</w:t>
      </w:r>
      <w:r>
        <w:rPr/>
        <w:t>，主要是受部分项目回款速度较慢影 响，同时第三方采购支出增加较多所致；</w:t>
      </w:r>
    </w:p>
    <w:p>
      <w:pPr>
        <w:pStyle w:val="BodyText"/>
        <w:spacing w:line="240" w:lineRule="auto" w:before="77"/>
        <w:ind w:left="634" w:right="0"/>
        <w:jc w:val="left"/>
      </w:pPr>
      <w:r>
        <w:rPr>
          <w:rFonts w:ascii="宋体" w:hAnsi="宋体" w:cs="宋体" w:eastAsia="宋体" w:hint="default"/>
        </w:rPr>
        <w:t>2</w:t>
      </w:r>
      <w:r>
        <w:rPr/>
        <w:t>、投资活动现金流出小计同比增加 </w:t>
      </w:r>
      <w:r>
        <w:rPr>
          <w:rFonts w:ascii="宋体" w:hAnsi="宋体" w:cs="宋体" w:eastAsia="宋体" w:hint="default"/>
        </w:rPr>
        <w:t>1169.12%,</w:t>
      </w:r>
      <w:r>
        <w:rPr/>
        <w:t>主要是报告期内公司购买理财产品所致</w:t>
      </w:r>
      <w:r>
        <w:rPr>
          <w:spacing w:val="-82"/>
        </w:rPr>
        <w:t> </w:t>
      </w:r>
      <w:r>
        <w:rPr/>
        <w:t>；</w:t>
      </w:r>
    </w:p>
    <w:p>
      <w:pPr>
        <w:pStyle w:val="BodyText"/>
        <w:spacing w:line="240" w:lineRule="auto" w:before="193"/>
        <w:ind w:left="633" w:right="95"/>
        <w:jc w:val="left"/>
      </w:pPr>
      <w:r>
        <w:rPr>
          <w:rFonts w:ascii="宋体" w:hAnsi="宋体" w:cs="宋体" w:eastAsia="宋体" w:hint="default"/>
        </w:rPr>
        <w:t>3</w:t>
      </w:r>
      <w:r>
        <w:rPr/>
        <w:t>、筹资活动现金流入小计同比增加</w:t>
      </w:r>
      <w:r>
        <w:rPr>
          <w:spacing w:val="-60"/>
        </w:rPr>
        <w:t> </w:t>
      </w:r>
      <w:r>
        <w:rPr>
          <w:rFonts w:ascii="宋体" w:hAnsi="宋体" w:cs="宋体" w:eastAsia="宋体" w:hint="default"/>
        </w:rPr>
        <w:t>106.96%</w:t>
      </w:r>
      <w:r>
        <w:rPr/>
        <w:t>，主要是子公司汉王智通借款增加所致；</w:t>
      </w:r>
    </w:p>
    <w:p>
      <w:pPr>
        <w:pStyle w:val="BodyText"/>
        <w:spacing w:line="240" w:lineRule="auto" w:before="194"/>
        <w:ind w:left="633" w:right="0"/>
        <w:jc w:val="left"/>
      </w:pPr>
      <w:r>
        <w:rPr>
          <w:rFonts w:ascii="宋体" w:hAnsi="宋体" w:cs="宋体" w:eastAsia="宋体" w:hint="default"/>
          <w:spacing w:val="-5"/>
        </w:rPr>
        <w:t>4</w:t>
      </w:r>
      <w:r>
        <w:rPr>
          <w:spacing w:val="-5"/>
        </w:rPr>
        <w:t>、筹资活动现金流出小计同比增加</w:t>
      </w:r>
      <w:r>
        <w:rPr>
          <w:spacing w:val="-41"/>
        </w:rPr>
        <w:t> </w:t>
      </w:r>
      <w:r>
        <w:rPr>
          <w:rFonts w:ascii="宋体" w:hAnsi="宋体" w:cs="宋体" w:eastAsia="宋体" w:hint="default"/>
          <w:spacing w:val="-3"/>
        </w:rPr>
        <w:t>225.38%</w:t>
      </w:r>
      <w:r>
        <w:rPr>
          <w:spacing w:val="-3"/>
        </w:rPr>
        <w:t>，主要是报告期内归还借款和产生利息所致；</w:t>
      </w:r>
    </w:p>
    <w:p>
      <w:pPr>
        <w:pStyle w:val="BodyText"/>
        <w:spacing w:line="357" w:lineRule="auto" w:before="193"/>
        <w:ind w:left="154" w:right="212" w:firstLine="480"/>
        <w:jc w:val="left"/>
      </w:pPr>
      <w:r>
        <w:rPr>
          <w:rFonts w:ascii="宋体" w:hAnsi="宋体" w:cs="宋体" w:eastAsia="宋体" w:hint="default"/>
        </w:rPr>
        <w:t>5</w:t>
      </w:r>
      <w:r>
        <w:rPr/>
        <w:t>、现金及现金等价物净增加额同比减少</w:t>
      </w:r>
      <w:r>
        <w:rPr>
          <w:spacing w:val="-80"/>
        </w:rPr>
        <w:t> </w:t>
      </w:r>
      <w:r>
        <w:rPr>
          <w:rFonts w:ascii="宋体" w:hAnsi="宋体" w:cs="宋体" w:eastAsia="宋体" w:hint="default"/>
        </w:rPr>
        <w:t>2,935.49%</w:t>
      </w:r>
      <w:r>
        <w:rPr/>
        <w:t>，主要是银行定期存款及购买理财产 品冻结现金所致。</w:t>
      </w:r>
    </w:p>
    <w:p>
      <w:pPr>
        <w:spacing w:before="46"/>
        <w:ind w:left="154" w:right="9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38" w:lineRule="auto" w:before="116"/>
        <w:ind w:left="153" w:right="74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92,884,666.60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2"/>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19,594,225.22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40" w:lineRule="auto" w:before="102"/>
        <w:ind w:left="154" w:right="4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after="0" w:line="3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157" w:firstLine="480"/>
        <w:jc w:val="both"/>
      </w:pPr>
      <w:r>
        <w:rPr/>
        <w:t>报告期内，公司贯彻执行在招股说明书上表明的未来发展规划，充分发挥管理、人才、 技术、经验、客户等方面的优势，借助移动互联、云计算和大数据平台，在智慧城市管理领 域和国土资源管理与城市规划领域取得了扎实的进步。</w:t>
      </w:r>
    </w:p>
    <w:p>
      <w:pPr>
        <w:spacing w:before="47"/>
        <w:ind w:left="153" w:right="0" w:firstLine="0"/>
        <w:jc w:val="left"/>
        <w:rPr>
          <w:rFonts w:ascii="宋体" w:hAnsi="宋体" w:cs="宋体" w:eastAsia="宋体" w:hint="default"/>
          <w:sz w:val="18"/>
          <w:szCs w:val="18"/>
        </w:rPr>
      </w:pPr>
      <w:r>
        <w:rPr>
          <w:rFonts w:ascii="宋体" w:hAnsi="宋体" w:cs="宋体" w:eastAsia="宋体" w:hint="default"/>
          <w:sz w:val="18"/>
          <w:szCs w:val="18"/>
        </w:rPr>
        <w:t>前期披露的发展战略和经营计划在报告期内的进展情况</w:t>
      </w:r>
    </w:p>
    <w:p>
      <w:pPr>
        <w:pStyle w:val="BodyText"/>
        <w:spacing w:line="240" w:lineRule="auto" w:before="145"/>
        <w:ind w:left="634" w:right="0"/>
        <w:jc w:val="left"/>
      </w:pPr>
      <w:r>
        <w:rPr/>
        <w:t>详见本节</w:t>
      </w:r>
      <w:r>
        <w:rPr>
          <w:spacing w:val="-1"/>
        </w:rPr>
        <w:t>“</w:t>
      </w:r>
      <w:r>
        <w:rPr/>
        <w:t>一、管理层讨论与分析</w:t>
      </w:r>
      <w:r>
        <w:rPr>
          <w:spacing w:val="-120"/>
        </w:rPr>
        <w:t>”</w:t>
      </w:r>
      <w:r>
        <w:rPr/>
        <w:t>。</w:t>
      </w:r>
    </w:p>
    <w:p>
      <w:pPr>
        <w:spacing w:before="16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主营业务分部报告" w:id="23"/>
      <w:bookmarkEnd w:id="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）主营业务分部报告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智慧城市管理领域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532,636,113.26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234,378,709.39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国土资源管理与城市规划领域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13,450,641.06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7,797,875.84</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299,575,781.11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179,585,917.45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151,169,783.92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46,339,537.96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95,341,189.28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16,251,129.82</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307,942,898.55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129,583,024.28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238,143,855.77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112,593,560.95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99" w:space="542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智慧城市管理领 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532,636,113.26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298,257,403.87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国土资源管理与 城市规划领域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13,450,641.06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5,652,765.22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299,575,781.12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119,989,863.67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151,169,783.92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104,830,245.96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95,341,189.28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79,090,059.46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307,942,898.55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178,359,874.27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238,143,855.77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125,550,294.82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资产、负债状况分析" w:id="24"/>
      <w:bookmarkEnd w:id="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）资产、负债状况分析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547,524,539.1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38.78%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689,294,474.03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54.73%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-15.95%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364,451,160.3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25.81%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206,278,465.62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16.38%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9.43%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46,745,287.17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41,089,024.60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83,709,393.59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84,627,100.13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1,891,807.89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52"/>
        <w:gridCol w:w="1207"/>
        <w:gridCol w:w="1051"/>
        <w:gridCol w:w="810"/>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125,139,030.7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8.86%</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84,394,955.10</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6.70%</w:t>
            </w: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2.16%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52"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公司竞争能力重大变化分析" w:id="25"/>
      <w:bookmarkEnd w:id="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投资状况分析" w:id="26"/>
      <w:bookmarkEnd w:id="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）投资状况分析</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spacing w:line="34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公司报告期无对外投资。 </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募集资金总体使用情况</w:t>
      </w:r>
    </w:p>
    <w:p>
      <w:pPr>
        <w:spacing w:before="10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135" w:space="6605"/>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5,302.22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46,204.72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公司上市募集资金总额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万元，根据中瑞岳华会计师事务所出具的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中瑞岳华验字【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的验资报告，</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在扣除全部承销及保荐等费用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4,452.00  </w:t>
            </w:r>
            <w:r>
              <w:rPr>
                <w:rFonts w:ascii="宋体" w:hAnsi="宋体" w:cs="宋体" w:eastAsia="宋体" w:hint="default"/>
                <w:sz w:val="18"/>
                <w:szCs w:val="18"/>
              </w:rPr>
              <w:t>万元和其他发行费用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892.70  </w:t>
            </w:r>
            <w:r>
              <w:rPr>
                <w:rFonts w:ascii="宋体" w:hAnsi="宋体" w:cs="宋体" w:eastAsia="宋体" w:hint="default"/>
                <w:spacing w:val="-3"/>
                <w:sz w:val="18"/>
                <w:szCs w:val="18"/>
              </w:rPr>
              <w:t>万元后，实际募集资金净额为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70,255.30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万元，超募资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日，公司累计投入募集资金总额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46,204.72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数字城管系统</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项目累计投入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3,980.59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万元；数字社区管理与服务系统项目累计投入</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2,828.01</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万元；专业网格化系统项目累计投入</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2,228.74</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万元；金土工程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一张图</w:t>
            </w:r>
            <w:r>
              <w:rPr>
                <w:rFonts w:ascii="Times New Roman" w:hAnsi="Times New Roman" w:cs="Times New Roman" w:eastAsia="Times New Roman" w:hint="default"/>
                <w:sz w:val="18"/>
                <w:szCs w:val="18"/>
              </w:rPr>
              <w:t>”</w:t>
            </w:r>
            <w:r>
              <w:rPr>
                <w:rFonts w:ascii="宋体" w:hAnsi="宋体" w:cs="宋体" w:eastAsia="宋体" w:hint="default"/>
                <w:sz w:val="18"/>
                <w:szCs w:val="18"/>
              </w:rPr>
              <w:t>监管系统研发项目累计投入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3,090.44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万元；超募资金投入项目中，基于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Ladybug3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的车载激光扫 描系统研制、集成和应用项目累计投入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1,480.32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万元；武汉研发中心项目累计投入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3,953.25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万元；设立北京子公司累计投</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万元；收购收购汉王智通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before="51"/>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2"/>
        <w:ind w:left="154"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22"/>
      </w:tblGrid>
      <w:tr>
        <w:trPr>
          <w:trHeight w:val="1650"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1"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w:t>
            </w:r>
            <w:r>
              <w:rPr>
                <w:rFonts w:ascii="Times New Roman" w:hAnsi="Times New Roman" w:cs="Times New Roman" w:eastAsia="Times New Roman" w:hint="default"/>
                <w:sz w:val="18"/>
                <w:szCs w:val="18"/>
              </w:rPr>
              <w:t>”</w:t>
            </w:r>
            <w:r>
              <w:rPr>
                <w:rFonts w:ascii="宋体" w:hAnsi="宋体" w:cs="宋体" w:eastAsia="宋体" w:hint="default"/>
                <w:sz w:val="18"/>
                <w:szCs w:val="18"/>
              </w:rPr>
              <w:t>数字城 管系统项目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3,980.59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3,980.59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19,117.8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、数字社区管理与 服务系统项目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2,828.01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2,828.01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1,955.94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、专业网格化系统 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2,228.74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2,228.74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90.1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649"/>
                    <w:gridCol w:w="90"/>
                    <w:gridCol w:w="720"/>
                    <w:gridCol w:w="722"/>
                    <w:gridCol w:w="720"/>
                    <w:gridCol w:w="697"/>
                    <w:gridCol w:w="748"/>
                    <w:gridCol w:w="720"/>
                    <w:gridCol w:w="723"/>
                    <w:gridCol w:w="722"/>
                    <w:gridCol w:w="721"/>
                    <w:gridCol w:w="722"/>
                  </w:tblGrid>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、金土工程</w:t>
                        </w:r>
                        <w:r>
                          <w:rPr>
                            <w:rFonts w:ascii="Times New Roman" w:hAnsi="Times New Roman" w:cs="Times New Roman" w:eastAsia="Times New Roman" w:hint="default"/>
                            <w:sz w:val="18"/>
                            <w:szCs w:val="18"/>
                          </w:rPr>
                          <w:t>“</w:t>
                        </w:r>
                        <w:r>
                          <w:rPr>
                            <w:rFonts w:ascii="宋体" w:hAnsi="宋体" w:cs="宋体" w:eastAsia="宋体" w:hint="default"/>
                            <w:sz w:val="18"/>
                            <w:szCs w:val="18"/>
                          </w:rPr>
                          <w:t>一张 图</w:t>
                        </w:r>
                        <w:r>
                          <w:rPr>
                            <w:rFonts w:ascii="Times New Roman" w:hAnsi="Times New Roman" w:cs="Times New Roman" w:eastAsia="Times New Roman" w:hint="default"/>
                            <w:sz w:val="18"/>
                            <w:szCs w:val="18"/>
                          </w:rPr>
                          <w:t>”</w:t>
                        </w:r>
                        <w:r>
                          <w:rPr>
                            <w:rFonts w:ascii="宋体" w:hAnsi="宋体" w:cs="宋体" w:eastAsia="宋体" w:hint="default"/>
                            <w:sz w:val="18"/>
                            <w:szCs w:val="18"/>
                          </w:rPr>
                          <w:t>监管系统研发项 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3,090.44</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3,090.44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1,969.86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结余募投项目资金 补充流动资金</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3,221.15</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3,221.15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15,000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w:t>
                        </w: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15,348.9</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3</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8,237.7</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24,710.0</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Ladybug3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的车 载激光扫描系统研 </w:t>
                        </w:r>
                        <w:r>
                          <w:rPr>
                            <w:rFonts w:ascii="宋体" w:hAnsi="宋体" w:cs="宋体" w:eastAsia="宋体" w:hint="default"/>
                            <w:spacing w:val="-5"/>
                            <w:sz w:val="18"/>
                            <w:szCs w:val="18"/>
                          </w:rPr>
                          <w:t>制、集成和应用项目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4,627.72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4,627.72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2,918.12</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4,398.4</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95.05%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2,224.36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武汉研发中心项目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4,464.69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4,464.69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3,967.3</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88.86%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收购北京汉王智通 科技有限公司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10,490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3,576.45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设立全资子公司</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2,000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10,000</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10,000</w:t>
                        </w:r>
                      </w:p>
                    </w:tc>
                    <w:tc>
                      <w:tcPr>
                        <w:tcW w:w="720" w:type="dxa"/>
                        <w:vMerge w:val="restart"/>
                        <w:tcBorders>
                          <w:top w:val="single" w:sz="4" w:space="0" w:color="000000"/>
                          <w:left w:val="single" w:sz="4" w:space="0" w:color="000000"/>
                          <w:right w:val="single" w:sz="4" w:space="0" w:color="000000"/>
                        </w:tcBorders>
                      </w:tcPr>
                      <w:p>
                        <w:pP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w:t>
                        </w:r>
                      </w:p>
                    </w:tc>
                    <w:tc>
                      <w:tcPr>
                        <w:tcW w:w="74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vMerge/>
                        <w:tcBorders>
                          <w:left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9"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vMerge/>
                        <w:tcBorders>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9"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31,532.4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31,582.4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5,302.22</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30,855.</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79</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2,678.45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5,800.81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46,532.4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5,302.22</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40"/>
                          <w:jc w:val="right"/>
                          <w:rPr>
                            <w:rFonts w:ascii="Times New Roman" w:hAnsi="Times New Roman" w:cs="Times New Roman" w:eastAsia="Times New Roman" w:hint="default"/>
                            <w:sz w:val="18"/>
                            <w:szCs w:val="18"/>
                          </w:rPr>
                        </w:pPr>
                        <w:r>
                          <w:rPr>
                            <w:rFonts w:ascii="Times New Roman"/>
                            <w:sz w:val="18"/>
                          </w:rPr>
                          <w:t>46,204.</w:t>
                        </w:r>
                      </w:p>
                      <w:p>
                        <w:pPr>
                          <w:pStyle w:val="TableParagraph"/>
                          <w:spacing w:line="240" w:lineRule="auto" w:before="106"/>
                          <w:ind w:right="40"/>
                          <w:jc w:val="right"/>
                          <w:rPr>
                            <w:rFonts w:ascii="Times New Roman" w:hAnsi="Times New Roman" w:cs="Times New Roman" w:eastAsia="Times New Roman" w:hint="default"/>
                            <w:sz w:val="18"/>
                            <w:szCs w:val="18"/>
                          </w:rPr>
                        </w:pPr>
                        <w:r>
                          <w:rPr>
                            <w:rFonts w:ascii="Times New Roman"/>
                            <w:sz w:val="18"/>
                          </w:rPr>
                          <w:t>72</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30,510.8</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4" w:type="dxa"/>
                        <w:gridSpan w:val="12"/>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33" w:right="73"/>
                          <w:jc w:val="left"/>
                          <w:rPr>
                            <w:rFonts w:ascii="宋体" w:hAnsi="宋体" w:cs="宋体" w:eastAsia="宋体" w:hint="default"/>
                            <w:sz w:val="18"/>
                            <w:szCs w:val="18"/>
                          </w:rPr>
                        </w:pPr>
                        <w:r>
                          <w:rPr>
                            <w:rFonts w:ascii="宋体" w:hAnsi="宋体" w:cs="宋体" w:eastAsia="宋体" w:hint="default"/>
                            <w:sz w:val="18"/>
                            <w:szCs w:val="18"/>
                          </w:rPr>
                          <w:t>超募资金项目中</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年武汉研发中心项目已完成房屋建设及入住验收，目前开发商正在办理房屋产 权证书等手续，尚有尾款未付。</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4"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17" w:type="dxa"/>
                        <w:vMerge w:val="restart"/>
                        <w:tcBorders>
                          <w:top w:val="single" w:sz="4" w:space="0" w:color="000000"/>
                          <w:left w:val="single" w:sz="4" w:space="0" w:color="000000"/>
                          <w:right w:val="single" w:sz="4" w:space="0" w:color="000000"/>
                        </w:tcBorders>
                        <w:shd w:val="clear" w:color="auto" w:fill="D2D2D2"/>
                      </w:tcPr>
                      <w:p>
                        <w:pPr/>
                      </w:p>
                    </w:tc>
                    <w:tc>
                      <w:tcPr>
                        <w:tcW w:w="79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0" w:hRule="exact"/>
                    </w:trPr>
                    <w:tc>
                      <w:tcPr>
                        <w:tcW w:w="1617" w:type="dxa"/>
                        <w:vMerge/>
                        <w:tcBorders>
                          <w:left w:val="single" w:sz="4" w:space="0" w:color="000000"/>
                          <w:bottom w:val="nil" w:sz="6" w:space="0" w:color="auto"/>
                          <w:right w:val="single" w:sz="4" w:space="0" w:color="000000"/>
                        </w:tcBorders>
                        <w:shd w:val="clear" w:color="auto" w:fill="D2D2D2"/>
                      </w:tcPr>
                      <w:p>
                        <w:pPr/>
                      </w:p>
                    </w:tc>
                    <w:tc>
                      <w:tcPr>
                        <w:tcW w:w="7954" w:type="dxa"/>
                        <w:gridSpan w:val="12"/>
                        <w:vMerge w:val="restart"/>
                        <w:tcBorders>
                          <w:top w:val="single" w:sz="4" w:space="0" w:color="000000"/>
                          <w:left w:val="single" w:sz="10" w:space="0" w:color="D2D2D2"/>
                          <w:right w:val="single" w:sz="4" w:space="0" w:color="000000"/>
                        </w:tcBorders>
                      </w:tcPr>
                      <w:p>
                        <w:pPr>
                          <w:pStyle w:val="TableParagraph"/>
                          <w:spacing w:line="304" w:lineRule="auto" w:before="51"/>
                          <w:ind w:left="3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、公司首次公开发行所募得超募资金为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566,973,000.00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 </w:t>
                        </w:r>
                        <w:r>
                          <w:rPr>
                            <w:rFonts w:ascii="宋体" w:hAnsi="宋体" w:cs="宋体" w:eastAsia="宋体" w:hint="default"/>
                            <w:spacing w:val="-4"/>
                            <w:sz w:val="18"/>
                            <w:szCs w:val="18"/>
                          </w:rPr>
                          <w:t>届董事会第十四次会议审议通过了《关于使用超募资金建设基于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Ladybug3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的车载激光扫描系统研制</w:t>
                        </w:r>
                        <w:r>
                          <w:rPr>
                            <w:rFonts w:ascii="宋体" w:hAnsi="宋体" w:cs="宋体" w:eastAsia="宋体" w:hint="default"/>
                            <w:spacing w:val="-78"/>
                            <w:sz w:val="18"/>
                            <w:szCs w:val="18"/>
                          </w:rPr>
                          <w:t> </w:t>
                        </w:r>
                        <w:r>
                          <w:rPr>
                            <w:rFonts w:ascii="宋体" w:hAnsi="宋体" w:cs="宋体" w:eastAsia="宋体" w:hint="default"/>
                            <w:spacing w:val="-6"/>
                            <w:sz w:val="18"/>
                            <w:szCs w:val="18"/>
                          </w:rPr>
                          <w:t>集成和应用项目的议案》，公司使用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4,627.72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万元超募资金建设基于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Ladybug3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的车载激光扫描系统</w:t>
                        </w:r>
                        <w:r>
                          <w:rPr>
                            <w:rFonts w:ascii="宋体" w:hAnsi="宋体" w:cs="宋体" w:eastAsia="宋体" w:hint="default"/>
                            <w:spacing w:val="-88"/>
                            <w:sz w:val="18"/>
                            <w:szCs w:val="18"/>
                          </w:rPr>
                          <w:t> </w:t>
                        </w:r>
                        <w:r>
                          <w:rPr>
                            <w:rFonts w:ascii="宋体" w:hAnsi="宋体" w:cs="宋体" w:eastAsia="宋体" w:hint="default"/>
                            <w:sz w:val="18"/>
                            <w:szCs w:val="18"/>
                          </w:rPr>
                          <w:t>研制、集成和应用项目。截止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日，该项目已投入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4,398.44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1"/>
                            <w:sz w:val="18"/>
                            <w:szCs w:val="18"/>
                          </w:rPr>
                          <w:t>日，公司第一届董事会第二十一次会议审议通过《关于利用部分超募资金投资设立武汉研发中心的议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案》，公司拟使用</w:t>
                        </w:r>
                        <w:r>
                          <w:rPr>
                            <w:rFonts w:ascii="宋体" w:hAnsi="宋体" w:cs="宋体" w:eastAsia="宋体" w:hint="default"/>
                            <w:sz w:val="18"/>
                            <w:szCs w:val="18"/>
                          </w:rPr>
                          <w:t> </w:t>
                        </w:r>
                        <w:r>
                          <w:rPr>
                            <w:rFonts w:ascii="Times New Roman" w:hAnsi="Times New Roman" w:cs="Times New Roman" w:eastAsia="Times New Roman" w:hint="default"/>
                            <w:sz w:val="18"/>
                            <w:szCs w:val="18"/>
                          </w:rPr>
                          <w:t>4,464.69</w:t>
                        </w:r>
                        <w:r>
                          <w:rPr>
                            <w:rFonts w:ascii="Times New Roman" w:hAnsi="Times New Roman" w:cs="Times New Roman" w:eastAsia="Times New Roman" w:hint="default"/>
                            <w:spacing w:val="35"/>
                            <w:sz w:val="18"/>
                            <w:szCs w:val="18"/>
                          </w:rPr>
                          <w:t> </w:t>
                        </w:r>
                        <w:r>
                          <w:rPr>
                            <w:rFonts w:ascii="宋体" w:hAnsi="宋体" w:cs="宋体" w:eastAsia="宋体" w:hint="default"/>
                            <w:spacing w:val="-1"/>
                            <w:sz w:val="18"/>
                            <w:szCs w:val="18"/>
                          </w:rPr>
                          <w:t>万元超募资金在湖北省武汉市东湖高新区光谷金融港内投资设立武汉研发</w:t>
                        </w:r>
                      </w:p>
                      <w:p>
                        <w:pPr>
                          <w:pStyle w:val="TableParagraph"/>
                          <w:spacing w:line="240" w:lineRule="auto" w:before="9"/>
                          <w:ind w:left="32" w:right="0"/>
                          <w:jc w:val="left"/>
                          <w:rPr>
                            <w:rFonts w:ascii="宋体" w:hAnsi="宋体" w:cs="宋体" w:eastAsia="宋体" w:hint="default"/>
                            <w:sz w:val="18"/>
                            <w:szCs w:val="18"/>
                          </w:rPr>
                        </w:pPr>
                        <w:r>
                          <w:rPr>
                            <w:rFonts w:ascii="宋体" w:hAnsi="宋体" w:cs="宋体" w:eastAsia="宋体" w:hint="default"/>
                            <w:sz w:val="18"/>
                            <w:szCs w:val="18"/>
                          </w:rPr>
                          <w:t>中心，截止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月审议通过了使用部分</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pacing w:val="-3"/>
                            <w:sz w:val="18"/>
                            <w:szCs w:val="18"/>
                          </w:rPr>
                          <w:t>超募资金永久性补充流动资金的议案，使用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万元超募资金永久补充流动资金，有利于缓解流动</w:t>
                        </w:r>
                      </w:p>
                    </w:tc>
                  </w:tr>
                  <w:tr>
                    <w:trPr>
                      <w:trHeight w:val="705"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54" w:type="dxa"/>
                        <w:gridSpan w:val="12"/>
                        <w:vMerge/>
                        <w:tcBorders>
                          <w:left w:val="single" w:sz="10" w:space="0" w:color="D2D2D2"/>
                          <w:right w:val="single" w:sz="4" w:space="0" w:color="000000"/>
                        </w:tcBorders>
                      </w:tcPr>
                      <w:p>
                        <w:pPr/>
                      </w:p>
                    </w:tc>
                  </w:tr>
                  <w:tr>
                    <w:trPr>
                      <w:trHeight w:val="1122"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4" w:type="dxa"/>
                        <w:gridSpan w:val="12"/>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0" w:right="158" w:firstLine="0"/>
        <w:jc w:val="right"/>
        <w:rPr>
          <w:rFonts w:ascii="宋体" w:hAnsi="宋体" w:cs="宋体" w:eastAsia="宋体" w:hint="default"/>
          <w:sz w:val="18"/>
          <w:szCs w:val="18"/>
        </w:rPr>
      </w:pPr>
      <w:r>
        <w:rPr/>
        <w:pict>
          <v:shape style="position:absolute;margin-left:56.459999pt;margin-top:-76.828278pt;width:479.3pt;height:571.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2859"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资金的需求压力，提升募集资金使用效率。已完成超募资金补充流动资金。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pacing w:val="-3"/>
                            <w:sz w:val="18"/>
                            <w:szCs w:val="18"/>
                          </w:rPr>
                          <w:t>公司第二届董事会第五次会议审议通过《关于使用部分超募资金设立全资子公司的议案》。为了进一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步充分利用公司的技术和市场优势，提高超募资金的使用效率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及为了更好地开展公司各项业务和取得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与之对应的业务资质，公司使用超募资金投资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万元设立北京数字政通信息技术有限公司，公司 已完成子公司的工商登记工作。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年第三次临时股东大会审议通过使用 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10,440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万元收购汉王科技股份有限公司全资子公司北京汉王智通科技有限公司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的股权 </w:t>
                        </w:r>
                        <w:r>
                          <w:rPr>
                            <w:rFonts w:ascii="宋体" w:hAnsi="宋体" w:cs="宋体" w:eastAsia="宋体" w:hint="default"/>
                            <w:spacing w:val="-1"/>
                            <w:sz w:val="18"/>
                            <w:szCs w:val="18"/>
                          </w:rPr>
                          <w:t>此次收购是为了加强公司在智慧城市顶层设计领域的技术实力，并在智能交通和平安城市领域内挖掘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新的业务成长点，完善和增加公司的产品线，提升专业技术服务能力。截止报告期末，公司已按合同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约定支付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日，公司四项承诺募投项目均已达到预定可使用状态。截止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314"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募集资金结余（含募集资金专户利息）共计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3,176.69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万元。出现结余的主要原因是募投项目建设过程 </w:t>
                        </w:r>
                        <w:r>
                          <w:rPr>
                            <w:rFonts w:ascii="宋体" w:hAnsi="宋体" w:cs="宋体" w:eastAsia="宋体" w:hint="default"/>
                            <w:spacing w:val="-3"/>
                            <w:sz w:val="18"/>
                            <w:szCs w:val="18"/>
                          </w:rPr>
                          <w:t>中，公司充分结合现有的设备配置与自身的技术优势和经验，对募投项目的研发和生产环节进行优化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使得研发测试和生产设备的固定资产投入较计划投入大幅减少，减少了项目总开支。同时，在项目建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设过程中，公司坚持谨慎、节约的原则，对市场进行充分调研，在保证项目质量的前提下，对部分设</w:t>
                        </w:r>
                        <w:r>
                          <w:rPr>
                            <w:rFonts w:ascii="宋体" w:hAnsi="宋体" w:cs="宋体" w:eastAsia="宋体" w:hint="default"/>
                            <w:sz w:val="18"/>
                            <w:szCs w:val="18"/>
                          </w:rPr>
                          <w:t> 备进行集中采购，降低设备采购成本。</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p>
      <w:pPr>
        <w:spacing w:line="348" w:lineRule="auto" w:before="103"/>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48" w:lineRule="auto" w:before="14"/>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after="0" w:line="34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line="348" w:lineRule="auto" w:before="103"/>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6）主要控股参股公司分析" w:id="27"/>
      <w:bookmarkEnd w:id="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）主要控股参股公司分析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4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315" w:space="6605"/>
            <w:col w:w="103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5" w:right="106"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39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上海政通 信息科技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z w:val="18"/>
                <w:szCs w:val="18"/>
              </w:rPr>
              <w:t>计算机软 件领域内 的技术开 </w:t>
            </w:r>
            <w:r>
              <w:rPr>
                <w:rFonts w:ascii="宋体" w:hAnsi="宋体" w:cs="宋体" w:eastAsia="宋体" w:hint="default"/>
                <w:spacing w:val="-3"/>
                <w:sz w:val="18"/>
                <w:szCs w:val="18"/>
              </w:rPr>
              <w:t>发、技术咨</w:t>
            </w:r>
            <w:r>
              <w:rPr>
                <w:rFonts w:ascii="宋体" w:hAnsi="宋体" w:cs="宋体" w:eastAsia="宋体" w:hint="default"/>
                <w:sz w:val="18"/>
                <w:szCs w:val="18"/>
              </w:rPr>
              <w:t> </w:t>
            </w:r>
            <w:r>
              <w:rPr>
                <w:rFonts w:ascii="宋体" w:hAnsi="宋体" w:cs="宋体" w:eastAsia="宋体" w:hint="default"/>
                <w:spacing w:val="-3"/>
                <w:sz w:val="18"/>
                <w:szCs w:val="18"/>
              </w:rPr>
              <w:t>询、技术服</w:t>
            </w:r>
            <w:r>
              <w:rPr>
                <w:rFonts w:ascii="宋体" w:hAnsi="宋体" w:cs="宋体" w:eastAsia="宋体" w:hint="default"/>
                <w:sz w:val="18"/>
                <w:szCs w:val="18"/>
              </w:rPr>
              <w:t> </w:t>
            </w:r>
            <w:r>
              <w:rPr>
                <w:rFonts w:ascii="宋体" w:hAnsi="宋体" w:cs="宋体" w:eastAsia="宋体" w:hint="default"/>
                <w:spacing w:val="-3"/>
                <w:sz w:val="18"/>
                <w:szCs w:val="18"/>
              </w:rPr>
              <w:t>务、技术转</w:t>
            </w:r>
            <w:r>
              <w:rPr>
                <w:rFonts w:ascii="宋体" w:hAnsi="宋体" w:cs="宋体" w:eastAsia="宋体" w:hint="default"/>
                <w:sz w:val="18"/>
                <w:szCs w:val="18"/>
              </w:rPr>
              <w:t> </w:t>
            </w:r>
            <w:r>
              <w:rPr>
                <w:rFonts w:ascii="宋体" w:hAnsi="宋体" w:cs="宋体" w:eastAsia="宋体" w:hint="default"/>
                <w:spacing w:val="-3"/>
                <w:sz w:val="18"/>
                <w:szCs w:val="18"/>
              </w:rPr>
              <w:t>让，图文设</w:t>
            </w:r>
            <w:r>
              <w:rPr>
                <w:rFonts w:ascii="宋体" w:hAnsi="宋体" w:cs="宋体" w:eastAsia="宋体" w:hint="default"/>
                <w:sz w:val="18"/>
                <w:szCs w:val="18"/>
              </w:rPr>
              <w:t> 计、制作， 商务信息 </w:t>
            </w:r>
            <w:r>
              <w:rPr>
                <w:rFonts w:ascii="宋体" w:hAnsi="宋体" w:cs="宋体" w:eastAsia="宋体" w:hint="default"/>
                <w:spacing w:val="-3"/>
                <w:sz w:val="18"/>
                <w:szCs w:val="18"/>
              </w:rPr>
              <w:t>咨询（除经</w:t>
            </w:r>
            <w:r>
              <w:rPr>
                <w:rFonts w:ascii="宋体" w:hAnsi="宋体" w:cs="宋体" w:eastAsia="宋体" w:hint="default"/>
                <w:sz w:val="18"/>
                <w:szCs w:val="18"/>
              </w:rPr>
              <w:t> </w:t>
            </w:r>
            <w:r>
              <w:rPr>
                <w:rFonts w:ascii="宋体" w:hAnsi="宋体" w:cs="宋体" w:eastAsia="宋体" w:hint="default"/>
                <w:spacing w:val="-18"/>
                <w:sz w:val="18"/>
                <w:szCs w:val="18"/>
              </w:rPr>
              <w:t>纪），计算</w:t>
            </w:r>
            <w:r>
              <w:rPr>
                <w:rFonts w:ascii="宋体" w:hAnsi="宋体" w:cs="宋体" w:eastAsia="宋体" w:hint="default"/>
                <w:sz w:val="18"/>
                <w:szCs w:val="18"/>
              </w:rPr>
              <w:t> 机软硬件 </w:t>
            </w:r>
            <w:r>
              <w:rPr>
                <w:rFonts w:ascii="宋体" w:hAnsi="宋体" w:cs="宋体" w:eastAsia="宋体" w:hint="default"/>
                <w:spacing w:val="-3"/>
                <w:sz w:val="18"/>
                <w:szCs w:val="18"/>
              </w:rPr>
              <w:t>销售，从事</w:t>
            </w:r>
            <w:r>
              <w:rPr>
                <w:rFonts w:ascii="宋体" w:hAnsi="宋体" w:cs="宋体" w:eastAsia="宋体" w:hint="default"/>
                <w:sz w:val="18"/>
                <w:szCs w:val="18"/>
              </w:rPr>
              <w:t> 货物进出 口及技术 的进出口 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2,031,996.2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2,031,996.2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5,216.11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5,216.11</w:t>
            </w:r>
          </w:p>
        </w:tc>
      </w:tr>
      <w:tr>
        <w:trPr>
          <w:trHeight w:val="285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武汉智慧 政通科技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3"/>
                <w:sz w:val="18"/>
                <w:szCs w:val="18"/>
              </w:rPr>
              <w:t>件研发、转</w:t>
            </w:r>
            <w:r>
              <w:rPr>
                <w:rFonts w:ascii="宋体" w:hAnsi="宋体" w:cs="宋体" w:eastAsia="宋体" w:hint="default"/>
                <w:sz w:val="18"/>
                <w:szCs w:val="18"/>
              </w:rPr>
              <w:t> </w:t>
            </w:r>
            <w:r>
              <w:rPr>
                <w:rFonts w:ascii="宋体" w:hAnsi="宋体" w:cs="宋体" w:eastAsia="宋体" w:hint="default"/>
                <w:spacing w:val="-3"/>
                <w:sz w:val="18"/>
                <w:szCs w:val="18"/>
              </w:rPr>
              <w:t>让、技术咨</w:t>
            </w:r>
            <w:r>
              <w:rPr>
                <w:rFonts w:ascii="宋体" w:hAnsi="宋体" w:cs="宋体" w:eastAsia="宋体" w:hint="default"/>
                <w:sz w:val="18"/>
                <w:szCs w:val="18"/>
              </w:rPr>
              <w:t> </w:t>
            </w:r>
            <w:r>
              <w:rPr>
                <w:rFonts w:ascii="宋体" w:hAnsi="宋体" w:cs="宋体" w:eastAsia="宋体" w:hint="default"/>
                <w:spacing w:val="-3"/>
                <w:sz w:val="18"/>
                <w:szCs w:val="18"/>
              </w:rPr>
              <w:t>询服务；图</w:t>
            </w:r>
            <w:r>
              <w:rPr>
                <w:rFonts w:ascii="宋体" w:hAnsi="宋体" w:cs="宋体" w:eastAsia="宋体" w:hint="default"/>
                <w:sz w:val="18"/>
                <w:szCs w:val="18"/>
              </w:rPr>
              <w:t> </w:t>
            </w:r>
            <w:r>
              <w:rPr>
                <w:rFonts w:ascii="宋体" w:hAnsi="宋体" w:cs="宋体" w:eastAsia="宋体" w:hint="default"/>
                <w:spacing w:val="-3"/>
                <w:sz w:val="18"/>
                <w:szCs w:val="18"/>
              </w:rPr>
              <w:t>文设计、制</w:t>
            </w:r>
            <w:r>
              <w:rPr>
                <w:rFonts w:ascii="宋体" w:hAnsi="宋体" w:cs="宋体" w:eastAsia="宋体" w:hint="default"/>
                <w:sz w:val="18"/>
                <w:szCs w:val="18"/>
              </w:rPr>
              <w:t> </w:t>
            </w:r>
            <w:r>
              <w:rPr>
                <w:rFonts w:ascii="宋体" w:hAnsi="宋体" w:cs="宋体" w:eastAsia="宋体" w:hint="default"/>
                <w:spacing w:val="-3"/>
                <w:sz w:val="18"/>
                <w:szCs w:val="18"/>
              </w:rPr>
              <w:t>作；商务信</w:t>
            </w:r>
            <w:r>
              <w:rPr>
                <w:rFonts w:ascii="宋体" w:hAnsi="宋体" w:cs="宋体" w:eastAsia="宋体" w:hint="default"/>
                <w:sz w:val="18"/>
                <w:szCs w:val="18"/>
              </w:rPr>
              <w:t> </w:t>
            </w:r>
            <w:r>
              <w:rPr>
                <w:rFonts w:ascii="宋体" w:hAnsi="宋体" w:cs="宋体" w:eastAsia="宋体" w:hint="default"/>
                <w:spacing w:val="-3"/>
                <w:sz w:val="18"/>
                <w:szCs w:val="18"/>
              </w:rPr>
              <w:t>息咨询；货</w:t>
            </w:r>
            <w:r>
              <w:rPr>
                <w:rFonts w:ascii="宋体" w:hAnsi="宋体" w:cs="宋体" w:eastAsia="宋体" w:hint="default"/>
                <w:sz w:val="18"/>
                <w:szCs w:val="18"/>
              </w:rPr>
              <w:t> 物及技术 </w:t>
            </w:r>
            <w:r>
              <w:rPr>
                <w:rFonts w:ascii="宋体" w:hAnsi="宋体" w:cs="宋体" w:eastAsia="宋体" w:hint="default"/>
                <w:spacing w:val="-3"/>
                <w:sz w:val="18"/>
                <w:szCs w:val="18"/>
              </w:rPr>
              <w:t>进出口（不</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10,001,777.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10,001,777.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w w:val="95"/>
                <w:sz w:val="18"/>
              </w:rPr>
              <w:t>-2,767.09</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w w:val="95"/>
                <w:sz w:val="18"/>
              </w:rPr>
              <w:t>-2,767.09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2235"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含国家禁 止或限制 进出口的 货物及技 </w:t>
            </w:r>
            <w:r>
              <w:rPr>
                <w:rFonts w:ascii="宋体" w:hAnsi="宋体" w:cs="宋体" w:eastAsia="宋体" w:hint="default"/>
                <w:spacing w:val="-18"/>
                <w:sz w:val="18"/>
                <w:szCs w:val="18"/>
              </w:rPr>
              <w:t>术）；计算</w:t>
            </w:r>
            <w:r>
              <w:rPr>
                <w:rFonts w:ascii="宋体" w:hAnsi="宋体" w:cs="宋体" w:eastAsia="宋体" w:hint="default"/>
                <w:sz w:val="18"/>
                <w:szCs w:val="18"/>
              </w:rPr>
              <w:t> 机软件硬 件销售。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91"/>
              <w:jc w:val="both"/>
              <w:rPr>
                <w:rFonts w:ascii="宋体" w:hAnsi="宋体" w:cs="宋体" w:eastAsia="宋体" w:hint="default"/>
                <w:sz w:val="18"/>
                <w:szCs w:val="18"/>
              </w:rPr>
            </w:pPr>
            <w:r>
              <w:rPr>
                <w:rFonts w:ascii="宋体" w:hAnsi="宋体" w:cs="宋体" w:eastAsia="宋体" w:hint="default"/>
                <w:sz w:val="18"/>
                <w:szCs w:val="18"/>
              </w:rPr>
              <w:t>北京数字 政通信息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3"/>
                <w:sz w:val="18"/>
                <w:szCs w:val="18"/>
              </w:rPr>
              <w:t>件研发、技</w:t>
            </w:r>
            <w:r>
              <w:rPr>
                <w:rFonts w:ascii="宋体" w:hAnsi="宋体" w:cs="宋体" w:eastAsia="宋体" w:hint="default"/>
                <w:sz w:val="18"/>
                <w:szCs w:val="18"/>
              </w:rPr>
              <w:t> </w:t>
            </w:r>
            <w:r>
              <w:rPr>
                <w:rFonts w:ascii="宋体" w:hAnsi="宋体" w:cs="宋体" w:eastAsia="宋体" w:hint="default"/>
                <w:spacing w:val="-3"/>
                <w:sz w:val="18"/>
                <w:szCs w:val="18"/>
              </w:rPr>
              <w:t>术转让、技</w:t>
            </w:r>
            <w:r>
              <w:rPr>
                <w:rFonts w:ascii="宋体" w:hAnsi="宋体" w:cs="宋体" w:eastAsia="宋体" w:hint="default"/>
                <w:sz w:val="18"/>
                <w:szCs w:val="18"/>
              </w:rPr>
              <w:t> </w:t>
            </w:r>
            <w:r>
              <w:rPr>
                <w:rFonts w:ascii="宋体" w:hAnsi="宋体" w:cs="宋体" w:eastAsia="宋体" w:hint="default"/>
                <w:spacing w:val="-3"/>
                <w:sz w:val="18"/>
                <w:szCs w:val="18"/>
              </w:rPr>
              <w:t>术咨询、技</w:t>
            </w:r>
            <w:r>
              <w:rPr>
                <w:rFonts w:ascii="宋体" w:hAnsi="宋体" w:cs="宋体" w:eastAsia="宋体" w:hint="default"/>
                <w:sz w:val="18"/>
                <w:szCs w:val="18"/>
              </w:rPr>
              <w:t> </w:t>
            </w:r>
            <w:r>
              <w:rPr>
                <w:rFonts w:ascii="宋体" w:hAnsi="宋体" w:cs="宋体" w:eastAsia="宋体" w:hint="default"/>
                <w:spacing w:val="-3"/>
                <w:sz w:val="18"/>
                <w:szCs w:val="18"/>
              </w:rPr>
              <w:t>术服务；计</w:t>
            </w:r>
            <w:r>
              <w:rPr>
                <w:rFonts w:ascii="宋体" w:hAnsi="宋体" w:cs="宋体" w:eastAsia="宋体" w:hint="default"/>
                <w:sz w:val="18"/>
                <w:szCs w:val="18"/>
              </w:rPr>
              <w:t> 算机系统 </w:t>
            </w:r>
            <w:r>
              <w:rPr>
                <w:rFonts w:ascii="宋体" w:hAnsi="宋体" w:cs="宋体" w:eastAsia="宋体" w:hint="default"/>
                <w:spacing w:val="-3"/>
                <w:sz w:val="18"/>
                <w:szCs w:val="18"/>
              </w:rPr>
              <w:t>集成；电脑</w:t>
            </w:r>
            <w:r>
              <w:rPr>
                <w:rFonts w:ascii="宋体" w:hAnsi="宋体" w:cs="宋体" w:eastAsia="宋体" w:hint="default"/>
                <w:sz w:val="18"/>
                <w:szCs w:val="18"/>
              </w:rPr>
              <w:t> 图文设计、 </w:t>
            </w:r>
            <w:r>
              <w:rPr>
                <w:rFonts w:ascii="宋体" w:hAnsi="宋体" w:cs="宋体" w:eastAsia="宋体" w:hint="default"/>
                <w:spacing w:val="-3"/>
                <w:sz w:val="18"/>
                <w:szCs w:val="18"/>
              </w:rPr>
              <w:t>制作；经济</w:t>
            </w:r>
            <w:r>
              <w:rPr>
                <w:rFonts w:ascii="宋体" w:hAnsi="宋体" w:cs="宋体" w:eastAsia="宋体" w:hint="default"/>
                <w:sz w:val="18"/>
                <w:szCs w:val="18"/>
              </w:rPr>
              <w:t> 信息咨询</w:t>
            </w:r>
          </w:p>
          <w:p>
            <w:pPr>
              <w:pStyle w:val="TableParagraph"/>
              <w:spacing w:line="319" w:lineRule="auto" w:before="19"/>
              <w:ind w:left="22" w:right="9"/>
              <w:jc w:val="left"/>
              <w:rPr>
                <w:rFonts w:ascii="宋体" w:hAnsi="宋体" w:cs="宋体" w:eastAsia="宋体" w:hint="default"/>
                <w:sz w:val="18"/>
                <w:szCs w:val="18"/>
              </w:rPr>
            </w:pPr>
            <w:r>
              <w:rPr>
                <w:rFonts w:ascii="宋体" w:hAnsi="宋体" w:cs="宋体" w:eastAsia="宋体" w:hint="default"/>
                <w:sz w:val="18"/>
                <w:szCs w:val="18"/>
              </w:rPr>
              <w:t>（需行政 许可项目 </w:t>
            </w:r>
            <w:r>
              <w:rPr>
                <w:rFonts w:ascii="宋体" w:hAnsi="宋体" w:cs="宋体" w:eastAsia="宋体" w:hint="default"/>
                <w:spacing w:val="-18"/>
                <w:sz w:val="18"/>
                <w:szCs w:val="18"/>
              </w:rPr>
              <w:t>除外）；投</w:t>
            </w:r>
            <w:r>
              <w:rPr>
                <w:rFonts w:ascii="宋体" w:hAnsi="宋体" w:cs="宋体" w:eastAsia="宋体" w:hint="default"/>
                <w:sz w:val="18"/>
                <w:szCs w:val="18"/>
              </w:rPr>
              <w:t> 资及投资 </w:t>
            </w:r>
            <w:r>
              <w:rPr>
                <w:rFonts w:ascii="宋体" w:hAnsi="宋体" w:cs="宋体" w:eastAsia="宋体" w:hint="default"/>
                <w:spacing w:val="-3"/>
                <w:sz w:val="18"/>
                <w:szCs w:val="18"/>
              </w:rPr>
              <w:t>管理；货物</w:t>
            </w:r>
            <w:r>
              <w:rPr>
                <w:rFonts w:ascii="宋体" w:hAnsi="宋体" w:cs="宋体" w:eastAsia="宋体" w:hint="default"/>
                <w:sz w:val="18"/>
                <w:szCs w:val="18"/>
              </w:rPr>
              <w:t> </w:t>
            </w:r>
            <w:r>
              <w:rPr>
                <w:rFonts w:ascii="宋体" w:hAnsi="宋体" w:cs="宋体" w:eastAsia="宋体" w:hint="default"/>
                <w:spacing w:val="-3"/>
                <w:sz w:val="18"/>
                <w:szCs w:val="18"/>
              </w:rPr>
              <w:t>进出口、技</w:t>
            </w:r>
            <w:r>
              <w:rPr>
                <w:rFonts w:ascii="宋体" w:hAnsi="宋体" w:cs="宋体" w:eastAsia="宋体" w:hint="default"/>
                <w:sz w:val="18"/>
                <w:szCs w:val="18"/>
              </w:rPr>
              <w:t> 术进出口、 代理进出 口。</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19,994,295.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19,994,295.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-11.43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-11.43</w:t>
            </w:r>
          </w:p>
        </w:tc>
      </w:tr>
      <w:tr>
        <w:trPr>
          <w:trHeight w:val="414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北京汉王 智通科技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高速公路 领域的收 </w:t>
            </w:r>
            <w:r>
              <w:rPr>
                <w:rFonts w:ascii="宋体" w:hAnsi="宋体" w:cs="宋体" w:eastAsia="宋体" w:hint="default"/>
                <w:spacing w:val="-3"/>
                <w:sz w:val="18"/>
                <w:szCs w:val="18"/>
              </w:rPr>
              <w:t>费系统、称</w:t>
            </w:r>
            <w:r>
              <w:rPr>
                <w:rFonts w:ascii="宋体" w:hAnsi="宋体" w:cs="宋体" w:eastAsia="宋体" w:hint="default"/>
                <w:sz w:val="18"/>
                <w:szCs w:val="18"/>
              </w:rPr>
              <w:t> </w:t>
            </w:r>
            <w:r>
              <w:rPr>
                <w:rFonts w:ascii="宋体" w:hAnsi="宋体" w:cs="宋体" w:eastAsia="宋体" w:hint="default"/>
                <w:spacing w:val="-3"/>
                <w:sz w:val="18"/>
                <w:szCs w:val="18"/>
              </w:rPr>
              <w:t>重系统、超</w:t>
            </w:r>
            <w:r>
              <w:rPr>
                <w:rFonts w:ascii="宋体" w:hAnsi="宋体" w:cs="宋体" w:eastAsia="宋体" w:hint="default"/>
                <w:sz w:val="18"/>
                <w:szCs w:val="18"/>
              </w:rPr>
              <w:t> 速布控系 统及安防 领域的城 市卡口监 </w:t>
            </w:r>
            <w:r>
              <w:rPr>
                <w:rFonts w:ascii="宋体" w:hAnsi="宋体" w:cs="宋体" w:eastAsia="宋体" w:hint="default"/>
                <w:spacing w:val="-3"/>
                <w:sz w:val="18"/>
                <w:szCs w:val="18"/>
              </w:rPr>
              <w:t>控系统、电</w:t>
            </w:r>
            <w:r>
              <w:rPr>
                <w:rFonts w:ascii="宋体" w:hAnsi="宋体" w:cs="宋体" w:eastAsia="宋体" w:hint="default"/>
                <w:sz w:val="18"/>
                <w:szCs w:val="18"/>
              </w:rPr>
              <w:t> 子警察系 </w:t>
            </w:r>
            <w:r>
              <w:rPr>
                <w:rFonts w:ascii="宋体" w:hAnsi="宋体" w:cs="宋体" w:eastAsia="宋体" w:hint="default"/>
                <w:spacing w:val="-3"/>
                <w:sz w:val="18"/>
                <w:szCs w:val="18"/>
              </w:rPr>
              <w:t>统、停车场</w:t>
            </w:r>
            <w:r>
              <w:rPr>
                <w:rFonts w:ascii="宋体" w:hAnsi="宋体" w:cs="宋体" w:eastAsia="宋体" w:hint="default"/>
                <w:sz w:val="18"/>
                <w:szCs w:val="18"/>
              </w:rPr>
              <w:t> 车辆管理 系统。</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0" w:right="0"/>
              <w:jc w:val="left"/>
              <w:rPr>
                <w:rFonts w:ascii="Times New Roman" w:hAnsi="Times New Roman" w:cs="Times New Roman" w:eastAsia="Times New Roman" w:hint="default"/>
                <w:sz w:val="18"/>
                <w:szCs w:val="18"/>
              </w:rPr>
            </w:pPr>
            <w:r>
              <w:rPr>
                <w:rFonts w:ascii="Times New Roman"/>
                <w:sz w:val="18"/>
              </w:rPr>
              <w:t>286,763,54</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4.50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67,939,231.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0" w:right="0"/>
              <w:jc w:val="left"/>
              <w:rPr>
                <w:rFonts w:ascii="Times New Roman" w:hAnsi="Times New Roman" w:cs="Times New Roman" w:eastAsia="Times New Roman" w:hint="default"/>
                <w:sz w:val="18"/>
                <w:szCs w:val="18"/>
              </w:rPr>
            </w:pPr>
            <w:r>
              <w:rPr>
                <w:rFonts w:ascii="Times New Roman"/>
                <w:sz w:val="18"/>
              </w:rPr>
              <w:t>175,805,13</w:t>
            </w:r>
          </w:p>
          <w:p>
            <w:pPr>
              <w:pStyle w:val="TableParagraph"/>
              <w:spacing w:line="240" w:lineRule="auto" w:before="105"/>
              <w:ind w:left="602" w:right="0"/>
              <w:jc w:val="left"/>
              <w:rPr>
                <w:rFonts w:ascii="Times New Roman" w:hAnsi="Times New Roman" w:cs="Times New Roman" w:eastAsia="Times New Roman" w:hint="default"/>
                <w:sz w:val="18"/>
                <w:szCs w:val="18"/>
              </w:rPr>
            </w:pPr>
            <w:r>
              <w:rPr>
                <w:rFonts w:ascii="Times New Roman"/>
                <w:sz w:val="18"/>
              </w:rPr>
              <w:t>9.11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55" w:right="0"/>
              <w:jc w:val="left"/>
              <w:rPr>
                <w:rFonts w:ascii="Times New Roman" w:hAnsi="Times New Roman" w:cs="Times New Roman" w:eastAsia="Times New Roman" w:hint="default"/>
                <w:sz w:val="18"/>
                <w:szCs w:val="18"/>
              </w:rPr>
            </w:pPr>
            <w:r>
              <w:rPr>
                <w:rFonts w:ascii="Times New Roman"/>
                <w:sz w:val="18"/>
              </w:rPr>
              <w:t>21,652,92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7.92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30,701,245.0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克拉玛依 数字政通 信息科技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9"/>
              <w:jc w:val="left"/>
              <w:rPr>
                <w:rFonts w:ascii="宋体" w:hAnsi="宋体" w:cs="宋体" w:eastAsia="宋体" w:hint="default"/>
                <w:sz w:val="18"/>
                <w:szCs w:val="18"/>
              </w:rPr>
            </w:pPr>
            <w:r>
              <w:rPr>
                <w:rFonts w:ascii="宋体" w:hAnsi="宋体" w:cs="宋体" w:eastAsia="宋体" w:hint="default"/>
                <w:sz w:val="18"/>
                <w:szCs w:val="18"/>
              </w:rPr>
              <w:t>信息技术 </w:t>
            </w:r>
            <w:r>
              <w:rPr>
                <w:rFonts w:ascii="宋体" w:hAnsi="宋体" w:cs="宋体" w:eastAsia="宋体" w:hint="default"/>
                <w:spacing w:val="-3"/>
                <w:sz w:val="18"/>
                <w:szCs w:val="18"/>
              </w:rPr>
              <w:t>服务，技术</w:t>
            </w:r>
            <w:r>
              <w:rPr>
                <w:rFonts w:ascii="宋体" w:hAnsi="宋体" w:cs="宋体" w:eastAsia="宋体" w:hint="default"/>
                <w:sz w:val="18"/>
                <w:szCs w:val="18"/>
              </w:rPr>
              <w:t> 推广服务； 社会经济</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4,207,722.9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3,251,816.4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335,755.3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251,816.48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3171"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pacing w:val="-3"/>
                <w:sz w:val="18"/>
                <w:szCs w:val="18"/>
              </w:rPr>
              <w:t>咨询；计算</w:t>
            </w:r>
            <w:r>
              <w:rPr>
                <w:rFonts w:ascii="宋体" w:hAnsi="宋体" w:cs="宋体" w:eastAsia="宋体" w:hint="default"/>
                <w:sz w:val="18"/>
                <w:szCs w:val="18"/>
              </w:rPr>
              <w:t> 机系统服 </w:t>
            </w:r>
            <w:r>
              <w:rPr>
                <w:rFonts w:ascii="宋体" w:hAnsi="宋体" w:cs="宋体" w:eastAsia="宋体" w:hint="default"/>
                <w:spacing w:val="-3"/>
                <w:sz w:val="18"/>
                <w:szCs w:val="18"/>
              </w:rPr>
              <w:t>务；货物与</w:t>
            </w:r>
            <w:r>
              <w:rPr>
                <w:rFonts w:ascii="宋体" w:hAnsi="宋体" w:cs="宋体" w:eastAsia="宋体" w:hint="default"/>
                <w:sz w:val="18"/>
                <w:szCs w:val="18"/>
              </w:rPr>
              <w:t> 技术的进 出口业务； 通讯设备， 电子产品， </w:t>
            </w:r>
            <w:r>
              <w:rPr>
                <w:rFonts w:ascii="宋体" w:hAnsi="宋体" w:cs="宋体" w:eastAsia="宋体" w:hint="default"/>
                <w:spacing w:val="-3"/>
                <w:sz w:val="18"/>
                <w:szCs w:val="18"/>
              </w:rPr>
              <w:t>计算机，软</w:t>
            </w:r>
            <w:r>
              <w:rPr>
                <w:rFonts w:ascii="宋体" w:hAnsi="宋体" w:cs="宋体" w:eastAsia="宋体" w:hint="default"/>
                <w:sz w:val="18"/>
                <w:szCs w:val="18"/>
              </w:rPr>
              <w:t> 件及辅助 设备销售。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安徽数字 政通科技 有限责任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87"/>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信息技术 </w:t>
            </w:r>
            <w:r>
              <w:rPr>
                <w:rFonts w:ascii="宋体" w:hAnsi="宋体" w:cs="宋体" w:eastAsia="宋体" w:hint="default"/>
                <w:spacing w:val="-3"/>
                <w:sz w:val="18"/>
                <w:szCs w:val="18"/>
              </w:rPr>
              <w:t>服务，技术</w:t>
            </w:r>
            <w:r>
              <w:rPr>
                <w:rFonts w:ascii="宋体" w:hAnsi="宋体" w:cs="宋体" w:eastAsia="宋体" w:hint="default"/>
                <w:sz w:val="18"/>
                <w:szCs w:val="18"/>
              </w:rPr>
              <w:t> 推广服务； 社会经济 </w:t>
            </w:r>
            <w:r>
              <w:rPr>
                <w:rFonts w:ascii="宋体" w:hAnsi="宋体" w:cs="宋体" w:eastAsia="宋体" w:hint="default"/>
                <w:spacing w:val="-3"/>
                <w:sz w:val="18"/>
                <w:szCs w:val="18"/>
              </w:rPr>
              <w:t>咨询；计算</w:t>
            </w:r>
            <w:r>
              <w:rPr>
                <w:rFonts w:ascii="宋体" w:hAnsi="宋体" w:cs="宋体" w:eastAsia="宋体" w:hint="default"/>
                <w:sz w:val="18"/>
                <w:szCs w:val="18"/>
              </w:rPr>
              <w:t> 机系统服 </w:t>
            </w:r>
            <w:r>
              <w:rPr>
                <w:rFonts w:ascii="宋体" w:hAnsi="宋体" w:cs="宋体" w:eastAsia="宋体" w:hint="default"/>
                <w:spacing w:val="-3"/>
                <w:sz w:val="18"/>
                <w:szCs w:val="18"/>
              </w:rPr>
              <w:t>务；货物与</w:t>
            </w:r>
            <w:r>
              <w:rPr>
                <w:rFonts w:ascii="宋体" w:hAnsi="宋体" w:cs="宋体" w:eastAsia="宋体" w:hint="default"/>
                <w:sz w:val="18"/>
                <w:szCs w:val="18"/>
              </w:rPr>
              <w:t> 技术的进 出口业务； 通讯设备， 电子产品， </w:t>
            </w:r>
            <w:r>
              <w:rPr>
                <w:rFonts w:ascii="宋体" w:hAnsi="宋体" w:cs="宋体" w:eastAsia="宋体" w:hint="default"/>
                <w:spacing w:val="-3"/>
                <w:sz w:val="18"/>
                <w:szCs w:val="18"/>
              </w:rPr>
              <w:t>计算机，软</w:t>
            </w:r>
            <w:r>
              <w:rPr>
                <w:rFonts w:ascii="宋体" w:hAnsi="宋体" w:cs="宋体" w:eastAsia="宋体" w:hint="default"/>
                <w:sz w:val="18"/>
                <w:szCs w:val="18"/>
              </w:rPr>
              <w:t> 件及辅助 设备销售。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pStyle w:val="BodyText"/>
        <w:spacing w:line="386" w:lineRule="auto" w:before="146"/>
        <w:ind w:left="633" w:right="214"/>
        <w:jc w:val="left"/>
      </w:pPr>
      <w:r>
        <w:rPr>
          <w:rFonts w:ascii="宋体" w:hAnsi="宋体" w:cs="宋体" w:eastAsia="宋体" w:hint="default"/>
        </w:rPr>
        <w:t>1</w:t>
      </w:r>
      <w:r>
        <w:rPr/>
        <w:t>、上海政通信息科技有限公司 上海政通信息科技有限公司为公司全资子公司，该公司成立于</w:t>
      </w:r>
      <w:r>
        <w:rPr>
          <w:spacing w:val="-53"/>
        </w:rPr>
        <w:t> </w:t>
      </w:r>
      <w:r>
        <w:rPr>
          <w:rFonts w:ascii="宋体" w:hAnsi="宋体" w:cs="宋体" w:eastAsia="宋体" w:hint="default"/>
        </w:rPr>
        <w:t>2007</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日，注册</w:t>
      </w:r>
    </w:p>
    <w:p>
      <w:pPr>
        <w:pStyle w:val="BodyText"/>
        <w:spacing w:line="357" w:lineRule="auto" w:before="7"/>
        <w:ind w:left="154" w:right="231"/>
        <w:jc w:val="both"/>
      </w:pPr>
      <w:r>
        <w:rPr/>
        <w:t>资本为 </w:t>
      </w:r>
      <w:r>
        <w:rPr>
          <w:rFonts w:ascii="宋体" w:hAnsi="宋体" w:cs="宋体" w:eastAsia="宋体" w:hint="default"/>
        </w:rPr>
        <w:t>200</w:t>
      </w:r>
      <w:r>
        <w:rPr>
          <w:rFonts w:ascii="宋体" w:hAnsi="宋体" w:cs="宋体" w:eastAsia="宋体" w:hint="default"/>
          <w:spacing w:val="-82"/>
        </w:rPr>
        <w:t> </w:t>
      </w:r>
      <w:r>
        <w:rPr/>
        <w:t>万元人民币。上海政通信息科技有限公司的经营范围为计算机软件领域内的技术 </w:t>
      </w:r>
      <w:r>
        <w:rPr>
          <w:spacing w:val="-6"/>
        </w:rPr>
        <w:t>开发、技术咨询、技术服务、技术转让，图文设计、制作，商务信息咨询（除经纪），计算机</w:t>
      </w:r>
      <w:r>
        <w:rPr>
          <w:spacing w:val="-81"/>
        </w:rPr>
        <w:t> </w:t>
      </w:r>
      <w:r>
        <w:rPr>
          <w:spacing w:val="-81"/>
        </w:rPr>
      </w:r>
      <w:r>
        <w:rPr>
          <w:spacing w:val="-4"/>
        </w:rPr>
        <w:t>软硬件销售，从事货物进出口及技术的进出口业务（涉及行政许可的，凭许可经营）。</w:t>
      </w:r>
    </w:p>
    <w:p>
      <w:pPr>
        <w:pStyle w:val="BodyText"/>
        <w:spacing w:line="388" w:lineRule="auto" w:before="76"/>
        <w:ind w:left="633" w:right="214"/>
        <w:jc w:val="left"/>
      </w:pPr>
      <w:r>
        <w:rPr>
          <w:rFonts w:ascii="宋体" w:hAnsi="宋体" w:cs="宋体" w:eastAsia="宋体" w:hint="default"/>
        </w:rPr>
        <w:t>2</w:t>
      </w:r>
      <w:r>
        <w:rPr/>
        <w:t>、武汉智慧政通科技有限公司 武汉智慧政通科技有限公司为公司全资子公司，该公司成立于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日，注册</w:t>
      </w:r>
    </w:p>
    <w:p>
      <w:pPr>
        <w:pStyle w:val="BodyText"/>
        <w:spacing w:line="357" w:lineRule="auto" w:before="5"/>
        <w:ind w:right="98"/>
        <w:jc w:val="left"/>
      </w:pPr>
      <w:r>
        <w:rPr/>
        <w:t>资本为</w:t>
      </w:r>
      <w:r>
        <w:rPr>
          <w:spacing w:val="-50"/>
        </w:rPr>
        <w:t> </w:t>
      </w:r>
      <w:r>
        <w:rPr>
          <w:rFonts w:ascii="宋体" w:hAnsi="宋体" w:cs="宋体" w:eastAsia="宋体" w:hint="default"/>
        </w:rPr>
        <w:t>1,000</w:t>
      </w:r>
      <w:r>
        <w:rPr>
          <w:rFonts w:ascii="宋体" w:hAnsi="宋体" w:cs="宋体" w:eastAsia="宋体" w:hint="default"/>
          <w:spacing w:val="-50"/>
        </w:rPr>
        <w:t> </w:t>
      </w:r>
      <w:r>
        <w:rPr>
          <w:spacing w:val="-3"/>
        </w:rPr>
        <w:t>万元人民币。武汉智慧政通科技有限公司的经营范围为计算机软件研发、转让、</w:t>
      </w:r>
      <w:r>
        <w:rPr/>
        <w:t> 技术咨询服务；图文设计、制作；商务信息咨询；货物及技术进出口（不含国家禁止或限制 </w:t>
      </w:r>
      <w:r>
        <w:rPr>
          <w:spacing w:val="-6"/>
        </w:rPr>
        <w:t>进出口的货物及技术）；计算机软件硬件销售。</w:t>
      </w:r>
    </w:p>
    <w:p>
      <w:pPr>
        <w:pStyle w:val="BodyText"/>
        <w:spacing w:line="386" w:lineRule="auto" w:before="76"/>
        <w:ind w:left="634" w:right="131"/>
        <w:jc w:val="left"/>
      </w:pPr>
      <w:r>
        <w:rPr>
          <w:rFonts w:ascii="宋体" w:hAnsi="宋体" w:cs="宋体" w:eastAsia="宋体" w:hint="default"/>
        </w:rPr>
        <w:t>3</w:t>
      </w:r>
      <w:r>
        <w:rPr/>
        <w:t>、北京数字政通信息技术有限公司 北京数字政通信息技术有限公司为公司全资子公司，该公司成立于</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p>
    <w:p>
      <w:pPr>
        <w:spacing w:after="0" w:line="386"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1"/>
        <w:jc w:val="both"/>
      </w:pPr>
      <w:r>
        <w:rPr/>
        <w:t>注册资本为 </w:t>
      </w:r>
      <w:r>
        <w:rPr>
          <w:rFonts w:ascii="宋体" w:hAnsi="宋体" w:cs="宋体" w:eastAsia="宋体" w:hint="default"/>
        </w:rPr>
        <w:t>2,000</w:t>
      </w:r>
      <w:r>
        <w:rPr>
          <w:rFonts w:ascii="宋体" w:hAnsi="宋体" w:cs="宋体" w:eastAsia="宋体" w:hint="default"/>
          <w:spacing w:val="-82"/>
        </w:rPr>
        <w:t> </w:t>
      </w:r>
      <w:r>
        <w:rPr/>
        <w:t>万元人民币。北京数字政通信息技术有限公司的经营范围为计算机软件研 发、技术转让、技术咨询、技术服务；计算机系统集成；电脑图文设计、制作；经济信息咨 </w:t>
      </w:r>
      <w:r>
        <w:rPr>
          <w:spacing w:val="-4"/>
        </w:rPr>
        <w:t>询（需行政许可项目除外）；投资及投资管理；货物进出口、技术进出口、代理进出口。</w:t>
      </w:r>
    </w:p>
    <w:p>
      <w:pPr>
        <w:pStyle w:val="BodyText"/>
        <w:spacing w:line="388" w:lineRule="auto" w:before="76"/>
        <w:ind w:left="633" w:right="214"/>
        <w:jc w:val="left"/>
        <w:rPr>
          <w:rFonts w:ascii="宋体" w:hAnsi="宋体" w:cs="宋体" w:eastAsia="宋体" w:hint="default"/>
        </w:rPr>
      </w:pPr>
      <w:r>
        <w:rPr>
          <w:rFonts w:ascii="宋体" w:hAnsi="宋体" w:cs="宋体" w:eastAsia="宋体" w:hint="default"/>
        </w:rPr>
        <w:t>4</w:t>
      </w:r>
      <w:r>
        <w:rPr/>
        <w:t>、北京汉王智通科技有限公司 北京汉王智通科技有限公司为公司控股公司，公司持有其 </w:t>
      </w:r>
      <w:r>
        <w:rPr>
          <w:rFonts w:ascii="宋体" w:hAnsi="宋体" w:cs="宋体" w:eastAsia="宋体" w:hint="default"/>
        </w:rPr>
        <w:t>90%</w:t>
      </w:r>
      <w:r>
        <w:rPr/>
        <w:t>股权，该公司成立于</w:t>
      </w:r>
      <w:r>
        <w:rPr>
          <w:spacing w:val="-81"/>
        </w:rPr>
        <w:t> </w:t>
      </w:r>
      <w:r>
        <w:rPr>
          <w:rFonts w:ascii="宋体" w:hAnsi="宋体" w:cs="宋体" w:eastAsia="宋体" w:hint="default"/>
        </w:rPr>
        <w:t>2010</w:t>
      </w:r>
    </w:p>
    <w:p>
      <w:pPr>
        <w:pStyle w:val="BodyText"/>
        <w:spacing w:line="357" w:lineRule="auto" w:before="5"/>
        <w:ind w:right="232"/>
        <w:jc w:val="both"/>
      </w:pP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4</w:t>
      </w:r>
      <w:r>
        <w:rPr>
          <w:rFonts w:ascii="宋体" w:hAnsi="宋体" w:cs="宋体" w:eastAsia="宋体" w:hint="default"/>
          <w:spacing w:val="-57"/>
        </w:rPr>
        <w:t> </w:t>
      </w:r>
      <w:r>
        <w:rPr>
          <w:spacing w:val="-4"/>
        </w:rPr>
        <w:t>日，注册资本为</w:t>
      </w:r>
      <w:r>
        <w:rPr>
          <w:spacing w:val="-57"/>
        </w:rPr>
        <w:t> </w:t>
      </w:r>
      <w:r>
        <w:rPr>
          <w:rFonts w:ascii="宋体" w:hAnsi="宋体" w:cs="宋体" w:eastAsia="宋体" w:hint="default"/>
        </w:rPr>
        <w:t>4,000</w:t>
      </w:r>
      <w:r>
        <w:rPr>
          <w:rFonts w:ascii="宋体" w:hAnsi="宋体" w:cs="宋体" w:eastAsia="宋体" w:hint="default"/>
          <w:spacing w:val="-57"/>
        </w:rPr>
        <w:t> </w:t>
      </w:r>
      <w:r>
        <w:rPr>
          <w:spacing w:val="-3"/>
        </w:rPr>
        <w:t>万元人民币。主营业务为高速公路领域的收费系统、称重系</w:t>
      </w:r>
      <w:r>
        <w:rPr/>
        <w:t> 统、超速布控系统及安防领域的城市卡口监控系统、电子警察系统、停车场车辆管理系统。 本报告期实现净利润</w:t>
      </w:r>
      <w:r>
        <w:rPr>
          <w:spacing w:val="-60"/>
        </w:rPr>
        <w:t> </w:t>
      </w:r>
      <w:r>
        <w:rPr>
          <w:rFonts w:ascii="宋体" w:hAnsi="宋体" w:cs="宋体" w:eastAsia="宋体" w:hint="default"/>
        </w:rPr>
        <w:t>3070.12</w:t>
      </w:r>
      <w:r>
        <w:rPr>
          <w:rFonts w:ascii="宋体" w:hAnsi="宋体" w:cs="宋体" w:eastAsia="宋体" w:hint="default"/>
          <w:spacing w:val="-60"/>
        </w:rPr>
        <w:t> </w:t>
      </w:r>
      <w:r>
        <w:rPr/>
        <w:t>万元。</w:t>
      </w:r>
    </w:p>
    <w:p>
      <w:pPr>
        <w:pStyle w:val="BodyText"/>
        <w:spacing w:line="386" w:lineRule="auto" w:before="76"/>
        <w:ind w:left="633" w:right="219"/>
        <w:jc w:val="left"/>
      </w:pPr>
      <w:r>
        <w:rPr>
          <w:rFonts w:ascii="宋体" w:hAnsi="宋体" w:cs="宋体" w:eastAsia="宋体" w:hint="default"/>
        </w:rPr>
        <w:t>5</w:t>
      </w:r>
      <w:r>
        <w:rPr/>
        <w:t>、克拉玛依数字政通信息科技有限公司 </w:t>
      </w:r>
      <w:r>
        <w:rPr>
          <w:spacing w:val="-3"/>
        </w:rPr>
        <w:t>克拉玛依数字政通信息科技有限公司为公司全资子公司，该公司于</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日完</w:t>
      </w:r>
    </w:p>
    <w:p>
      <w:pPr>
        <w:pStyle w:val="BodyText"/>
        <w:spacing w:line="357" w:lineRule="auto" w:before="7"/>
        <w:ind w:right="231"/>
        <w:jc w:val="both"/>
      </w:pPr>
      <w:r>
        <w:rPr/>
        <w:t>成工商执照登记，注册资本 </w:t>
      </w:r>
      <w:r>
        <w:rPr>
          <w:rFonts w:ascii="宋体" w:hAnsi="宋体" w:cs="宋体" w:eastAsia="宋体" w:hint="default"/>
        </w:rPr>
        <w:t>300</w:t>
      </w:r>
      <w:r>
        <w:rPr>
          <w:rFonts w:ascii="宋体" w:hAnsi="宋体" w:cs="宋体" w:eastAsia="宋体" w:hint="default"/>
          <w:spacing w:val="-82"/>
        </w:rPr>
        <w:t> </w:t>
      </w:r>
      <w:r>
        <w:rPr/>
        <w:t>万元。主营业务为信息技术服务，技术推广服务；社会经济 咨询；计算机系统服务；货物与技术的进出口业务；通讯设备，电子产品，计算机，软件及 辅助设备销售。</w:t>
      </w:r>
    </w:p>
    <w:p>
      <w:pPr>
        <w:pStyle w:val="BodyText"/>
        <w:spacing w:line="386" w:lineRule="auto" w:before="77"/>
        <w:ind w:left="633" w:right="214"/>
        <w:jc w:val="left"/>
      </w:pPr>
      <w:r>
        <w:rPr>
          <w:rFonts w:ascii="宋体" w:hAnsi="宋体" w:cs="宋体" w:eastAsia="宋体" w:hint="default"/>
        </w:rPr>
        <w:t>6</w:t>
      </w:r>
      <w:r>
        <w:rPr/>
        <w:t>、安徽数字政通科技有限责任公司 安徽数字政通科技有限责任公司为公司全资子公司，该公司于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日完成工</w:t>
      </w:r>
    </w:p>
    <w:p>
      <w:pPr>
        <w:pStyle w:val="BodyText"/>
        <w:spacing w:line="357" w:lineRule="auto" w:before="7"/>
        <w:ind w:right="100"/>
        <w:jc w:val="left"/>
      </w:pPr>
      <w:r>
        <w:rPr>
          <w:spacing w:val="-3"/>
        </w:rPr>
        <w:t>商执照登记，注册资本</w:t>
      </w:r>
      <w:r>
        <w:rPr>
          <w:spacing w:val="-45"/>
        </w:rPr>
        <w:t> </w:t>
      </w:r>
      <w:r>
        <w:rPr>
          <w:rFonts w:ascii="宋体" w:hAnsi="宋体" w:cs="宋体" w:eastAsia="宋体" w:hint="default"/>
        </w:rPr>
        <w:t>400</w:t>
      </w:r>
      <w:r>
        <w:rPr>
          <w:rFonts w:ascii="宋体" w:hAnsi="宋体" w:cs="宋体" w:eastAsia="宋体" w:hint="default"/>
          <w:spacing w:val="-45"/>
        </w:rPr>
        <w:t> </w:t>
      </w:r>
      <w:r>
        <w:rPr>
          <w:spacing w:val="-3"/>
        </w:rPr>
        <w:t>万元。主营业务为信息技术服务，技术推广服务；社会经济咨询；</w:t>
      </w:r>
      <w:r>
        <w:rPr>
          <w:spacing w:val="-118"/>
        </w:rPr>
        <w:t> </w:t>
      </w:r>
      <w:r>
        <w:rPr>
          <w:spacing w:val="-118"/>
        </w:rPr>
      </w:r>
      <w:r>
        <w:rPr/>
        <w:t>计算机系统服务；货物与技术的进出口业务；通讯设备，电子产品，计算机，软件及辅助设 备销售。</w:t>
      </w:r>
    </w:p>
    <w:p>
      <w:pPr>
        <w:spacing w:before="46"/>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7）公司控制的特殊目的主体情况"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）公司控制的特殊目的主体情况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11"/>
        <w:rPr>
          <w:rFonts w:ascii="宋体" w:hAnsi="宋体" w:cs="宋体" w:eastAsia="宋体" w:hint="default"/>
          <w:b/>
          <w:bCs/>
          <w:sz w:val="28"/>
          <w:szCs w:val="28"/>
        </w:rPr>
      </w:pPr>
    </w:p>
    <w:p>
      <w:pPr>
        <w:pStyle w:val="Heading2"/>
        <w:spacing w:line="240" w:lineRule="auto"/>
        <w:ind w:left="636" w:right="95"/>
        <w:jc w:val="left"/>
        <w:rPr>
          <w:b w:val="0"/>
          <w:bCs w:val="0"/>
        </w:rPr>
      </w:pPr>
      <w:r>
        <w:rPr/>
        <w:t>（一）内生稳步增长，外延加速扩张</w:t>
      </w:r>
      <w:r>
        <w:rPr>
          <w:b w:val="0"/>
          <w:bCs w:val="0"/>
        </w:rPr>
      </w:r>
    </w:p>
    <w:p>
      <w:pPr>
        <w:pStyle w:val="BodyText"/>
        <w:spacing w:line="357" w:lineRule="auto" w:before="154"/>
        <w:ind w:right="103" w:firstLine="480"/>
        <w:jc w:val="left"/>
      </w:pPr>
      <w:r>
        <w:rPr>
          <w:rFonts w:ascii="宋体" w:hAnsi="宋体" w:cs="宋体" w:eastAsia="宋体" w:hint="default"/>
        </w:rPr>
        <w:t>2015</w:t>
      </w:r>
      <w:r>
        <w:rPr>
          <w:rFonts w:ascii="宋体" w:hAnsi="宋体" w:cs="宋体" w:eastAsia="宋体" w:hint="default"/>
          <w:spacing w:val="-68"/>
        </w:rPr>
        <w:t> </w:t>
      </w:r>
      <w:r>
        <w:rPr/>
        <w:t>年，公司在保持传统业务稳定增长的同时，将进一步推广发展新产品和新技术。围 </w:t>
      </w:r>
      <w:r>
        <w:rPr>
          <w:spacing w:val="-5"/>
        </w:rPr>
        <w:t>绕智慧城市建设，结合移动互联、云计算和大数据技术，向新业态下的“互联网</w:t>
      </w:r>
      <w:r>
        <w:rPr>
          <w:rFonts w:ascii="宋体" w:hAnsi="宋体" w:cs="宋体" w:eastAsia="宋体" w:hint="default"/>
          <w:spacing w:val="-5"/>
        </w:rPr>
        <w:t>+</w:t>
      </w:r>
      <w:r>
        <w:rPr>
          <w:spacing w:val="-5"/>
        </w:rPr>
        <w:t>”形态演进。</w:t>
      </w:r>
    </w:p>
    <w:p>
      <w:pPr>
        <w:pStyle w:val="BodyText"/>
        <w:spacing w:line="357" w:lineRule="auto"/>
        <w:ind w:left="154" w:right="252" w:firstLine="480"/>
        <w:jc w:val="left"/>
      </w:pPr>
      <w:r>
        <w:rPr/>
        <w:t>公司将不断完善业务发展布局，在数字化城市管理领域精耕细作，通过拓宽客户广度和 产品深度进一步提高市场占有率。不断推进和扩展工地管理、违章建筑、渣土管理、环卫管</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69"/>
        <w:jc w:val="both"/>
      </w:pPr>
      <w:r>
        <w:rPr/>
        <w:t>理、文明监测、污水处理、灾害管理、食品药品监督、公共安全监督、校园安全、农村治理 等近</w:t>
      </w:r>
      <w:r>
        <w:rPr>
          <w:spacing w:val="-60"/>
        </w:rPr>
        <w:t> </w:t>
      </w:r>
      <w:r>
        <w:rPr>
          <w:rFonts w:ascii="宋体" w:hAnsi="宋体" w:cs="宋体" w:eastAsia="宋体" w:hint="default"/>
        </w:rPr>
        <w:t>30</w:t>
      </w:r>
      <w:r>
        <w:rPr>
          <w:rFonts w:ascii="宋体" w:hAnsi="宋体" w:cs="宋体" w:eastAsia="宋体" w:hint="default"/>
          <w:spacing w:val="-60"/>
        </w:rPr>
        <w:t> </w:t>
      </w:r>
      <w:r>
        <w:rPr/>
        <w:t>项专业领域子系统。同时，公司将推出基于云平台的数字化城市管理解决方案</w:t>
      </w:r>
      <w:r>
        <w:rPr>
          <w:rFonts w:ascii="宋体" w:hAnsi="宋体" w:cs="宋体" w:eastAsia="宋体" w:hint="default"/>
        </w:rPr>
        <w:t>-</w:t>
      </w:r>
      <w:r>
        <w:rPr/>
        <w:t>“智 云”平台，通过大数据管理、大数据分析、可视化数据融合和多源化数据整合，全面提升数 字化城市管理系统的运行效率，解决性能、存储、故障、安全等方面的问题。</w:t>
      </w:r>
    </w:p>
    <w:p>
      <w:pPr>
        <w:pStyle w:val="BodyText"/>
        <w:spacing w:line="357" w:lineRule="auto"/>
        <w:ind w:right="269" w:firstLine="480"/>
        <w:jc w:val="both"/>
      </w:pPr>
      <w:r>
        <w:rPr/>
        <w:t>在智能泊车领域，公司将加大力度拓展市场，充分发挥自身的技术优势，开展智能泊车 各项服务业务。与城市管理部门、停车场经营企业和物业公司合作，实现优势互补、强强联 合、相互促进、共同提升，通过设立控股、参股公司等多种形式，开展智能泊车业务及相关 的数据增值服务，探索城市网格化智能泊车管理的新模式，进一步增强公司智能泊车业务的 市场领导地位。</w:t>
      </w:r>
    </w:p>
    <w:p>
      <w:pPr>
        <w:pStyle w:val="BodyText"/>
        <w:spacing w:line="357" w:lineRule="auto"/>
        <w:ind w:right="230" w:firstLine="480"/>
        <w:jc w:val="both"/>
      </w:pPr>
      <w:r>
        <w:rPr/>
        <w:t>在智慧城市运营服务方面，公司希望将运营服务业务从“被动信息采集”发展到</w:t>
      </w:r>
      <w:r>
        <w:rPr>
          <w:spacing w:val="-78"/>
        </w:rPr>
        <w:t> </w:t>
      </w:r>
      <w:r>
        <w:rPr/>
        <w:t>“主动</w:t>
      </w:r>
      <w:r>
        <w:rPr/>
        <w:t> 信息服务”，借助云平台，加强公司在智慧城市领域的大数据应用能力，以智能众包的模式 解决智慧城市应用中的城市管理、社区服务、智能交通、智慧医疗、智慧环保、文明测评、 商业调查等领域的精准数据采集和分析问题，打造公开透明、互动沟通、开放创新、平台服 务的政府</w:t>
      </w:r>
      <w:r>
        <w:rPr>
          <w:spacing w:val="-60"/>
        </w:rPr>
        <w:t> </w:t>
      </w:r>
      <w:r>
        <w:rPr>
          <w:rFonts w:ascii="宋体" w:hAnsi="宋体" w:cs="宋体" w:eastAsia="宋体" w:hint="default"/>
        </w:rPr>
        <w:t>2.0</w:t>
      </w:r>
      <w:r>
        <w:rPr>
          <w:rFonts w:ascii="宋体" w:hAnsi="宋体" w:cs="宋体" w:eastAsia="宋体" w:hint="default"/>
          <w:spacing w:val="-60"/>
        </w:rPr>
        <w:t> </w:t>
      </w:r>
      <w:r>
        <w:rPr/>
        <w:t>可视化电子政务平台，并提供消费者行为分析、客户满意度调查、广告精准投 放等具有清晰商业价值的增值大数据应用服务。为政府和企业提供精准的大数据服务平台， 使政府和企业的决策更高效。</w:t>
      </w:r>
    </w:p>
    <w:p>
      <w:pPr>
        <w:pStyle w:val="BodyText"/>
        <w:spacing w:line="357" w:lineRule="auto"/>
        <w:ind w:right="103" w:firstLine="480"/>
        <w:jc w:val="left"/>
      </w:pPr>
      <w:r>
        <w:rPr/>
        <w:t>外延式扩张一直是公司的发展战略，公司希望通过战略合作、资源整合和投资并购等方 式，完善现有产业链，实现智慧城市的多层次发展，打造智慧城市大平台。公司重点关注智 慧城市领域内信息化渗透率较高的行业，如智慧医疗、智慧社区、智慧环保等领域，公司希 望通过充分运用资本的力量加快建立智慧城市的多行业融合应用体系，整合各种优势资源， </w:t>
      </w:r>
      <w:r>
        <w:rPr>
          <w:spacing w:val="-5"/>
        </w:rPr>
        <w:t>探索以“互联网</w:t>
      </w:r>
      <w:r>
        <w:rPr>
          <w:rFonts w:ascii="宋体" w:hAnsi="宋体" w:cs="宋体" w:eastAsia="宋体" w:hint="default"/>
          <w:spacing w:val="-5"/>
        </w:rPr>
        <w:t>+</w:t>
      </w:r>
      <w:r>
        <w:rPr>
          <w:spacing w:val="-5"/>
        </w:rPr>
        <w:t>”的模式推动智慧城市生态圈的发展，打通智慧城市建设过程中的信息孤岛，</w:t>
      </w:r>
      <w:r>
        <w:rPr>
          <w:spacing w:val="-114"/>
        </w:rPr>
        <w:t> </w:t>
      </w:r>
      <w:r>
        <w:rPr>
          <w:spacing w:val="-114"/>
        </w:rPr>
      </w:r>
      <w:r>
        <w:rPr/>
        <w:t>在为城市管理者和城市居民提供高质量的公共服务的同时积极探索提供增值服务的渠道和模 式，形成产业共赢的格局，促进公司更好更快的发展。</w:t>
      </w:r>
    </w:p>
    <w:p>
      <w:pPr>
        <w:pStyle w:val="Heading2"/>
        <w:spacing w:line="240" w:lineRule="auto" w:before="36"/>
        <w:ind w:left="636" w:right="95"/>
        <w:jc w:val="left"/>
        <w:rPr>
          <w:b w:val="0"/>
          <w:bCs w:val="0"/>
        </w:rPr>
      </w:pPr>
      <w:r>
        <w:rPr/>
        <w:t>（二）建议更加有效的公司管理体系，特别注重人才梯队的培养</w:t>
      </w:r>
      <w:r>
        <w:rPr>
          <w:b w:val="0"/>
          <w:bCs w:val="0"/>
        </w:rPr>
      </w:r>
    </w:p>
    <w:p>
      <w:pPr>
        <w:pStyle w:val="BodyText"/>
        <w:spacing w:line="357" w:lineRule="auto" w:before="154"/>
        <w:ind w:right="95" w:firstLine="480"/>
        <w:jc w:val="left"/>
      </w:pPr>
      <w:r>
        <w:rPr>
          <w:rFonts w:ascii="宋体" w:hAnsi="宋体" w:cs="宋体" w:eastAsia="宋体" w:hint="default"/>
        </w:rPr>
        <w:t>2015</w:t>
      </w:r>
      <w:r>
        <w:rPr>
          <w:rFonts w:ascii="宋体" w:hAnsi="宋体" w:cs="宋体" w:eastAsia="宋体" w:hint="default"/>
          <w:spacing w:val="-68"/>
        </w:rPr>
        <w:t> </w:t>
      </w:r>
      <w:r>
        <w:rPr/>
        <w:t>年，公司的管理体系将更加关注效率和创新。在提升运营效率方面，公司将逐步形 </w:t>
      </w:r>
      <w:r>
        <w:rPr>
          <w:spacing w:val="-2"/>
        </w:rPr>
        <w:t>成“销售</w:t>
      </w:r>
      <w:r>
        <w:rPr>
          <w:rFonts w:ascii="宋体" w:hAnsi="宋体" w:cs="宋体" w:eastAsia="宋体" w:hint="default"/>
          <w:spacing w:val="-2"/>
        </w:rPr>
        <w:t>+</w:t>
      </w:r>
      <w:r>
        <w:rPr>
          <w:spacing w:val="-2"/>
        </w:rPr>
        <w:t>工程</w:t>
      </w:r>
      <w:r>
        <w:rPr>
          <w:rFonts w:ascii="宋体" w:hAnsi="宋体" w:cs="宋体" w:eastAsia="宋体" w:hint="default"/>
          <w:spacing w:val="-2"/>
        </w:rPr>
        <w:t>+</w:t>
      </w:r>
      <w:r>
        <w:rPr>
          <w:spacing w:val="-2"/>
        </w:rPr>
        <w:t>研发”的一体化管理体系，形成责权利更加清晰的技术研发和项目支持模式，</w:t>
      </w:r>
      <w:r>
        <w:rPr/>
        <w:t> </w:t>
      </w:r>
      <w:r>
        <w:rPr>
          <w:spacing w:val="-2"/>
        </w:rPr>
        <w:t>加大费用管控和成本控制措施的执行力度，通过更加精细化的项目管控提升业务的盈利水平，</w:t>
      </w:r>
      <w:r>
        <w:rPr/>
        <w:t> </w:t>
      </w:r>
      <w:r>
        <w:rPr>
          <w:spacing w:val="-2"/>
        </w:rPr>
        <w:t>同时，公司支持各业务单元建立专门的新业务推广队伍和体系，既能保障传统业务稳健增长，</w:t>
      </w:r>
      <w:r>
        <w:rPr/>
        <w:t> 又能有效推进新业务的快速发展。在鼓励创新方面，公司将为推动新业务和新模式的发展设</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53"/>
        <w:jc w:val="left"/>
      </w:pPr>
      <w:r>
        <w:rPr/>
        <w:t>立一系列新的奖励政策，支持和鼓励团队解放思想、积极探索、不怕失败，以互联网的思维 拥抱新事物，主动承担创新任务，勇敢面对新的挑战。</w:t>
      </w:r>
    </w:p>
    <w:p>
      <w:pPr>
        <w:pStyle w:val="BodyText"/>
        <w:spacing w:line="357" w:lineRule="auto"/>
        <w:ind w:right="233" w:firstLine="480"/>
        <w:jc w:val="both"/>
      </w:pPr>
      <w:r>
        <w:rPr>
          <w:rFonts w:ascii="宋体" w:hAnsi="宋体" w:cs="宋体" w:eastAsia="宋体" w:hint="default"/>
        </w:rPr>
        <w:t>2015</w:t>
      </w:r>
      <w:r>
        <w:rPr>
          <w:rFonts w:ascii="宋体" w:hAnsi="宋体" w:cs="宋体" w:eastAsia="宋体" w:hint="default"/>
          <w:spacing w:val="-82"/>
        </w:rPr>
        <w:t> </w:t>
      </w:r>
      <w:r>
        <w:rPr/>
        <w:t>年，公司将特别注重人才梯队的培养。公司充分认识到，人才是胜利之本，是公司 实现长期可持续发展的真正驱动力，为此，公司将大力加强人才的内部培养和外部招聘，通 过建立更有竞争力的员工职业发展体系、薪酬体系，采用包括股权激励等办法，打造更佳的 职业发展平台，鼓励和吸引更多的优秀人才加盟和贡献力量，为不断增强公司在智慧城市领 域的核心竞争能力奠定重要基础。</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2"/>
        <w:spacing w:line="240" w:lineRule="auto"/>
        <w:ind w:right="95"/>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5"/>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left="634" w:right="4812"/>
        <w:jc w:val="left"/>
      </w:pPr>
      <w:r>
        <w:rPr/>
        <w:t>（</w:t>
      </w:r>
      <w:r>
        <w:rPr>
          <w:rFonts w:ascii="宋体" w:hAnsi="宋体" w:cs="宋体" w:eastAsia="宋体" w:hint="default"/>
        </w:rPr>
        <w:t>1</w:t>
      </w:r>
      <w:r>
        <w:rPr/>
        <w:t>）会计政策变更 因执行新企业会计准则导致的会计政策变更</w:t>
      </w:r>
    </w:p>
    <w:p>
      <w:pPr>
        <w:pStyle w:val="BodyText"/>
        <w:spacing w:line="357" w:lineRule="auto"/>
        <w:ind w:right="112" w:firstLine="480"/>
        <w:jc w:val="both"/>
      </w:pPr>
      <w:r>
        <w:rPr>
          <w:rFonts w:ascii="宋体" w:hAnsi="宋体" w:cs="宋体" w:eastAsia="宋体" w:hint="default"/>
        </w:rPr>
        <w:t>2014</w:t>
      </w:r>
      <w:r>
        <w:rPr>
          <w:rFonts w:ascii="宋体" w:hAnsi="宋体" w:cs="宋体" w:eastAsia="宋体" w:hint="default"/>
          <w:spacing w:val="-60"/>
        </w:rPr>
        <w:t> </w:t>
      </w:r>
      <w:r>
        <w:rPr/>
        <w:t>年初，财政部分别以财会</w:t>
      </w:r>
      <w:r>
        <w:rPr>
          <w:rFonts w:ascii="宋体" w:hAnsi="宋体" w:cs="宋体" w:eastAsia="宋体" w:hint="default"/>
        </w:rPr>
        <w:t>[2014]6</w:t>
      </w:r>
      <w:r>
        <w:rPr>
          <w:rFonts w:ascii="宋体" w:hAnsi="宋体" w:cs="宋体" w:eastAsia="宋体" w:hint="default"/>
          <w:spacing w:val="-60"/>
        </w:rPr>
        <w:t> </w:t>
      </w:r>
      <w:r>
        <w:rPr/>
        <w:t>号、</w:t>
      </w:r>
      <w:r>
        <w:rPr>
          <w:rFonts w:ascii="宋体" w:hAnsi="宋体" w:cs="宋体" w:eastAsia="宋体" w:hint="default"/>
        </w:rPr>
        <w:t>7</w:t>
      </w:r>
      <w:r>
        <w:rPr>
          <w:rFonts w:ascii="宋体" w:hAnsi="宋体" w:cs="宋体" w:eastAsia="宋体" w:hint="default"/>
          <w:spacing w:val="-60"/>
        </w:rPr>
        <w:t> </w:t>
      </w:r>
      <w:r>
        <w:rPr/>
        <w:t>号、</w:t>
      </w:r>
      <w:r>
        <w:rPr>
          <w:rFonts w:ascii="宋体" w:hAnsi="宋体" w:cs="宋体" w:eastAsia="宋体" w:hint="default"/>
        </w:rPr>
        <w:t>8</w:t>
      </w:r>
      <w:r>
        <w:rPr>
          <w:rFonts w:ascii="宋体" w:hAnsi="宋体" w:cs="宋体" w:eastAsia="宋体" w:hint="default"/>
          <w:spacing w:val="-60"/>
        </w:rPr>
        <w:t> </w:t>
      </w:r>
      <w:r>
        <w:rPr/>
        <w:t>号、</w:t>
      </w:r>
      <w:r>
        <w:rPr>
          <w:rFonts w:ascii="宋体" w:hAnsi="宋体" w:cs="宋体" w:eastAsia="宋体" w:hint="default"/>
        </w:rPr>
        <w:t>10</w:t>
      </w:r>
      <w:r>
        <w:rPr>
          <w:rFonts w:ascii="宋体" w:hAnsi="宋体" w:cs="宋体" w:eastAsia="宋体" w:hint="default"/>
          <w:spacing w:val="-60"/>
        </w:rPr>
        <w:t> </w:t>
      </w:r>
      <w:r>
        <w:rPr/>
        <w:t>号、</w:t>
      </w:r>
      <w:r>
        <w:rPr>
          <w:rFonts w:ascii="宋体" w:hAnsi="宋体" w:cs="宋体" w:eastAsia="宋体" w:hint="default"/>
        </w:rPr>
        <w:t>11</w:t>
      </w:r>
      <w:r>
        <w:rPr>
          <w:rFonts w:ascii="宋体" w:hAnsi="宋体" w:cs="宋体" w:eastAsia="宋体" w:hint="default"/>
          <w:spacing w:val="-60"/>
        </w:rPr>
        <w:t> </w:t>
      </w:r>
      <w:r>
        <w:rPr/>
        <w:t>号、</w:t>
      </w:r>
      <w:r>
        <w:rPr>
          <w:rFonts w:ascii="宋体" w:hAnsi="宋体" w:cs="宋体" w:eastAsia="宋体" w:hint="default"/>
        </w:rPr>
        <w:t>14</w:t>
      </w:r>
      <w:r>
        <w:rPr>
          <w:rFonts w:ascii="宋体" w:hAnsi="宋体" w:cs="宋体" w:eastAsia="宋体" w:hint="default"/>
          <w:spacing w:val="-60"/>
        </w:rPr>
        <w:t> </w:t>
      </w:r>
      <w:r>
        <w:rPr/>
        <w:t>号及</w:t>
      </w:r>
      <w:r>
        <w:rPr>
          <w:spacing w:val="-60"/>
        </w:rPr>
        <w:t> </w:t>
      </w:r>
      <w:r>
        <w:rPr>
          <w:rFonts w:ascii="宋体" w:hAnsi="宋体" w:cs="宋体" w:eastAsia="宋体" w:hint="default"/>
        </w:rPr>
        <w:t>16</w:t>
      </w:r>
      <w:r>
        <w:rPr>
          <w:rFonts w:ascii="宋体" w:hAnsi="宋体" w:cs="宋体" w:eastAsia="宋体" w:hint="default"/>
          <w:spacing w:val="-60"/>
        </w:rPr>
        <w:t> </w:t>
      </w:r>
      <w:r>
        <w:rPr/>
        <w:t>号发 布了《企业会计准则第</w:t>
      </w:r>
      <w:r>
        <w:rPr>
          <w:spacing w:val="-60"/>
        </w:rPr>
        <w:t> </w:t>
      </w:r>
      <w:r>
        <w:rPr>
          <w:rFonts w:ascii="宋体" w:hAnsi="宋体" w:cs="宋体" w:eastAsia="宋体" w:hint="default"/>
        </w:rPr>
        <w:t>39</w:t>
      </w:r>
      <w:r>
        <w:rPr>
          <w:rFonts w:ascii="宋体" w:hAnsi="宋体" w:cs="宋体" w:eastAsia="宋体" w:hint="default"/>
          <w:spacing w:val="-60"/>
        </w:rPr>
        <w:t> </w:t>
      </w:r>
      <w:r>
        <w:rPr/>
        <w:t>号——公允价值计量》、《企业会计准则第</w:t>
      </w:r>
      <w:r>
        <w:rPr>
          <w:spacing w:val="-60"/>
        </w:rPr>
        <w:t> </w:t>
      </w:r>
      <w:r>
        <w:rPr>
          <w:rFonts w:ascii="宋体" w:hAnsi="宋体" w:cs="宋体" w:eastAsia="宋体" w:hint="default"/>
        </w:rPr>
        <w:t>30</w:t>
      </w:r>
      <w:r>
        <w:rPr>
          <w:rFonts w:ascii="宋体" w:hAnsi="宋体" w:cs="宋体" w:eastAsia="宋体" w:hint="default"/>
          <w:spacing w:val="-60"/>
        </w:rPr>
        <w:t> </w:t>
      </w:r>
      <w:r>
        <w:rPr/>
        <w:t>号——财务报表列 报（</w:t>
      </w:r>
      <w:r>
        <w:rPr>
          <w:rFonts w:ascii="宋体" w:hAnsi="宋体" w:cs="宋体" w:eastAsia="宋体" w:hint="default"/>
        </w:rPr>
        <w:t>2014</w:t>
      </w:r>
      <w:r>
        <w:rPr>
          <w:rFonts w:ascii="宋体" w:hAnsi="宋体" w:cs="宋体" w:eastAsia="宋体" w:hint="default"/>
          <w:spacing w:val="-61"/>
        </w:rPr>
        <w:t> </w:t>
      </w:r>
      <w:r>
        <w:rPr>
          <w:spacing w:val="-3"/>
        </w:rPr>
        <w:t>年修订）》、《企业会计准则第</w:t>
      </w:r>
      <w:r>
        <w:rPr>
          <w:spacing w:val="-61"/>
        </w:rPr>
        <w:t> </w:t>
      </w:r>
      <w:r>
        <w:rPr>
          <w:rFonts w:ascii="宋体" w:hAnsi="宋体" w:cs="宋体" w:eastAsia="宋体" w:hint="default"/>
        </w:rPr>
        <w:t>9</w:t>
      </w:r>
      <w:r>
        <w:rPr>
          <w:rFonts w:ascii="宋体" w:hAnsi="宋体" w:cs="宋体" w:eastAsia="宋体" w:hint="default"/>
          <w:spacing w:val="-61"/>
        </w:rPr>
        <w:t> </w:t>
      </w:r>
      <w:r>
        <w:rPr/>
        <w:t>号——职工薪酬（</w:t>
      </w:r>
      <w:r>
        <w:rPr>
          <w:rFonts w:ascii="宋体" w:hAnsi="宋体" w:cs="宋体" w:eastAsia="宋体" w:hint="default"/>
        </w:rPr>
        <w:t>2014</w:t>
      </w:r>
      <w:r>
        <w:rPr>
          <w:rFonts w:ascii="宋体" w:hAnsi="宋体" w:cs="宋体" w:eastAsia="宋体" w:hint="default"/>
          <w:spacing w:val="-61"/>
        </w:rPr>
        <w:t> </w:t>
      </w:r>
      <w:r>
        <w:rPr>
          <w:spacing w:val="-4"/>
        </w:rPr>
        <w:t>年修订）》、《企业会计</w:t>
      </w:r>
      <w:r>
        <w:rPr/>
        <w:t> 准则第</w:t>
      </w:r>
      <w:r>
        <w:rPr>
          <w:spacing w:val="-64"/>
        </w:rPr>
        <w:t> </w:t>
      </w:r>
      <w:r>
        <w:rPr>
          <w:rFonts w:ascii="宋体" w:hAnsi="宋体" w:cs="宋体" w:eastAsia="宋体" w:hint="default"/>
        </w:rPr>
        <w:t>33</w:t>
      </w:r>
      <w:r>
        <w:rPr>
          <w:rFonts w:ascii="宋体" w:hAnsi="宋体" w:cs="宋体" w:eastAsia="宋体" w:hint="default"/>
          <w:spacing w:val="-64"/>
        </w:rPr>
        <w:t> </w:t>
      </w:r>
      <w:r>
        <w:rPr/>
        <w:t>号——合并财务报表（</w:t>
      </w:r>
      <w:r>
        <w:rPr>
          <w:rFonts w:ascii="宋体" w:hAnsi="宋体" w:cs="宋体" w:eastAsia="宋体" w:hint="default"/>
        </w:rPr>
        <w:t>2014</w:t>
      </w:r>
      <w:r>
        <w:rPr>
          <w:rFonts w:ascii="宋体" w:hAnsi="宋体" w:cs="宋体" w:eastAsia="宋体" w:hint="default"/>
          <w:spacing w:val="-64"/>
        </w:rPr>
        <w:t> </w:t>
      </w:r>
      <w:r>
        <w:rPr>
          <w:spacing w:val="-7"/>
        </w:rPr>
        <w:t>年修订）》、《企业会计准则第</w:t>
      </w:r>
      <w:r>
        <w:rPr>
          <w:spacing w:val="-64"/>
        </w:rPr>
        <w:t> </w:t>
      </w:r>
      <w:r>
        <w:rPr>
          <w:rFonts w:ascii="宋体" w:hAnsi="宋体" w:cs="宋体" w:eastAsia="宋体" w:hint="default"/>
        </w:rPr>
        <w:t>40</w:t>
      </w:r>
      <w:r>
        <w:rPr>
          <w:rFonts w:ascii="宋体" w:hAnsi="宋体" w:cs="宋体" w:eastAsia="宋体" w:hint="default"/>
          <w:spacing w:val="-64"/>
        </w:rPr>
        <w:t> </w:t>
      </w:r>
      <w:r>
        <w:rPr>
          <w:spacing w:val="-3"/>
        </w:rPr>
        <w:t>号——合营安排》、</w:t>
      </w:r>
    </w:p>
    <w:p>
      <w:pPr>
        <w:pStyle w:val="BodyText"/>
        <w:spacing w:line="240" w:lineRule="auto"/>
        <w:ind w:right="95"/>
        <w:jc w:val="left"/>
      </w:pPr>
      <w:r>
        <w:rPr/>
        <w:t>《企业会计准则第</w:t>
      </w:r>
      <w:r>
        <w:rPr>
          <w:spacing w:val="-60"/>
        </w:rPr>
        <w:t> </w:t>
      </w:r>
      <w:r>
        <w:rPr>
          <w:rFonts w:ascii="宋体" w:hAnsi="宋体" w:cs="宋体" w:eastAsia="宋体" w:hint="default"/>
        </w:rPr>
        <w:t>2</w:t>
      </w:r>
      <w:r>
        <w:rPr>
          <w:rFonts w:ascii="宋体" w:hAnsi="宋体" w:cs="宋体" w:eastAsia="宋体" w:hint="default"/>
          <w:spacing w:val="-60"/>
        </w:rPr>
        <w:t> </w:t>
      </w:r>
      <w:r>
        <w:rPr/>
        <w:t>号——长期股权投资（</w:t>
      </w:r>
      <w:r>
        <w:rPr>
          <w:rFonts w:ascii="宋体" w:hAnsi="宋体" w:cs="宋体" w:eastAsia="宋体" w:hint="default"/>
        </w:rPr>
        <w:t>2014</w:t>
      </w:r>
      <w:r>
        <w:rPr>
          <w:rFonts w:ascii="宋体" w:hAnsi="宋体" w:cs="宋体" w:eastAsia="宋体" w:hint="default"/>
          <w:spacing w:val="-60"/>
        </w:rPr>
        <w:t> </w:t>
      </w:r>
      <w:r>
        <w:rPr/>
        <w:t>年修订）》及《企业会计准则第</w:t>
      </w:r>
      <w:r>
        <w:rPr>
          <w:spacing w:val="-60"/>
        </w:rPr>
        <w:t> </w:t>
      </w:r>
      <w:r>
        <w:rPr>
          <w:rFonts w:ascii="宋体" w:hAnsi="宋体" w:cs="宋体" w:eastAsia="宋体" w:hint="default"/>
        </w:rPr>
        <w:t>41</w:t>
      </w:r>
      <w:r>
        <w:rPr>
          <w:rFonts w:ascii="宋体" w:hAnsi="宋体" w:cs="宋体" w:eastAsia="宋体" w:hint="default"/>
          <w:spacing w:val="-60"/>
        </w:rPr>
        <w:t> </w:t>
      </w:r>
      <w:r>
        <w:rPr/>
        <w:t>号——</w:t>
      </w:r>
    </w:p>
    <w:p>
      <w:pPr>
        <w:pStyle w:val="BodyText"/>
        <w:spacing w:line="357" w:lineRule="auto" w:before="154"/>
        <w:ind w:right="214"/>
        <w:jc w:val="left"/>
      </w:pPr>
      <w:r>
        <w:rPr>
          <w:spacing w:val="-6"/>
        </w:rPr>
        <w:t>在其他主体中权益的披露》，要求自</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日起在所有执行企业会计准则的企业范围 内施行，鼓励在境外上市的企业提前执行。同时，财政部以财会</w:t>
      </w:r>
      <w:r>
        <w:rPr>
          <w:rFonts w:ascii="宋体" w:hAnsi="宋体" w:cs="宋体" w:eastAsia="宋体" w:hint="default"/>
        </w:rPr>
        <w:t>[2014]23</w:t>
      </w:r>
      <w:r>
        <w:rPr>
          <w:rFonts w:ascii="宋体" w:hAnsi="宋体" w:cs="宋体" w:eastAsia="宋体" w:hint="default"/>
          <w:spacing w:val="-81"/>
        </w:rPr>
        <w:t> </w:t>
      </w:r>
      <w:r>
        <w:rPr/>
        <w:t>号发布了《企业会 计准则第</w:t>
      </w:r>
      <w:r>
        <w:rPr>
          <w:spacing w:val="-60"/>
        </w:rPr>
        <w:t> </w:t>
      </w:r>
      <w:r>
        <w:rPr>
          <w:rFonts w:ascii="宋体" w:hAnsi="宋体" w:cs="宋体" w:eastAsia="宋体" w:hint="default"/>
        </w:rPr>
        <w:t>37</w:t>
      </w:r>
      <w:r>
        <w:rPr>
          <w:rFonts w:ascii="宋体" w:hAnsi="宋体" w:cs="宋体" w:eastAsia="宋体" w:hint="default"/>
          <w:spacing w:val="-60"/>
        </w:rPr>
        <w:t> </w:t>
      </w:r>
      <w:r>
        <w:rPr/>
        <w:t>号——金融工具列报（</w:t>
      </w:r>
      <w:r>
        <w:rPr>
          <w:rFonts w:ascii="宋体" w:hAnsi="宋体" w:cs="宋体" w:eastAsia="宋体" w:hint="default"/>
        </w:rPr>
        <w:t>2014</w:t>
      </w:r>
      <w:r>
        <w:rPr>
          <w:rFonts w:ascii="宋体" w:hAnsi="宋体" w:cs="宋体" w:eastAsia="宋体" w:hint="default"/>
          <w:spacing w:val="-60"/>
        </w:rPr>
        <w:t> </w:t>
      </w:r>
      <w:r>
        <w:rPr/>
        <w:t>年修订）》（以下简称“金融工具列报准则”）， 要求在</w:t>
      </w:r>
      <w:r>
        <w:rPr>
          <w:spacing w:val="-60"/>
        </w:rPr>
        <w:t> </w:t>
      </w:r>
      <w:r>
        <w:rPr>
          <w:rFonts w:ascii="宋体" w:hAnsi="宋体" w:cs="宋体" w:eastAsia="宋体" w:hint="default"/>
        </w:rPr>
        <w:t>2014</w:t>
      </w:r>
      <w:r>
        <w:rPr>
          <w:rFonts w:ascii="宋体" w:hAnsi="宋体" w:cs="宋体" w:eastAsia="宋体" w:hint="default"/>
          <w:spacing w:val="-60"/>
        </w:rPr>
        <w:t> </w:t>
      </w:r>
      <w:r>
        <w:rPr/>
        <w:t>年年度及以后期间的财务报告中按照该准则的要求对金融工具进行列报。</w:t>
      </w:r>
    </w:p>
    <w:p>
      <w:pPr>
        <w:pStyle w:val="BodyText"/>
        <w:spacing w:line="240" w:lineRule="auto"/>
        <w:ind w:left="633" w:right="95"/>
        <w:jc w:val="left"/>
      </w:pPr>
      <w:r>
        <w:rPr/>
        <w:t>本公司于</w:t>
      </w:r>
      <w:r>
        <w:rPr>
          <w:spacing w:val="-71"/>
        </w:rPr>
        <w:t> </w:t>
      </w:r>
      <w:r>
        <w:rPr>
          <w:rFonts w:ascii="宋体" w:hAnsi="宋体" w:cs="宋体" w:eastAsia="宋体" w:hint="default"/>
        </w:rPr>
        <w:t>2014</w:t>
      </w:r>
      <w:r>
        <w:rPr>
          <w:rFonts w:ascii="宋体" w:hAnsi="宋体" w:cs="宋体" w:eastAsia="宋体" w:hint="default"/>
          <w:spacing w:val="-71"/>
        </w:rPr>
        <w:t> </w:t>
      </w:r>
      <w:r>
        <w:rPr/>
        <w:t>年</w:t>
      </w:r>
      <w:r>
        <w:rPr>
          <w:spacing w:val="-71"/>
        </w:rPr>
        <w:t> </w:t>
      </w:r>
      <w:r>
        <w:rPr>
          <w:rFonts w:ascii="宋体" w:hAnsi="宋体" w:cs="宋体" w:eastAsia="宋体" w:hint="default"/>
        </w:rPr>
        <w:t>7</w:t>
      </w:r>
      <w:r>
        <w:rPr>
          <w:rFonts w:ascii="宋体" w:hAnsi="宋体" w:cs="宋体" w:eastAsia="宋体" w:hint="default"/>
          <w:spacing w:val="-70"/>
        </w:rPr>
        <w:t> </w:t>
      </w:r>
      <w:r>
        <w:rPr/>
        <w:t>月</w:t>
      </w:r>
      <w:r>
        <w:rPr>
          <w:spacing w:val="-70"/>
        </w:rPr>
        <w:t> </w:t>
      </w:r>
      <w:r>
        <w:rPr>
          <w:rFonts w:ascii="宋体" w:hAnsi="宋体" w:cs="宋体" w:eastAsia="宋体" w:hint="default"/>
        </w:rPr>
        <w:t>1</w:t>
      </w:r>
      <w:r>
        <w:rPr>
          <w:rFonts w:ascii="宋体" w:hAnsi="宋体" w:cs="宋体" w:eastAsia="宋体" w:hint="default"/>
          <w:spacing w:val="-71"/>
        </w:rPr>
        <w:t> </w:t>
      </w:r>
      <w:r>
        <w:rPr/>
        <w:t>日开始执行前述除金融工具列报准则以外的</w:t>
      </w:r>
      <w:r>
        <w:rPr>
          <w:spacing w:val="-71"/>
        </w:rPr>
        <w:t> </w:t>
      </w:r>
      <w:r>
        <w:rPr>
          <w:rFonts w:ascii="宋体" w:hAnsi="宋体" w:cs="宋体" w:eastAsia="宋体" w:hint="default"/>
        </w:rPr>
        <w:t>7</w:t>
      </w:r>
      <w:r>
        <w:rPr>
          <w:rFonts w:ascii="宋体" w:hAnsi="宋体" w:cs="宋体" w:eastAsia="宋体" w:hint="default"/>
          <w:spacing w:val="-71"/>
        </w:rPr>
        <w:t> </w:t>
      </w:r>
      <w:r>
        <w:rPr/>
        <w:t>项新颁布或修订的</w:t>
      </w:r>
    </w:p>
    <w:p>
      <w:pPr>
        <w:pStyle w:val="BodyText"/>
        <w:spacing w:line="357" w:lineRule="auto" w:before="154"/>
        <w:ind w:left="154" w:right="214"/>
        <w:jc w:val="left"/>
      </w:pPr>
      <w:r>
        <w:rPr>
          <w:spacing w:val="-5"/>
        </w:rPr>
        <w:t>企业会计准则，在编制</w:t>
      </w:r>
      <w:r>
        <w:rPr>
          <w:spacing w:val="-76"/>
        </w:rPr>
        <w:t> </w:t>
      </w:r>
      <w:r>
        <w:rPr>
          <w:rFonts w:ascii="宋体" w:hAnsi="宋体" w:cs="宋体" w:eastAsia="宋体" w:hint="default"/>
        </w:rPr>
        <w:t>2014</w:t>
      </w:r>
      <w:r>
        <w:rPr>
          <w:rFonts w:ascii="宋体" w:hAnsi="宋体" w:cs="宋体" w:eastAsia="宋体" w:hint="default"/>
          <w:spacing w:val="-76"/>
        </w:rPr>
        <w:t> </w:t>
      </w:r>
      <w:r>
        <w:rPr/>
        <w:t>年年度财务报告时开始执行金融工具列报准则，并根据各准则衔 接要求进行了调整，对当期和列报前期财务报表项目及金额的影响如下：</w:t>
      </w:r>
    </w:p>
    <w:tbl>
      <w:tblPr>
        <w:tblW w:w="0" w:type="auto"/>
        <w:jc w:val="left"/>
        <w:tblInd w:w="146" w:type="dxa"/>
        <w:tblLayout w:type="fixed"/>
        <w:tblCellMar>
          <w:top w:w="0" w:type="dxa"/>
          <w:left w:w="0" w:type="dxa"/>
          <w:bottom w:w="0" w:type="dxa"/>
          <w:right w:w="0" w:type="dxa"/>
        </w:tblCellMar>
        <w:tblLook w:val="01E0"/>
      </w:tblPr>
      <w:tblGrid>
        <w:gridCol w:w="1527"/>
        <w:gridCol w:w="4252"/>
        <w:gridCol w:w="1419"/>
        <w:gridCol w:w="1843"/>
      </w:tblGrid>
      <w:tr>
        <w:trPr>
          <w:trHeight w:val="668" w:hRule="exact"/>
        </w:trPr>
        <w:tc>
          <w:tcPr>
            <w:tcW w:w="1527" w:type="dxa"/>
            <w:vMerge w:val="restart"/>
            <w:tcBorders>
              <w:top w:val="single" w:sz="6" w:space="0" w:color="000000"/>
              <w:left w:val="single" w:sz="6" w:space="0" w:color="000000"/>
              <w:right w:val="single" w:sz="6" w:space="0" w:color="000000"/>
            </w:tcBorders>
          </w:tcPr>
          <w:p>
            <w:pPr>
              <w:pStyle w:val="TableParagraph"/>
              <w:spacing w:line="273" w:lineRule="auto"/>
              <w:ind w:left="545" w:right="545"/>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6" w:space="0" w:color="000000"/>
              <w:left w:val="single" w:sz="6" w:space="0" w:color="000000"/>
              <w:right w:val="single" w:sz="6" w:space="0" w:color="000000"/>
            </w:tcBorders>
          </w:tcPr>
          <w:p>
            <w:pPr>
              <w:pStyle w:val="TableParagraph"/>
              <w:spacing w:line="273" w:lineRule="auto"/>
              <w:ind w:left="1907" w:right="227" w:hanging="1680"/>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6" w:space="0" w:color="000000"/>
              <w:left w:val="single" w:sz="6" w:space="0" w:color="000000"/>
              <w:bottom w:val="single" w:sz="12" w:space="0" w:color="000000"/>
              <w:right w:val="single" w:sz="4" w:space="0" w:color="000000"/>
            </w:tcBorders>
          </w:tcPr>
          <w:p>
            <w:pPr>
              <w:pStyle w:val="TableParagraph"/>
              <w:spacing w:line="256" w:lineRule="auto"/>
              <w:ind w:left="677" w:right="20" w:hanging="659"/>
              <w:jc w:val="left"/>
              <w:rPr>
                <w:rFonts w:ascii="宋体" w:hAnsi="宋体" w:cs="宋体" w:eastAsia="宋体" w:hint="default"/>
                <w:sz w:val="21"/>
                <w:szCs w:val="21"/>
              </w:rPr>
            </w:pPr>
            <w:r>
              <w:rPr>
                <w:rFonts w:ascii="宋体" w:hAnsi="宋体" w:cs="宋体" w:eastAsia="宋体" w:hint="default"/>
                <w:sz w:val="21"/>
                <w:szCs w:val="21"/>
              </w:rPr>
              <w:t>对</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年度相关财务 报表项目的影响金额</w:t>
            </w:r>
          </w:p>
        </w:tc>
      </w:tr>
      <w:tr>
        <w:trPr>
          <w:trHeight w:val="352" w:hRule="exact"/>
        </w:trPr>
        <w:tc>
          <w:tcPr>
            <w:tcW w:w="1527" w:type="dxa"/>
            <w:vMerge/>
            <w:tcBorders>
              <w:left w:val="single" w:sz="6" w:space="0" w:color="000000"/>
              <w:bottom w:val="single" w:sz="12" w:space="0" w:color="000000"/>
              <w:right w:val="single" w:sz="6" w:space="0" w:color="000000"/>
            </w:tcBorders>
          </w:tcPr>
          <w:p>
            <w:pPr/>
          </w:p>
        </w:tc>
        <w:tc>
          <w:tcPr>
            <w:tcW w:w="4252" w:type="dxa"/>
            <w:vMerge/>
            <w:tcBorders>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57" w:lineRule="exact"/>
              <w:ind w:left="493" w:right="0"/>
              <w:jc w:val="left"/>
              <w:rPr>
                <w:rFonts w:ascii="宋体" w:hAnsi="宋体" w:cs="宋体" w:eastAsia="宋体" w:hint="default"/>
                <w:sz w:val="21"/>
                <w:szCs w:val="21"/>
              </w:rPr>
            </w:pPr>
            <w:r>
              <w:rPr>
                <w:rFonts w:ascii="宋体" w:hAnsi="宋体" w:cs="宋体" w:eastAsia="宋体" w:hint="default"/>
                <w:sz w:val="21"/>
                <w:szCs w:val="21"/>
              </w:rPr>
              <w:t>影响金额</w:t>
            </w:r>
          </w:p>
        </w:tc>
      </w:tr>
    </w:tbl>
    <w:p>
      <w:pPr>
        <w:spacing w:after="0" w:line="257" w:lineRule="exact"/>
        <w:jc w:val="left"/>
        <w:rPr>
          <w:rFonts w:ascii="宋体" w:hAnsi="宋体" w:cs="宋体" w:eastAsia="宋体" w:hint="default"/>
          <w:sz w:val="21"/>
          <w:szCs w:val="21"/>
        </w:rPr>
        <w:sectPr>
          <w:pgSz w:w="11910" w:h="16840"/>
          <w:pgMar w:header="747"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7"/>
        <w:gridCol w:w="4252"/>
        <w:gridCol w:w="1419"/>
        <w:gridCol w:w="1843"/>
      </w:tblGrid>
      <w:tr>
        <w:trPr>
          <w:trHeight w:val="355" w:hRule="exact"/>
        </w:trPr>
        <w:tc>
          <w:tcPr>
            <w:tcW w:w="1527" w:type="dxa"/>
            <w:tcBorders>
              <w:top w:val="single" w:sz="6" w:space="0" w:color="000000"/>
              <w:left w:val="single" w:sz="6" w:space="0" w:color="000000"/>
              <w:bottom w:val="single" w:sz="12" w:space="0" w:color="000000"/>
              <w:right w:val="single" w:sz="6" w:space="0" w:color="000000"/>
            </w:tcBorders>
          </w:tcPr>
          <w:p>
            <w:pPr/>
          </w:p>
        </w:tc>
        <w:tc>
          <w:tcPr>
            <w:tcW w:w="4252"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4" w:space="0" w:color="000000"/>
            </w:tcBorders>
          </w:tcPr>
          <w:p>
            <w:pPr>
              <w:pStyle w:val="TableParagraph"/>
              <w:spacing w:line="287" w:lineRule="exact"/>
              <w:ind w:left="3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r>
              <w:rPr>
                <w:rFonts w:ascii="Times New Roman" w:hAnsi="Times New Roman" w:cs="Times New Roman" w:eastAsia="Times New Roman" w:hint="default"/>
                <w:sz w:val="21"/>
                <w:szCs w:val="21"/>
              </w:rPr>
              <w:t>-</w:t>
            </w:r>
          </w:p>
        </w:tc>
      </w:tr>
      <w:tr>
        <w:trPr>
          <w:trHeight w:val="353" w:hRule="exact"/>
        </w:trPr>
        <w:tc>
          <w:tcPr>
            <w:tcW w:w="1527"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pacing w:val="6"/>
                <w:sz w:val="21"/>
                <w:szCs w:val="21"/>
              </w:rPr>
              <w:t>《企业会计准则</w:t>
            </w:r>
            <w:r>
              <w:rPr>
                <w:rFonts w:ascii="宋体" w:hAnsi="宋体" w:cs="宋体" w:eastAsia="宋体" w:hint="default"/>
                <w:sz w:val="21"/>
                <w:szCs w:val="21"/>
              </w:rPr>
            </w:r>
          </w:p>
          <w:p>
            <w:pPr>
              <w:pStyle w:val="TableParagraph"/>
              <w:spacing w:line="256" w:lineRule="auto" w:before="37"/>
              <w:ind w:left="2" w:right="-4"/>
              <w:jc w:val="both"/>
              <w:rPr>
                <w:rFonts w:ascii="宋体" w:hAnsi="宋体" w:cs="宋体" w:eastAsia="宋体" w:hint="default"/>
                <w:sz w:val="21"/>
                <w:szCs w:val="21"/>
              </w:rPr>
            </w:pPr>
            <w:r>
              <w:rPr>
                <w:rFonts w:ascii="宋体" w:hAnsi="宋体" w:cs="宋体" w:eastAsia="宋体" w:hint="default"/>
                <w:spacing w:val="5"/>
                <w:sz w:val="21"/>
                <w:szCs w:val="21"/>
              </w:rPr>
              <w:t>第</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财务</w:t>
            </w:r>
            <w:r>
              <w:rPr>
                <w:rFonts w:ascii="宋体" w:hAnsi="宋体" w:cs="宋体" w:eastAsia="宋体" w:hint="default"/>
                <w:spacing w:val="7"/>
                <w:sz w:val="21"/>
                <w:szCs w:val="21"/>
              </w:rPr>
              <w:t> </w:t>
            </w:r>
            <w:r>
              <w:rPr>
                <w:rFonts w:ascii="宋体" w:hAnsi="宋体" w:cs="宋体" w:eastAsia="宋体" w:hint="default"/>
                <w:spacing w:val="3"/>
                <w:sz w:val="21"/>
                <w:szCs w:val="21"/>
              </w:rPr>
              <w:t>报表列报（</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年修订）》</w:t>
            </w:r>
          </w:p>
        </w:tc>
        <w:tc>
          <w:tcPr>
            <w:tcW w:w="4252" w:type="dxa"/>
            <w:vMerge w:val="restart"/>
            <w:tcBorders>
              <w:top w:val="single" w:sz="12" w:space="0" w:color="000000"/>
              <w:left w:val="single" w:sz="6" w:space="0" w:color="000000"/>
              <w:right w:val="single" w:sz="6" w:space="0" w:color="000000"/>
            </w:tcBorders>
          </w:tcPr>
          <w:p>
            <w:pPr>
              <w:pStyle w:val="TableParagraph"/>
              <w:spacing w:line="276" w:lineRule="exact"/>
              <w:ind w:left="2" w:right="0"/>
              <w:jc w:val="both"/>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Times New Roman" w:hAnsi="Times New Roman" w:cs="Times New Roman" w:eastAsia="Times New Roman" w:hint="default"/>
                <w:sz w:val="21"/>
                <w:szCs w:val="21"/>
              </w:rPr>
              <w:t>30</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财务报表列报</w:t>
            </w:r>
          </w:p>
          <w:p>
            <w:pPr>
              <w:pStyle w:val="TableParagraph"/>
              <w:spacing w:line="268" w:lineRule="auto" w:before="21"/>
              <w:ind w:left="2" w:right="3"/>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年修订）》的规定，资产负债表的列表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应根据期末相关总账余额填列，本公司递延收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益性质的其他非流动负债应在财务报表中列报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为递延收益。</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1,469,500.00</w:t>
            </w:r>
          </w:p>
        </w:tc>
      </w:tr>
      <w:tr>
        <w:trPr>
          <w:trHeight w:val="1247" w:hRule="exact"/>
        </w:trPr>
        <w:tc>
          <w:tcPr>
            <w:tcW w:w="1527" w:type="dxa"/>
            <w:vMerge/>
            <w:tcBorders>
              <w:left w:val="single" w:sz="6" w:space="0" w:color="000000"/>
              <w:bottom w:val="single" w:sz="12" w:space="0" w:color="000000"/>
              <w:right w:val="single" w:sz="6" w:space="0" w:color="000000"/>
            </w:tcBorders>
          </w:tcPr>
          <w:p>
            <w:pPr/>
          </w:p>
        </w:tc>
        <w:tc>
          <w:tcPr>
            <w:tcW w:w="4252" w:type="dxa"/>
            <w:vMerge/>
            <w:tcBorders>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其他非流动负</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债</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-1,469,500.00</w:t>
            </w:r>
          </w:p>
        </w:tc>
      </w:tr>
    </w:tbl>
    <w:p>
      <w:pPr>
        <w:pStyle w:val="BodyText"/>
        <w:spacing w:line="274" w:lineRule="exact" w:before="0"/>
        <w:ind w:left="634" w:right="95"/>
        <w:jc w:val="left"/>
      </w:pPr>
      <w:r>
        <w:rPr/>
        <w:t>（</w:t>
      </w:r>
      <w:r>
        <w:rPr>
          <w:rFonts w:ascii="宋体" w:hAnsi="宋体" w:cs="宋体" w:eastAsia="宋体" w:hint="default"/>
        </w:rPr>
        <w:t>2</w:t>
      </w:r>
      <w:r>
        <w:rPr/>
        <w:t>）会计估计变更</w:t>
      </w:r>
    </w:p>
    <w:p>
      <w:pPr>
        <w:spacing w:line="470" w:lineRule="auto" w:before="0"/>
        <w:ind w:left="153" w:right="4333" w:firstLine="48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z w:val="24"/>
          <w:szCs w:val="24"/>
        </w:rPr>
        <w:t>2014</w:t>
      </w:r>
      <w:r>
        <w:rPr>
          <w:rFonts w:ascii="宋体" w:hAnsi="宋体" w:cs="宋体" w:eastAsia="宋体" w:hint="default"/>
          <w:sz w:val="24"/>
          <w:szCs w:val="24"/>
        </w:rPr>
        <w:t>年度无需披露的会计估计变更事项。 </w:t>
      </w:r>
      <w:bookmarkStart w:name="五、公司利润分配及分红派息情况" w:id="32"/>
      <w:bookmarkEnd w:id="32"/>
      <w:r>
        <w:rPr>
          <w:rFonts w:ascii="宋体" w:hAnsi="宋体" w:cs="宋体" w:eastAsia="宋体" w:hint="default"/>
          <w:sz w:val="24"/>
          <w:szCs w:val="24"/>
        </w:rPr>
      </w:r>
      <w:r>
        <w:rPr>
          <w:rFonts w:ascii="宋体" w:hAnsi="宋体" w:cs="宋体" w:eastAsia="宋体" w:hint="default"/>
          <w:b/>
          <w:bCs/>
          <w:sz w:val="24"/>
          <w:szCs w:val="24"/>
        </w:rPr>
        <w:t>五、公司利润分配及分红派息情况</w:t>
      </w:r>
      <w:r>
        <w:rPr>
          <w:rFonts w:ascii="宋体" w:hAnsi="宋体" w:cs="宋体" w:eastAsia="宋体" w:hint="default"/>
          <w:sz w:val="24"/>
          <w:szCs w:val="24"/>
        </w:rPr>
      </w:r>
    </w:p>
    <w:p>
      <w:pPr>
        <w:spacing w:before="118"/>
        <w:ind w:left="153" w:right="95"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before="116"/>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95" w:firstLine="480"/>
        <w:jc w:val="left"/>
      </w:pPr>
      <w:r>
        <w:rPr/>
        <w:t>公司一直严格按照《公司章程》中关于现金分红政策和股东大会对利润分配方案的决议 </w:t>
      </w:r>
      <w:r>
        <w:rPr>
          <w:spacing w:val="-3"/>
        </w:rPr>
        <w:t>执行现金分红。报告期内，公司现金分红政策的制定及执行情况，符合《公司章程》的规定，</w:t>
      </w:r>
      <w:r>
        <w:rPr>
          <w:spacing w:val="-82"/>
        </w:rPr>
        <w:t> </w:t>
      </w:r>
      <w:r>
        <w:rPr>
          <w:spacing w:val="-82"/>
        </w:rPr>
      </w:r>
      <w:r>
        <w:rPr/>
        <w:t>分红标准和比例明确清晰，相关决策程序完备，独立董事尽职履责，充分维护了中小股东的 合法权益。</w:t>
      </w:r>
    </w:p>
    <w:p>
      <w:pPr>
        <w:pStyle w:val="BodyText"/>
        <w:spacing w:line="240" w:lineRule="auto"/>
        <w:ind w:left="633" w:right="95"/>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日，公司召开第二届董事会第十九次会议，审议分配预案如下：公司以</w:t>
      </w:r>
    </w:p>
    <w:p>
      <w:pPr>
        <w:pStyle w:val="BodyText"/>
        <w:spacing w:line="240" w:lineRule="auto" w:before="154"/>
        <w:ind w:right="95"/>
        <w:jc w:val="left"/>
      </w:pPr>
      <w:r>
        <w:rPr/>
        <w:t>总股本</w:t>
      </w:r>
      <w:r>
        <w:rPr>
          <w:spacing w:val="-63"/>
        </w:rPr>
        <w:t> </w:t>
      </w:r>
      <w:r>
        <w:rPr>
          <w:rFonts w:ascii="宋体" w:hAnsi="宋体" w:cs="宋体" w:eastAsia="宋体" w:hint="default"/>
        </w:rPr>
        <w:t>126,000,000</w:t>
      </w:r>
      <w:r>
        <w:rPr>
          <w:rFonts w:ascii="宋体" w:hAnsi="宋体" w:cs="宋体" w:eastAsia="宋体" w:hint="default"/>
          <w:spacing w:val="-63"/>
        </w:rPr>
        <w:t> </w:t>
      </w:r>
      <w:r>
        <w:rPr/>
        <w:t>股为基数，向全体股东每</w:t>
      </w:r>
      <w:r>
        <w:rPr>
          <w:spacing w:val="-63"/>
        </w:rPr>
        <w:t> </w:t>
      </w:r>
      <w:r>
        <w:rPr>
          <w:rFonts w:ascii="宋体" w:hAnsi="宋体" w:cs="宋体" w:eastAsia="宋体" w:hint="default"/>
        </w:rPr>
        <w:t>10</w:t>
      </w:r>
      <w:r>
        <w:rPr>
          <w:rFonts w:ascii="宋体" w:hAnsi="宋体" w:cs="宋体" w:eastAsia="宋体" w:hint="default"/>
          <w:spacing w:val="-63"/>
        </w:rPr>
        <w:t> </w:t>
      </w:r>
      <w:r>
        <w:rPr/>
        <w:t>股派发现金红利</w:t>
      </w:r>
      <w:r>
        <w:rPr>
          <w:spacing w:val="-63"/>
        </w:rPr>
        <w:t> </w:t>
      </w:r>
      <w:r>
        <w:rPr>
          <w:rFonts w:ascii="宋体" w:hAnsi="宋体" w:cs="宋体" w:eastAsia="宋体" w:hint="default"/>
        </w:rPr>
        <w:t>2</w:t>
      </w:r>
      <w:r>
        <w:rPr>
          <w:rFonts w:ascii="宋体" w:hAnsi="宋体" w:cs="宋体" w:eastAsia="宋体" w:hint="default"/>
          <w:spacing w:val="-63"/>
        </w:rPr>
        <w:t> </w:t>
      </w:r>
      <w:r>
        <w:rPr>
          <w:spacing w:val="-6"/>
        </w:rPr>
        <w:t>元（含税），共计派发现</w:t>
      </w:r>
    </w:p>
    <w:p>
      <w:pPr>
        <w:pStyle w:val="BodyText"/>
        <w:spacing w:line="240" w:lineRule="auto" w:before="154"/>
        <w:ind w:right="95"/>
        <w:jc w:val="left"/>
      </w:pPr>
      <w:r>
        <w:rPr/>
        <w:t>金红利</w:t>
      </w:r>
      <w:r>
        <w:rPr>
          <w:spacing w:val="-60"/>
        </w:rPr>
        <w:t> </w:t>
      </w:r>
      <w:r>
        <w:rPr>
          <w:rFonts w:ascii="宋体" w:hAnsi="宋体" w:cs="宋体" w:eastAsia="宋体" w:hint="default"/>
        </w:rPr>
        <w:t>25,200,000</w:t>
      </w:r>
      <w:r>
        <w:rPr>
          <w:rFonts w:ascii="宋体" w:hAnsi="宋体" w:cs="宋体" w:eastAsia="宋体" w:hint="default"/>
          <w:spacing w:val="-60"/>
        </w:rPr>
        <w:t> </w:t>
      </w:r>
      <w:r>
        <w:rPr/>
        <w:t>元，剩余未分配利润结转以后年度分配。同时以资本公积向全体股东每</w:t>
      </w:r>
    </w:p>
    <w:p>
      <w:pPr>
        <w:pStyle w:val="BodyText"/>
        <w:spacing w:line="240" w:lineRule="auto" w:before="154"/>
        <w:ind w:right="95"/>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股，合计转增股本</w:t>
      </w:r>
      <w:r>
        <w:rPr>
          <w:spacing w:val="-60"/>
        </w:rPr>
        <w:t> </w:t>
      </w:r>
      <w:r>
        <w:rPr>
          <w:rFonts w:ascii="宋体" w:hAnsi="宋体" w:cs="宋体" w:eastAsia="宋体" w:hint="default"/>
        </w:rPr>
        <w:t>63,000,000</w:t>
      </w:r>
      <w:r>
        <w:rPr>
          <w:rFonts w:ascii="宋体" w:hAnsi="宋体" w:cs="宋体" w:eastAsia="宋体" w:hint="default"/>
          <w:spacing w:val="-60"/>
        </w:rPr>
        <w:t> </w:t>
      </w:r>
      <w:r>
        <w:rPr/>
        <w:t>股。转增股本后公司总股本变更为</w:t>
      </w:r>
      <w:r>
        <w:rPr>
          <w:spacing w:val="-60"/>
        </w:rPr>
        <w:t> </w:t>
      </w:r>
      <w:r>
        <w:rPr>
          <w:rFonts w:ascii="宋体" w:hAnsi="宋体" w:cs="宋体" w:eastAsia="宋体" w:hint="default"/>
        </w:rPr>
        <w:t>189,000,000</w:t>
      </w:r>
    </w:p>
    <w:p>
      <w:pPr>
        <w:pStyle w:val="BodyText"/>
        <w:spacing w:line="240" w:lineRule="auto" w:before="154"/>
        <w:ind w:right="95"/>
        <w:jc w:val="left"/>
      </w:pPr>
      <w:r>
        <w:rPr/>
        <w:t>股。本利润分配预案已于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日经</w:t>
      </w:r>
      <w:r>
        <w:rPr>
          <w:spacing w:val="-60"/>
        </w:rPr>
        <w:t> </w:t>
      </w:r>
      <w:r>
        <w:rPr>
          <w:rFonts w:ascii="宋体" w:hAnsi="宋体" w:cs="宋体" w:eastAsia="宋体" w:hint="default"/>
        </w:rPr>
        <w:t>2013</w:t>
      </w:r>
      <w:r>
        <w:rPr>
          <w:rFonts w:ascii="宋体" w:hAnsi="宋体" w:cs="宋体" w:eastAsia="宋体" w:hint="default"/>
          <w:spacing w:val="-60"/>
        </w:rPr>
        <w:t> </w:t>
      </w:r>
      <w:r>
        <w:rPr/>
        <w:t>年年度股东大会审议通过，并于</w:t>
      </w:r>
      <w:r>
        <w:rPr>
          <w:spacing w:val="-60"/>
        </w:rPr>
        <w:t> </w:t>
      </w:r>
      <w:r>
        <w:rPr>
          <w:rFonts w:ascii="宋体" w:hAnsi="宋体" w:cs="宋体" w:eastAsia="宋体" w:hint="default"/>
        </w:rPr>
        <w:t>2014</w:t>
      </w:r>
      <w:r>
        <w:rPr>
          <w:rFonts w:ascii="宋体" w:hAnsi="宋体" w:cs="宋体" w:eastAsia="宋体" w:hint="default"/>
          <w:spacing w:val="-60"/>
        </w:rPr>
        <w:t> </w:t>
      </w:r>
      <w:r>
        <w:rPr/>
        <w:t>年</w:t>
      </w:r>
    </w:p>
    <w:p>
      <w:pPr>
        <w:pStyle w:val="BodyText"/>
        <w:spacing w:line="240" w:lineRule="auto" w:before="154"/>
        <w:ind w:right="95"/>
        <w:jc w:val="left"/>
      </w:pP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日完成权益分派。</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3" w:right="33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after="0" w:line="348"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190,157,455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19,015,745.50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305,655,963.73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公司召开第二届董事会第三十次会议</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审</w:t>
            </w:r>
            <w:r>
              <w:rPr>
                <w:rFonts w:ascii="宋体" w:hAnsi="宋体" w:cs="宋体" w:eastAsia="宋体" w:hint="default"/>
                <w:sz w:val="18"/>
                <w:szCs w:val="18"/>
              </w:rPr>
              <w:t>议通过了</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年度利润分配方案</w:t>
            </w:r>
            <w:r>
              <w:rPr>
                <w:rFonts w:ascii="Times New Roman" w:hAnsi="Times New Roman" w:cs="Times New Roman" w:eastAsia="Times New Roman" w:hint="default"/>
                <w:sz w:val="18"/>
                <w:szCs w:val="18"/>
              </w:rPr>
              <w:t>:</w:t>
            </w:r>
            <w:r>
              <w:rPr>
                <w:rFonts w:ascii="宋体" w:hAnsi="宋体" w:cs="宋体" w:eastAsia="宋体" w:hint="default"/>
                <w:sz w:val="18"/>
                <w:szCs w:val="18"/>
              </w:rPr>
              <w:t>以公司现有总股本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57,4</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股为基数，全体股东每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同时每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元人民币现金（含税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132"/>
        <w:ind w:left="633" w:right="0"/>
        <w:jc w:val="left"/>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日，公司召开第二届董事会第八次会议，审议通过了</w:t>
      </w:r>
      <w:r>
        <w:rPr>
          <w:spacing w:val="-60"/>
        </w:rPr>
        <w:t> </w:t>
      </w:r>
      <w:r>
        <w:rPr>
          <w:rFonts w:ascii="宋体" w:hAnsi="宋体" w:cs="宋体" w:eastAsia="宋体" w:hint="default"/>
        </w:rPr>
        <w:t>2012</w:t>
      </w:r>
      <w:r>
        <w:rPr>
          <w:rFonts w:ascii="宋体" w:hAnsi="宋体" w:cs="宋体" w:eastAsia="宋体" w:hint="default"/>
          <w:spacing w:val="-60"/>
        </w:rPr>
        <w:t> </w:t>
      </w:r>
      <w:r>
        <w:rPr/>
        <w:t>年度利润</w:t>
      </w:r>
    </w:p>
    <w:p>
      <w:pPr>
        <w:pStyle w:val="BodyText"/>
        <w:spacing w:line="240" w:lineRule="auto" w:before="154"/>
        <w:ind w:right="0"/>
        <w:jc w:val="left"/>
      </w:pPr>
      <w:r>
        <w:rPr>
          <w:spacing w:val="-4"/>
        </w:rPr>
        <w:t>分配方案：经中瑞岳华会计师事务所有限公司审计确认，公司 </w:t>
      </w:r>
      <w:r>
        <w:rPr>
          <w:rFonts w:ascii="宋体" w:hAnsi="宋体" w:cs="宋体" w:eastAsia="宋体" w:hint="default"/>
        </w:rPr>
        <w:t>2012</w:t>
      </w:r>
      <w:r>
        <w:rPr>
          <w:rFonts w:ascii="宋体" w:hAnsi="宋体" w:cs="宋体" w:eastAsia="宋体" w:hint="default"/>
          <w:spacing w:val="-90"/>
        </w:rPr>
        <w:t> </w:t>
      </w:r>
      <w:r>
        <w:rPr/>
        <w:t>年实现归属上市公司股东</w:t>
      </w:r>
    </w:p>
    <w:p>
      <w:pPr>
        <w:pStyle w:val="BodyText"/>
        <w:spacing w:line="240" w:lineRule="auto" w:before="154"/>
        <w:ind w:right="0"/>
        <w:jc w:val="left"/>
      </w:pPr>
      <w:r>
        <w:rPr/>
        <w:t>净利润</w:t>
      </w:r>
      <w:r>
        <w:rPr>
          <w:spacing w:val="-60"/>
        </w:rPr>
        <w:t> </w:t>
      </w:r>
      <w:r>
        <w:rPr>
          <w:rFonts w:ascii="宋体" w:hAnsi="宋体" w:cs="宋体" w:eastAsia="宋体" w:hint="default"/>
        </w:rPr>
        <w:t>72,229,938.08</w:t>
      </w:r>
      <w:r>
        <w:rPr>
          <w:rFonts w:ascii="宋体" w:hAnsi="宋体" w:cs="宋体" w:eastAsia="宋体" w:hint="default"/>
          <w:spacing w:val="-60"/>
        </w:rPr>
        <w:t> </w:t>
      </w:r>
      <w:r>
        <w:rPr/>
        <w:t>元，按</w:t>
      </w:r>
      <w:r>
        <w:rPr>
          <w:spacing w:val="-60"/>
        </w:rPr>
        <w:t> </w:t>
      </w:r>
      <w:r>
        <w:rPr>
          <w:rFonts w:ascii="宋体" w:hAnsi="宋体" w:cs="宋体" w:eastAsia="宋体" w:hint="default"/>
        </w:rPr>
        <w:t>10</w:t>
      </w:r>
      <w:r>
        <w:rPr/>
        <w:t>％计提法定公积金</w:t>
      </w:r>
      <w:r>
        <w:rPr>
          <w:spacing w:val="-60"/>
        </w:rPr>
        <w:t> </w:t>
      </w:r>
      <w:r>
        <w:rPr>
          <w:rFonts w:ascii="宋体" w:hAnsi="宋体" w:cs="宋体" w:eastAsia="宋体" w:hint="default"/>
        </w:rPr>
        <w:t>7,221,328.16</w:t>
      </w:r>
      <w:r>
        <w:rPr>
          <w:rFonts w:ascii="宋体" w:hAnsi="宋体" w:cs="宋体" w:eastAsia="宋体" w:hint="default"/>
          <w:spacing w:val="-60"/>
        </w:rPr>
        <w:t> </w:t>
      </w:r>
      <w:r>
        <w:rPr/>
        <w:t>元，加上上年初未分配利</w:t>
      </w:r>
    </w:p>
    <w:p>
      <w:pPr>
        <w:pStyle w:val="BodyText"/>
        <w:spacing w:line="240" w:lineRule="auto" w:before="154"/>
        <w:ind w:right="0"/>
        <w:jc w:val="left"/>
        <w:rPr>
          <w:rFonts w:ascii="宋体" w:hAnsi="宋体" w:cs="宋体" w:eastAsia="宋体" w:hint="default"/>
        </w:rPr>
      </w:pPr>
      <w:r>
        <w:rPr/>
        <w:t>润</w:t>
      </w:r>
      <w:r>
        <w:rPr>
          <w:spacing w:val="-60"/>
        </w:rPr>
        <w:t> </w:t>
      </w:r>
      <w:r>
        <w:rPr>
          <w:rFonts w:ascii="宋体" w:hAnsi="宋体" w:cs="宋体" w:eastAsia="宋体" w:hint="default"/>
        </w:rPr>
        <w:t>105,909,229.66</w:t>
      </w:r>
      <w:r>
        <w:rPr>
          <w:rFonts w:ascii="宋体" w:hAnsi="宋体" w:cs="宋体" w:eastAsia="宋体" w:hint="default"/>
          <w:spacing w:val="-60"/>
        </w:rPr>
        <w:t> </w:t>
      </w:r>
      <w:r>
        <w:rPr>
          <w:spacing w:val="-3"/>
        </w:rPr>
        <w:t>元，并扣除</w:t>
      </w:r>
      <w:r>
        <w:rPr>
          <w:spacing w:val="-60"/>
        </w:rPr>
        <w:t> </w:t>
      </w:r>
      <w:r>
        <w:rPr>
          <w:rFonts w:ascii="宋体" w:hAnsi="宋体" w:cs="宋体" w:eastAsia="宋体" w:hint="default"/>
        </w:rPr>
        <w:t>2011</w:t>
      </w:r>
      <w:r>
        <w:rPr>
          <w:rFonts w:ascii="宋体" w:hAnsi="宋体" w:cs="宋体" w:eastAsia="宋体" w:hint="default"/>
          <w:spacing w:val="-60"/>
        </w:rPr>
        <w:t> </w:t>
      </w:r>
      <w:r>
        <w:rPr/>
        <w:t>年度股东股利</w:t>
      </w:r>
      <w:r>
        <w:rPr>
          <w:spacing w:val="-60"/>
        </w:rPr>
        <w:t> </w:t>
      </w:r>
      <w:r>
        <w:rPr>
          <w:rFonts w:ascii="宋体" w:hAnsi="宋体" w:cs="宋体" w:eastAsia="宋体" w:hint="default"/>
        </w:rPr>
        <w:t>16,800,000.00</w:t>
      </w:r>
      <w:r>
        <w:rPr>
          <w:rFonts w:ascii="宋体" w:hAnsi="宋体" w:cs="宋体" w:eastAsia="宋体" w:hint="default"/>
          <w:spacing w:val="-60"/>
        </w:rPr>
        <w:t> </w:t>
      </w:r>
      <w:r>
        <w:rPr>
          <w:spacing w:val="-3"/>
        </w:rPr>
        <w:t>元，截至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p>
    <w:p>
      <w:pPr>
        <w:pStyle w:val="BodyText"/>
        <w:spacing w:line="240" w:lineRule="auto" w:before="154"/>
        <w:ind w:left="154" w:right="0"/>
        <w:jc w:val="left"/>
      </w:pPr>
      <w:r>
        <w:rPr/>
        <w:t>日，可供股东分配的利润为</w:t>
      </w:r>
      <w:r>
        <w:rPr>
          <w:spacing w:val="-60"/>
        </w:rPr>
        <w:t> </w:t>
      </w:r>
      <w:r>
        <w:rPr>
          <w:rFonts w:ascii="宋体" w:hAnsi="宋体" w:cs="宋体" w:eastAsia="宋体" w:hint="default"/>
        </w:rPr>
        <w:t>154,117,839.58</w:t>
      </w:r>
      <w:r>
        <w:rPr>
          <w:rFonts w:ascii="宋体" w:hAnsi="宋体" w:cs="宋体" w:eastAsia="宋体" w:hint="default"/>
          <w:spacing w:val="-60"/>
        </w:rPr>
        <w:t> </w:t>
      </w:r>
      <w:r>
        <w:rPr/>
        <w:t>元。公司以总股本</w:t>
      </w:r>
      <w:r>
        <w:rPr>
          <w:spacing w:val="-60"/>
        </w:rPr>
        <w:t> </w:t>
      </w:r>
      <w:r>
        <w:rPr>
          <w:rFonts w:ascii="宋体" w:hAnsi="宋体" w:cs="宋体" w:eastAsia="宋体" w:hint="default"/>
        </w:rPr>
        <w:t>84,000,000</w:t>
      </w:r>
      <w:r>
        <w:rPr>
          <w:rFonts w:ascii="宋体" w:hAnsi="宋体" w:cs="宋体" w:eastAsia="宋体" w:hint="default"/>
          <w:spacing w:val="-60"/>
        </w:rPr>
        <w:t> </w:t>
      </w:r>
      <w:r>
        <w:rPr/>
        <w:t>股为基数，向全</w:t>
      </w:r>
    </w:p>
    <w:p>
      <w:pPr>
        <w:pStyle w:val="BodyText"/>
        <w:spacing w:line="240" w:lineRule="auto" w:before="154"/>
        <w:ind w:left="154" w:right="0"/>
        <w:jc w:val="left"/>
      </w:pPr>
      <w:r>
        <w:rPr/>
        <w:t>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2</w:t>
      </w:r>
      <w:r>
        <w:rPr>
          <w:rFonts w:ascii="宋体" w:hAnsi="宋体" w:cs="宋体" w:eastAsia="宋体" w:hint="default"/>
          <w:spacing w:val="-60"/>
        </w:rPr>
        <w:t> </w:t>
      </w:r>
      <w:r>
        <w:rPr/>
        <w:t>元（含税），共计派发现金红利</w:t>
      </w:r>
      <w:r>
        <w:rPr>
          <w:spacing w:val="-60"/>
        </w:rPr>
        <w:t> </w:t>
      </w:r>
      <w:r>
        <w:rPr>
          <w:rFonts w:ascii="宋体" w:hAnsi="宋体" w:cs="宋体" w:eastAsia="宋体" w:hint="default"/>
        </w:rPr>
        <w:t>16,800,000</w:t>
      </w:r>
      <w:r>
        <w:rPr>
          <w:rFonts w:ascii="宋体" w:hAnsi="宋体" w:cs="宋体" w:eastAsia="宋体" w:hint="default"/>
          <w:spacing w:val="-60"/>
        </w:rPr>
        <w:t> </w:t>
      </w:r>
      <w:r>
        <w:rPr/>
        <w:t>元，剩余未分配</w:t>
      </w:r>
    </w:p>
    <w:p>
      <w:pPr>
        <w:pStyle w:val="BodyText"/>
        <w:spacing w:line="240" w:lineRule="auto" w:before="154"/>
        <w:ind w:left="154" w:right="0"/>
        <w:jc w:val="left"/>
      </w:pPr>
      <w:r>
        <w:rPr/>
        <w:t>利润结转以后年度分配。同时以资本公积向全体股东每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股，合计转增股本</w:t>
      </w:r>
    </w:p>
    <w:p>
      <w:pPr>
        <w:pStyle w:val="BodyText"/>
        <w:spacing w:line="240" w:lineRule="auto" w:before="154"/>
        <w:ind w:right="0"/>
        <w:jc w:val="left"/>
      </w:pPr>
      <w:r>
        <w:rPr>
          <w:rFonts w:ascii="宋体" w:hAnsi="宋体" w:cs="宋体" w:eastAsia="宋体" w:hint="default"/>
        </w:rPr>
        <w:t>42,000,000.00 </w:t>
      </w:r>
      <w:r>
        <w:rPr/>
        <w:t>股。转增股本后公司总股本变更为</w:t>
      </w:r>
      <w:r>
        <w:rPr>
          <w:spacing w:val="-60"/>
        </w:rPr>
        <w:t> </w:t>
      </w:r>
      <w:r>
        <w:rPr>
          <w:rFonts w:ascii="宋体" w:hAnsi="宋体" w:cs="宋体" w:eastAsia="宋体" w:hint="default"/>
        </w:rPr>
        <w:t>126,000,000</w:t>
      </w:r>
      <w:r>
        <w:rPr>
          <w:rFonts w:ascii="宋体" w:hAnsi="宋体" w:cs="宋体" w:eastAsia="宋体" w:hint="default"/>
          <w:spacing w:val="-60"/>
        </w:rPr>
        <w:t> </w:t>
      </w:r>
      <w:r>
        <w:rPr/>
        <w:t>股。</w:t>
      </w:r>
    </w:p>
    <w:p>
      <w:pPr>
        <w:pStyle w:val="BodyText"/>
        <w:spacing w:line="240" w:lineRule="auto" w:before="154"/>
        <w:ind w:left="633" w:right="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20</w:t>
      </w:r>
      <w:r>
        <w:rPr>
          <w:rFonts w:ascii="宋体" w:hAnsi="宋体" w:cs="宋体" w:eastAsia="宋体" w:hint="default"/>
          <w:spacing w:val="-65"/>
        </w:rPr>
        <w:t> </w:t>
      </w:r>
      <w:r>
        <w:rPr/>
        <w:t>日，公司召开第二届董事会第十九次会议，审议分配预案如下：公司</w:t>
      </w:r>
    </w:p>
    <w:p>
      <w:pPr>
        <w:pStyle w:val="BodyText"/>
        <w:spacing w:line="240" w:lineRule="auto" w:before="154"/>
        <w:ind w:right="0"/>
        <w:jc w:val="left"/>
      </w:pPr>
      <w:r>
        <w:rPr/>
        <w:t>以总股本</w:t>
      </w:r>
      <w:r>
        <w:rPr>
          <w:spacing w:val="-63"/>
        </w:rPr>
        <w:t> </w:t>
      </w:r>
      <w:r>
        <w:rPr>
          <w:rFonts w:ascii="宋体" w:hAnsi="宋体" w:cs="宋体" w:eastAsia="宋体" w:hint="default"/>
        </w:rPr>
        <w:t>126,000,000</w:t>
      </w:r>
      <w:r>
        <w:rPr>
          <w:rFonts w:ascii="宋体" w:hAnsi="宋体" w:cs="宋体" w:eastAsia="宋体" w:hint="default"/>
          <w:spacing w:val="-63"/>
        </w:rPr>
        <w:t> </w:t>
      </w:r>
      <w:r>
        <w:rPr/>
        <w:t>股为基数，向全体股东每</w:t>
      </w:r>
      <w:r>
        <w:rPr>
          <w:spacing w:val="-63"/>
        </w:rPr>
        <w:t> </w:t>
      </w:r>
      <w:r>
        <w:rPr>
          <w:rFonts w:ascii="宋体" w:hAnsi="宋体" w:cs="宋体" w:eastAsia="宋体" w:hint="default"/>
        </w:rPr>
        <w:t>10</w:t>
      </w:r>
      <w:r>
        <w:rPr>
          <w:rFonts w:ascii="宋体" w:hAnsi="宋体" w:cs="宋体" w:eastAsia="宋体" w:hint="default"/>
          <w:spacing w:val="-63"/>
        </w:rPr>
        <w:t> </w:t>
      </w:r>
      <w:r>
        <w:rPr/>
        <w:t>股派发现金红利</w:t>
      </w:r>
      <w:r>
        <w:rPr>
          <w:spacing w:val="-63"/>
        </w:rPr>
        <w:t> </w:t>
      </w:r>
      <w:r>
        <w:rPr>
          <w:rFonts w:ascii="宋体" w:hAnsi="宋体" w:cs="宋体" w:eastAsia="宋体" w:hint="default"/>
        </w:rPr>
        <w:t>2</w:t>
      </w:r>
      <w:r>
        <w:rPr>
          <w:rFonts w:ascii="宋体" w:hAnsi="宋体" w:cs="宋体" w:eastAsia="宋体" w:hint="default"/>
          <w:spacing w:val="-63"/>
        </w:rPr>
        <w:t> </w:t>
      </w:r>
      <w:r>
        <w:rPr>
          <w:spacing w:val="-7"/>
        </w:rPr>
        <w:t>元（含税），共计派发</w:t>
      </w:r>
    </w:p>
    <w:p>
      <w:pPr>
        <w:pStyle w:val="BodyText"/>
        <w:spacing w:line="240" w:lineRule="auto" w:before="154"/>
        <w:ind w:right="0"/>
        <w:jc w:val="left"/>
      </w:pPr>
      <w:r>
        <w:rPr/>
        <w:t>现金红利</w:t>
      </w:r>
      <w:r>
        <w:rPr>
          <w:spacing w:val="-55"/>
        </w:rPr>
        <w:t> </w:t>
      </w:r>
      <w:r>
        <w:rPr>
          <w:rFonts w:ascii="宋体" w:hAnsi="宋体" w:cs="宋体" w:eastAsia="宋体" w:hint="default"/>
        </w:rPr>
        <w:t>25,200,000</w:t>
      </w:r>
      <w:r>
        <w:rPr>
          <w:rFonts w:ascii="宋体" w:hAnsi="宋体" w:cs="宋体" w:eastAsia="宋体" w:hint="default"/>
          <w:spacing w:val="-55"/>
        </w:rPr>
        <w:t> </w:t>
      </w:r>
      <w:r>
        <w:rPr>
          <w:spacing w:val="-3"/>
        </w:rPr>
        <w:t>元，剩余未分配利润结转以后年度分配。同时以资本公积向全体股东每</w:t>
      </w:r>
    </w:p>
    <w:p>
      <w:pPr>
        <w:pStyle w:val="BodyText"/>
        <w:spacing w:line="357" w:lineRule="auto" w:before="154"/>
        <w:ind w:right="293"/>
        <w:jc w:val="left"/>
      </w:pP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股，合计转增股本</w:t>
      </w:r>
      <w:r>
        <w:rPr>
          <w:spacing w:val="-60"/>
        </w:rPr>
        <w:t> </w:t>
      </w:r>
      <w:r>
        <w:rPr>
          <w:rFonts w:ascii="宋体" w:hAnsi="宋体" w:cs="宋体" w:eastAsia="宋体" w:hint="default"/>
        </w:rPr>
        <w:t>63,000,000</w:t>
      </w:r>
      <w:r>
        <w:rPr>
          <w:rFonts w:ascii="宋体" w:hAnsi="宋体" w:cs="宋体" w:eastAsia="宋体" w:hint="default"/>
          <w:spacing w:val="-60"/>
        </w:rPr>
        <w:t> </w:t>
      </w:r>
      <w:r>
        <w:rPr/>
        <w:t>股。转增股本后公司总股本变更为</w:t>
      </w:r>
      <w:r>
        <w:rPr>
          <w:spacing w:val="-60"/>
        </w:rPr>
        <w:t> </w:t>
      </w:r>
      <w:r>
        <w:rPr>
          <w:rFonts w:ascii="宋体" w:hAnsi="宋体" w:cs="宋体" w:eastAsia="宋体" w:hint="default"/>
        </w:rPr>
        <w:t>189,000,000 </w:t>
      </w:r>
      <w:r>
        <w:rPr/>
        <w:t>股。</w:t>
      </w:r>
    </w:p>
    <w:p>
      <w:pPr>
        <w:pStyle w:val="BodyText"/>
        <w:spacing w:line="240" w:lineRule="auto"/>
        <w:ind w:left="634" w:right="0"/>
        <w:jc w:val="left"/>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20</w:t>
      </w:r>
      <w:r>
        <w:rPr>
          <w:rFonts w:ascii="宋体" w:hAnsi="宋体" w:cs="宋体" w:eastAsia="宋体" w:hint="default"/>
          <w:spacing w:val="-65"/>
        </w:rPr>
        <w:t> </w:t>
      </w:r>
      <w:r>
        <w:rPr/>
        <w:t>日，公司召开第二届董事会三十次会议，审议分配预案如下：公司以</w:t>
      </w:r>
    </w:p>
    <w:p>
      <w:pPr>
        <w:pStyle w:val="BodyText"/>
        <w:spacing w:line="240" w:lineRule="auto" w:before="154"/>
        <w:ind w:right="0"/>
        <w:jc w:val="left"/>
      </w:pPr>
      <w:r>
        <w:rPr/>
        <w:t>总股本</w:t>
      </w:r>
      <w:r>
        <w:rPr>
          <w:spacing w:val="-60"/>
        </w:rPr>
        <w:t> </w:t>
      </w:r>
      <w:r>
        <w:rPr>
          <w:rFonts w:ascii="宋体" w:hAnsi="宋体" w:cs="宋体" w:eastAsia="宋体" w:hint="default"/>
        </w:rPr>
        <w:t>190,157,455</w:t>
      </w:r>
      <w:r>
        <w:rPr>
          <w:rFonts w:ascii="宋体" w:hAnsi="宋体" w:cs="宋体" w:eastAsia="宋体" w:hint="default"/>
          <w:spacing w:val="-60"/>
        </w:rPr>
        <w:t> </w:t>
      </w:r>
      <w:r>
        <w:rPr/>
        <w:t>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1.00</w:t>
      </w:r>
      <w:r>
        <w:rPr>
          <w:rFonts w:ascii="宋体" w:hAnsi="宋体" w:cs="宋体" w:eastAsia="宋体" w:hint="default"/>
          <w:spacing w:val="-60"/>
        </w:rPr>
        <w:t> </w:t>
      </w:r>
      <w:r>
        <w:rPr/>
        <w:t>元（含税），共计派</w:t>
      </w:r>
    </w:p>
    <w:p>
      <w:pPr>
        <w:pStyle w:val="BodyText"/>
        <w:spacing w:line="240" w:lineRule="auto" w:before="154"/>
        <w:ind w:right="0"/>
        <w:jc w:val="left"/>
      </w:pPr>
      <w:r>
        <w:rPr/>
        <w:t>发现金红利</w:t>
      </w:r>
      <w:r>
        <w:rPr>
          <w:spacing w:val="-60"/>
        </w:rPr>
        <w:t> </w:t>
      </w:r>
      <w:r>
        <w:rPr>
          <w:rFonts w:ascii="宋体" w:hAnsi="宋体" w:cs="宋体" w:eastAsia="宋体" w:hint="default"/>
        </w:rPr>
        <w:t>19,015,745.50</w:t>
      </w:r>
      <w:r>
        <w:rPr>
          <w:rFonts w:ascii="宋体" w:hAnsi="宋体" w:cs="宋体" w:eastAsia="宋体" w:hint="default"/>
          <w:spacing w:val="-60"/>
        </w:rPr>
        <w:t> </w:t>
      </w:r>
      <w:r>
        <w:rPr/>
        <w:t>元，剩余未分配利润结转以后年度分配。同时以资本公积向全体</w:t>
      </w:r>
    </w:p>
    <w:p>
      <w:pPr>
        <w:pStyle w:val="BodyText"/>
        <w:spacing w:line="240" w:lineRule="auto" w:before="154"/>
        <w:ind w:right="0"/>
        <w:jc w:val="left"/>
      </w:pPr>
      <w:r>
        <w:rPr/>
        <w:t>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10</w:t>
      </w:r>
      <w:r>
        <w:rPr>
          <w:rFonts w:ascii="宋体" w:hAnsi="宋体" w:cs="宋体" w:eastAsia="宋体" w:hint="default"/>
          <w:spacing w:val="-60"/>
        </w:rPr>
        <w:t> </w:t>
      </w:r>
      <w:r>
        <w:rPr/>
        <w:t>股，合计转增股本</w:t>
      </w:r>
      <w:r>
        <w:rPr>
          <w:spacing w:val="-60"/>
        </w:rPr>
        <w:t> </w:t>
      </w:r>
      <w:r>
        <w:rPr>
          <w:rFonts w:ascii="宋体" w:hAnsi="宋体" w:cs="宋体" w:eastAsia="宋体" w:hint="default"/>
        </w:rPr>
        <w:t>190,157,455</w:t>
      </w:r>
      <w:r>
        <w:rPr>
          <w:rFonts w:ascii="宋体" w:hAnsi="宋体" w:cs="宋体" w:eastAsia="宋体" w:hint="default"/>
          <w:spacing w:val="-60"/>
        </w:rPr>
        <w:t> </w:t>
      </w:r>
      <w:r>
        <w:rPr/>
        <w:t>股。转增股本后公司总股本变更为</w:t>
      </w:r>
    </w:p>
    <w:p>
      <w:pPr>
        <w:pStyle w:val="BodyText"/>
        <w:spacing w:line="240" w:lineRule="auto" w:before="154"/>
        <w:ind w:right="0"/>
        <w:jc w:val="left"/>
      </w:pPr>
      <w:r>
        <w:rPr>
          <w:rFonts w:ascii="宋体" w:hAnsi="宋体" w:cs="宋体" w:eastAsia="宋体" w:hint="default"/>
        </w:rPr>
        <w:t>380,314,910</w:t>
      </w:r>
      <w:r>
        <w:rPr>
          <w:rFonts w:ascii="宋体" w:hAnsi="宋体" w:cs="宋体" w:eastAsia="宋体" w:hint="default"/>
          <w:spacing w:val="-60"/>
        </w:rPr>
        <w:t> </w:t>
      </w:r>
      <w:r>
        <w:rPr/>
        <w:t>股。</w:t>
      </w:r>
    </w:p>
    <w:p>
      <w:pPr>
        <w:spacing w:before="165"/>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8"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19,015,745.50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119,057,772.04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94,035,979.70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72,229,938.08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634" w:right="172"/>
        <w:jc w:val="left"/>
      </w:pPr>
      <w:r>
        <w:rPr/>
        <w:t>（一）内幕信息知情人管理制度的制定 为了规范公司的内幕信息管理，加强内幕信息保密工作，维护信息披露公开、公平、公</w:t>
      </w:r>
    </w:p>
    <w:p>
      <w:pPr>
        <w:pStyle w:val="BodyText"/>
        <w:spacing w:line="357" w:lineRule="auto"/>
        <w:ind w:left="154" w:right="189"/>
        <w:jc w:val="both"/>
      </w:pPr>
      <w:r>
        <w:rPr/>
        <w:t>正原则，根据《中华人民共和国公司法》、《中华人民共和国证券法》、《深圳证券交易所 创业板股票上市规则》等有关法律、法规、规范性文件及《上市公司建立内幕信息知情人登 记管理制度的规定》、《公司章程》等有关规定，公司制定了《内幕信息知情人备案登记制 度》、《重大信息内部报告制度》、《董事、监事和高级管理人员持有和买卖本公司股票管 理制度》。</w:t>
      </w:r>
    </w:p>
    <w:p>
      <w:pPr>
        <w:pStyle w:val="BodyText"/>
        <w:spacing w:line="357" w:lineRule="auto"/>
        <w:ind w:right="151" w:firstLine="480"/>
        <w:jc w:val="both"/>
      </w:pPr>
      <w:r>
        <w:rPr>
          <w:spacing w:val="-5"/>
        </w:rPr>
        <w:t>为了进一步完善内幕信息管理制度，公司于</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t>日召开第一届董事会第二十四 次会议，根据中国证监会《关于上市公司建立内幕信息知情人登记管理制度的规定》（证监 会公告</w:t>
      </w:r>
      <w:r>
        <w:rPr>
          <w:rFonts w:ascii="宋体" w:hAnsi="宋体" w:cs="宋体" w:eastAsia="宋体" w:hint="default"/>
        </w:rPr>
        <w:t>[2011]30</w:t>
      </w:r>
      <w:r>
        <w:rPr>
          <w:rFonts w:ascii="宋体" w:hAnsi="宋体" w:cs="宋体" w:eastAsia="宋体" w:hint="default"/>
          <w:spacing w:val="-81"/>
        </w:rPr>
        <w:t> </w:t>
      </w:r>
      <w:r>
        <w:rPr/>
        <w:t>号）的文件要求，公司对照文件对《内幕信息知情人登记管理制度》进行了 梳理、自查，并对制度进行了修订、完善。制度详见</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日刊登在巨潮资讯网</w:t>
      </w:r>
    </w:p>
    <w:p>
      <w:pPr>
        <w:pStyle w:val="BodyText"/>
        <w:spacing w:line="357" w:lineRule="auto"/>
        <w:ind w:left="633" w:right="173" w:hanging="480"/>
        <w:jc w:val="left"/>
      </w:pPr>
      <w:r>
        <w:rPr/>
        <w:t>（</w:t>
      </w:r>
      <w:hyperlink r:id="rId11">
        <w:r>
          <w:rPr>
            <w:rFonts w:ascii="宋体" w:hAnsi="宋体" w:cs="宋体" w:eastAsia="宋体" w:hint="default"/>
          </w:rPr>
          <w:t>http://www.cninfo.com.cn</w:t>
        </w:r>
      </w:hyperlink>
      <w:r>
        <w:rPr/>
        <w:t>）上的《内幕信息知情人登记管理制度》。 为了进一步提高公司的规范治理水平，健全、完善适应公司管理需要的内部控制制度，</w:t>
      </w:r>
    </w:p>
    <w:p>
      <w:pPr>
        <w:pStyle w:val="BodyText"/>
        <w:spacing w:line="240" w:lineRule="auto"/>
        <w:ind w:right="0"/>
        <w:jc w:val="both"/>
      </w:pPr>
      <w:r>
        <w:rPr/>
        <w:t>更加全面地覆盖公司业务活动和内部管理的各个方面和环节。公司于</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日召开</w:t>
      </w:r>
    </w:p>
    <w:p>
      <w:pPr>
        <w:pStyle w:val="BodyText"/>
        <w:spacing w:line="240" w:lineRule="auto" w:before="154"/>
        <w:ind w:right="0"/>
        <w:jc w:val="both"/>
      </w:pPr>
      <w:r>
        <w:rPr/>
        <w:t>第二届董事会第三次会议，审议通过《投资者接待工作管理制度》，制度详见</w:t>
      </w:r>
      <w:r>
        <w:rPr>
          <w:spacing w:val="-59"/>
        </w:rPr>
        <w:t> </w:t>
      </w:r>
      <w:r>
        <w:rPr>
          <w:rFonts w:ascii="宋体" w:hAnsi="宋体" w:cs="宋体" w:eastAsia="宋体" w:hint="default"/>
        </w:rPr>
        <w:t>2012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p>
    <w:p>
      <w:pPr>
        <w:pStyle w:val="BodyText"/>
        <w:spacing w:line="240" w:lineRule="auto" w:before="154"/>
        <w:ind w:right="0"/>
        <w:jc w:val="both"/>
      </w:pPr>
      <w:r>
        <w:rPr>
          <w:rFonts w:ascii="宋体" w:hAnsi="宋体" w:cs="宋体" w:eastAsia="宋体" w:hint="default"/>
        </w:rPr>
        <w:t>25</w:t>
      </w:r>
      <w:r>
        <w:rPr>
          <w:rFonts w:ascii="宋体" w:hAnsi="宋体" w:cs="宋体" w:eastAsia="宋体" w:hint="default"/>
          <w:spacing w:val="-60"/>
        </w:rPr>
        <w:t> </w:t>
      </w:r>
      <w:r>
        <w:rPr/>
        <w:t>日中国证监会指定的创业板信息披露网站（</w:t>
      </w:r>
      <w:hyperlink r:id="rId11">
        <w:r>
          <w:rPr>
            <w:rFonts w:ascii="宋体" w:hAnsi="宋体" w:cs="宋体" w:eastAsia="宋体" w:hint="default"/>
          </w:rPr>
          <w:t>www.cninfo.com.cn</w:t>
        </w:r>
      </w:hyperlink>
      <w:r>
        <w:rPr/>
        <w:t>）。</w:t>
      </w:r>
    </w:p>
    <w:p>
      <w:pPr>
        <w:pStyle w:val="BodyText"/>
        <w:spacing w:line="357" w:lineRule="auto" w:before="154"/>
        <w:ind w:left="634" w:right="172"/>
        <w:jc w:val="left"/>
      </w:pPr>
      <w:r>
        <w:rPr/>
        <w:t>（二）内幕信息知情人管理制度的执行情况 报告期内，公司严格遵守内幕信息保密制度，严格规范信息传递流程，在定期报告披露</w:t>
      </w:r>
    </w:p>
    <w:p>
      <w:pPr>
        <w:pStyle w:val="BodyText"/>
        <w:spacing w:line="357" w:lineRule="auto"/>
        <w:ind w:left="154" w:right="172"/>
        <w:jc w:val="left"/>
      </w:pPr>
      <w:r>
        <w:rPr/>
        <w:t>期间，对于未公开信息，公司董事会办公室都会严格控制知情人范围并组织相关内幕信息知 情人填写《内幕信息知情人登记表》，如实、完整记录上述信息在公开前的所有内幕信息知</w:t>
      </w:r>
    </w:p>
    <w:p>
      <w:pPr>
        <w:spacing w:after="0" w:line="357"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r>
        <w:rPr/>
        <w:pict>
          <v:group style="position:absolute;margin-left:432.23999pt;margin-top:660.579956pt;width:101.6pt;height:33.25pt;mso-position-horizontal-relative:page;mso-position-vertical-relative:page;z-index:-744136" coordorigin="8645,13212" coordsize="2032,665">
            <v:group style="position:absolute;left:8645;top:13212;width:2032;height:312" coordorigin="8645,13212" coordsize="2032,312">
              <v:shape style="position:absolute;left:8645;top:13212;width:2032;height:312" coordorigin="8645,13212" coordsize="2032,312" path="m8645,13524l10676,13524,10676,13212,8645,13212,8645,13524xe" filled="true" fillcolor="#ffffff" stroked="false">
                <v:path arrowok="t"/>
                <v:fill type="solid"/>
              </v:shape>
            </v:group>
            <v:group style="position:absolute;left:8645;top:13524;width:2032;height:353" coordorigin="8645,13524" coordsize="2032,353">
              <v:shape style="position:absolute;left:8645;top:13524;width:2032;height:353" coordorigin="8645,13524" coordsize="2032,353" path="m8645,13876l10676,13876,10676,13524,8645,13524,8645,13876xe" filled="true" fillcolor="#ffffff" stroked="false">
                <v:path arrowok="t"/>
                <v:fill type="solid"/>
              </v:shape>
            </v:group>
            <w10:wrap type="none"/>
          </v:group>
        </w:pict>
      </w:r>
    </w:p>
    <w:p>
      <w:pPr>
        <w:pStyle w:val="BodyText"/>
        <w:spacing w:line="357" w:lineRule="auto" w:before="26"/>
        <w:ind w:right="173"/>
        <w:jc w:val="left"/>
      </w:pPr>
      <w:r>
        <w:rPr/>
        <w:t>情人名单，以及知情人知悉内幕信息的时间。经公司董事会办公室核实无误后，按照相关法 规规定在向深交所和证监局报送定期报告相关资料的同时报备内幕信息知情人登记情况。</w:t>
      </w:r>
    </w:p>
    <w:p>
      <w:pPr>
        <w:pStyle w:val="BodyText"/>
        <w:spacing w:line="357" w:lineRule="auto"/>
        <w:ind w:right="189" w:firstLine="480"/>
        <w:jc w:val="both"/>
      </w:pPr>
      <w:r>
        <w:rPr/>
        <w:t>在定期报告及重大事项披露期间，公司尽量避免接待投资者的调研，努力做好定期报告 及重大事项披露期间的信息保密工作。在日常接待投资者调研时，根据公司《投资者接待工 作管理制度》，证券事务部负责履行相关的信息保密工作程序。在进行调研前，先对调研人 员的个人信息进行备案，同时要求签署投资者（机构）承诺书，并承诺在对外出具报告前需 经上市公司董事会办公室认可。在调研过程中，证券事务部人员认真做好相关会议记录，按 照相关规定填制投资者关系活动记录表，并将投资者关系活动记录表在深交所指定的网站、 公司网站进行公布。</w:t>
      </w:r>
    </w:p>
    <w:p>
      <w:pPr>
        <w:pStyle w:val="BodyText"/>
        <w:spacing w:line="357" w:lineRule="auto"/>
        <w:ind w:left="154" w:right="189" w:firstLine="480"/>
        <w:jc w:val="both"/>
      </w:pPr>
      <w:r>
        <w:rPr/>
        <w:t>在其他重大事项未披露前，公司及相关信息披露义务人采取保密措施，签订相关保密协 议，以保证信息处于可控范围。</w:t>
      </w:r>
    </w:p>
    <w:p>
      <w:pPr>
        <w:pStyle w:val="BodyText"/>
        <w:spacing w:line="357" w:lineRule="auto"/>
        <w:ind w:left="633" w:right="173"/>
        <w:jc w:val="left"/>
      </w:pPr>
      <w:r>
        <w:rPr/>
        <w:t>（三）报告期内自查内幕信息知情人涉嫌内幕交易以及监管部门的查处和整改情况 报告期公司严格执行了上述制度，未发生内幕信息知情人买卖本公司股票及其衍生品种</w:t>
      </w:r>
    </w:p>
    <w:p>
      <w:pPr>
        <w:pStyle w:val="BodyText"/>
        <w:spacing w:line="357" w:lineRule="auto"/>
        <w:ind w:right="173"/>
        <w:jc w:val="left"/>
      </w:pPr>
      <w:r>
        <w:rPr/>
        <w:t>的情况；公司及相关人员未发生因内幕信息知情人登记管理制度执行或涉嫌内幕交易被监管 部门采取监管措施及行政处罚的情况。</w:t>
      </w:r>
    </w:p>
    <w:p>
      <w:pPr>
        <w:spacing w:line="240" w:lineRule="auto" w:before="11"/>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华夏基金、中信建 投、海通证券、平 安资产</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年总体发展情况</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年度总体规划。</w:t>
            </w:r>
          </w:p>
        </w:tc>
      </w:tr>
      <w:tr>
        <w:trPr>
          <w:trHeight w:val="379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z w:val="18"/>
                <w:szCs w:val="18"/>
              </w:rPr>
              <w:t>摩根士丹利华鑫基 金、汇添富基金、 泰达宏利基金、农 银汇理基金、华安 基金、国泰基金、 长城基金、上投摩 </w:t>
            </w:r>
            <w:r>
              <w:rPr>
                <w:rFonts w:ascii="宋体" w:hAnsi="宋体" w:cs="宋体" w:eastAsia="宋体" w:hint="default"/>
                <w:spacing w:val="-12"/>
                <w:sz w:val="18"/>
                <w:szCs w:val="18"/>
              </w:rPr>
              <w:t>根基金、新华基金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资本、长江证 券、安信证券、中 信建投证券、招商 证券、国信证券、 太平洋证券、信诚</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90" w:lineRule="atLeast"/>
              <w:ind w:left="11" w:right="2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年前三季度发展 情况，行政执法监督一体</w:t>
            </w:r>
          </w:p>
          <w:p>
            <w:pPr>
              <w:pStyle w:val="TableParagraph"/>
              <w:spacing w:line="127"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1" w:right="0"/>
              <w:jc w:val="left"/>
              <w:rPr>
                <w:rFonts w:ascii="宋体" w:hAnsi="宋体" w:cs="宋体" w:eastAsia="宋体" w:hint="default"/>
                <w:sz w:val="18"/>
                <w:szCs w:val="18"/>
              </w:rPr>
            </w:pPr>
            <w:r>
              <w:rPr>
                <w:rFonts w:ascii="宋体" w:hAnsi="宋体" w:cs="宋体" w:eastAsia="宋体" w:hint="default"/>
                <w:sz w:val="18"/>
                <w:szCs w:val="18"/>
              </w:rPr>
              <w:t>化平台建设情况等。</w:t>
            </w:r>
          </w:p>
        </w:tc>
      </w:tr>
    </w:tbl>
    <w:p>
      <w:pPr>
        <w:spacing w:after="0" w:line="186" w:lineRule="exact"/>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0.963013pt;margin-top:72.47998pt;width:164pt;height:220.5pt;mso-position-horizontal-relative:page;mso-position-vertical-relative:page;z-index:-744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360" w:right="0" w:hanging="360"/>
                    <w:jc w:val="left"/>
                    <w:rPr>
                      <w:rFonts w:ascii="宋体" w:hAnsi="宋体" w:cs="宋体" w:eastAsia="宋体" w:hint="default"/>
                      <w:sz w:val="18"/>
                      <w:szCs w:val="18"/>
                    </w:rPr>
                  </w:pPr>
                  <w:r>
                    <w:rPr>
                      <w:rFonts w:ascii="宋体" w:hAnsi="宋体" w:cs="宋体" w:eastAsia="宋体" w:hint="default"/>
                      <w:sz w:val="18"/>
                      <w:szCs w:val="18"/>
                    </w:rPr>
                    <w:t>长江养老保险、</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承川资本、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17" w:hRule="exact"/>
        </w:trPr>
        <w:tc>
          <w:tcPr>
            <w:tcW w:w="1494"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人寿、国都证券、</w:t>
            </w:r>
          </w:p>
        </w:tc>
        <w:tc>
          <w:tcPr>
            <w:tcW w:w="2087" w:type="dxa"/>
            <w:vMerge w:val="restart"/>
            <w:tcBorders>
              <w:top w:val="single" w:sz="4" w:space="0" w:color="000000"/>
              <w:left w:val="single" w:sz="4" w:space="0" w:color="000000"/>
              <w:right w:val="single" w:sz="4" w:space="0" w:color="000000"/>
            </w:tcBorders>
          </w:tcPr>
          <w:p>
            <w:pPr>
              <w:pStyle w:val="TableParagraph"/>
              <w:spacing w:line="44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103.9pt;height:220.5pt;mso-position-horizontal-relative:char;mso-position-vertical-relative:line" coordorigin="0,0" coordsize="2078,4410">
                  <v:group style="position:absolute;left:0;top:0;width:2078;height:4410" coordorigin="0,0" coordsize="2078,4410">
                    <v:shape style="position:absolute;left:0;top:0;width:2078;height:4410" coordorigin="0,0" coordsize="2078,4410" path="m0,4409l2077,4409,2077,0,0,0,0,4409xe" filled="true" fillcolor="#ffffff" stroked="false">
                      <v:path arrowok="t"/>
                      <v:fill type="solid"/>
                    </v:shape>
                  </v:group>
                </v:group>
              </w:pict>
            </w:r>
            <w:r>
              <w:rPr>
                <w:rFonts w:ascii="Times New Roman" w:hAnsi="Times New Roman" w:cs="Times New Roman" w:eastAsia="Times New Roman" w:hint="default"/>
                <w:position w:val="-87"/>
                <w:sz w:val="20"/>
                <w:szCs w:val="20"/>
              </w:rPr>
            </w: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太平资产管理有限</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公司、新沃资本、</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中航证券、广发证</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华融证券、金元证</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券、中邮证券、日</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信证券、英大国际</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信托、华创证券、</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民生证券、明石投</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资、合正普惠、华</w:t>
            </w:r>
          </w:p>
        </w:tc>
        <w:tc>
          <w:tcPr>
            <w:tcW w:w="2087" w:type="dxa"/>
            <w:vMerge/>
            <w:tcBorders>
              <w:left w:val="single" w:sz="4" w:space="0" w:color="000000"/>
              <w:right w:val="single" w:sz="4" w:space="0" w:color="000000"/>
            </w:tcBorders>
          </w:tcPr>
          <w:p>
            <w:pPr/>
          </w:p>
        </w:tc>
      </w:tr>
      <w:tr>
        <w:trPr>
          <w:trHeight w:val="312"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宝投资、</w:t>
            </w:r>
          </w:p>
        </w:tc>
        <w:tc>
          <w:tcPr>
            <w:tcW w:w="2087" w:type="dxa"/>
            <w:vMerge/>
            <w:tcBorders>
              <w:left w:val="single" w:sz="4" w:space="0" w:color="000000"/>
              <w:right w:val="single" w:sz="4" w:space="0" w:color="000000"/>
            </w:tcBorders>
          </w:tcPr>
          <w:p>
            <w:pPr/>
          </w:p>
        </w:tc>
      </w:tr>
      <w:tr>
        <w:trPr>
          <w:trHeight w:val="313" w:hRule="exact"/>
        </w:trPr>
        <w:tc>
          <w:tcPr>
            <w:tcW w:w="1494"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东兴证券、长城证</w:t>
            </w:r>
          </w:p>
        </w:tc>
        <w:tc>
          <w:tcPr>
            <w:tcW w:w="2087" w:type="dxa"/>
            <w:vMerge/>
            <w:tcBorders>
              <w:left w:val="single" w:sz="4" w:space="0" w:color="000000"/>
              <w:right w:val="single" w:sz="4" w:space="0" w:color="000000"/>
            </w:tcBorders>
          </w:tcPr>
          <w:p>
            <w:pPr/>
          </w:p>
        </w:tc>
      </w:tr>
      <w:tr>
        <w:trPr>
          <w:trHeight w:val="357" w:hRule="exact"/>
        </w:trPr>
        <w:tc>
          <w:tcPr>
            <w:tcW w:w="1494"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券、泰康资产</w:t>
            </w:r>
          </w:p>
        </w:tc>
        <w:tc>
          <w:tcPr>
            <w:tcW w:w="208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423" w:right="2423"/>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购资产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公司报告期未收购资产。</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出售资产情况"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企业合并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12"/>
        <w:rPr>
          <w:rFonts w:ascii="宋体" w:hAnsi="宋体" w:cs="宋体" w:eastAsia="宋体" w:hint="default"/>
          <w:sz w:val="20"/>
          <w:szCs w:val="20"/>
        </w:rPr>
      </w:pPr>
    </w:p>
    <w:p>
      <w:pPr>
        <w:spacing w:line="259" w:lineRule="auto" w:before="0"/>
        <w:ind w:left="153" w:right="0" w:firstLine="0"/>
        <w:jc w:val="left"/>
        <w:rPr>
          <w:rFonts w:ascii="宋体" w:hAnsi="宋体" w:cs="宋体" w:eastAsia="宋体" w:hint="default"/>
          <w:sz w:val="21"/>
          <w:szCs w:val="21"/>
        </w:rPr>
      </w:pPr>
      <w:bookmarkStart w:name="4、自资产重组报告书或收购出售资产公告刊登后，该事项的进展情况及对报告期经营成果" w:id="44"/>
      <w:bookmarkEnd w:id="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、自资产重组报告书或收购出售资产公告刊登后，该事项的进展情况及对报告期经营成果与财务状况的</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影响</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3" w:right="95"/>
        <w:jc w:val="left"/>
      </w:pPr>
      <w:r>
        <w:rPr/>
        <w:t>（一）公司股权激励的基本情况</w:t>
      </w:r>
    </w:p>
    <w:p>
      <w:pPr>
        <w:pStyle w:val="BodyText"/>
        <w:spacing w:line="357" w:lineRule="auto" w:before="154"/>
        <w:ind w:right="231" w:firstLine="480"/>
        <w:jc w:val="both"/>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日，公司第一届董事会第十九次会议审议通过的《北京数字政通科技 股份有限公司股票期权激励计划（草案）》，公司独立董事对此发表了独立意见；</w:t>
      </w:r>
    </w:p>
    <w:p>
      <w:pPr>
        <w:pStyle w:val="BodyText"/>
        <w:spacing w:line="357" w:lineRule="auto"/>
        <w:ind w:right="231" w:firstLine="480"/>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日，公司第一届监事会第十次会议审议通过了《北京数字政通科技股 份有限公司股票期权激励计划（草案）》，并认为激励对象名单符合公司股票期权激励计划</w:t>
      </w:r>
    </w:p>
    <w:p>
      <w:pPr>
        <w:pStyle w:val="BodyText"/>
        <w:spacing w:line="357" w:lineRule="auto"/>
        <w:ind w:right="253"/>
        <w:jc w:val="left"/>
      </w:pPr>
      <w:r>
        <w:rPr/>
        <w:t>（草案）规定的激励对象范围，其作为公司股票期权激励计划激励对象的主体资格合法、有 效；</w:t>
      </w:r>
    </w:p>
    <w:p>
      <w:pPr>
        <w:pStyle w:val="BodyText"/>
        <w:spacing w:line="357" w:lineRule="auto"/>
        <w:ind w:right="231" w:firstLine="480"/>
        <w:jc w:val="both"/>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20</w:t>
      </w:r>
      <w:r>
        <w:rPr>
          <w:rFonts w:ascii="宋体" w:hAnsi="宋体" w:cs="宋体" w:eastAsia="宋体" w:hint="default"/>
          <w:spacing w:val="-64"/>
        </w:rPr>
        <w:t> </w:t>
      </w:r>
      <w:r>
        <w:rPr/>
        <w:t>日，公司第一届董事会</w:t>
      </w:r>
      <w:r>
        <w:rPr>
          <w:spacing w:val="-64"/>
        </w:rPr>
        <w:t> </w:t>
      </w:r>
      <w:r>
        <w:rPr>
          <w:rFonts w:ascii="宋体" w:hAnsi="宋体" w:cs="宋体" w:eastAsia="宋体" w:hint="default"/>
        </w:rPr>
        <w:t>2011</w:t>
      </w:r>
      <w:r>
        <w:rPr>
          <w:rFonts w:ascii="宋体" w:hAnsi="宋体" w:cs="宋体" w:eastAsia="宋体" w:hint="default"/>
          <w:spacing w:val="-64"/>
        </w:rPr>
        <w:t> </w:t>
      </w:r>
      <w:r>
        <w:rPr/>
        <w:t>年第一次临时会议审议通过了《北京数 字政通科技股份有限公司股票期权激励计划（草案修订稿）》，并已报中国证监会审核无异 议。公司独立董事对此修订稿发表了独立意见；</w:t>
      </w:r>
    </w:p>
    <w:p>
      <w:pPr>
        <w:pStyle w:val="BodyText"/>
        <w:spacing w:line="357" w:lineRule="auto"/>
        <w:ind w:right="231" w:firstLine="480"/>
        <w:jc w:val="both"/>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20</w:t>
      </w:r>
      <w:r>
        <w:rPr>
          <w:rFonts w:ascii="宋体" w:hAnsi="宋体" w:cs="宋体" w:eastAsia="宋体" w:hint="default"/>
          <w:spacing w:val="-64"/>
        </w:rPr>
        <w:t> </w:t>
      </w:r>
      <w:r>
        <w:rPr/>
        <w:t>日，公司第一届监事会</w:t>
      </w:r>
      <w:r>
        <w:rPr>
          <w:spacing w:val="-64"/>
        </w:rPr>
        <w:t> </w:t>
      </w:r>
      <w:r>
        <w:rPr>
          <w:rFonts w:ascii="宋体" w:hAnsi="宋体" w:cs="宋体" w:eastAsia="宋体" w:hint="default"/>
        </w:rPr>
        <w:t>2011</w:t>
      </w:r>
      <w:r>
        <w:rPr>
          <w:rFonts w:ascii="宋体" w:hAnsi="宋体" w:cs="宋体" w:eastAsia="宋体" w:hint="default"/>
          <w:spacing w:val="-64"/>
        </w:rPr>
        <w:t> </w:t>
      </w:r>
      <w:r>
        <w:rPr/>
        <w:t>年第一次临时会议审议通过了《北京数 </w:t>
      </w:r>
      <w:r>
        <w:rPr>
          <w:spacing w:val="-5"/>
        </w:rPr>
        <w:t>字政通科技股份有限公司股票期权激励计划（草案修订稿）》，且认为激励对象名单符合《股</w:t>
      </w:r>
      <w:r>
        <w:rPr/>
        <w:t> 票期权激励计划》规定的激励对象范围，其作为公司股票期权激励计划激励对象的主体资格 合法、有效；</w:t>
      </w:r>
    </w:p>
    <w:p>
      <w:pPr>
        <w:pStyle w:val="BodyText"/>
        <w:spacing w:line="357" w:lineRule="auto"/>
        <w:ind w:left="154" w:right="231" w:firstLine="480"/>
        <w:jc w:val="both"/>
      </w:pPr>
      <w:r>
        <w:rPr>
          <w:rFonts w:ascii="宋体" w:hAnsi="宋体" w:cs="宋体" w:eastAsia="宋体" w:hint="default"/>
        </w:rPr>
        <w:t>5</w:t>
      </w:r>
      <w:r>
        <w:rPr/>
        <w:t>、</w:t>
      </w: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5</w:t>
      </w:r>
      <w:r>
        <w:rPr>
          <w:rFonts w:ascii="宋体" w:hAnsi="宋体" w:cs="宋体" w:eastAsia="宋体" w:hint="default"/>
          <w:spacing w:val="-64"/>
        </w:rPr>
        <w:t> </w:t>
      </w:r>
      <w:r>
        <w:rPr/>
        <w:t>日，公司</w:t>
      </w:r>
      <w:r>
        <w:rPr>
          <w:spacing w:val="-64"/>
        </w:rPr>
        <w:t> </w:t>
      </w:r>
      <w:r>
        <w:rPr>
          <w:rFonts w:ascii="宋体" w:hAnsi="宋体" w:cs="宋体" w:eastAsia="宋体" w:hint="default"/>
        </w:rPr>
        <w:t>2012</w:t>
      </w:r>
      <w:r>
        <w:rPr>
          <w:rFonts w:ascii="宋体" w:hAnsi="宋体" w:cs="宋体" w:eastAsia="宋体" w:hint="default"/>
          <w:spacing w:val="-64"/>
        </w:rPr>
        <w:t> </w:t>
      </w:r>
      <w:r>
        <w:rPr/>
        <w:t>年第一次临时股东大会逐项审议通过了《北京数字政通 科技股份有限公司股票期权激励计划（草案修订稿）》；</w:t>
      </w:r>
    </w:p>
    <w:p>
      <w:pPr>
        <w:pStyle w:val="BodyText"/>
        <w:spacing w:line="357" w:lineRule="auto"/>
        <w:ind w:right="231" w:firstLine="480"/>
        <w:jc w:val="both"/>
      </w:pPr>
      <w:r>
        <w:rPr>
          <w:rFonts w:ascii="宋体" w:hAnsi="宋体" w:cs="宋体" w:eastAsia="宋体" w:hint="default"/>
        </w:rPr>
        <w:t>6</w:t>
      </w:r>
      <w:r>
        <w:rPr/>
        <w:t>、</w:t>
      </w: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w:t>
      </w:r>
      <w:r>
        <w:rPr>
          <w:spacing w:val="-64"/>
        </w:rPr>
        <w:t> </w:t>
      </w:r>
      <w:r>
        <w:rPr>
          <w:rFonts w:ascii="宋体" w:hAnsi="宋体" w:cs="宋体" w:eastAsia="宋体" w:hint="default"/>
        </w:rPr>
        <w:t>9</w:t>
      </w:r>
      <w:r>
        <w:rPr>
          <w:rFonts w:ascii="宋体" w:hAnsi="宋体" w:cs="宋体" w:eastAsia="宋体" w:hint="default"/>
          <w:spacing w:val="-64"/>
        </w:rPr>
        <w:t> </w:t>
      </w:r>
      <w:r>
        <w:rPr/>
        <w:t>日，公司第一届董事会</w:t>
      </w:r>
      <w:r>
        <w:rPr>
          <w:spacing w:val="-64"/>
        </w:rPr>
        <w:t> </w:t>
      </w:r>
      <w:r>
        <w:rPr>
          <w:rFonts w:ascii="宋体" w:hAnsi="宋体" w:cs="宋体" w:eastAsia="宋体" w:hint="default"/>
        </w:rPr>
        <w:t>2012</w:t>
      </w:r>
      <w:r>
        <w:rPr>
          <w:rFonts w:ascii="宋体" w:hAnsi="宋体" w:cs="宋体" w:eastAsia="宋体" w:hint="default"/>
          <w:spacing w:val="-64"/>
        </w:rPr>
        <w:t> </w:t>
      </w:r>
      <w:r>
        <w:rPr/>
        <w:t>年第一次临时会议审议通过了《关于公司 股权激励计划所涉股票期权首期授予的议案》，独立董事关于公司股票期权激励计划所涉首 次期权授予相关事项发表了独立意见。</w:t>
      </w:r>
    </w:p>
    <w:p>
      <w:pPr>
        <w:pStyle w:val="BodyText"/>
        <w:spacing w:line="357" w:lineRule="auto"/>
        <w:ind w:right="95" w:firstLine="480"/>
        <w:jc w:val="left"/>
      </w:pPr>
      <w:r>
        <w:rPr>
          <w:rFonts w:ascii="宋体" w:hAnsi="宋体" w:cs="宋体" w:eastAsia="宋体" w:hint="default"/>
        </w:rPr>
        <w:t>7</w:t>
      </w:r>
      <w:r>
        <w:rPr/>
        <w:t>、</w:t>
      </w:r>
      <w:r>
        <w:rPr>
          <w:rFonts w:ascii="宋体" w:hAnsi="宋体" w:cs="宋体" w:eastAsia="宋体" w:hint="default"/>
        </w:rPr>
        <w:t>2012</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9</w:t>
      </w:r>
      <w:r>
        <w:rPr>
          <w:rFonts w:ascii="宋体" w:hAnsi="宋体" w:cs="宋体" w:eastAsia="宋体" w:hint="default"/>
          <w:spacing w:val="-63"/>
        </w:rPr>
        <w:t> </w:t>
      </w:r>
      <w:r>
        <w:rPr/>
        <w:t>日，公司第一届监事会</w:t>
      </w:r>
      <w:r>
        <w:rPr>
          <w:spacing w:val="-63"/>
        </w:rPr>
        <w:t> </w:t>
      </w:r>
      <w:r>
        <w:rPr>
          <w:rFonts w:ascii="宋体" w:hAnsi="宋体" w:cs="宋体" w:eastAsia="宋体" w:hint="default"/>
        </w:rPr>
        <w:t>2012</w:t>
      </w:r>
      <w:r>
        <w:rPr>
          <w:rFonts w:ascii="宋体" w:hAnsi="宋体" w:cs="宋体" w:eastAsia="宋体" w:hint="default"/>
          <w:spacing w:val="-63"/>
        </w:rPr>
        <w:t> </w:t>
      </w:r>
      <w:r>
        <w:rPr/>
        <w:t>年第一次临时会议审议通过了《关于公司 股权激励计划所涉股票期权首期授予的议案》，认为首次获授股票期权的激励对象作为公司 </w:t>
      </w:r>
      <w:r>
        <w:rPr>
          <w:spacing w:val="-3"/>
        </w:rPr>
        <w:t>股票期权激励计划激励对象的主体资格合法、有效，同意激励对象按照《股票期权激励计划》</w:t>
      </w:r>
      <w:r>
        <w:rPr>
          <w:spacing w:val="-81"/>
        </w:rPr>
        <w:t> </w:t>
      </w:r>
      <w:r>
        <w:rPr>
          <w:spacing w:val="-81"/>
        </w:rPr>
      </w:r>
      <w:r>
        <w:rPr/>
        <w:t>有关规定获授股票期权。</w:t>
      </w:r>
    </w:p>
    <w:p>
      <w:pPr>
        <w:pStyle w:val="BodyText"/>
        <w:spacing w:line="240" w:lineRule="auto"/>
        <w:ind w:left="634" w:right="95"/>
        <w:jc w:val="left"/>
      </w:pPr>
      <w:r>
        <w:rPr>
          <w:rFonts w:ascii="宋体" w:hAnsi="宋体" w:cs="宋体" w:eastAsia="宋体" w:hint="default"/>
        </w:rPr>
        <w:t>8</w:t>
      </w:r>
      <w:r>
        <w:rPr/>
        <w:t>、公司于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日分别召开第二届董事会第六次会议、第二届监事会第五次</w:t>
      </w:r>
    </w:p>
    <w:p>
      <w:pPr>
        <w:pStyle w:val="BodyText"/>
        <w:spacing w:line="240" w:lineRule="auto" w:before="154"/>
        <w:ind w:right="95"/>
        <w:jc w:val="left"/>
        <w:rPr>
          <w:rFonts w:ascii="宋体" w:hAnsi="宋体" w:cs="宋体" w:eastAsia="宋体" w:hint="default"/>
        </w:rPr>
      </w:pPr>
      <w:r>
        <w:rPr>
          <w:spacing w:val="-7"/>
        </w:rPr>
        <w:t>会议审议通过《关于公司首期股票期权激励计划预留期权授予相关事项的议案》。计划于</w:t>
      </w:r>
      <w:r>
        <w:rPr>
          <w:spacing w:val="-50"/>
        </w:rPr>
        <w:t> </w:t>
      </w:r>
      <w:r>
        <w:rPr>
          <w:rFonts w:ascii="宋体" w:hAnsi="宋体" w:cs="宋体" w:eastAsia="宋体" w:hint="default"/>
        </w:rPr>
        <w:t>2012</w:t>
      </w:r>
    </w:p>
    <w:p>
      <w:pPr>
        <w:pStyle w:val="BodyText"/>
        <w:spacing w:line="240" w:lineRule="auto" w:before="154"/>
        <w:ind w:right="95"/>
        <w:jc w:val="left"/>
      </w:pP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日向</w:t>
      </w:r>
      <w:r>
        <w:rPr>
          <w:spacing w:val="-60"/>
        </w:rPr>
        <w:t> </w:t>
      </w:r>
      <w:r>
        <w:rPr>
          <w:rFonts w:ascii="宋体" w:hAnsi="宋体" w:cs="宋体" w:eastAsia="宋体" w:hint="default"/>
        </w:rPr>
        <w:t>18</w:t>
      </w:r>
      <w:r>
        <w:rPr>
          <w:rFonts w:ascii="宋体" w:hAnsi="宋体" w:cs="宋体" w:eastAsia="宋体" w:hint="default"/>
          <w:spacing w:val="-60"/>
        </w:rPr>
        <w:t> </w:t>
      </w:r>
      <w:r>
        <w:rPr/>
        <w:t>名激励对象授出</w:t>
      </w:r>
      <w:r>
        <w:rPr>
          <w:spacing w:val="-60"/>
        </w:rPr>
        <w:t> </w:t>
      </w:r>
      <w:r>
        <w:rPr>
          <w:rFonts w:ascii="宋体" w:hAnsi="宋体" w:cs="宋体" w:eastAsia="宋体" w:hint="default"/>
        </w:rPr>
        <w:t>18.00</w:t>
      </w:r>
      <w:r>
        <w:rPr>
          <w:rFonts w:ascii="宋体" w:hAnsi="宋体" w:cs="宋体" w:eastAsia="宋体" w:hint="default"/>
          <w:spacing w:val="-60"/>
        </w:rPr>
        <w:t> </w:t>
      </w:r>
      <w:r>
        <w:rPr/>
        <w:t>万份预留期权，行权价格为</w:t>
      </w:r>
      <w:r>
        <w:rPr>
          <w:spacing w:val="-60"/>
        </w:rPr>
        <w:t> </w:t>
      </w:r>
      <w:r>
        <w:rPr>
          <w:rFonts w:ascii="宋体" w:hAnsi="宋体" w:cs="宋体" w:eastAsia="宋体" w:hint="default"/>
        </w:rPr>
        <w:t>25.42</w:t>
      </w:r>
      <w:r>
        <w:rPr>
          <w:rFonts w:ascii="宋体" w:hAnsi="宋体" w:cs="宋体" w:eastAsia="宋体" w:hint="default"/>
          <w:spacing w:val="-60"/>
        </w:rPr>
        <w:t> </w:t>
      </w:r>
      <w:r>
        <w:rPr/>
        <w:t>元。</w:t>
      </w:r>
    </w:p>
    <w:p>
      <w:pPr>
        <w:pStyle w:val="BodyText"/>
        <w:spacing w:line="357" w:lineRule="auto" w:before="154"/>
        <w:ind w:left="154" w:right="270" w:firstLine="480"/>
        <w:jc w:val="both"/>
      </w:pPr>
      <w:r>
        <w:rPr>
          <w:rFonts w:ascii="宋体" w:hAnsi="宋体" w:cs="宋体" w:eastAsia="宋体" w:hint="default"/>
        </w:rPr>
        <w:t>9</w:t>
      </w:r>
      <w:r>
        <w:rPr/>
        <w:t>、</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日，公司第二届董事会第十一次会议审议通过了《关于调整股票期权 数量及行权价格的议案》，根据《北京数字政通科技股份有限公司股票期权激励计划（草案 修订稿），对股权激励价格和数量做出了调整。</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0" w:firstLine="480"/>
        <w:jc w:val="both"/>
        <w:rPr>
          <w:rFonts w:ascii="宋体" w:hAnsi="宋体" w:cs="宋体" w:eastAsia="宋体" w:hint="default"/>
        </w:rPr>
      </w:pPr>
      <w:r>
        <w:rPr>
          <w:rFonts w:ascii="宋体" w:hAnsi="宋体" w:cs="宋体" w:eastAsia="宋体" w:hint="default"/>
        </w:rPr>
        <w:t>10</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日，公司第二届董事会第二十一次会议审议通过了《关于对</w:t>
      </w:r>
      <w:r>
        <w:rPr>
          <w:rFonts w:ascii="宋体" w:hAnsi="宋体" w:cs="宋体" w:eastAsia="宋体" w:hint="default"/>
        </w:rPr>
        <w:t>&lt;</w:t>
      </w:r>
      <w:r>
        <w:rPr/>
        <w:t>股票期 </w:t>
      </w:r>
      <w:r>
        <w:rPr>
          <w:spacing w:val="-2"/>
        </w:rPr>
        <w:t>权激励计划</w:t>
      </w:r>
      <w:r>
        <w:rPr>
          <w:rFonts w:ascii="宋体" w:hAnsi="宋体" w:cs="宋体" w:eastAsia="宋体" w:hint="default"/>
          <w:spacing w:val="-2"/>
        </w:rPr>
        <w:t>&gt;</w:t>
      </w:r>
      <w:r>
        <w:rPr>
          <w:spacing w:val="-2"/>
        </w:rPr>
        <w:t>激励对象进行调整的议案》和《关于首期股票期权激励计划首次授予第一个行权</w:t>
      </w:r>
      <w:r>
        <w:rPr/>
        <w:t> </w:t>
      </w:r>
      <w:r>
        <w:rPr>
          <w:spacing w:val="-4"/>
        </w:rPr>
        <w:t>期可行权的议案》，经过本次调整后的《股票期权激励计划》首次授予股票期权总数为</w:t>
      </w:r>
      <w:r>
        <w:rPr>
          <w:spacing w:val="-51"/>
        </w:rPr>
        <w:t> </w:t>
      </w:r>
      <w:r>
        <w:rPr>
          <w:rFonts w:ascii="宋体" w:hAnsi="宋体" w:cs="宋体" w:eastAsia="宋体" w:hint="default"/>
        </w:rPr>
        <w:t>262.5</w:t>
      </w:r>
    </w:p>
    <w:p>
      <w:pPr>
        <w:pStyle w:val="BodyText"/>
        <w:spacing w:line="240" w:lineRule="auto"/>
        <w:ind w:right="0"/>
        <w:jc w:val="both"/>
      </w:pPr>
      <w:r>
        <w:rPr/>
        <w:t>万股，首次授予对象调整为</w:t>
      </w:r>
      <w:r>
        <w:rPr>
          <w:spacing w:val="-60"/>
        </w:rPr>
        <w:t> </w:t>
      </w:r>
      <w:r>
        <w:rPr>
          <w:rFonts w:ascii="宋体" w:hAnsi="宋体" w:cs="宋体" w:eastAsia="宋体" w:hint="default"/>
        </w:rPr>
        <w:t>28</w:t>
      </w:r>
      <w:r>
        <w:rPr>
          <w:rFonts w:ascii="宋体" w:hAnsi="宋体" w:cs="宋体" w:eastAsia="宋体" w:hint="default"/>
          <w:spacing w:val="-60"/>
        </w:rPr>
        <w:t> </w:t>
      </w:r>
      <w:r>
        <w:rPr/>
        <w:t>人。同意以定向发行公司股票的方式给予</w:t>
      </w:r>
      <w:r>
        <w:rPr>
          <w:spacing w:val="-60"/>
        </w:rPr>
        <w:t> </w:t>
      </w:r>
      <w:r>
        <w:rPr>
          <w:rFonts w:ascii="宋体" w:hAnsi="宋体" w:cs="宋体" w:eastAsia="宋体" w:hint="default"/>
        </w:rPr>
        <w:t>28</w:t>
      </w:r>
      <w:r>
        <w:rPr>
          <w:rFonts w:ascii="宋体" w:hAnsi="宋体" w:cs="宋体" w:eastAsia="宋体" w:hint="default"/>
          <w:spacing w:val="-60"/>
        </w:rPr>
        <w:t> </w:t>
      </w:r>
      <w:r>
        <w:rPr/>
        <w:t>名激励对象第一</w:t>
      </w:r>
    </w:p>
    <w:p>
      <w:pPr>
        <w:pStyle w:val="BodyText"/>
        <w:spacing w:line="357" w:lineRule="auto" w:before="154"/>
        <w:ind w:right="191"/>
        <w:jc w:val="both"/>
      </w:pPr>
      <w:r>
        <w:rPr/>
        <w:t>个行权期可行权股票期权共</w:t>
      </w:r>
      <w:r>
        <w:rPr>
          <w:spacing w:val="-60"/>
        </w:rPr>
        <w:t> </w:t>
      </w:r>
      <w:r>
        <w:rPr>
          <w:rFonts w:ascii="宋体" w:hAnsi="宋体" w:cs="宋体" w:eastAsia="宋体" w:hint="default"/>
        </w:rPr>
        <w:t>70.65</w:t>
      </w:r>
      <w:r>
        <w:rPr>
          <w:rFonts w:ascii="宋体" w:hAnsi="宋体" w:cs="宋体" w:eastAsia="宋体" w:hint="default"/>
          <w:spacing w:val="-60"/>
        </w:rPr>
        <w:t> </w:t>
      </w:r>
      <w:r>
        <w:rPr/>
        <w:t>万份。同日，公司召开第二届监事会第十四次会议审议通 过了《关于公司首期股票期权激励计划人员调整的议案》和《关于首期股票期权激励计划首 次授予股票期权第一个行权期可行权的议案》，监事会对上述议案进行了核查。</w:t>
      </w:r>
    </w:p>
    <w:p>
      <w:pPr>
        <w:pStyle w:val="BodyText"/>
        <w:spacing w:line="240" w:lineRule="auto"/>
        <w:ind w:left="633" w:right="0"/>
        <w:jc w:val="left"/>
      </w:pPr>
      <w:r>
        <w:rPr>
          <w:rFonts w:ascii="宋体" w:hAnsi="宋体" w:cs="宋体" w:eastAsia="宋体" w:hint="default"/>
        </w:rPr>
        <w:t>11</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日，公司召开第二届董事会第二十二次会议审议通过了《关于调整</w:t>
      </w:r>
    </w:p>
    <w:p>
      <w:pPr>
        <w:pStyle w:val="BodyText"/>
        <w:spacing w:line="240" w:lineRule="auto" w:before="154"/>
        <w:ind w:right="0"/>
        <w:jc w:val="both"/>
      </w:pPr>
      <w:r>
        <w:rPr/>
        <w:t>股票期权数量及行权价格的议案》，公司首次授予股票期权的行权价格调整为</w:t>
      </w:r>
      <w:r>
        <w:rPr>
          <w:spacing w:val="-59"/>
        </w:rPr>
        <w:t> </w:t>
      </w:r>
      <w:r>
        <w:rPr>
          <w:rFonts w:ascii="宋体" w:hAnsi="宋体" w:cs="宋体" w:eastAsia="宋体" w:hint="default"/>
        </w:rPr>
        <w:t>10.22</w:t>
      </w:r>
      <w:r>
        <w:rPr>
          <w:rFonts w:ascii="宋体" w:hAnsi="宋体" w:cs="宋体" w:eastAsia="宋体" w:hint="default"/>
          <w:spacing w:val="-60"/>
        </w:rPr>
        <w:t> </w:t>
      </w:r>
      <w:r>
        <w:rPr/>
        <w:t>元，预</w:t>
      </w:r>
    </w:p>
    <w:p>
      <w:pPr>
        <w:pStyle w:val="BodyText"/>
        <w:spacing w:line="240" w:lineRule="auto" w:before="154"/>
        <w:ind w:right="0"/>
        <w:jc w:val="both"/>
      </w:pPr>
      <w:r>
        <w:rPr/>
        <w:t>留部分的行权价格调整为</w:t>
      </w:r>
      <w:r>
        <w:rPr>
          <w:spacing w:val="-60"/>
        </w:rPr>
        <w:t> </w:t>
      </w:r>
      <w:r>
        <w:rPr>
          <w:rFonts w:ascii="宋体" w:hAnsi="宋体" w:cs="宋体" w:eastAsia="宋体" w:hint="default"/>
        </w:rPr>
        <w:t>11.07</w:t>
      </w:r>
      <w:r>
        <w:rPr>
          <w:rFonts w:ascii="宋体" w:hAnsi="宋体" w:cs="宋体" w:eastAsia="宋体" w:hint="default"/>
          <w:spacing w:val="-60"/>
        </w:rPr>
        <w:t> </w:t>
      </w:r>
      <w:r>
        <w:rPr/>
        <w:t>元。经过本次调整，《股票期权激励计划》所涉股票期权数</w:t>
      </w:r>
    </w:p>
    <w:p>
      <w:pPr>
        <w:pStyle w:val="BodyText"/>
        <w:spacing w:line="240" w:lineRule="auto" w:before="154"/>
        <w:ind w:right="0"/>
        <w:jc w:val="both"/>
      </w:pPr>
      <w:r>
        <w:rPr/>
        <w:t>量变更为</w:t>
      </w:r>
      <w:r>
        <w:rPr>
          <w:spacing w:val="-60"/>
        </w:rPr>
        <w:t> </w:t>
      </w:r>
      <w:r>
        <w:rPr>
          <w:rFonts w:ascii="宋体" w:hAnsi="宋体" w:cs="宋体" w:eastAsia="宋体" w:hint="default"/>
        </w:rPr>
        <w:t>393.75</w:t>
      </w:r>
      <w:r>
        <w:rPr>
          <w:rFonts w:ascii="宋体" w:hAnsi="宋体" w:cs="宋体" w:eastAsia="宋体" w:hint="default"/>
          <w:spacing w:val="-60"/>
        </w:rPr>
        <w:t> </w:t>
      </w:r>
      <w:r>
        <w:rPr/>
        <w:t>万份，其中首次授予股票期权的期权数量变更为</w:t>
      </w:r>
      <w:r>
        <w:rPr>
          <w:spacing w:val="-60"/>
        </w:rPr>
        <w:t> </w:t>
      </w:r>
      <w:r>
        <w:rPr>
          <w:rFonts w:ascii="宋体" w:hAnsi="宋体" w:cs="宋体" w:eastAsia="宋体" w:hint="default"/>
        </w:rPr>
        <w:t>353.25</w:t>
      </w:r>
      <w:r>
        <w:rPr>
          <w:rFonts w:ascii="宋体" w:hAnsi="宋体" w:cs="宋体" w:eastAsia="宋体" w:hint="default"/>
          <w:spacing w:val="-60"/>
        </w:rPr>
        <w:t> </w:t>
      </w:r>
      <w:r>
        <w:rPr/>
        <w:t>万份，预留期权数</w:t>
      </w:r>
    </w:p>
    <w:p>
      <w:pPr>
        <w:pStyle w:val="BodyText"/>
        <w:spacing w:line="240" w:lineRule="auto" w:before="154"/>
        <w:ind w:right="0"/>
        <w:jc w:val="both"/>
      </w:pPr>
      <w:r>
        <w:rPr/>
        <w:t>量变更为</w:t>
      </w:r>
      <w:r>
        <w:rPr>
          <w:spacing w:val="-60"/>
        </w:rPr>
        <w:t> </w:t>
      </w:r>
      <w:r>
        <w:rPr>
          <w:rFonts w:ascii="宋体" w:hAnsi="宋体" w:cs="宋体" w:eastAsia="宋体" w:hint="default"/>
        </w:rPr>
        <w:t>40.5</w:t>
      </w:r>
      <w:r>
        <w:rPr>
          <w:rFonts w:ascii="宋体" w:hAnsi="宋体" w:cs="宋体" w:eastAsia="宋体" w:hint="default"/>
          <w:spacing w:val="-60"/>
        </w:rPr>
        <w:t> </w:t>
      </w:r>
      <w:r>
        <w:rPr/>
        <w:t>万份。</w:t>
      </w:r>
    </w:p>
    <w:p>
      <w:pPr>
        <w:pStyle w:val="BodyText"/>
        <w:spacing w:line="357" w:lineRule="auto" w:before="154"/>
        <w:ind w:right="135" w:firstLine="480"/>
        <w:jc w:val="left"/>
      </w:pPr>
      <w:r>
        <w:rPr>
          <w:rFonts w:ascii="宋体" w:hAnsi="宋体" w:cs="宋体" w:eastAsia="宋体" w:hint="default"/>
        </w:rPr>
        <w:t>12</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日，公司第二届董事会第二十六次会议审议通过了《关于对</w:t>
      </w:r>
      <w:r>
        <w:rPr>
          <w:rFonts w:ascii="宋体" w:hAnsi="宋体" w:cs="宋体" w:eastAsia="宋体" w:hint="default"/>
        </w:rPr>
        <w:t>&lt;</w:t>
      </w:r>
      <w:r>
        <w:rPr/>
        <w:t>股票 </w:t>
      </w:r>
      <w:r>
        <w:rPr>
          <w:spacing w:val="-2"/>
        </w:rPr>
        <w:t>期权激励计划</w:t>
      </w:r>
      <w:r>
        <w:rPr>
          <w:rFonts w:ascii="宋体" w:hAnsi="宋体" w:cs="宋体" w:eastAsia="宋体" w:hint="default"/>
          <w:spacing w:val="-2"/>
        </w:rPr>
        <w:t>&gt;</w:t>
      </w:r>
      <w:r>
        <w:rPr>
          <w:spacing w:val="-2"/>
        </w:rPr>
        <w:t>预留部分激励对象进行调整的议案》和《关于首期股票期权激励计划预留股票</w:t>
      </w:r>
      <w:r>
        <w:rPr/>
        <w:t> 期权第一个行权期可行权的议案》，经过本次调整后的《股票期权激励计划》预留股票期权 总数为</w:t>
      </w:r>
      <w:r>
        <w:rPr>
          <w:spacing w:val="-60"/>
        </w:rPr>
        <w:t> </w:t>
      </w:r>
      <w:r>
        <w:rPr>
          <w:rFonts w:ascii="宋体" w:hAnsi="宋体" w:cs="宋体" w:eastAsia="宋体" w:hint="default"/>
        </w:rPr>
        <w:t>38.25</w:t>
      </w:r>
      <w:r>
        <w:rPr>
          <w:rFonts w:ascii="宋体" w:hAnsi="宋体" w:cs="宋体" w:eastAsia="宋体" w:hint="default"/>
          <w:spacing w:val="-60"/>
        </w:rPr>
        <w:t> </w:t>
      </w:r>
      <w:r>
        <w:rPr/>
        <w:t>万股，首次授予对象调整为</w:t>
      </w:r>
      <w:r>
        <w:rPr>
          <w:spacing w:val="-60"/>
        </w:rPr>
        <w:t> </w:t>
      </w:r>
      <w:r>
        <w:rPr>
          <w:rFonts w:ascii="宋体" w:hAnsi="宋体" w:cs="宋体" w:eastAsia="宋体" w:hint="default"/>
        </w:rPr>
        <w:t>17</w:t>
      </w:r>
      <w:r>
        <w:rPr>
          <w:rFonts w:ascii="宋体" w:hAnsi="宋体" w:cs="宋体" w:eastAsia="宋体" w:hint="default"/>
          <w:spacing w:val="-60"/>
        </w:rPr>
        <w:t> </w:t>
      </w:r>
      <w:r>
        <w:rPr/>
        <w:t>人。同意以定向发行公司股票的方式给予</w:t>
      </w:r>
      <w:r>
        <w:rPr>
          <w:spacing w:val="-60"/>
        </w:rPr>
        <w:t> </w:t>
      </w:r>
      <w:r>
        <w:rPr>
          <w:rFonts w:ascii="宋体" w:hAnsi="宋体" w:cs="宋体" w:eastAsia="宋体" w:hint="default"/>
        </w:rPr>
        <w:t>17</w:t>
      </w:r>
      <w:r>
        <w:rPr>
          <w:rFonts w:ascii="宋体" w:hAnsi="宋体" w:cs="宋体" w:eastAsia="宋体" w:hint="default"/>
          <w:spacing w:val="-60"/>
        </w:rPr>
        <w:t> </w:t>
      </w:r>
      <w:r>
        <w:rPr/>
        <w:t>名</w:t>
      </w:r>
    </w:p>
    <w:p>
      <w:pPr>
        <w:pStyle w:val="BodyText"/>
        <w:spacing w:line="357" w:lineRule="auto"/>
        <w:ind w:right="151"/>
        <w:jc w:val="both"/>
      </w:pPr>
      <w:r>
        <w:rPr/>
        <w:t>激励对象第一个行权期可行权股票期权共</w:t>
      </w:r>
      <w:r>
        <w:rPr>
          <w:spacing w:val="-54"/>
        </w:rPr>
        <w:t> </w:t>
      </w:r>
      <w:r>
        <w:rPr>
          <w:rFonts w:ascii="宋体" w:hAnsi="宋体" w:cs="宋体" w:eastAsia="宋体" w:hint="default"/>
        </w:rPr>
        <w:t>11.475</w:t>
      </w:r>
      <w:r>
        <w:rPr>
          <w:rFonts w:ascii="宋体" w:hAnsi="宋体" w:cs="宋体" w:eastAsia="宋体" w:hint="default"/>
          <w:spacing w:val="-54"/>
        </w:rPr>
        <w:t> </w:t>
      </w:r>
      <w:r>
        <w:rPr>
          <w:spacing w:val="-5"/>
        </w:rPr>
        <w:t>万份。同日，公司召开第二届监事会第十七</w:t>
      </w:r>
      <w:r>
        <w:rPr/>
        <w:t> 次会议审议通过了《关于对</w:t>
      </w:r>
      <w:r>
        <w:rPr>
          <w:rFonts w:ascii="宋体" w:hAnsi="宋体" w:cs="宋体" w:eastAsia="宋体" w:hint="default"/>
        </w:rPr>
        <w:t>&lt;</w:t>
      </w:r>
      <w:r>
        <w:rPr/>
        <w:t>股票期权激励计划</w:t>
      </w:r>
      <w:r>
        <w:rPr>
          <w:rFonts w:ascii="宋体" w:hAnsi="宋体" w:cs="宋体" w:eastAsia="宋体" w:hint="default"/>
        </w:rPr>
        <w:t>&gt;</w:t>
      </w:r>
      <w:r>
        <w:rPr/>
        <w:t>预留部分激励对象进行调整的议案》和《关 于首期股票期权激励计划预留股票期权第一个行权期可行权的议案》，监事会对上述议案进 行了核查。</w:t>
      </w:r>
    </w:p>
    <w:p>
      <w:pPr>
        <w:pStyle w:val="BodyText"/>
        <w:spacing w:line="240" w:lineRule="auto"/>
        <w:ind w:left="634" w:right="0"/>
        <w:jc w:val="left"/>
      </w:pPr>
      <w:r>
        <w:rPr/>
        <w:t>（二）公司股权激励的行权情况</w:t>
      </w:r>
    </w:p>
    <w:p>
      <w:pPr>
        <w:pStyle w:val="BodyText"/>
        <w:spacing w:line="357" w:lineRule="auto" w:before="154"/>
        <w:ind w:right="135" w:firstLine="48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日，公司第二届董事会第二十一次会议审议通过了《关于对</w:t>
      </w:r>
      <w:r>
        <w:rPr>
          <w:rFonts w:ascii="宋体" w:hAnsi="宋体" w:cs="宋体" w:eastAsia="宋体" w:hint="default"/>
        </w:rPr>
        <w:t>&lt;</w:t>
      </w:r>
      <w:r>
        <w:rPr/>
        <w:t>股票期 </w:t>
      </w:r>
      <w:r>
        <w:rPr>
          <w:spacing w:val="-2"/>
        </w:rPr>
        <w:t>权激励计划</w:t>
      </w:r>
      <w:r>
        <w:rPr>
          <w:rFonts w:ascii="宋体" w:hAnsi="宋体" w:cs="宋体" w:eastAsia="宋体" w:hint="default"/>
          <w:spacing w:val="-2"/>
        </w:rPr>
        <w:t>&gt;</w:t>
      </w:r>
      <w:r>
        <w:rPr>
          <w:spacing w:val="-2"/>
        </w:rPr>
        <w:t>激励对象进行调整的议案》和《关于首期股票期权激励计划首次授予第一个行权</w:t>
      </w:r>
      <w:r>
        <w:rPr/>
        <w:t> </w:t>
      </w:r>
      <w:r>
        <w:rPr>
          <w:spacing w:val="-4"/>
        </w:rPr>
        <w:t>期可行权的议案》，经过本次调整后的《股票期权激励计划》首次授予股票期权总数为</w:t>
      </w:r>
      <w:r>
        <w:rPr>
          <w:spacing w:val="-51"/>
        </w:rPr>
        <w:t> </w:t>
      </w:r>
      <w:r>
        <w:rPr>
          <w:rFonts w:ascii="宋体" w:hAnsi="宋体" w:cs="宋体" w:eastAsia="宋体" w:hint="default"/>
        </w:rPr>
        <w:t>262.5</w:t>
      </w:r>
    </w:p>
    <w:p>
      <w:pPr>
        <w:pStyle w:val="BodyText"/>
        <w:spacing w:line="240" w:lineRule="auto"/>
        <w:ind w:right="0"/>
        <w:jc w:val="both"/>
      </w:pPr>
      <w:r>
        <w:rPr/>
        <w:t>万股，首次授予对象调整为</w:t>
      </w:r>
      <w:r>
        <w:rPr>
          <w:spacing w:val="-60"/>
        </w:rPr>
        <w:t> </w:t>
      </w:r>
      <w:r>
        <w:rPr>
          <w:rFonts w:ascii="宋体" w:hAnsi="宋体" w:cs="宋体" w:eastAsia="宋体" w:hint="default"/>
        </w:rPr>
        <w:t>28</w:t>
      </w:r>
      <w:r>
        <w:rPr>
          <w:rFonts w:ascii="宋体" w:hAnsi="宋体" w:cs="宋体" w:eastAsia="宋体" w:hint="default"/>
          <w:spacing w:val="-60"/>
        </w:rPr>
        <w:t> </w:t>
      </w:r>
      <w:r>
        <w:rPr/>
        <w:t>人。同意以定向发行公司股票的方式给予</w:t>
      </w:r>
      <w:r>
        <w:rPr>
          <w:spacing w:val="-60"/>
        </w:rPr>
        <w:t> </w:t>
      </w:r>
      <w:r>
        <w:rPr>
          <w:rFonts w:ascii="宋体" w:hAnsi="宋体" w:cs="宋体" w:eastAsia="宋体" w:hint="default"/>
        </w:rPr>
        <w:t>28</w:t>
      </w:r>
      <w:r>
        <w:rPr>
          <w:rFonts w:ascii="宋体" w:hAnsi="宋体" w:cs="宋体" w:eastAsia="宋体" w:hint="default"/>
          <w:spacing w:val="-60"/>
        </w:rPr>
        <w:t> </w:t>
      </w:r>
      <w:r>
        <w:rPr/>
        <w:t>名激励对象第一</w:t>
      </w:r>
    </w:p>
    <w:p>
      <w:pPr>
        <w:pStyle w:val="BodyText"/>
        <w:spacing w:line="357" w:lineRule="auto" w:before="154"/>
        <w:ind w:right="191"/>
        <w:jc w:val="both"/>
      </w:pPr>
      <w:r>
        <w:rPr/>
        <w:t>个行权期可行权股票期权共</w:t>
      </w:r>
      <w:r>
        <w:rPr>
          <w:spacing w:val="-60"/>
        </w:rPr>
        <w:t> </w:t>
      </w:r>
      <w:r>
        <w:rPr>
          <w:rFonts w:ascii="宋体" w:hAnsi="宋体" w:cs="宋体" w:eastAsia="宋体" w:hint="default"/>
        </w:rPr>
        <w:t>70.65</w:t>
      </w:r>
      <w:r>
        <w:rPr>
          <w:rFonts w:ascii="宋体" w:hAnsi="宋体" w:cs="宋体" w:eastAsia="宋体" w:hint="default"/>
          <w:spacing w:val="-60"/>
        </w:rPr>
        <w:t> </w:t>
      </w:r>
      <w:r>
        <w:rPr/>
        <w:t>万份。同日，公司召开第二届监事会第十四次会议审议通 过了《关于公司首期股票期权激励计划人员调整的议案》和《关于首期股票期权激励计划首 次授予股票期权第一个行权期可行权的议案》，监事会对上述议案进行了核查。</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15" w:firstLine="480"/>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日，公司第二届董事会第二十六次会议审议通过了《关于对</w:t>
      </w:r>
      <w:r>
        <w:rPr>
          <w:rFonts w:ascii="宋体" w:hAnsi="宋体" w:cs="宋体" w:eastAsia="宋体" w:hint="default"/>
        </w:rPr>
        <w:t>&lt;</w:t>
      </w:r>
      <w:r>
        <w:rPr/>
        <w:t>股票期权 </w:t>
      </w:r>
      <w:r>
        <w:rPr>
          <w:spacing w:val="-2"/>
        </w:rPr>
        <w:t>激励计划</w:t>
      </w:r>
      <w:r>
        <w:rPr>
          <w:rFonts w:ascii="宋体" w:hAnsi="宋体" w:cs="宋体" w:eastAsia="宋体" w:hint="default"/>
          <w:spacing w:val="-2"/>
        </w:rPr>
        <w:t>&gt;</w:t>
      </w:r>
      <w:r>
        <w:rPr>
          <w:spacing w:val="-2"/>
        </w:rPr>
        <w:t>预留部分激励对象进行调整的议案》和《关于首期股票期权激励计划预留股票期权</w:t>
      </w:r>
      <w:r>
        <w:rPr/>
        <w:t> 第一个行权期可行权的议案》，经过本次调整后的《股票期权激励计划》预留股票期权总数 为</w:t>
      </w:r>
      <w:r>
        <w:rPr>
          <w:spacing w:val="-60"/>
        </w:rPr>
        <w:t> </w:t>
      </w:r>
      <w:r>
        <w:rPr>
          <w:rFonts w:ascii="宋体" w:hAnsi="宋体" w:cs="宋体" w:eastAsia="宋体" w:hint="default"/>
        </w:rPr>
        <w:t>38.25</w:t>
      </w:r>
      <w:r>
        <w:rPr>
          <w:rFonts w:ascii="宋体" w:hAnsi="宋体" w:cs="宋体" w:eastAsia="宋体" w:hint="default"/>
          <w:spacing w:val="-60"/>
        </w:rPr>
        <w:t> </w:t>
      </w:r>
      <w:r>
        <w:rPr/>
        <w:t>万股，首次授予对象调整为</w:t>
      </w:r>
      <w:r>
        <w:rPr>
          <w:spacing w:val="-60"/>
        </w:rPr>
        <w:t> </w:t>
      </w:r>
      <w:r>
        <w:rPr>
          <w:rFonts w:ascii="宋体" w:hAnsi="宋体" w:cs="宋体" w:eastAsia="宋体" w:hint="default"/>
        </w:rPr>
        <w:t>17</w:t>
      </w:r>
      <w:r>
        <w:rPr>
          <w:rFonts w:ascii="宋体" w:hAnsi="宋体" w:cs="宋体" w:eastAsia="宋体" w:hint="default"/>
          <w:spacing w:val="-60"/>
        </w:rPr>
        <w:t> </w:t>
      </w:r>
      <w:r>
        <w:rPr/>
        <w:t>人。同意以定向发行公司股票的方式给予</w:t>
      </w:r>
      <w:r>
        <w:rPr>
          <w:spacing w:val="-60"/>
        </w:rPr>
        <w:t> </w:t>
      </w:r>
      <w:r>
        <w:rPr>
          <w:rFonts w:ascii="宋体" w:hAnsi="宋体" w:cs="宋体" w:eastAsia="宋体" w:hint="default"/>
        </w:rPr>
        <w:t>17</w:t>
      </w:r>
      <w:r>
        <w:rPr>
          <w:rFonts w:ascii="宋体" w:hAnsi="宋体" w:cs="宋体" w:eastAsia="宋体" w:hint="default"/>
          <w:spacing w:val="-60"/>
        </w:rPr>
        <w:t> </w:t>
      </w:r>
      <w:r>
        <w:rPr/>
        <w:t>名激励</w:t>
      </w:r>
    </w:p>
    <w:p>
      <w:pPr>
        <w:pStyle w:val="BodyText"/>
        <w:spacing w:line="357" w:lineRule="auto"/>
        <w:ind w:right="231"/>
        <w:jc w:val="both"/>
      </w:pPr>
      <w:r>
        <w:rPr/>
        <w:t>对象第一个行权期可行权股票期权共</w:t>
      </w:r>
      <w:r>
        <w:rPr>
          <w:spacing w:val="-60"/>
        </w:rPr>
        <w:t> </w:t>
      </w:r>
      <w:r>
        <w:rPr>
          <w:rFonts w:ascii="宋体" w:hAnsi="宋体" w:cs="宋体" w:eastAsia="宋体" w:hint="default"/>
        </w:rPr>
        <w:t>11.475</w:t>
      </w:r>
      <w:r>
        <w:rPr>
          <w:rFonts w:ascii="宋体" w:hAnsi="宋体" w:cs="宋体" w:eastAsia="宋体" w:hint="default"/>
          <w:spacing w:val="-60"/>
        </w:rPr>
        <w:t> </w:t>
      </w:r>
      <w:r>
        <w:rPr>
          <w:spacing w:val="-4"/>
        </w:rPr>
        <w:t>万份。同日，公司召开第二届监事会第十七次会</w:t>
      </w:r>
      <w:r>
        <w:rPr/>
        <w:t> 议审议通过了《关于对</w:t>
      </w:r>
      <w:r>
        <w:rPr>
          <w:rFonts w:ascii="宋体" w:hAnsi="宋体" w:cs="宋体" w:eastAsia="宋体" w:hint="default"/>
        </w:rPr>
        <w:t>&lt;</w:t>
      </w:r>
      <w:r>
        <w:rPr/>
        <w:t>股票期权激励计划</w:t>
      </w:r>
      <w:r>
        <w:rPr>
          <w:rFonts w:ascii="宋体" w:hAnsi="宋体" w:cs="宋体" w:eastAsia="宋体" w:hint="default"/>
        </w:rPr>
        <w:t>&gt;</w:t>
      </w:r>
      <w:r>
        <w:rPr/>
        <w:t>预留部分激励对象进行调整的议案》和《关于首 期股票期权激励计划预留股票期权第一个行权期可行权的议案》，监事会对上述议案进行了 核查。</w:t>
      </w:r>
    </w:p>
    <w:p>
      <w:pPr>
        <w:pStyle w:val="BodyText"/>
        <w:spacing w:line="357" w:lineRule="auto"/>
        <w:ind w:left="154" w:right="252" w:firstLine="480"/>
        <w:jc w:val="left"/>
      </w:pPr>
      <w:r>
        <w:rPr/>
        <w:t>报告期内公司首期股票期权激励计划首次授予和预留股票期权第一个行权期股权激励对 象行权，公司总股本增加</w:t>
      </w:r>
      <w:r>
        <w:rPr>
          <w:spacing w:val="-60"/>
        </w:rPr>
        <w:t> </w:t>
      </w:r>
      <w:r>
        <w:rPr>
          <w:rFonts w:ascii="宋体" w:hAnsi="宋体" w:cs="宋体" w:eastAsia="宋体" w:hint="default"/>
        </w:rPr>
        <w:t>1,142,800</w:t>
      </w:r>
      <w:r>
        <w:rPr>
          <w:rFonts w:ascii="宋体" w:hAnsi="宋体" w:cs="宋体" w:eastAsia="宋体" w:hint="default"/>
          <w:spacing w:val="-60"/>
        </w:rPr>
        <w:t> </w:t>
      </w:r>
      <w:r>
        <w:rPr/>
        <w:t>股。</w:t>
      </w:r>
    </w:p>
    <w:p>
      <w:pPr>
        <w:pStyle w:val="BodyText"/>
        <w:spacing w:line="357" w:lineRule="auto"/>
        <w:ind w:left="154" w:right="113" w:firstLine="480"/>
        <w:jc w:val="both"/>
      </w:pPr>
      <w:r>
        <w:rPr>
          <w:rFonts w:ascii="宋体" w:hAnsi="宋体" w:cs="宋体" w:eastAsia="宋体" w:hint="default"/>
          <w:spacing w:val="-3"/>
        </w:rPr>
        <w:t>2</w:t>
      </w:r>
      <w:r>
        <w:rPr>
          <w:spacing w:val="-3"/>
        </w:rPr>
        <w:t>、公司《股票期权激励计划》的规定，获授股票期权的行权条件：本计划首次授予（包</w:t>
      </w:r>
      <w:r>
        <w:rPr/>
        <w:t> </w:t>
      </w:r>
      <w:r>
        <w:rPr>
          <w:spacing w:val="-4"/>
        </w:rPr>
        <w:t>括预留股份）在</w:t>
      </w:r>
      <w:r>
        <w:rPr>
          <w:spacing w:val="-57"/>
        </w:rPr>
        <w:t> </w:t>
      </w:r>
      <w:r>
        <w:rPr>
          <w:rFonts w:ascii="宋体" w:hAnsi="宋体" w:cs="宋体" w:eastAsia="宋体" w:hint="default"/>
        </w:rPr>
        <w:t>2012</w:t>
      </w:r>
      <w:r>
        <w:rPr/>
        <w:t>—</w:t>
      </w:r>
      <w:r>
        <w:rPr>
          <w:rFonts w:ascii="宋体" w:hAnsi="宋体" w:cs="宋体" w:eastAsia="宋体" w:hint="default"/>
        </w:rPr>
        <w:t>2014</w:t>
      </w:r>
      <w:r>
        <w:rPr>
          <w:rFonts w:ascii="宋体" w:hAnsi="宋体" w:cs="宋体" w:eastAsia="宋体" w:hint="default"/>
          <w:spacing w:val="-57"/>
        </w:rPr>
        <w:t> </w:t>
      </w:r>
      <w:r>
        <w:rPr/>
        <w:t>年的</w:t>
      </w:r>
      <w:r>
        <w:rPr>
          <w:spacing w:val="-57"/>
        </w:rPr>
        <w:t> </w:t>
      </w:r>
      <w:r>
        <w:rPr>
          <w:rFonts w:ascii="宋体" w:hAnsi="宋体" w:cs="宋体" w:eastAsia="宋体" w:hint="default"/>
        </w:rPr>
        <w:t>3</w:t>
      </w:r>
      <w:r>
        <w:rPr>
          <w:rFonts w:ascii="宋体" w:hAnsi="宋体" w:cs="宋体" w:eastAsia="宋体" w:hint="default"/>
          <w:spacing w:val="-57"/>
        </w:rPr>
        <w:t> </w:t>
      </w:r>
      <w:r>
        <w:rPr>
          <w:spacing w:val="-3"/>
        </w:rPr>
        <w:t>个会计年度中，分年度进行绩效考核并行权，每个会计年</w:t>
      </w:r>
      <w:r>
        <w:rPr>
          <w:spacing w:val="-114"/>
        </w:rPr>
        <w:t> </w:t>
      </w:r>
      <w:r>
        <w:rPr>
          <w:spacing w:val="-114"/>
        </w:rPr>
      </w:r>
      <w:r>
        <w:rPr>
          <w:spacing w:val="-2"/>
        </w:rPr>
        <w:t>度考核一次，以达到绩效考核目标作为激励对象的行权条件。各年度绩效考核目标如表所示：</w:t>
      </w:r>
    </w:p>
    <w:tbl>
      <w:tblPr>
        <w:tblW w:w="0" w:type="auto"/>
        <w:jc w:val="left"/>
        <w:tblInd w:w="146" w:type="dxa"/>
        <w:tblLayout w:type="fixed"/>
        <w:tblCellMar>
          <w:top w:w="0" w:type="dxa"/>
          <w:left w:w="0" w:type="dxa"/>
          <w:bottom w:w="0" w:type="dxa"/>
          <w:right w:w="0" w:type="dxa"/>
        </w:tblCellMar>
        <w:tblLook w:val="01E0"/>
      </w:tblPr>
      <w:tblGrid>
        <w:gridCol w:w="2093"/>
        <w:gridCol w:w="6430"/>
      </w:tblGrid>
      <w:tr>
        <w:trPr>
          <w:trHeight w:val="34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行权期</w:t>
            </w:r>
            <w:r>
              <w:rPr>
                <w:rFonts w:ascii="宋体" w:hAnsi="宋体" w:cs="宋体" w:eastAsia="宋体" w:hint="default"/>
                <w:sz w:val="21"/>
                <w:szCs w:val="21"/>
              </w:rPr>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b/>
                <w:bCs/>
                <w:sz w:val="21"/>
                <w:szCs w:val="21"/>
              </w:rPr>
              <w:t>业绩考核目标</w:t>
            </w:r>
            <w:r>
              <w:rPr>
                <w:rFonts w:ascii="宋体" w:hAnsi="宋体" w:cs="宋体" w:eastAsia="宋体" w:hint="default"/>
                <w:sz w:val="21"/>
                <w:szCs w:val="21"/>
              </w:rPr>
            </w:r>
          </w:p>
        </w:tc>
      </w:tr>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相比</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年度净利润增长率不低于</w:t>
            </w:r>
            <w:r>
              <w:rPr>
                <w:rFonts w:ascii="Times New Roman" w:hAnsi="Times New Roman" w:cs="Times New Roman" w:eastAsia="Times New Roman" w:hint="default"/>
                <w:spacing w:val="-2"/>
                <w:sz w:val="21"/>
                <w:szCs w:val="21"/>
              </w:rPr>
              <w:t>44%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年加权平均净资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产收益率不低于</w:t>
            </w:r>
            <w:r>
              <w:rPr>
                <w:rFonts w:ascii="Times New Roman" w:hAnsi="Times New Roman" w:cs="Times New Roman" w:eastAsia="Times New Roman" w:hint="default"/>
                <w:sz w:val="21"/>
                <w:szCs w:val="21"/>
              </w:rPr>
              <w:t>6.0%</w:t>
            </w:r>
          </w:p>
        </w:tc>
      </w:tr>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相比</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年度净利润增长率不低于</w:t>
            </w:r>
            <w:r>
              <w:rPr>
                <w:rFonts w:ascii="Times New Roman" w:hAnsi="Times New Roman" w:cs="Times New Roman" w:eastAsia="Times New Roman" w:hint="default"/>
                <w:spacing w:val="-2"/>
                <w:sz w:val="21"/>
                <w:szCs w:val="21"/>
              </w:rPr>
              <w:t>72%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年加权平均净资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产收益率不低于</w:t>
            </w:r>
            <w:r>
              <w:rPr>
                <w:rFonts w:ascii="Times New Roman" w:hAnsi="Times New Roman" w:cs="Times New Roman" w:eastAsia="Times New Roman" w:hint="default"/>
                <w:sz w:val="21"/>
                <w:szCs w:val="21"/>
              </w:rPr>
              <w:t>6.5%</w:t>
            </w:r>
          </w:p>
        </w:tc>
      </w:tr>
      <w:tr>
        <w:trPr>
          <w:trHeight w:val="6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643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4"/>
              <w:jc w:val="left"/>
              <w:rPr>
                <w:rFonts w:ascii="Times New Roman" w:hAnsi="Times New Roman" w:cs="Times New Roman" w:eastAsia="Times New Roman" w:hint="default"/>
                <w:sz w:val="21"/>
                <w:szCs w:val="21"/>
              </w:rPr>
            </w:pPr>
            <w:r>
              <w:rPr>
                <w:rFonts w:ascii="宋体" w:hAnsi="宋体" w:cs="宋体" w:eastAsia="宋体" w:hint="default"/>
                <w:sz w:val="21"/>
                <w:szCs w:val="21"/>
              </w:rPr>
              <w:t>相比</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年度净利润增长率不低于</w:t>
            </w:r>
            <w:r>
              <w:rPr>
                <w:rFonts w:ascii="Times New Roman" w:hAnsi="Times New Roman" w:cs="Times New Roman" w:eastAsia="Times New Roman" w:hint="default"/>
                <w:sz w:val="21"/>
                <w:szCs w:val="21"/>
              </w:rPr>
              <w:t>107%</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年加权平均净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资产收益率不低于</w:t>
            </w:r>
            <w:r>
              <w:rPr>
                <w:rFonts w:ascii="Times New Roman" w:hAnsi="Times New Roman" w:cs="Times New Roman" w:eastAsia="Times New Roman" w:hint="default"/>
                <w:sz w:val="21"/>
                <w:szCs w:val="21"/>
              </w:rPr>
              <w:t>7.0%</w:t>
            </w:r>
          </w:p>
        </w:tc>
      </w:tr>
    </w:tbl>
    <w:p>
      <w:pPr>
        <w:pStyle w:val="BodyText"/>
        <w:spacing w:line="357" w:lineRule="auto"/>
        <w:ind w:left="154" w:right="269" w:firstLine="480"/>
        <w:jc w:val="both"/>
      </w:pPr>
      <w:r>
        <w:rPr/>
        <w:t>注：本业绩考核目标中的“净利润”是指归属于上市公司股东的扣除非经常性损益的净 利润；“加权平均净资产收益率”是指扣除非经常性损益后的加权平均净资产收益率。</w:t>
      </w:r>
    </w:p>
    <w:p>
      <w:pPr>
        <w:pStyle w:val="BodyText"/>
        <w:spacing w:line="357" w:lineRule="auto"/>
        <w:ind w:right="270" w:firstLine="480"/>
        <w:jc w:val="both"/>
      </w:pPr>
      <w:r>
        <w:rPr/>
        <w:t>以上假设行权时对应年报已出，如行权时对应年报未出，则激励对象须等待对应年报出 具时方可行权。</w:t>
      </w:r>
    </w:p>
    <w:p>
      <w:pPr>
        <w:pStyle w:val="BodyText"/>
        <w:spacing w:line="357" w:lineRule="auto"/>
        <w:ind w:right="269" w:firstLine="480"/>
        <w:jc w:val="both"/>
      </w:pPr>
      <w:r>
        <w:rPr/>
        <w:t>若公司发生再融资行为，“净资产”为再融资当年扣除该次再融资数额后的净资产值， “净利润”为归属于上市公司股东的扣除非经常性损益的净利润，因再融资募投项目所产生 的净利润将从融资当年净利润中扣除。</w:t>
      </w:r>
    </w:p>
    <w:p>
      <w:pPr>
        <w:pStyle w:val="BodyText"/>
        <w:spacing w:line="357" w:lineRule="auto"/>
        <w:ind w:left="154" w:right="270" w:firstLine="480"/>
        <w:jc w:val="both"/>
      </w:pPr>
      <w:r>
        <w:rPr/>
        <w:t>由本次股权激励产生的期权成本将在经常性损益中列支。如公司业绩考核达不到上述条 件，则激励对象相对应行权期所获授的可行权数量由公司注销。</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90" w:firstLine="480"/>
        <w:jc w:val="both"/>
      </w:pPr>
      <w:r>
        <w:rPr/>
        <w:t>除此之外，股票期权等待期内，各年度归属于上市公司股东的净利润及归属于上市公司 股东的扣除非经常性损益的净利润均不得低于授权日前最近三个会计年度的平均水平且不得 为负。</w:t>
      </w:r>
    </w:p>
    <w:p>
      <w:pPr>
        <w:pStyle w:val="BodyText"/>
        <w:spacing w:line="357" w:lineRule="auto"/>
        <w:ind w:right="189" w:firstLine="480"/>
        <w:jc w:val="both"/>
      </w:pPr>
      <w:r>
        <w:rPr/>
        <w:t>若根据《北京数字政通科技股份有限公司股票期权激励计划实施考核办法》，激励对象 考核不合格，则其相对应行权期所获授的但尚未行权的股票期权即被取消。</w:t>
      </w:r>
    </w:p>
    <w:p>
      <w:pPr>
        <w:pStyle w:val="BodyText"/>
        <w:spacing w:line="357" w:lineRule="auto"/>
        <w:ind w:right="151" w:firstLine="480"/>
        <w:jc w:val="both"/>
      </w:pPr>
      <w:r>
        <w:rPr>
          <w:rFonts w:ascii="宋体" w:hAnsi="宋体" w:cs="宋体" w:eastAsia="宋体" w:hint="default"/>
        </w:rPr>
        <w:t>3</w:t>
      </w:r>
      <w:r>
        <w:rPr/>
        <w:t>、根据公司</w:t>
      </w:r>
      <w:r>
        <w:rPr>
          <w:spacing w:val="-68"/>
        </w:rPr>
        <w:t> </w:t>
      </w:r>
      <w:r>
        <w:rPr>
          <w:rFonts w:ascii="宋体" w:hAnsi="宋体" w:cs="宋体" w:eastAsia="宋体" w:hint="default"/>
        </w:rPr>
        <w:t>2013</w:t>
      </w:r>
      <w:r>
        <w:rPr>
          <w:rFonts w:ascii="宋体" w:hAnsi="宋体" w:cs="宋体" w:eastAsia="宋体" w:hint="default"/>
          <w:spacing w:val="-68"/>
        </w:rPr>
        <w:t> </w:t>
      </w:r>
      <w:r>
        <w:rPr/>
        <w:t>年、</w:t>
      </w:r>
      <w:r>
        <w:rPr>
          <w:rFonts w:ascii="宋体" w:hAnsi="宋体" w:cs="宋体" w:eastAsia="宋体" w:hint="default"/>
        </w:rPr>
        <w:t>2014</w:t>
      </w:r>
      <w:r>
        <w:rPr>
          <w:rFonts w:ascii="宋体" w:hAnsi="宋体" w:cs="宋体" w:eastAsia="宋体" w:hint="default"/>
          <w:spacing w:val="-68"/>
        </w:rPr>
        <w:t> </w:t>
      </w:r>
      <w:r>
        <w:rPr/>
        <w:t>年年度报告中披露的数据，公司第二个行权期条件满足，激 励对象将等到授予日起</w:t>
      </w:r>
      <w:r>
        <w:rPr>
          <w:spacing w:val="-58"/>
        </w:rPr>
        <w:t> </w:t>
      </w:r>
      <w:r>
        <w:rPr>
          <w:rFonts w:ascii="宋体" w:hAnsi="宋体" w:cs="宋体" w:eastAsia="宋体" w:hint="default"/>
        </w:rPr>
        <w:t>24</w:t>
      </w:r>
      <w:r>
        <w:rPr>
          <w:rFonts w:ascii="宋体" w:hAnsi="宋体" w:cs="宋体" w:eastAsia="宋体" w:hint="default"/>
          <w:spacing w:val="-58"/>
        </w:rPr>
        <w:t> </w:t>
      </w:r>
      <w:r>
        <w:rPr>
          <w:spacing w:val="-3"/>
        </w:rPr>
        <w:t>个月后的首个交易日，根据相关规定择期安排行权，相关事项经相</w:t>
      </w:r>
      <w:r>
        <w:rPr/>
        <w:t> 关程序进行行权。</w:t>
      </w:r>
    </w:p>
    <w:p>
      <w:pPr>
        <w:pStyle w:val="BodyText"/>
        <w:spacing w:line="240" w:lineRule="auto"/>
        <w:ind w:left="633" w:right="0"/>
        <w:jc w:val="left"/>
      </w:pPr>
      <w:r>
        <w:rPr/>
        <w:t>（三）公司股权激励计划实施的影响</w:t>
      </w:r>
    </w:p>
    <w:p>
      <w:pPr>
        <w:pStyle w:val="BodyText"/>
        <w:spacing w:line="528" w:lineRule="auto" w:before="154"/>
        <w:ind w:right="2153" w:firstLine="480"/>
        <w:jc w:val="left"/>
        <w:rPr>
          <w:rFonts w:ascii="宋体" w:hAnsi="宋体" w:cs="宋体" w:eastAsia="宋体" w:hint="default"/>
        </w:rPr>
      </w:pPr>
      <w:r>
        <w:rPr/>
        <w:t>报告期内，公司期权成本 </w:t>
      </w:r>
      <w:r>
        <w:rPr>
          <w:rFonts w:ascii="宋体" w:hAnsi="宋体" w:cs="宋体" w:eastAsia="宋体" w:hint="default"/>
        </w:rPr>
        <w:t>973,780.00</w:t>
      </w:r>
      <w:r>
        <w:rPr>
          <w:rFonts w:ascii="宋体" w:hAnsi="宋体" w:cs="宋体" w:eastAsia="宋体" w:hint="default"/>
          <w:spacing w:val="-60"/>
        </w:rPr>
        <w:t> </w:t>
      </w:r>
      <w:r>
        <w:rPr/>
        <w:t>元已摊销计入相关成本费用。 </w:t>
      </w:r>
      <w:bookmarkStart w:name="六、重大关联交易" w:id="46"/>
      <w:bookmarkEnd w:id="46"/>
      <w:r>
        <w:rPr/>
      </w:r>
      <w:r>
        <w:rPr>
          <w:rFonts w:ascii="宋体" w:hAnsi="宋体" w:cs="宋体" w:eastAsia="宋体" w:hint="default"/>
          <w:b/>
          <w:bCs/>
        </w:rPr>
        <w:t>六、重大关联交易</w:t>
      </w:r>
      <w:r>
        <w:rPr>
          <w:rFonts w:ascii="宋体" w:hAnsi="宋体" w:cs="宋体" w:eastAsia="宋体" w:hint="default"/>
        </w:rPr>
      </w:r>
    </w:p>
    <w:p>
      <w:pPr>
        <w:spacing w:before="34"/>
        <w:ind w:left="153" w:right="0" w:firstLine="0"/>
        <w:jc w:val="left"/>
        <w:rPr>
          <w:rFonts w:ascii="宋体" w:hAnsi="宋体" w:cs="宋体" w:eastAsia="宋体" w:hint="default"/>
          <w:sz w:val="21"/>
          <w:szCs w:val="21"/>
        </w:rPr>
      </w:pPr>
      <w:bookmarkStart w:name="1、与日常经营相关的关联交易" w:id="47"/>
      <w:bookmarkEnd w:id="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5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资产收购、出售发生的关联交易" w:id="48"/>
      <w:bookmarkEnd w:id="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5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共同对外投资的重大关联交易" w:id="49"/>
      <w:bookmarkEnd w:id="4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关联债权债务往来" w:id="50"/>
      <w:bookmarkEnd w:id="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6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5、其他重大关联交易" w:id="51"/>
      <w:bookmarkEnd w:id="5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承包、租赁事项情况" w:id="53"/>
      <w:bookmarkEnd w:id="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情况" w:id="54"/>
      <w:bookmarkEnd w:id="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承包情况" w:id="55"/>
      <w:bookmarkEnd w:id="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租赁情况" w:id="56"/>
      <w:bookmarkEnd w:id="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担保情况" w:id="57"/>
      <w:bookmarkEnd w:id="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2"/>
        <w:gridCol w:w="952"/>
        <w:gridCol w:w="948"/>
        <w:gridCol w:w="1229"/>
        <w:gridCol w:w="1195"/>
        <w:gridCol w:w="1110"/>
        <w:gridCol w:w="1029"/>
        <w:gridCol w:w="815"/>
        <w:gridCol w:w="661"/>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6"/>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8" w:right="11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8"/>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北京汉王智通科技 有限公司</w:t>
            </w:r>
          </w:p>
        </w:tc>
        <w:tc>
          <w:tcPr>
            <w:tcW w:w="95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北京汉王智通科技 有限公司</w:t>
            </w:r>
          </w:p>
        </w:tc>
        <w:tc>
          <w:tcPr>
            <w:tcW w:w="95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北京汉王智通科技 有限公司</w:t>
            </w:r>
          </w:p>
        </w:tc>
        <w:tc>
          <w:tcPr>
            <w:tcW w:w="95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3,681.97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北京汉王智通科技 有限公司</w:t>
            </w:r>
          </w:p>
        </w:tc>
        <w:tc>
          <w:tcPr>
            <w:tcW w:w="95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1,513.9</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15,195.87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58"/>
        <w:gridCol w:w="2196"/>
        <w:gridCol w:w="2291"/>
        <w:gridCol w:w="2517"/>
      </w:tblGrid>
      <w:tr>
        <w:trPr>
          <w:trHeight w:val="719"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9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9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4,804.13</w:t>
            </w:r>
          </w:p>
        </w:tc>
      </w:tr>
      <w:tr>
        <w:trPr>
          <w:trHeight w:val="392"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9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9" w:right="9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15,195.87</w:t>
            </w:r>
          </w:p>
        </w:tc>
      </w:tr>
      <w:tr>
        <w:trPr>
          <w:trHeight w:val="714"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9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4,804.13</w:t>
            </w:r>
          </w:p>
        </w:tc>
      </w:tr>
      <w:tr>
        <w:trPr>
          <w:trHeight w:val="407"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392"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15,195.87</w:t>
            </w:r>
          </w:p>
        </w:tc>
      </w:tr>
      <w:tr>
        <w:trPr>
          <w:trHeight w:val="402"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15,195.87</w:t>
            </w:r>
          </w:p>
        </w:tc>
      </w:tr>
      <w:tr>
        <w:trPr>
          <w:trHeight w:val="402"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0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51"/>
        <w:ind w:left="154" w:right="707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违规对外担保情况" w:id="58"/>
      <w:bookmarkEnd w:id="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7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委托理财、衍生品投资和委托贷款情况" w:id="59"/>
      <w:bookmarkEnd w:id="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委托理财情况" w:id="60"/>
      <w:bookmarkEnd w:id="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46"/>
        <w:gridCol w:w="748"/>
        <w:gridCol w:w="748"/>
        <w:gridCol w:w="823"/>
        <w:gridCol w:w="706"/>
        <w:gridCol w:w="746"/>
        <w:gridCol w:w="745"/>
        <w:gridCol w:w="748"/>
        <w:gridCol w:w="745"/>
        <w:gridCol w:w="747"/>
        <w:gridCol w:w="748"/>
        <w:gridCol w:w="667"/>
        <w:gridCol w:w="656"/>
      </w:tblGrid>
      <w:tr>
        <w:trPr>
          <w:trHeight w:val="1337" w:hRule="exact"/>
        </w:trPr>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7" w:right="96" w:hanging="90"/>
              <w:jc w:val="left"/>
              <w:rPr>
                <w:rFonts w:ascii="宋体" w:hAnsi="宋体" w:cs="宋体" w:eastAsia="宋体" w:hint="default"/>
                <w:sz w:val="18"/>
                <w:szCs w:val="18"/>
              </w:rPr>
            </w:pPr>
            <w:r>
              <w:rPr>
                <w:rFonts w:ascii="宋体" w:hAnsi="宋体" w:cs="宋体" w:eastAsia="宋体" w:hint="default"/>
                <w:sz w:val="18"/>
                <w:szCs w:val="18"/>
              </w:rPr>
              <w:t>受托人 名称</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7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6"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5"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7" w:right="96"/>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是否经 过规定 程序</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8"/>
                <w:sz w:val="18"/>
                <w:szCs w:val="18"/>
              </w:rPr>
              <w:t>金额（如</w:t>
            </w:r>
            <w:r>
              <w:rPr>
                <w:rFonts w:ascii="宋体" w:hAnsi="宋体" w:cs="宋体" w:eastAsia="宋体" w:hint="default"/>
                <w:sz w:val="18"/>
                <w:szCs w:val="18"/>
              </w:rPr>
              <w:t>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8" w:right="5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1338"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1"/>
              <w:jc w:val="both"/>
              <w:rPr>
                <w:rFonts w:ascii="宋体" w:hAnsi="宋体" w:cs="宋体" w:eastAsia="宋体" w:hint="default"/>
                <w:sz w:val="18"/>
                <w:szCs w:val="18"/>
              </w:rPr>
            </w:pPr>
            <w:r>
              <w:rPr>
                <w:rFonts w:ascii="宋体" w:hAnsi="宋体" w:cs="宋体" w:eastAsia="宋体" w:hint="default"/>
                <w:sz w:val="18"/>
                <w:szCs w:val="18"/>
              </w:rPr>
              <w:t>北京银 行股份 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73"/>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参考年 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7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北京银 行股份</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参考年 化收益</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46"/>
        <w:gridCol w:w="748"/>
        <w:gridCol w:w="748"/>
        <w:gridCol w:w="823"/>
        <w:gridCol w:w="707"/>
        <w:gridCol w:w="746"/>
        <w:gridCol w:w="745"/>
        <w:gridCol w:w="748"/>
        <w:gridCol w:w="745"/>
        <w:gridCol w:w="747"/>
        <w:gridCol w:w="748"/>
        <w:gridCol w:w="667"/>
        <w:gridCol w:w="656"/>
      </w:tblGrid>
      <w:tr>
        <w:trPr>
          <w:trHeight w:val="674"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74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0"/>
              <w:jc w:val="center"/>
              <w:rPr>
                <w:rFonts w:ascii="Times New Roman" w:hAnsi="Times New Roman" w:cs="Times New Roman" w:eastAsia="Times New Roman" w:hint="default"/>
                <w:sz w:val="18"/>
                <w:szCs w:val="18"/>
              </w:rPr>
            </w:pPr>
            <w:r>
              <w:rPr>
                <w:rFonts w:ascii="宋体" w:hAnsi="宋体" w:cs="宋体" w:eastAsia="宋体" w:hint="default"/>
                <w:sz w:val="18"/>
                <w:szCs w:val="18"/>
              </w:rPr>
              <w:t>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p>
        </w:tc>
        <w:tc>
          <w:tcPr>
            <w:tcW w:w="745"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6,000</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127.6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审议委托理财的董事会决议披露日期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审议委托理财的股东大会决议披露日 期（如有</w:t>
            </w:r>
            <w:r>
              <w:rPr>
                <w:rFonts w:ascii="Times New Roman" w:hAnsi="Times New Roman" w:cs="Times New Roman" w:eastAsia="Times New Roman" w:hint="default"/>
                <w:sz w:val="18"/>
                <w:szCs w:val="18"/>
              </w:rPr>
              <w:t>)</w:t>
            </w:r>
          </w:p>
        </w:tc>
        <w:tc>
          <w:tcPr>
            <w:tcW w:w="6509" w:type="dxa"/>
            <w:gridSpan w:val="9"/>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650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
              <w:jc w:val="both"/>
              <w:rPr>
                <w:rFonts w:ascii="宋体" w:hAnsi="宋体" w:cs="宋体" w:eastAsia="宋体" w:hint="default"/>
                <w:sz w:val="18"/>
                <w:szCs w:val="18"/>
              </w:rPr>
            </w:pPr>
            <w:r>
              <w:rPr>
                <w:rFonts w:ascii="宋体" w:hAnsi="宋体" w:cs="宋体" w:eastAsia="宋体" w:hint="default"/>
                <w:spacing w:val="-1"/>
                <w:sz w:val="18"/>
                <w:szCs w:val="18"/>
              </w:rPr>
              <w:t>本次委托理财事项均为公司使用闲置自有资金购买的低风险理财产品，未达到《深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交所创业板上市规则》有关委托理财规定的披露标准，公司会及时跟踪有关情况， 按照有关规定履行信息披露义务。</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衍生品投资情况" w:id="61"/>
      <w:bookmarkEnd w:id="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7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委托贷款情况" w:id="62"/>
      <w:bookmarkEnd w:id="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7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4、其他重大合同" w:id="63"/>
      <w:bookmarkEnd w:id="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承诺事项履行情况" w:id="64"/>
      <w:bookmarkEnd w:id="64"/>
      <w:r>
        <w:rPr>
          <w:b w:val="0"/>
          <w:bCs w:val="0"/>
        </w:rPr>
      </w:r>
      <w:r>
        <w:rPr/>
        <w:t>八、承诺事项履行情况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公司或持股5%以上股东在报告期内发生或以前期间发生但持续到报告期内的承诺事项" w:id="65"/>
      <w:bookmarkEnd w:id="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1274"/>
        <w:gridCol w:w="1278"/>
        <w:gridCol w:w="1277"/>
        <w:gridCol w:w="1277"/>
        <w:gridCol w:w="12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6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62"/>
              <w:jc w:val="both"/>
              <w:rPr>
                <w:rFonts w:ascii="宋体" w:hAnsi="宋体" w:cs="宋体" w:eastAsia="宋体" w:hint="default"/>
                <w:sz w:val="18"/>
                <w:szCs w:val="18"/>
              </w:rPr>
            </w:pPr>
            <w:r>
              <w:rPr>
                <w:rFonts w:ascii="宋体" w:hAnsi="宋体" w:cs="宋体" w:eastAsia="宋体" w:hint="default"/>
                <w:sz w:val="18"/>
                <w:szCs w:val="18"/>
              </w:rPr>
              <w:t>数字政通承诺 不为激励对象 依股票期权激 励计划获取有 关权益提供贷 款以及其他任</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公司首次股权 激励计划有效 期间</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截至报告期末， 公司遵守了所 做的承诺</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vMerge/>
            <w:tcBorders>
              <w:left w:val="single" w:sz="9" w:space="0" w:color="D2D2D2"/>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76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986"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何形式的财务 </w:t>
            </w:r>
            <w:r>
              <w:rPr>
                <w:rFonts w:ascii="宋体" w:hAnsi="宋体" w:cs="宋体" w:eastAsia="宋体" w:hint="default"/>
                <w:spacing w:val="-6"/>
                <w:sz w:val="18"/>
                <w:szCs w:val="18"/>
              </w:rPr>
              <w:t>资助，包括为其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贷款提供担保。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数字政通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数字政通承诺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主要股东或实 际控制人及其 </w:t>
            </w:r>
            <w:r>
              <w:rPr>
                <w:rFonts w:ascii="宋体" w:hAnsi="宋体" w:cs="宋体" w:eastAsia="宋体" w:hint="default"/>
                <w:spacing w:val="-6"/>
                <w:sz w:val="18"/>
                <w:szCs w:val="18"/>
              </w:rPr>
              <w:t>配偶、直系亲属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均未参与本激 励计划。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公司首次股权 激励计划有效 期间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截至报告期末， 公司遵守了所 做的承诺</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3" w:right="159"/>
              <w:jc w:val="both"/>
              <w:rPr>
                <w:rFonts w:ascii="宋体" w:hAnsi="宋体" w:cs="宋体" w:eastAsia="宋体" w:hint="default"/>
                <w:sz w:val="18"/>
                <w:szCs w:val="18"/>
              </w:rPr>
            </w:pPr>
            <w:r>
              <w:rPr>
                <w:rFonts w:ascii="宋体" w:hAnsi="宋体" w:cs="宋体" w:eastAsia="宋体" w:hint="default"/>
                <w:sz w:val="18"/>
                <w:szCs w:val="18"/>
              </w:rPr>
              <w:t>本公司董事长 及实际控制人 吴强华</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让、抵押、质押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或在该股份上 设定任何其他 形式的限制或 </w:t>
            </w:r>
            <w:r>
              <w:rPr>
                <w:rFonts w:ascii="宋体" w:hAnsi="宋体" w:cs="宋体" w:eastAsia="宋体" w:hint="default"/>
                <w:spacing w:val="-6"/>
                <w:sz w:val="18"/>
                <w:szCs w:val="18"/>
              </w:rPr>
              <w:t>他项权利，不委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托他人管理本 人本次发行前 已持有的公司 </w:t>
            </w:r>
            <w:r>
              <w:rPr>
                <w:rFonts w:ascii="宋体" w:hAnsi="宋体" w:cs="宋体" w:eastAsia="宋体" w:hint="default"/>
                <w:spacing w:val="-6"/>
                <w:sz w:val="18"/>
                <w:szCs w:val="18"/>
              </w:rPr>
              <w:t>股份，也不由公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司回购该部分 </w:t>
            </w:r>
            <w:r>
              <w:rPr>
                <w:rFonts w:ascii="宋体" w:hAnsi="宋体" w:cs="宋体" w:eastAsia="宋体" w:hint="default"/>
                <w:spacing w:val="-6"/>
                <w:sz w:val="18"/>
                <w:szCs w:val="18"/>
              </w:rPr>
              <w:t>股份；本人在任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职期间每年转 让的股份不得 超过本人所持 有公司股份总 数的百分之二 </w:t>
            </w:r>
            <w:r>
              <w:rPr>
                <w:rFonts w:ascii="宋体" w:hAnsi="宋体" w:cs="宋体" w:eastAsia="宋体" w:hint="default"/>
                <w:spacing w:val="-6"/>
                <w:sz w:val="18"/>
                <w:szCs w:val="18"/>
              </w:rPr>
              <w:t>十五；本人离职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后半年内，不转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让本人所持有 </w:t>
            </w:r>
            <w:r>
              <w:rPr>
                <w:rFonts w:ascii="宋体" w:hAnsi="宋体" w:cs="宋体" w:eastAsia="宋体" w:hint="default"/>
                <w:spacing w:val="-6"/>
                <w:sz w:val="18"/>
                <w:szCs w:val="18"/>
              </w:rPr>
              <w:t>的公司股份。严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格遵守《公司 </w:t>
            </w:r>
            <w:r>
              <w:rPr>
                <w:rFonts w:ascii="宋体" w:hAnsi="宋体" w:cs="宋体" w:eastAsia="宋体" w:hint="default"/>
                <w:spacing w:val="-26"/>
                <w:sz w:val="18"/>
                <w:szCs w:val="18"/>
              </w:rPr>
              <w:t>法》、《公司章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8"/>
                <w:sz w:val="18"/>
                <w:szCs w:val="18"/>
              </w:rPr>
              <w:t>程》、《关联交易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8"/>
                <w:sz w:val="18"/>
                <w:szCs w:val="18"/>
              </w:rPr>
              <w:t>制度》、《股东大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会议事规则》、</w:t>
            </w:r>
          </w:p>
          <w:p>
            <w:pPr>
              <w:pStyle w:val="TableParagraph"/>
              <w:spacing w:line="316" w:lineRule="auto" w:before="19"/>
              <w:ind w:left="23" w:right="-16"/>
              <w:jc w:val="left"/>
              <w:rPr>
                <w:rFonts w:ascii="宋体" w:hAnsi="宋体" w:cs="宋体" w:eastAsia="宋体" w:hint="default"/>
                <w:sz w:val="18"/>
                <w:szCs w:val="18"/>
              </w:rPr>
            </w:pPr>
            <w:r>
              <w:rPr>
                <w:rFonts w:ascii="宋体" w:hAnsi="宋体" w:cs="宋体" w:eastAsia="宋体" w:hint="default"/>
                <w:sz w:val="18"/>
                <w:szCs w:val="18"/>
              </w:rPr>
              <w:t>《董事会议事 规则》等规定，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2"/>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20"/>
              <w:jc w:val="left"/>
              <w:rPr>
                <w:rFonts w:ascii="宋体" w:hAnsi="宋体" w:cs="宋体" w:eastAsia="宋体" w:hint="default"/>
                <w:sz w:val="18"/>
                <w:szCs w:val="18"/>
              </w:rPr>
            </w:pPr>
            <w:r>
              <w:rPr>
                <w:rFonts w:ascii="宋体" w:hAnsi="宋体" w:cs="宋体" w:eastAsia="宋体" w:hint="default"/>
                <w:spacing w:val="-7"/>
                <w:sz w:val="18"/>
                <w:szCs w:val="18"/>
              </w:rPr>
              <w:t>正常履行，未出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现任何违反该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71"/>
      </w:tblGrid>
      <w:tr>
        <w:trPr>
          <w:trHeight w:val="753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避免和减少关 </w:t>
            </w:r>
            <w:r>
              <w:rPr>
                <w:rFonts w:ascii="宋体" w:hAnsi="宋体" w:cs="宋体" w:eastAsia="宋体" w:hint="default"/>
                <w:spacing w:val="-6"/>
                <w:sz w:val="18"/>
                <w:szCs w:val="18"/>
              </w:rPr>
              <w:t>联交易，自觉维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护发行人及全 体股东的利益， 将不利用本人 在发行人中的 股东地位在关 联交易中谋取 </w:t>
            </w:r>
            <w:r>
              <w:rPr>
                <w:rFonts w:ascii="宋体" w:hAnsi="宋体" w:cs="宋体" w:eastAsia="宋体" w:hint="default"/>
                <w:spacing w:val="-6"/>
                <w:sz w:val="18"/>
                <w:szCs w:val="18"/>
              </w:rPr>
              <w:t>不正当利益。如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发行人必须与 本人控制的企 业进行关联交 </w:t>
            </w:r>
            <w:r>
              <w:rPr>
                <w:rFonts w:ascii="宋体" w:hAnsi="宋体" w:cs="宋体" w:eastAsia="宋体" w:hint="default"/>
                <w:spacing w:val="-6"/>
                <w:sz w:val="18"/>
                <w:szCs w:val="18"/>
              </w:rPr>
              <w:t>易，均严格履行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相关法律程序， 遵照市场公平 交易的原则进 </w:t>
            </w:r>
            <w:r>
              <w:rPr>
                <w:rFonts w:ascii="宋体" w:hAnsi="宋体" w:cs="宋体" w:eastAsia="宋体" w:hint="default"/>
                <w:spacing w:val="-6"/>
                <w:sz w:val="18"/>
                <w:szCs w:val="18"/>
              </w:rPr>
              <w:t>行，将促使交易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的价格、相关协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议条款和交易 条件公平合理， 不会要求发行 人给予与第三 人的条件相比 更优惠的条件。</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9" w:lineRule="auto"/>
              <w:ind w:left="23" w:right="54"/>
              <w:jc w:val="left"/>
              <w:rPr>
                <w:rFonts w:ascii="宋体" w:hAnsi="宋体" w:cs="宋体" w:eastAsia="宋体" w:hint="default"/>
                <w:sz w:val="18"/>
                <w:szCs w:val="18"/>
              </w:rPr>
            </w:pPr>
            <w:r>
              <w:rPr>
                <w:rFonts w:ascii="宋体" w:hAnsi="宋体" w:cs="宋体" w:eastAsia="宋体" w:hint="default"/>
                <w:sz w:val="18"/>
                <w:szCs w:val="18"/>
              </w:rPr>
              <w:t>副董事长、总 裁、持股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上股东许欣</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让、抵押、质押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或在该股份上 设定任何其他 形式的限制或 </w:t>
            </w:r>
            <w:r>
              <w:rPr>
                <w:rFonts w:ascii="宋体" w:hAnsi="宋体" w:cs="宋体" w:eastAsia="宋体" w:hint="default"/>
                <w:spacing w:val="-6"/>
                <w:sz w:val="18"/>
                <w:szCs w:val="18"/>
              </w:rPr>
              <w:t>他项权利，不委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托他人管理本 人本次发行前 已持有的公司 </w:t>
            </w:r>
            <w:r>
              <w:rPr>
                <w:rFonts w:ascii="宋体" w:hAnsi="宋体" w:cs="宋体" w:eastAsia="宋体" w:hint="default"/>
                <w:spacing w:val="-6"/>
                <w:sz w:val="18"/>
                <w:szCs w:val="18"/>
              </w:rPr>
              <w:t>股份，也不由公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司回购该部分 </w:t>
            </w:r>
            <w:r>
              <w:rPr>
                <w:rFonts w:ascii="宋体" w:hAnsi="宋体" w:cs="宋体" w:eastAsia="宋体" w:hint="default"/>
                <w:spacing w:val="-6"/>
                <w:sz w:val="18"/>
                <w:szCs w:val="18"/>
              </w:rPr>
              <w:t>股份；本人在任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职期间每年转 让的股份不得 超过本人所持 有公司股份总 数的百分之二 </w:t>
            </w:r>
            <w:r>
              <w:rPr>
                <w:rFonts w:ascii="宋体" w:hAnsi="宋体" w:cs="宋体" w:eastAsia="宋体" w:hint="default"/>
                <w:spacing w:val="-6"/>
                <w:sz w:val="18"/>
                <w:szCs w:val="18"/>
              </w:rPr>
              <w:t>十五；本人离职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自公司股票上 市之日起三十 六个月</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正常履行，未出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现任何违反该 承诺的情况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6"/>
                <w:sz w:val="18"/>
                <w:szCs w:val="18"/>
              </w:rPr>
              <w:t>后半年内，不转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让本人所持有 的公司股份。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6"/>
      <w:bookmarkEnd w:id="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聘任、解聘会计师事务所情况" w:id="67"/>
      <w:bookmarkEnd w:id="67"/>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苗策、薛东升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381"/>
        <w:jc w:val="left"/>
        <w:rPr>
          <w:b w:val="0"/>
          <w:bCs w:val="0"/>
        </w:rPr>
      </w:pPr>
      <w:bookmarkStart w:name="十、上市公司及其董事、监事、高级管理人员、公司股东、实际控制人和收购人处罚及整改" w:id="68"/>
      <w:bookmarkEnd w:id="68"/>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42"/>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0"/>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一、公司股东及其一致行动人在报告期提出或实施股份增持计划的情况" w:id="69"/>
      <w:bookmarkEnd w:id="69"/>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公司股东及其一致行动人在报告期内未提出或实施股份增持计划。</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董事、监事、高级管理人员、持股5%以上的股东违规买卖公司股票情况" w:id="70"/>
      <w:bookmarkEnd w:id="70"/>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1"/>
      <w:bookmarkEnd w:id="7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2"/>
      <w:bookmarkEnd w:id="7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五、控股子公司重要事项" w:id="73"/>
      <w:bookmarkEnd w:id="73"/>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4"/>
      <w:bookmarkEnd w:id="74"/>
      <w:r>
        <w:rPr>
          <w:b w:val="0"/>
          <w:bCs w:val="0"/>
        </w:rPr>
      </w:r>
      <w:bookmarkStart w:name="_bookmark5" w:id="75"/>
      <w:bookmarkEnd w:id="7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6"/>
      <w:bookmarkEnd w:id="7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股份变动情况" w:id="77"/>
      <w:bookmarkEnd w:id="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5"/>
        <w:gridCol w:w="844"/>
        <w:gridCol w:w="844"/>
        <w:gridCol w:w="844"/>
        <w:gridCol w:w="842"/>
        <w:gridCol w:w="844"/>
        <w:gridCol w:w="842"/>
        <w:gridCol w:w="815"/>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48,428,88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91,125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-3,506,251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35.48%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48,428,88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91,125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-3,506,251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35.48%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48,428,88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91,125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-3,506,251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67,475,07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35.48%</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77,571,11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61.56%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1,051,675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40,538,68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3,506,251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122,667,7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64.51%</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77,571,11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61.56%</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1,051,675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40,538,68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3,506,251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122,667,7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64.51%</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100.00%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1,142,800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2D2D2"/>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9" w:space="0" w:color="D2D2D2"/>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0"/>
        <w:ind w:left="633" w:right="0"/>
        <w:jc w:val="left"/>
      </w:pPr>
      <w:r>
        <w:rPr>
          <w:rFonts w:ascii="宋体" w:hAnsi="宋体" w:cs="宋体" w:eastAsia="宋体" w:hint="default"/>
        </w:rPr>
        <w:t>1</w:t>
      </w:r>
      <w:r>
        <w:rPr/>
        <w:t>、报告期内，公司实施</w:t>
      </w:r>
      <w:r>
        <w:rPr>
          <w:spacing w:val="-60"/>
        </w:rPr>
        <w:t> </w:t>
      </w:r>
      <w:r>
        <w:rPr>
          <w:rFonts w:ascii="宋体" w:hAnsi="宋体" w:cs="宋体" w:eastAsia="宋体" w:hint="default"/>
        </w:rPr>
        <w:t>2013</w:t>
      </w:r>
      <w:r>
        <w:rPr>
          <w:rFonts w:ascii="宋体" w:hAnsi="宋体" w:cs="宋体" w:eastAsia="宋体" w:hint="default"/>
          <w:spacing w:val="-60"/>
        </w:rPr>
        <w:t> </w:t>
      </w:r>
      <w:r>
        <w:rPr/>
        <w:t>年度利润分配方案：以公司现有股本</w:t>
      </w:r>
      <w:r>
        <w:rPr>
          <w:spacing w:val="-60"/>
        </w:rPr>
        <w:t> </w:t>
      </w:r>
      <w:r>
        <w:rPr>
          <w:rFonts w:ascii="宋体" w:hAnsi="宋体" w:cs="宋体" w:eastAsia="宋体" w:hint="default"/>
        </w:rPr>
        <w:t>126,000,000</w:t>
      </w:r>
      <w:r>
        <w:rPr>
          <w:rFonts w:ascii="宋体" w:hAnsi="宋体" w:cs="宋体" w:eastAsia="宋体" w:hint="default"/>
          <w:spacing w:val="-60"/>
        </w:rPr>
        <w:t> </w:t>
      </w:r>
      <w:r>
        <w:rPr/>
        <w:t>股为基</w:t>
      </w:r>
    </w:p>
    <w:p>
      <w:pPr>
        <w:pStyle w:val="BodyText"/>
        <w:spacing w:line="240" w:lineRule="auto" w:before="154"/>
        <w:ind w:right="0"/>
        <w:jc w:val="left"/>
      </w:pPr>
      <w:r>
        <w:rPr/>
        <w:t>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2.0</w:t>
      </w:r>
      <w:r>
        <w:rPr>
          <w:rFonts w:ascii="宋体" w:hAnsi="宋体" w:cs="宋体" w:eastAsia="宋体" w:hint="default"/>
          <w:spacing w:val="-60"/>
        </w:rPr>
        <w:t> </w:t>
      </w:r>
      <w:r>
        <w:rPr/>
        <w:t>元人民币现金（含税）；同时，以资本公积金向全体股东每</w:t>
      </w:r>
    </w:p>
    <w:p>
      <w:pPr>
        <w:pStyle w:val="BodyText"/>
        <w:spacing w:line="240" w:lineRule="auto" w:before="154"/>
        <w:ind w:right="0"/>
        <w:jc w:val="left"/>
      </w:pP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股，共计转增</w:t>
      </w:r>
      <w:r>
        <w:rPr>
          <w:spacing w:val="-60"/>
        </w:rPr>
        <w:t> </w:t>
      </w:r>
      <w:r>
        <w:rPr>
          <w:rFonts w:ascii="宋体" w:hAnsi="宋体" w:cs="宋体" w:eastAsia="宋体" w:hint="default"/>
        </w:rPr>
        <w:t>63,000,000</w:t>
      </w:r>
      <w:r>
        <w:rPr>
          <w:rFonts w:ascii="宋体" w:hAnsi="宋体" w:cs="宋体" w:eastAsia="宋体" w:hint="default"/>
          <w:spacing w:val="-60"/>
        </w:rPr>
        <w:t> </w:t>
      </w:r>
      <w:r>
        <w:rPr/>
        <w:t>股，转增后公司总股本增加至</w:t>
      </w:r>
      <w:r>
        <w:rPr>
          <w:spacing w:val="-60"/>
        </w:rPr>
        <w:t> </w:t>
      </w:r>
      <w:r>
        <w:rPr>
          <w:rFonts w:ascii="宋体" w:hAnsi="宋体" w:cs="宋体" w:eastAsia="宋体" w:hint="default"/>
        </w:rPr>
        <w:t>189,000,000</w:t>
      </w:r>
      <w:r>
        <w:rPr>
          <w:rFonts w:ascii="宋体" w:hAnsi="宋体" w:cs="宋体" w:eastAsia="宋体" w:hint="default"/>
          <w:spacing w:val="-60"/>
        </w:rPr>
        <w:t> </w:t>
      </w:r>
      <w:r>
        <w:rPr/>
        <w:t>股。公司</w:t>
      </w:r>
    </w:p>
    <w:p>
      <w:pPr>
        <w:pStyle w:val="BodyText"/>
        <w:spacing w:line="357" w:lineRule="auto" w:before="154"/>
        <w:ind w:left="633" w:right="0" w:hanging="480"/>
        <w:jc w:val="left"/>
      </w:pPr>
      <w:r>
        <w:rPr/>
        <w:t>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日完成</w:t>
      </w:r>
      <w:r>
        <w:rPr>
          <w:spacing w:val="-60"/>
        </w:rPr>
        <w:t> </w:t>
      </w:r>
      <w:r>
        <w:rPr>
          <w:rFonts w:ascii="宋体" w:hAnsi="宋体" w:cs="宋体" w:eastAsia="宋体" w:hint="default"/>
        </w:rPr>
        <w:t>2013</w:t>
      </w:r>
      <w:r>
        <w:rPr>
          <w:rFonts w:ascii="宋体" w:hAnsi="宋体" w:cs="宋体" w:eastAsia="宋体" w:hint="default"/>
          <w:spacing w:val="-60"/>
        </w:rPr>
        <w:t> </w:t>
      </w:r>
      <w:r>
        <w:rPr/>
        <w:t>年度权益分派。 </w:t>
      </w:r>
      <w:r>
        <w:rPr>
          <w:rFonts w:ascii="宋体" w:hAnsi="宋体" w:cs="宋体" w:eastAsia="宋体" w:hint="default"/>
          <w:spacing w:val="-3"/>
        </w:rPr>
        <w:t>2</w:t>
      </w:r>
      <w:r>
        <w:rPr>
          <w:spacing w:val="-3"/>
        </w:rPr>
        <w:t>、因报告期内公司首期股票期权激励计划首次授予和预留股票期权第一个行权期股权激</w:t>
      </w:r>
    </w:p>
    <w:p>
      <w:pPr>
        <w:pStyle w:val="BodyText"/>
        <w:spacing w:line="240" w:lineRule="auto"/>
        <w:ind w:right="0"/>
        <w:jc w:val="left"/>
      </w:pPr>
      <w:r>
        <w:rPr/>
        <w:t>励对象行权，公司总股本增加</w:t>
      </w:r>
      <w:r>
        <w:rPr>
          <w:spacing w:val="-60"/>
        </w:rPr>
        <w:t> </w:t>
      </w:r>
      <w:r>
        <w:rPr>
          <w:rFonts w:ascii="宋体" w:hAnsi="宋体" w:cs="宋体" w:eastAsia="宋体" w:hint="default"/>
        </w:rPr>
        <w:t>1,142,800</w:t>
      </w:r>
      <w:r>
        <w:rPr>
          <w:rFonts w:ascii="宋体" w:hAnsi="宋体" w:cs="宋体" w:eastAsia="宋体" w:hint="default"/>
          <w:spacing w:val="-60"/>
        </w:rPr>
        <w:t> </w:t>
      </w:r>
      <w:r>
        <w:rPr/>
        <w:t>股。</w:t>
      </w:r>
    </w:p>
    <w:p>
      <w:pPr>
        <w:pStyle w:val="BodyText"/>
        <w:spacing w:line="240" w:lineRule="auto" w:before="154"/>
        <w:ind w:left="634" w:right="0"/>
        <w:jc w:val="left"/>
      </w:pPr>
      <w:r>
        <w:rPr>
          <w:rFonts w:ascii="宋体" w:hAnsi="宋体" w:cs="宋体" w:eastAsia="宋体" w:hint="default"/>
        </w:rPr>
        <w:t>3</w:t>
      </w:r>
      <w:r>
        <w:rPr/>
        <w:t>、报告期内，高管股份解除限售共计</w:t>
      </w:r>
      <w:r>
        <w:rPr>
          <w:spacing w:val="-60"/>
        </w:rPr>
        <w:t> </w:t>
      </w:r>
      <w:r>
        <w:rPr>
          <w:rFonts w:ascii="宋体" w:hAnsi="宋体" w:cs="宋体" w:eastAsia="宋体" w:hint="default"/>
        </w:rPr>
        <w:t>3,506,251</w:t>
      </w:r>
      <w:r>
        <w:rPr>
          <w:rFonts w:ascii="宋体" w:hAnsi="宋体" w:cs="宋体" w:eastAsia="宋体" w:hint="default"/>
          <w:spacing w:val="-60"/>
        </w:rPr>
        <w:t> </w:t>
      </w:r>
      <w:r>
        <w:rPr/>
        <w:t>股</w:t>
      </w:r>
    </w:p>
    <w:p>
      <w:pPr>
        <w:spacing w:before="165"/>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633" w:right="95"/>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20</w:t>
      </w:r>
      <w:r>
        <w:rPr>
          <w:rFonts w:ascii="宋体" w:hAnsi="宋体" w:cs="宋体" w:eastAsia="宋体" w:hint="default"/>
          <w:spacing w:val="-65"/>
        </w:rPr>
        <w:t> </w:t>
      </w:r>
      <w:r>
        <w:rPr/>
        <w:t>日，公司召开第二届董事会第十九次会议，审议分配预案如下：公司</w:t>
      </w:r>
    </w:p>
    <w:p>
      <w:pPr>
        <w:pStyle w:val="BodyText"/>
        <w:spacing w:line="240" w:lineRule="auto" w:before="154"/>
        <w:ind w:right="95"/>
        <w:jc w:val="left"/>
      </w:pPr>
      <w:r>
        <w:rPr/>
        <w:t>以总股本</w:t>
      </w:r>
      <w:r>
        <w:rPr>
          <w:spacing w:val="-63"/>
        </w:rPr>
        <w:t> </w:t>
      </w:r>
      <w:r>
        <w:rPr>
          <w:rFonts w:ascii="宋体" w:hAnsi="宋体" w:cs="宋体" w:eastAsia="宋体" w:hint="default"/>
        </w:rPr>
        <w:t>126,000,000</w:t>
      </w:r>
      <w:r>
        <w:rPr>
          <w:rFonts w:ascii="宋体" w:hAnsi="宋体" w:cs="宋体" w:eastAsia="宋体" w:hint="default"/>
          <w:spacing w:val="-63"/>
        </w:rPr>
        <w:t> </w:t>
      </w:r>
      <w:r>
        <w:rPr/>
        <w:t>股为基数，向全体股东每</w:t>
      </w:r>
      <w:r>
        <w:rPr>
          <w:spacing w:val="-63"/>
        </w:rPr>
        <w:t> </w:t>
      </w:r>
      <w:r>
        <w:rPr>
          <w:rFonts w:ascii="宋体" w:hAnsi="宋体" w:cs="宋体" w:eastAsia="宋体" w:hint="default"/>
        </w:rPr>
        <w:t>10</w:t>
      </w:r>
      <w:r>
        <w:rPr>
          <w:rFonts w:ascii="宋体" w:hAnsi="宋体" w:cs="宋体" w:eastAsia="宋体" w:hint="default"/>
          <w:spacing w:val="-63"/>
        </w:rPr>
        <w:t> </w:t>
      </w:r>
      <w:r>
        <w:rPr/>
        <w:t>股派发现金红利</w:t>
      </w:r>
      <w:r>
        <w:rPr>
          <w:spacing w:val="-63"/>
        </w:rPr>
        <w:t> </w:t>
      </w:r>
      <w:r>
        <w:rPr>
          <w:rFonts w:ascii="宋体" w:hAnsi="宋体" w:cs="宋体" w:eastAsia="宋体" w:hint="default"/>
        </w:rPr>
        <w:t>2</w:t>
      </w:r>
      <w:r>
        <w:rPr>
          <w:rFonts w:ascii="宋体" w:hAnsi="宋体" w:cs="宋体" w:eastAsia="宋体" w:hint="default"/>
          <w:spacing w:val="-63"/>
        </w:rPr>
        <w:t> </w:t>
      </w:r>
      <w:r>
        <w:rPr>
          <w:spacing w:val="-7"/>
        </w:rPr>
        <w:t>元（含税），共计派发</w:t>
      </w:r>
    </w:p>
    <w:p>
      <w:pPr>
        <w:pStyle w:val="BodyText"/>
        <w:spacing w:line="240" w:lineRule="auto" w:before="154"/>
        <w:ind w:right="95"/>
        <w:jc w:val="left"/>
      </w:pPr>
      <w:r>
        <w:rPr/>
        <w:t>现金红利</w:t>
      </w:r>
      <w:r>
        <w:rPr>
          <w:spacing w:val="-55"/>
        </w:rPr>
        <w:t> </w:t>
      </w:r>
      <w:r>
        <w:rPr>
          <w:rFonts w:ascii="宋体" w:hAnsi="宋体" w:cs="宋体" w:eastAsia="宋体" w:hint="default"/>
        </w:rPr>
        <w:t>25,200,000</w:t>
      </w:r>
      <w:r>
        <w:rPr>
          <w:rFonts w:ascii="宋体" w:hAnsi="宋体" w:cs="宋体" w:eastAsia="宋体" w:hint="default"/>
          <w:spacing w:val="-55"/>
        </w:rPr>
        <w:t> </w:t>
      </w:r>
      <w:r>
        <w:rPr>
          <w:spacing w:val="-3"/>
        </w:rPr>
        <w:t>元，剩余未分配利润结转以后年度分配。同时以资本公积向全体股东每</w:t>
      </w:r>
    </w:p>
    <w:p>
      <w:pPr>
        <w:pStyle w:val="BodyText"/>
        <w:spacing w:line="240" w:lineRule="auto" w:before="154"/>
        <w:ind w:right="95"/>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股，合计转增股本</w:t>
      </w:r>
      <w:r>
        <w:rPr>
          <w:spacing w:val="-60"/>
        </w:rPr>
        <w:t> </w:t>
      </w:r>
      <w:r>
        <w:rPr>
          <w:rFonts w:ascii="宋体" w:hAnsi="宋体" w:cs="宋体" w:eastAsia="宋体" w:hint="default"/>
        </w:rPr>
        <w:t>63,000,000</w:t>
      </w:r>
      <w:r>
        <w:rPr>
          <w:rFonts w:ascii="宋体" w:hAnsi="宋体" w:cs="宋体" w:eastAsia="宋体" w:hint="default"/>
          <w:spacing w:val="-60"/>
        </w:rPr>
        <w:t> </w:t>
      </w:r>
      <w:r>
        <w:rPr/>
        <w:t>股。转增股本后公司总股本变更为</w:t>
      </w:r>
      <w:r>
        <w:rPr>
          <w:spacing w:val="-60"/>
        </w:rPr>
        <w:t> </w:t>
      </w:r>
      <w:r>
        <w:rPr>
          <w:rFonts w:ascii="宋体" w:hAnsi="宋体" w:cs="宋体" w:eastAsia="宋体" w:hint="default"/>
        </w:rPr>
        <w:t>189,000,000</w:t>
      </w:r>
    </w:p>
    <w:p>
      <w:pPr>
        <w:pStyle w:val="BodyText"/>
        <w:spacing w:line="240" w:lineRule="auto" w:before="154"/>
        <w:ind w:right="95"/>
        <w:jc w:val="left"/>
        <w:rPr>
          <w:rFonts w:ascii="宋体" w:hAnsi="宋体" w:cs="宋体" w:eastAsia="宋体" w:hint="default"/>
        </w:rPr>
      </w:pPr>
      <w:r>
        <w:rPr/>
        <w:t>股。</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日经</w:t>
      </w:r>
      <w:r>
        <w:rPr>
          <w:spacing w:val="-60"/>
        </w:rPr>
        <w:t> </w:t>
      </w:r>
      <w:r>
        <w:rPr>
          <w:rFonts w:ascii="宋体" w:hAnsi="宋体" w:cs="宋体" w:eastAsia="宋体" w:hint="default"/>
        </w:rPr>
        <w:t>2013</w:t>
      </w:r>
      <w:r>
        <w:rPr>
          <w:rFonts w:ascii="宋体" w:hAnsi="宋体" w:cs="宋体" w:eastAsia="宋体" w:hint="default"/>
          <w:spacing w:val="-60"/>
        </w:rPr>
        <w:t> </w:t>
      </w:r>
      <w:r>
        <w:rPr/>
        <w:t>年年度股东大会审议通过</w:t>
      </w:r>
      <w:r>
        <w:rPr>
          <w:spacing w:val="-60"/>
        </w:rPr>
        <w:t> </w:t>
      </w:r>
      <w:r>
        <w:rPr>
          <w:rFonts w:ascii="宋体" w:hAnsi="宋体" w:cs="宋体" w:eastAsia="宋体" w:hint="default"/>
        </w:rPr>
        <w:t>2013</w:t>
      </w:r>
      <w:r>
        <w:rPr>
          <w:rFonts w:ascii="宋体" w:hAnsi="宋体" w:cs="宋体" w:eastAsia="宋体" w:hint="default"/>
          <w:spacing w:val="-60"/>
        </w:rPr>
        <w:t> </w:t>
      </w:r>
      <w:r>
        <w:rPr/>
        <w:t>年度分配方案，并于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p>
    <w:p>
      <w:pPr>
        <w:pStyle w:val="BodyText"/>
        <w:spacing w:line="240" w:lineRule="auto" w:before="154"/>
        <w:ind w:right="95"/>
        <w:jc w:val="left"/>
      </w:pP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日完成权益分派。</w:t>
      </w:r>
    </w:p>
    <w:p>
      <w:pPr>
        <w:pStyle w:val="BodyText"/>
        <w:spacing w:line="357" w:lineRule="auto" w:before="154"/>
        <w:ind w:right="218" w:firstLine="480"/>
        <w:jc w:val="left"/>
      </w:pPr>
      <w:r>
        <w:rPr>
          <w:rFonts w:ascii="宋体" w:hAnsi="宋体" w:cs="宋体" w:eastAsia="宋体" w:hint="default"/>
          <w:spacing w:val="-5"/>
        </w:rPr>
        <w:t>2</w:t>
      </w:r>
      <w:r>
        <w:rPr>
          <w:spacing w:val="-5"/>
        </w:rPr>
        <w:t>、北京数字政通科技股份有限公司于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日召开第二届董事会第二十一次会 议，审议通过了《关于首期股票期权激励计划首次授予第一个行权期可行权的议案》，并于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日公告了《关于股票期权激励计划首次授予期权第一个行权期采用自主行权 模式的提示性公告》。</w:t>
      </w:r>
    </w:p>
    <w:p>
      <w:pPr>
        <w:pStyle w:val="BodyText"/>
        <w:spacing w:line="357" w:lineRule="auto"/>
        <w:ind w:right="109" w:firstLine="480"/>
        <w:jc w:val="left"/>
      </w:pPr>
      <w:r>
        <w:rPr>
          <w:rFonts w:ascii="宋体" w:hAnsi="宋体" w:cs="宋体" w:eastAsia="宋体" w:hint="default"/>
        </w:rPr>
        <w:t>3</w:t>
      </w:r>
      <w:r>
        <w:rPr/>
        <w:t>、北京数字政通科技股份有限公司于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日召开第二届董事会第二十六次 </w:t>
      </w:r>
      <w:r>
        <w:rPr>
          <w:spacing w:val="-8"/>
        </w:rPr>
        <w:t>会议，审议通过了了《关于首期股票期权激励计划预留股票期权第一个行权期可行权的议案》，</w:t>
      </w:r>
      <w:r>
        <w:rPr>
          <w:spacing w:val="-105"/>
        </w:rPr>
        <w:t> </w:t>
      </w:r>
      <w:r>
        <w:rPr>
          <w:spacing w:val="-105"/>
        </w:rPr>
      </w:r>
      <w:r>
        <w:rPr/>
        <w:t>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日公告了《关于股票期权激励计划预留股票期权第一个行权期采用自主 行权模式的提示性公告》。</w:t>
      </w:r>
    </w:p>
    <w:p>
      <w:pPr>
        <w:spacing w:before="47"/>
        <w:ind w:left="153" w:right="95"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0"/>
        <w:ind w:left="633" w:right="95"/>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日，公司已完成</w:t>
      </w:r>
      <w:r>
        <w:rPr>
          <w:spacing w:val="-60"/>
        </w:rPr>
        <w:t> </w:t>
      </w:r>
      <w:r>
        <w:rPr>
          <w:rFonts w:ascii="宋体" w:hAnsi="宋体" w:cs="宋体" w:eastAsia="宋体" w:hint="default"/>
        </w:rPr>
        <w:t>2013</w:t>
      </w:r>
      <w:r>
        <w:rPr>
          <w:rFonts w:ascii="宋体" w:hAnsi="宋体" w:cs="宋体" w:eastAsia="宋体" w:hint="default"/>
          <w:spacing w:val="-60"/>
        </w:rPr>
        <w:t> </w:t>
      </w:r>
      <w:r>
        <w:rPr/>
        <w:t>年度权益分派。公司总股本由</w:t>
      </w:r>
      <w:r>
        <w:rPr>
          <w:spacing w:val="-60"/>
        </w:rPr>
        <w:t> </w:t>
      </w:r>
      <w:r>
        <w:rPr>
          <w:rFonts w:ascii="宋体" w:hAnsi="宋体" w:cs="宋体" w:eastAsia="宋体" w:hint="default"/>
        </w:rPr>
        <w:t>126,000,000</w:t>
      </w:r>
      <w:r>
        <w:rPr>
          <w:rFonts w:ascii="宋体" w:hAnsi="宋体" w:cs="宋体" w:eastAsia="宋体" w:hint="default"/>
          <w:spacing w:val="-60"/>
        </w:rPr>
        <w:t> </w:t>
      </w:r>
      <w:r>
        <w:rPr/>
        <w:t>股</w:t>
      </w:r>
    </w:p>
    <w:p>
      <w:pPr>
        <w:pStyle w:val="BodyText"/>
        <w:spacing w:line="357" w:lineRule="auto" w:before="154"/>
        <w:ind w:left="633" w:right="95" w:hanging="480"/>
        <w:jc w:val="left"/>
      </w:pPr>
      <w:r>
        <w:rPr/>
        <w:t>增加至</w:t>
      </w:r>
      <w:r>
        <w:rPr>
          <w:spacing w:val="-60"/>
        </w:rPr>
        <w:t> </w:t>
      </w:r>
      <w:r>
        <w:rPr>
          <w:rFonts w:ascii="宋体" w:hAnsi="宋体" w:cs="宋体" w:eastAsia="宋体" w:hint="default"/>
        </w:rPr>
        <w:t>189,000,000</w:t>
      </w:r>
      <w:r>
        <w:rPr>
          <w:rFonts w:ascii="宋体" w:hAnsi="宋体" w:cs="宋体" w:eastAsia="宋体" w:hint="default"/>
          <w:spacing w:val="-60"/>
        </w:rPr>
        <w:t> </w:t>
      </w:r>
      <w:r>
        <w:rPr/>
        <w:t>股。上述资本公积转增股份已过户登记。 </w:t>
      </w:r>
      <w:r>
        <w:rPr>
          <w:rFonts w:ascii="宋体" w:hAnsi="宋体" w:cs="宋体" w:eastAsia="宋体" w:hint="default"/>
          <w:spacing w:val="-3"/>
        </w:rPr>
        <w:t>2</w:t>
      </w:r>
      <w:r>
        <w:rPr>
          <w:spacing w:val="-3"/>
        </w:rPr>
        <w:t>、公司第一期股票期权和预留股权期权第一次行权采用自主行权模式，本次行权造成的</w:t>
      </w:r>
    </w:p>
    <w:p>
      <w:pPr>
        <w:pStyle w:val="BodyText"/>
        <w:spacing w:line="357" w:lineRule="auto"/>
        <w:ind w:right="253"/>
        <w:jc w:val="left"/>
      </w:pPr>
      <w:r>
        <w:rPr/>
        <w:t>变动情况均已在中国登记结算深圳分公司办理了相关登记手续，相关工商登记手续也已办理 完成。</w:t>
      </w:r>
    </w:p>
    <w:p>
      <w:pPr>
        <w:spacing w:line="240" w:lineRule="auto" w:before="6"/>
        <w:rPr>
          <w:rFonts w:ascii="宋体" w:hAnsi="宋体" w:cs="宋体" w:eastAsia="宋体" w:hint="default"/>
          <w:sz w:val="27"/>
          <w:szCs w:val="27"/>
        </w:rPr>
      </w:pPr>
    </w:p>
    <w:p>
      <w:pPr>
        <w:spacing w:before="0"/>
        <w:ind w:left="153" w:right="95"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30"/>
        <w:ind w:left="633" w:right="95"/>
        <w:jc w:val="left"/>
      </w:pPr>
      <w:r>
        <w:rPr/>
        <w:t>因权益分派和股权激励自主行权的原因，截止</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33</w:t>
      </w:r>
      <w:r>
        <w:rPr>
          <w:rFonts w:ascii="宋体" w:hAnsi="宋体" w:cs="宋体" w:eastAsia="宋体" w:hint="default"/>
          <w:spacing w:val="-60"/>
        </w:rPr>
        <w:t> </w:t>
      </w:r>
      <w:r>
        <w:rPr/>
        <w:t>日，公司总股份为</w:t>
      </w:r>
    </w:p>
    <w:p>
      <w:pPr>
        <w:pStyle w:val="BodyText"/>
        <w:spacing w:line="240" w:lineRule="auto" w:before="154"/>
        <w:ind w:right="95"/>
        <w:jc w:val="left"/>
      </w:pPr>
      <w:r>
        <w:rPr>
          <w:rFonts w:ascii="宋体" w:hAnsi="宋体" w:cs="宋体" w:eastAsia="宋体" w:hint="default"/>
        </w:rPr>
        <w:t>190,142,800</w:t>
      </w:r>
      <w:r>
        <w:rPr>
          <w:rFonts w:ascii="宋体" w:hAnsi="宋体" w:cs="宋体" w:eastAsia="宋体" w:hint="default"/>
          <w:spacing w:val="-60"/>
        </w:rPr>
        <w:t> </w:t>
      </w:r>
      <w:r>
        <w:rPr/>
        <w:t>股，基本每股收益、稀释每股收益、扣除非经常性损益后的基本每股收益等各</w:t>
      </w:r>
    </w:p>
    <w:p>
      <w:pPr>
        <w:pStyle w:val="BodyText"/>
        <w:spacing w:line="240" w:lineRule="auto" w:before="154"/>
        <w:ind w:right="95"/>
        <w:jc w:val="left"/>
      </w:pPr>
      <w:r>
        <w:rPr/>
        <w:t>项数据，按</w:t>
      </w:r>
      <w:r>
        <w:rPr>
          <w:spacing w:val="-60"/>
        </w:rPr>
        <w:t> </w:t>
      </w:r>
      <w:r>
        <w:rPr>
          <w:rFonts w:ascii="宋体" w:hAnsi="宋体" w:cs="宋体" w:eastAsia="宋体" w:hint="default"/>
        </w:rPr>
        <w:t>190,142,800</w:t>
      </w:r>
      <w:r>
        <w:rPr>
          <w:rFonts w:ascii="宋体" w:hAnsi="宋体" w:cs="宋体" w:eastAsia="宋体" w:hint="default"/>
          <w:spacing w:val="-60"/>
        </w:rPr>
        <w:t> </w:t>
      </w:r>
      <w:r>
        <w:rPr/>
        <w:t>股为基数计算。</w:t>
      </w:r>
    </w:p>
    <w:p>
      <w:pPr>
        <w:spacing w:before="165"/>
        <w:ind w:left="154" w:right="95"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限售股份变动情况" w:id="78"/>
      <w:bookmarkEnd w:id="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31,012,703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15,506,352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46,519,055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7,093,950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3,040,724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9,122,173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3,238,208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3,676,062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2,890,636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1,098,443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 已解禁，每年解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48,428,886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22,552,442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67,475,077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79"/>
      <w:bookmarkEnd w:id="7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证券发行情况" w:id="80"/>
      <w:bookmarkEnd w:id="8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股份总数及股东结构的变动、公司资产和负债结构的变动情况说明" w:id="81"/>
      <w:bookmarkEnd w:id="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left="0" w:right="230"/>
        <w:jc w:val="right"/>
      </w:pPr>
      <w:r>
        <w:rPr/>
        <w:t>公司</w:t>
      </w:r>
      <w:r>
        <w:rPr>
          <w:spacing w:val="-65"/>
        </w:rPr>
        <w:t> </w:t>
      </w:r>
      <w:r>
        <w:rPr>
          <w:rFonts w:ascii="宋体" w:hAnsi="宋体" w:cs="宋体" w:eastAsia="宋体" w:hint="default"/>
        </w:rPr>
        <w:t>2013</w:t>
      </w:r>
      <w:r>
        <w:rPr>
          <w:rFonts w:ascii="宋体" w:hAnsi="宋体" w:cs="宋体" w:eastAsia="宋体" w:hint="default"/>
          <w:spacing w:val="-65"/>
        </w:rPr>
        <w:t> </w:t>
      </w:r>
      <w:r>
        <w:rPr/>
        <w:t>年度股东大会审议通过《</w:t>
      </w:r>
      <w:r>
        <w:rPr>
          <w:rFonts w:ascii="宋体" w:hAnsi="宋体" w:cs="宋体" w:eastAsia="宋体" w:hint="default"/>
        </w:rPr>
        <w:t>2013</w:t>
      </w:r>
      <w:r>
        <w:rPr>
          <w:rFonts w:ascii="宋体" w:hAnsi="宋体" w:cs="宋体" w:eastAsia="宋体" w:hint="default"/>
          <w:spacing w:val="-65"/>
        </w:rPr>
        <w:t> </w:t>
      </w:r>
      <w:r>
        <w:rPr/>
        <w:t>年度利润分配方案》，确定</w:t>
      </w:r>
      <w:r>
        <w:rPr>
          <w:spacing w:val="-65"/>
        </w:rPr>
        <w:t> </w:t>
      </w:r>
      <w:r>
        <w:rPr>
          <w:rFonts w:ascii="宋体" w:hAnsi="宋体" w:cs="宋体" w:eastAsia="宋体" w:hint="default"/>
        </w:rPr>
        <w:t>2013</w:t>
      </w:r>
      <w:r>
        <w:rPr>
          <w:rFonts w:ascii="宋体" w:hAnsi="宋体" w:cs="宋体" w:eastAsia="宋体" w:hint="default"/>
          <w:spacing w:val="-65"/>
        </w:rPr>
        <w:t> </w:t>
      </w:r>
      <w:r>
        <w:rPr/>
        <w:t>年度利润分配</w:t>
      </w:r>
    </w:p>
    <w:p>
      <w:pPr>
        <w:pStyle w:val="BodyText"/>
        <w:spacing w:line="240" w:lineRule="auto" w:before="154"/>
        <w:ind w:right="95"/>
        <w:jc w:val="left"/>
      </w:pPr>
      <w:r>
        <w:rPr/>
        <w:t>方案为：以公司现有总股本</w:t>
      </w:r>
      <w:r>
        <w:rPr>
          <w:spacing w:val="-65"/>
        </w:rPr>
        <w:t> </w:t>
      </w:r>
      <w:r>
        <w:rPr>
          <w:rFonts w:ascii="宋体" w:hAnsi="宋体" w:cs="宋体" w:eastAsia="宋体" w:hint="default"/>
        </w:rPr>
        <w:t>126,000,000</w:t>
      </w:r>
      <w:r>
        <w:rPr>
          <w:rFonts w:ascii="宋体" w:hAnsi="宋体" w:cs="宋体" w:eastAsia="宋体" w:hint="default"/>
          <w:spacing w:val="-65"/>
        </w:rPr>
        <w:t> </w:t>
      </w:r>
      <w:r>
        <w:rPr/>
        <w:t>股为基数，向全体股东每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股派</w:t>
      </w:r>
      <w:r>
        <w:rPr>
          <w:spacing w:val="-65"/>
        </w:rPr>
        <w:t> </w:t>
      </w:r>
      <w:r>
        <w:rPr>
          <w:rFonts w:ascii="宋体" w:hAnsi="宋体" w:cs="宋体" w:eastAsia="宋体" w:hint="default"/>
        </w:rPr>
        <w:t>2</w:t>
      </w:r>
      <w:r>
        <w:rPr>
          <w:rFonts w:ascii="宋体" w:hAnsi="宋体" w:cs="宋体" w:eastAsia="宋体" w:hint="default"/>
          <w:spacing w:val="-65"/>
        </w:rPr>
        <w:t> </w:t>
      </w:r>
      <w:r>
        <w:rPr>
          <w:spacing w:val="-8"/>
        </w:rPr>
        <w:t>元（含税）；同</w:t>
      </w:r>
    </w:p>
    <w:p>
      <w:pPr>
        <w:pStyle w:val="BodyText"/>
        <w:spacing w:line="240" w:lineRule="auto" w:before="154"/>
        <w:ind w:right="95"/>
        <w:jc w:val="left"/>
      </w:pPr>
      <w:r>
        <w:rPr/>
        <w:t>时，以资本公积金向全体股东每</w:t>
      </w:r>
      <w:r>
        <w:rPr>
          <w:spacing w:val="-63"/>
        </w:rPr>
        <w:t> </w:t>
      </w:r>
      <w:r>
        <w:rPr>
          <w:rFonts w:ascii="宋体" w:hAnsi="宋体" w:cs="宋体" w:eastAsia="宋体" w:hint="default"/>
        </w:rPr>
        <w:t>10</w:t>
      </w:r>
      <w:r>
        <w:rPr>
          <w:rFonts w:ascii="宋体" w:hAnsi="宋体" w:cs="宋体" w:eastAsia="宋体" w:hint="default"/>
          <w:spacing w:val="-63"/>
        </w:rPr>
        <w:t> </w:t>
      </w:r>
      <w:r>
        <w:rPr/>
        <w:t>股转增</w:t>
      </w:r>
      <w:r>
        <w:rPr>
          <w:spacing w:val="-63"/>
        </w:rPr>
        <w:t> </w:t>
      </w:r>
      <w:r>
        <w:rPr>
          <w:rFonts w:ascii="宋体" w:hAnsi="宋体" w:cs="宋体" w:eastAsia="宋体" w:hint="default"/>
        </w:rPr>
        <w:t>5</w:t>
      </w:r>
      <w:r>
        <w:rPr>
          <w:rFonts w:ascii="宋体" w:hAnsi="宋体" w:cs="宋体" w:eastAsia="宋体" w:hint="default"/>
          <w:spacing w:val="-63"/>
        </w:rPr>
        <w:t> </w:t>
      </w:r>
      <w:r>
        <w:rPr>
          <w:spacing w:val="-3"/>
        </w:rPr>
        <w:t>股。分红前本公司总股本为</w:t>
      </w:r>
      <w:r>
        <w:rPr>
          <w:spacing w:val="-63"/>
        </w:rPr>
        <w:t> </w:t>
      </w:r>
      <w:r>
        <w:rPr>
          <w:rFonts w:ascii="宋体" w:hAnsi="宋体" w:cs="宋体" w:eastAsia="宋体" w:hint="default"/>
        </w:rPr>
        <w:t>126,000,000</w:t>
      </w:r>
      <w:r>
        <w:rPr>
          <w:rFonts w:ascii="宋体" w:hAnsi="宋体" w:cs="宋体" w:eastAsia="宋体" w:hint="default"/>
          <w:spacing w:val="-63"/>
        </w:rPr>
        <w:t> </w:t>
      </w:r>
      <w:r>
        <w:rPr>
          <w:spacing w:val="-10"/>
        </w:rPr>
        <w:t>股，分</w:t>
      </w:r>
    </w:p>
    <w:p>
      <w:pPr>
        <w:pStyle w:val="BodyText"/>
        <w:spacing w:line="240" w:lineRule="auto" w:before="154"/>
        <w:ind w:right="95"/>
        <w:jc w:val="left"/>
      </w:pPr>
      <w:r>
        <w:rPr/>
        <w:t>红后总股本增至</w:t>
      </w:r>
      <w:r>
        <w:rPr>
          <w:spacing w:val="-60"/>
        </w:rPr>
        <w:t> </w:t>
      </w:r>
      <w:r>
        <w:rPr>
          <w:rFonts w:ascii="宋体" w:hAnsi="宋体" w:cs="宋体" w:eastAsia="宋体" w:hint="default"/>
        </w:rPr>
        <w:t>189,000,000</w:t>
      </w:r>
      <w:r>
        <w:rPr>
          <w:rFonts w:ascii="宋体" w:hAnsi="宋体" w:cs="宋体" w:eastAsia="宋体" w:hint="default"/>
          <w:spacing w:val="-60"/>
        </w:rPr>
        <w:t> </w:t>
      </w:r>
      <w:r>
        <w:rPr/>
        <w:t>股。报告期内，公司股权激励计划累计行权</w:t>
      </w:r>
      <w:r>
        <w:rPr>
          <w:spacing w:val="-60"/>
        </w:rPr>
        <w:t> </w:t>
      </w:r>
      <w:r>
        <w:rPr>
          <w:rFonts w:ascii="宋体" w:hAnsi="宋体" w:cs="宋体" w:eastAsia="宋体" w:hint="default"/>
        </w:rPr>
        <w:t>1,142,800</w:t>
      </w:r>
      <w:r>
        <w:rPr>
          <w:rFonts w:ascii="宋体" w:hAnsi="宋体" w:cs="宋体" w:eastAsia="宋体" w:hint="default"/>
          <w:spacing w:val="-60"/>
        </w:rPr>
        <w:t> </w:t>
      </w:r>
      <w:r>
        <w:rPr/>
        <w:t>份，引</w:t>
      </w:r>
    </w:p>
    <w:p>
      <w:pPr>
        <w:pStyle w:val="BodyText"/>
        <w:spacing w:line="528" w:lineRule="auto" w:before="154"/>
        <w:ind w:right="101"/>
        <w:jc w:val="left"/>
        <w:rPr>
          <w:rFonts w:ascii="宋体" w:hAnsi="宋体" w:cs="宋体" w:eastAsia="宋体" w:hint="default"/>
        </w:rPr>
      </w:pPr>
      <w:r>
        <w:rPr/>
        <w:t>起公司股本数量增加</w:t>
      </w:r>
      <w:r>
        <w:rPr>
          <w:spacing w:val="-60"/>
        </w:rPr>
        <w:t> </w:t>
      </w:r>
      <w:r>
        <w:rPr>
          <w:rFonts w:ascii="宋体" w:hAnsi="宋体" w:cs="宋体" w:eastAsia="宋体" w:hint="default"/>
        </w:rPr>
        <w:t>1,142,800</w:t>
      </w:r>
      <w:r>
        <w:rPr>
          <w:rFonts w:ascii="宋体" w:hAnsi="宋体" w:cs="宋体" w:eastAsia="宋体" w:hint="default"/>
          <w:spacing w:val="-60"/>
        </w:rPr>
        <w:t> </w:t>
      </w:r>
      <w:r>
        <w:rPr>
          <w:spacing w:val="-26"/>
        </w:rPr>
        <w:t>股。截止</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13"/>
        </w:rPr>
        <w:t>日，公司总股本为</w:t>
      </w:r>
      <w:r>
        <w:rPr>
          <w:spacing w:val="-60"/>
        </w:rPr>
        <w:t> </w:t>
      </w:r>
      <w:r>
        <w:rPr>
          <w:rFonts w:ascii="宋体" w:hAnsi="宋体" w:cs="宋体" w:eastAsia="宋体" w:hint="default"/>
        </w:rPr>
        <w:t>190,142,800</w:t>
      </w:r>
      <w:r>
        <w:rPr>
          <w:rFonts w:ascii="宋体" w:hAnsi="宋体" w:cs="宋体" w:eastAsia="宋体" w:hint="default"/>
          <w:spacing w:val="-60"/>
        </w:rPr>
        <w:t> </w:t>
      </w:r>
      <w:r>
        <w:rPr/>
        <w:t>股。 </w:t>
      </w:r>
      <w:bookmarkStart w:name="三、股东和实际控制人情况" w:id="82"/>
      <w:bookmarkEnd w:id="82"/>
      <w:r>
        <w:rPr/>
      </w:r>
      <w:r>
        <w:rPr>
          <w:rFonts w:ascii="宋体" w:hAnsi="宋体" w:cs="宋体" w:eastAsia="宋体" w:hint="default"/>
          <w:b/>
          <w:bCs/>
        </w:rPr>
        <w:t>三、股东和实际控制人情况</w:t>
      </w:r>
      <w:r>
        <w:rPr>
          <w:rFonts w:ascii="宋体" w:hAnsi="宋体" w:cs="宋体" w:eastAsia="宋体" w:hint="default"/>
        </w:rPr>
      </w:r>
    </w:p>
    <w:p>
      <w:pPr>
        <w:spacing w:before="34"/>
        <w:ind w:left="153" w:right="95" w:firstLine="0"/>
        <w:jc w:val="left"/>
        <w:rPr>
          <w:rFonts w:ascii="宋体" w:hAnsi="宋体" w:cs="宋体" w:eastAsia="宋体" w:hint="default"/>
          <w:sz w:val="21"/>
          <w:szCs w:val="21"/>
        </w:rPr>
      </w:pPr>
      <w:bookmarkStart w:name="1、公司股东数量及持股情况" w:id="83"/>
      <w:bookmarkEnd w:id="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47"/>
        <w:gridCol w:w="1380"/>
        <w:gridCol w:w="882"/>
        <w:gridCol w:w="815"/>
        <w:gridCol w:w="803"/>
        <w:gridCol w:w="808"/>
        <w:gridCol w:w="862"/>
        <w:gridCol w:w="1149"/>
        <w:gridCol w:w="238"/>
        <w:gridCol w:w="1385"/>
      </w:tblGrid>
      <w:tr>
        <w:trPr>
          <w:trHeight w:val="40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9,579</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6,658</w:t>
            </w:r>
          </w:p>
        </w:tc>
      </w:tr>
      <w:tr>
        <w:trPr>
          <w:trHeight w:val="391"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7"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2"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8" w:right="4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0"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2"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8"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2"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62,025,40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20675136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46,519,05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15,506,35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8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4,460,000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10,662,89</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2554299</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9,122,173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1,540,725</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9"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－银河行业优 选股票型证券 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6,999,928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3019915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6,999,928</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中信银行股份 有限公司－银 河主题策略股 票型证券投资 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2719995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邵献军</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4,883,147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1627716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4,883,147</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4,701,416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1433805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3,676,062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1,025,354</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3,601,778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800592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3,151,333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450,445</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3,593,773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664591</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3,295,329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298,444</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2"/>
              <w:jc w:val="left"/>
              <w:rPr>
                <w:rFonts w:ascii="宋体" w:hAnsi="宋体" w:cs="宋体" w:eastAsia="宋体" w:hint="default"/>
                <w:sz w:val="18"/>
                <w:szCs w:val="18"/>
              </w:rPr>
            </w:pPr>
            <w:r>
              <w:rPr>
                <w:rFonts w:ascii="宋体" w:hAnsi="宋体" w:cs="宋体" w:eastAsia="宋体" w:hint="default"/>
                <w:sz w:val="18"/>
                <w:szCs w:val="18"/>
              </w:rPr>
              <w:t>东方证券股份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3,172,530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604570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3,172,530</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38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z w:val="18"/>
              </w:rPr>
              <w:t>3,015,823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930474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3,015,823</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w:t>
            </w:r>
          </w:p>
        </w:tc>
        <w:tc>
          <w:tcPr>
            <w:tcW w:w="69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6"/>
        <w:rPr>
          <w:rFonts w:ascii="宋体" w:hAnsi="宋体" w:cs="宋体" w:eastAsia="宋体" w:hint="default"/>
          <w:sz w:val="28"/>
          <w:szCs w:val="28"/>
        </w:rPr>
      </w:pPr>
      <w:r>
        <w:rPr/>
        <w:pict>
          <v:shape style="position:absolute;margin-left:155.417007pt;margin-top:72.47998pt;width:379.5pt;height:33.25pt;mso-position-horizontal-relative:page;mso-position-vertical-relative:page;z-index:-74404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628"/>
        <w:gridCol w:w="4169"/>
        <w:gridCol w:w="1388"/>
        <w:gridCol w:w="1385"/>
      </w:tblGrid>
      <w:tr>
        <w:trPr>
          <w:trHeight w:val="67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股成为前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名股东的情况</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41" w:type="dxa"/>
            <w:gridSpan w:val="3"/>
            <w:tcBorders>
              <w:top w:val="single" w:sz="4" w:space="0" w:color="000000"/>
              <w:left w:val="single" w:sz="13" w:space="0" w:color="D2D2D2"/>
              <w:bottom w:val="single" w:sz="4" w:space="0" w:color="000000"/>
              <w:right w:val="single" w:sz="4" w:space="0" w:color="000000"/>
            </w:tcBorders>
          </w:tcPr>
          <w:p>
            <w:pPr>
              <w:pStyle w:val="TableParagraph"/>
              <w:spacing w:line="664" w:lineRule="exact"/>
              <w:ind w:left="-6" w:right="-50"/>
              <w:jc w:val="left"/>
              <w:rPr>
                <w:rFonts w:ascii="宋体" w:hAnsi="宋体" w:cs="宋体" w:eastAsia="宋体" w:hint="default"/>
                <w:sz w:val="20"/>
                <w:szCs w:val="20"/>
              </w:rPr>
            </w:pPr>
            <w:r>
              <w:rPr>
                <w:rFonts w:ascii="宋体" w:hAnsi="宋体" w:cs="宋体" w:eastAsia="宋体" w:hint="default"/>
                <w:position w:val="-12"/>
                <w:sz w:val="20"/>
                <w:szCs w:val="20"/>
              </w:rPr>
              <w:pict>
                <v:group style="width:346.3pt;height:33.25pt;mso-position-horizontal-relative:char;mso-position-vertical-relative:line" coordorigin="0,0" coordsize="6926,665">
                  <v:group style="position:absolute;left:0;top:0;width:6926;height:665" coordorigin="0,0" coordsize="6926,665">
                    <v:shape style="position:absolute;left:0;top:0;width:6926;height:665" coordorigin="0,0" coordsize="6926,665" path="m0,665l6926,665,6926,0,0,0,0,665xe" filled="true" fillcolor="#ffffff" stroked="false">
                      <v:path arrowok="t"/>
                      <v:fill type="solid"/>
                    </v:shape>
                  </v:group>
                </v:group>
              </w:pict>
            </w:r>
            <w:r>
              <w:rPr>
                <w:rFonts w:ascii="宋体" w:hAnsi="宋体" w:cs="宋体" w:eastAsia="宋体" w:hint="default"/>
                <w:position w:val="-12"/>
                <w:sz w:val="20"/>
                <w:szCs w:val="20"/>
              </w:rPr>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1" w:type="dxa"/>
            <w:gridSpan w:val="3"/>
            <w:tcBorders>
              <w:top w:val="single" w:sz="4" w:space="0" w:color="000000"/>
              <w:left w:val="single" w:sz="13" w:space="0" w:color="D2D2D2"/>
              <w:bottom w:val="single" w:sz="4" w:space="0" w:color="000000"/>
              <w:right w:val="single" w:sz="4" w:space="0" w:color="000000"/>
            </w:tcBorders>
          </w:tcPr>
          <w:p>
            <w:pPr>
              <w:pStyle w:val="TableParagraph"/>
              <w:spacing w:line="316" w:lineRule="auto" w:before="51"/>
              <w:ind w:left="17" w:right="61"/>
              <w:jc w:val="left"/>
              <w:rPr>
                <w:rFonts w:ascii="宋体" w:hAnsi="宋体" w:cs="宋体" w:eastAsia="宋体" w:hint="default"/>
                <w:sz w:val="18"/>
                <w:szCs w:val="18"/>
              </w:rPr>
            </w:pPr>
            <w:r>
              <w:rPr>
                <w:rFonts w:ascii="宋体" w:hAnsi="宋体" w:cs="宋体" w:eastAsia="宋体" w:hint="default"/>
                <w:sz w:val="18"/>
                <w:szCs w:val="18"/>
              </w:rPr>
              <w:t>上述股东之间，未知是否存在关联关系或属于《上市公司股东持股变动信息披露管理办 法》规定的一致行动人。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2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6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28" w:type="dxa"/>
            <w:vMerge/>
            <w:tcBorders>
              <w:left w:val="single" w:sz="4" w:space="0" w:color="000000"/>
              <w:bottom w:val="nil" w:sz="6" w:space="0" w:color="auto"/>
              <w:right w:val="single" w:sz="4" w:space="0" w:color="000000"/>
            </w:tcBorders>
            <w:shd w:val="clear" w:color="auto" w:fill="D2D2D2"/>
          </w:tcPr>
          <w:p>
            <w:pPr/>
          </w:p>
        </w:tc>
        <w:tc>
          <w:tcPr>
            <w:tcW w:w="4169" w:type="dxa"/>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tcBorders>
              <w:top w:val="nil" w:sz="6" w:space="0" w:color="auto"/>
              <w:left w:val="single" w:sz="4" w:space="0" w:color="000000"/>
              <w:bottom w:val="single" w:sz="4" w:space="0" w:color="000000"/>
              <w:right w:val="single" w:sz="4" w:space="0" w:color="000000"/>
            </w:tcBorders>
            <w:shd w:val="clear" w:color="auto" w:fill="D2D2D2"/>
          </w:tcPr>
          <w:p>
            <w:pPr/>
          </w:p>
        </w:tc>
        <w:tc>
          <w:tcPr>
            <w:tcW w:w="41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15,506,352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15,506,352</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中国建设银行股份有限公司－银 河行业优选股票型证券投资基金</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6,999,928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6,999,928</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中信银行股份有限公司－银河主 题策略股票型证券投资基金</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邵献军</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4,883,147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4,883,147</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3,172,530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3,172,530</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3,015,823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3,015,823</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中国建设银行－上投摩根双息平 衡混合型证券投资基金</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2,843,454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2,843,454</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陈睿</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2,799,995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2,799,995</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中国银行－景顺长城鼎益股票型 开放式证券投资基金</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2,328,959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2,328,959</w:t>
            </w:r>
          </w:p>
        </w:tc>
      </w:tr>
      <w:tr>
        <w:trPr>
          <w:trHeight w:val="40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银丰证券投资基金</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2,324,904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2,324,904</w:t>
            </w:r>
          </w:p>
        </w:tc>
      </w:tr>
      <w:tr>
        <w:trPr>
          <w:trHeight w:val="1338"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61"/>
              <w:jc w:val="left"/>
              <w:rPr>
                <w:rFonts w:ascii="宋体" w:hAnsi="宋体" w:cs="宋体" w:eastAsia="宋体" w:hint="default"/>
                <w:sz w:val="18"/>
                <w:szCs w:val="18"/>
              </w:rPr>
            </w:pPr>
            <w:r>
              <w:rPr>
                <w:rFonts w:ascii="宋体" w:hAnsi="宋体" w:cs="宋体" w:eastAsia="宋体" w:hint="default"/>
                <w:sz w:val="18"/>
                <w:szCs w:val="18"/>
              </w:rPr>
              <w:t>上述股东之间，未知是否存在关联关系或属于《上市公司股东持股变动信息披露管理办 法》规定的一致行动人。</w:t>
            </w:r>
          </w:p>
        </w:tc>
      </w:tr>
      <w:tr>
        <w:trPr>
          <w:trHeight w:val="714" w:hRule="exact"/>
        </w:trPr>
        <w:tc>
          <w:tcPr>
            <w:tcW w:w="2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38" w:lineRule="auto" w:before="117"/>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公司股东在报告期内未进行约定购回交易。</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公司控股股东情况" w:id="84"/>
      <w:bookmarkEnd w:id="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吴强华先生，中国国籍，无境外居留权。</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年毕业于北京林业大学，研究生 </w:t>
            </w:r>
            <w:r>
              <w:rPr>
                <w:rFonts w:ascii="宋体" w:hAnsi="宋体" w:cs="宋体" w:eastAsia="宋体" w:hint="default"/>
                <w:spacing w:val="-4"/>
                <w:sz w:val="18"/>
                <w:szCs w:val="18"/>
              </w:rPr>
              <w:t>学历，地理信息和测绘专业教授级高级工程师。</w:t>
            </w:r>
            <w:r>
              <w:rPr>
                <w:rFonts w:ascii="Times New Roman" w:hAnsi="Times New Roman" w:cs="Times New Roman" w:eastAsia="Times New Roman" w:hint="default"/>
                <w:spacing w:val="-4"/>
                <w:sz w:val="18"/>
                <w:szCs w:val="18"/>
              </w:rPr>
              <w:t>1994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年担任北京建设</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6"/>
          <w:szCs w:val="26"/>
        </w:rPr>
      </w:pPr>
    </w:p>
    <w:p>
      <w:pPr>
        <w:spacing w:before="44"/>
        <w:ind w:left="0" w:right="160" w:firstLine="0"/>
        <w:jc w:val="right"/>
        <w:rPr>
          <w:rFonts w:ascii="宋体" w:hAnsi="宋体" w:cs="宋体" w:eastAsia="宋体" w:hint="default"/>
          <w:sz w:val="18"/>
          <w:szCs w:val="18"/>
        </w:rPr>
      </w:pPr>
      <w:r>
        <w:rPr/>
        <w:pict>
          <v:shape style="position:absolute;margin-left:56.459999pt;margin-top:1.191743pt;width:479.2pt;height:54.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6234"/>
                  </w:tblGrid>
                  <w:tr>
                    <w:trPr>
                      <w:trHeight w:val="67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12"/>
                          <w:jc w:val="left"/>
                          <w:rPr>
                            <w:rFonts w:ascii="宋体" w:hAnsi="宋体" w:cs="宋体" w:eastAsia="宋体" w:hint="default"/>
                            <w:sz w:val="18"/>
                            <w:szCs w:val="18"/>
                          </w:rPr>
                        </w:pPr>
                        <w:r>
                          <w:rPr>
                            <w:rFonts w:ascii="宋体" w:hAnsi="宋体" w:cs="宋体" w:eastAsia="宋体" w:hint="default"/>
                            <w:spacing w:val="-3"/>
                            <w:sz w:val="18"/>
                            <w:szCs w:val="18"/>
                          </w:rPr>
                          <w:t>电子信息工程公司研发工程师、技术部经理，</w:t>
                        </w:r>
                        <w:r>
                          <w:rPr>
                            <w:rFonts w:ascii="Times New Roman" w:hAnsi="Times New Roman" w:cs="Times New Roman" w:eastAsia="Times New Roman" w:hint="default"/>
                            <w:spacing w:val="-3"/>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年加入数字政通，历任总裁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董事长，现任本公司董事长。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公司实际控制人情况" w:id="85"/>
      <w:bookmarkEnd w:id="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2"/>
              <w:jc w:val="both"/>
              <w:rPr>
                <w:rFonts w:ascii="宋体" w:hAnsi="宋体" w:cs="宋体" w:eastAsia="宋体" w:hint="default"/>
                <w:sz w:val="18"/>
                <w:szCs w:val="18"/>
              </w:rPr>
            </w:pPr>
            <w:r>
              <w:rPr>
                <w:rFonts w:ascii="宋体" w:hAnsi="宋体" w:cs="宋体" w:eastAsia="宋体" w:hint="default"/>
                <w:spacing w:val="-3"/>
                <w:sz w:val="18"/>
                <w:szCs w:val="18"/>
              </w:rPr>
              <w:t>吴强华先生，中国国籍，无境外居留权。</w:t>
            </w:r>
            <w:r>
              <w:rPr>
                <w:rFonts w:ascii="Times New Roman" w:hAnsi="Times New Roman" w:cs="Times New Roman" w:eastAsia="Times New Roman" w:hint="default"/>
                <w:spacing w:val="-3"/>
                <w:sz w:val="18"/>
                <w:szCs w:val="18"/>
              </w:rPr>
              <w:t>1994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年毕业于北京林业大学，研究生 学历，地理信息和测绘专业教授级高级工程师。</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年担任北京建 设电子信息工程公司研发工程师、技术部经理，</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年加入数字政通，历任总</w:t>
            </w:r>
            <w:r>
              <w:rPr>
                <w:rFonts w:ascii="宋体" w:hAnsi="宋体" w:cs="宋体" w:eastAsia="宋体" w:hint="default"/>
                <w:sz w:val="18"/>
                <w:szCs w:val="18"/>
              </w:rPr>
              <w:t> 裁、董事长，现任本公司董事长。</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5"/>
        <w:rPr>
          <w:rFonts w:ascii="宋体" w:hAnsi="宋体" w:cs="宋体" w:eastAsia="宋体" w:hint="default"/>
          <w:sz w:val="16"/>
          <w:szCs w:val="16"/>
        </w:rPr>
      </w:pPr>
    </w:p>
    <w:p>
      <w:pPr>
        <w:spacing w:line="5235" w:lineRule="exact"/>
        <w:ind w:left="1356"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4591835" cy="33242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4591835" cy="3324225"/>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2"/>
        <w:rPr>
          <w:rFonts w:ascii="宋体" w:hAnsi="宋体" w:cs="宋体" w:eastAsia="宋体" w:hint="default"/>
          <w:sz w:val="15"/>
          <w:szCs w:val="15"/>
        </w:rPr>
      </w:pPr>
    </w:p>
    <w:p>
      <w:pPr>
        <w:pStyle w:val="BodyText"/>
        <w:spacing w:line="240" w:lineRule="auto" w:before="0"/>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4、其他持股在10%以上的法人股东" w:id="86"/>
      <w:bookmarkEnd w:id="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前10吊限售条件股东持股数量及限售条件" w:id="87"/>
      <w:bookmarkEnd w:id="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、前</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名限售条件股东持股数量及限售条件</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46,519,055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15,506,352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9,122,173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3,040,724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3,676,062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1,225,354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3,151,333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3,295,329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高管锁定股，每年解锁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第七节 董事、监事、高级管理人员和员工情况" w:id="88"/>
      <w:bookmarkEnd w:id="88"/>
      <w:r>
        <w:rPr>
          <w:b w:val="0"/>
          <w:bCs w:val="0"/>
        </w:rPr>
      </w:r>
      <w:bookmarkStart w:name="_bookmark6" w:id="89"/>
      <w:bookmarkEnd w:id="89"/>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0"/>
      <w:bookmarkEnd w:id="90"/>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持股情况" w:id="91"/>
      <w:bookmarkEnd w:id="9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5"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41,350,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271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20,675,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136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62,025,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407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55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副董 事长； 总裁</w:t>
            </w:r>
          </w:p>
        </w:tc>
        <w:tc>
          <w:tcPr>
            <w:tcW w:w="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10,662,</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898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公积金 转股、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3,267,61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公积金 转股、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公积金 转股、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副总</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公积金 转股、 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公积金 转股、 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9"/>
              <w:jc w:val="left"/>
              <w:rPr>
                <w:rFonts w:ascii="宋体" w:hAnsi="宋体" w:cs="宋体" w:eastAsia="宋体" w:hint="default"/>
                <w:sz w:val="18"/>
                <w:szCs w:val="18"/>
              </w:rPr>
            </w:pPr>
            <w:r>
              <w:rPr>
                <w:rFonts w:ascii="宋体" w:hAnsi="宋体" w:cs="宋体" w:eastAsia="宋体" w:hint="default"/>
                <w:sz w:val="18"/>
                <w:szCs w:val="18"/>
              </w:rPr>
              <w:t>公积金 转股、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9"/>
              <w:jc w:val="right"/>
              <w:rPr>
                <w:rFonts w:ascii="宋体" w:hAnsi="宋体" w:cs="宋体" w:eastAsia="宋体" w:hint="default"/>
                <w:sz w:val="18"/>
                <w:szCs w:val="18"/>
              </w:rPr>
            </w:pPr>
            <w:r>
              <w:rPr>
                <w:rFonts w:ascii="宋体" w:hAnsi="宋体" w:cs="宋体" w:eastAsia="宋体" w:hint="default"/>
                <w:sz w:val="18"/>
                <w:szCs w:val="18"/>
              </w:rPr>
              <w:t>减持</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许菲</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董事 会秘 </w:t>
            </w:r>
            <w:r>
              <w:rPr>
                <w:rFonts w:ascii="宋体" w:hAnsi="宋体" w:cs="宋体" w:eastAsia="宋体" w:hint="default"/>
                <w:spacing w:val="-13"/>
                <w:sz w:val="18"/>
                <w:szCs w:val="18"/>
              </w:rPr>
              <w:t>书；副</w:t>
            </w:r>
            <w:r>
              <w:rPr>
                <w:rFonts w:ascii="宋体" w:hAnsi="宋体" w:cs="宋体" w:eastAsia="宋体" w:hint="default"/>
                <w:sz w:val="18"/>
                <w:szCs w:val="18"/>
              </w:rPr>
              <w:t> 总裁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财务 负责 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股票期 权行权</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股票期 权行权</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55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59,896,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849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28,448,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423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86,724,</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672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持有股票期权情况" w:id="92"/>
      <w:bookmarkEnd w:id="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、持有股票期权情况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0" w:right="159" w:firstLine="0"/>
        <w:jc w:val="right"/>
        <w:rPr>
          <w:rFonts w:ascii="宋体" w:hAnsi="宋体" w:cs="宋体" w:eastAsia="宋体" w:hint="default"/>
          <w:sz w:val="18"/>
          <w:szCs w:val="18"/>
        </w:rPr>
      </w:pPr>
      <w:r>
        <w:rPr/>
        <w:pict>
          <v:shape style="position:absolute;margin-left:56.459999pt;margin-top:-24.298286pt;width:479.2pt;height:112.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7"/>
                    <w:gridCol w:w="1198"/>
                    <w:gridCol w:w="1197"/>
                    <w:gridCol w:w="1198"/>
                    <w:gridCol w:w="1196"/>
                  </w:tblGrid>
                  <w:tr>
                    <w:trPr>
                      <w:trHeight w:val="1026"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2"/>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67,500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121,500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left="154" w:right="0"/>
        <w:jc w:val="left"/>
        <w:rPr>
          <w:b w:val="0"/>
          <w:bCs w:val="0"/>
        </w:rPr>
      </w:pPr>
      <w:bookmarkStart w:name="二、任职情况" w:id="93"/>
      <w:bookmarkEnd w:id="9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30"/>
        <w:ind w:left="634" w:right="0"/>
        <w:jc w:val="left"/>
      </w:pPr>
      <w:r>
        <w:rPr>
          <w:rFonts w:ascii="宋体" w:hAnsi="宋体" w:cs="宋体" w:eastAsia="宋体" w:hint="default"/>
        </w:rPr>
        <w:t>1</w:t>
      </w:r>
      <w:r>
        <w:rPr/>
        <w:t>、公司现任董事</w:t>
      </w:r>
    </w:p>
    <w:p>
      <w:pPr>
        <w:pStyle w:val="BodyText"/>
        <w:spacing w:line="357" w:lineRule="auto" w:before="154"/>
        <w:ind w:right="134" w:firstLine="480"/>
        <w:jc w:val="left"/>
      </w:pPr>
      <w:r>
        <w:rPr>
          <w:spacing w:val="-3"/>
        </w:rPr>
        <w:t>吴强华先生，男，</w:t>
      </w:r>
      <w:r>
        <w:rPr>
          <w:rFonts w:ascii="宋体" w:hAnsi="宋体" w:cs="宋体" w:eastAsia="宋体" w:hint="default"/>
          <w:spacing w:val="-3"/>
        </w:rPr>
        <w:t>45</w:t>
      </w:r>
      <w:r>
        <w:rPr>
          <w:rFonts w:ascii="宋体" w:hAnsi="宋体" w:cs="宋体" w:eastAsia="宋体" w:hint="default"/>
          <w:spacing w:val="-62"/>
        </w:rPr>
        <w:t> </w:t>
      </w:r>
      <w:r>
        <w:rPr>
          <w:spacing w:val="-3"/>
        </w:rPr>
        <w:t>岁，中国国籍，无境外居留权。</w:t>
      </w:r>
      <w:r>
        <w:rPr>
          <w:rFonts w:ascii="宋体" w:hAnsi="宋体" w:cs="宋体" w:eastAsia="宋体" w:hint="default"/>
          <w:spacing w:val="-3"/>
        </w:rPr>
        <w:t>1994</w:t>
      </w:r>
      <w:r>
        <w:rPr>
          <w:rFonts w:ascii="宋体" w:hAnsi="宋体" w:cs="宋体" w:eastAsia="宋体" w:hint="default"/>
          <w:spacing w:val="-60"/>
        </w:rPr>
        <w:t> </w:t>
      </w:r>
      <w:r>
        <w:rPr/>
        <w:t>年毕业于北京林业大学，研究 生学历，地理信息和测绘专业教授级高级工程师。</w:t>
      </w:r>
      <w:r>
        <w:rPr>
          <w:rFonts w:ascii="宋体" w:hAnsi="宋体" w:cs="宋体" w:eastAsia="宋体" w:hint="default"/>
        </w:rPr>
        <w:t>1994</w:t>
      </w:r>
      <w:r>
        <w:rPr>
          <w:rFonts w:ascii="宋体" w:hAnsi="宋体" w:cs="宋体" w:eastAsia="宋体" w:hint="default"/>
          <w:spacing w:val="-60"/>
        </w:rPr>
        <w:t> </w:t>
      </w:r>
      <w:r>
        <w:rPr/>
        <w:t>年至</w:t>
      </w:r>
      <w:r>
        <w:rPr>
          <w:spacing w:val="-60"/>
        </w:rPr>
        <w:t> </w:t>
      </w:r>
      <w:r>
        <w:rPr>
          <w:rFonts w:ascii="宋体" w:hAnsi="宋体" w:cs="宋体" w:eastAsia="宋体" w:hint="default"/>
        </w:rPr>
        <w:t>2002</w:t>
      </w:r>
      <w:r>
        <w:rPr>
          <w:rFonts w:ascii="宋体" w:hAnsi="宋体" w:cs="宋体" w:eastAsia="宋体" w:hint="default"/>
          <w:spacing w:val="-60"/>
        </w:rPr>
        <w:t> </w:t>
      </w:r>
      <w:r>
        <w:rPr/>
        <w:t>年担任北京建设电子信息 工程公司研发工程师、技术部经理，</w:t>
      </w:r>
      <w:r>
        <w:rPr>
          <w:rFonts w:ascii="宋体" w:hAnsi="宋体" w:cs="宋体" w:eastAsia="宋体" w:hint="default"/>
        </w:rPr>
        <w:t>2003</w:t>
      </w:r>
      <w:r>
        <w:rPr>
          <w:rFonts w:ascii="宋体" w:hAnsi="宋体" w:cs="宋体" w:eastAsia="宋体" w:hint="default"/>
          <w:spacing w:val="-81"/>
        </w:rPr>
        <w:t> </w:t>
      </w:r>
      <w:r>
        <w:rPr/>
        <w:t>年加入数字政通，历任总裁、董事长，现任本公司 董事长。</w:t>
      </w:r>
    </w:p>
    <w:p>
      <w:pPr>
        <w:pStyle w:val="BodyText"/>
        <w:spacing w:line="357" w:lineRule="auto"/>
        <w:ind w:right="137" w:firstLine="480"/>
        <w:jc w:val="left"/>
      </w:pPr>
      <w:r>
        <w:rPr>
          <w:spacing w:val="-4"/>
        </w:rPr>
        <w:t>许欣，男，</w:t>
      </w:r>
      <w:r>
        <w:rPr>
          <w:rFonts w:ascii="宋体" w:hAnsi="宋体" w:cs="宋体" w:eastAsia="宋体" w:hint="default"/>
          <w:spacing w:val="-4"/>
        </w:rPr>
        <w:t>48</w:t>
      </w:r>
      <w:r>
        <w:rPr>
          <w:rFonts w:ascii="宋体" w:hAnsi="宋体" w:cs="宋体" w:eastAsia="宋体" w:hint="default"/>
          <w:spacing w:val="-61"/>
        </w:rPr>
        <w:t> </w:t>
      </w:r>
      <w:r>
        <w:rPr>
          <w:spacing w:val="-3"/>
        </w:rPr>
        <w:t>岁，中国国籍，无境外居留权，</w:t>
      </w:r>
      <w:r>
        <w:rPr>
          <w:rFonts w:ascii="宋体" w:hAnsi="宋体" w:cs="宋体" w:eastAsia="宋体" w:hint="default"/>
          <w:spacing w:val="-3"/>
        </w:rPr>
        <w:t>1989</w:t>
      </w:r>
      <w:r>
        <w:rPr>
          <w:rFonts w:ascii="宋体" w:hAnsi="宋体" w:cs="宋体" w:eastAsia="宋体" w:hint="default"/>
          <w:spacing w:val="-61"/>
        </w:rPr>
        <w:t> </w:t>
      </w:r>
      <w:r>
        <w:rPr/>
        <w:t>年毕业于北京工业大学，大学本科学 历。</w:t>
      </w:r>
      <w:r>
        <w:rPr>
          <w:rFonts w:ascii="宋体" w:hAnsi="宋体" w:cs="宋体" w:eastAsia="宋体" w:hint="default"/>
        </w:rPr>
        <w:t>1989 </w:t>
      </w:r>
      <w:r>
        <w:rPr/>
        <w:t>年至</w:t>
      </w:r>
      <w:r>
        <w:rPr>
          <w:spacing w:val="-60"/>
        </w:rPr>
        <w:t> </w:t>
      </w:r>
      <w:r>
        <w:rPr>
          <w:rFonts w:ascii="宋体" w:hAnsi="宋体" w:cs="宋体" w:eastAsia="宋体" w:hint="default"/>
        </w:rPr>
        <w:t>1993 </w:t>
      </w:r>
      <w:r>
        <w:rPr/>
        <w:t>年担任建设部信息中心工程师；</w:t>
      </w:r>
      <w:r>
        <w:rPr>
          <w:rFonts w:ascii="宋体" w:hAnsi="宋体" w:cs="宋体" w:eastAsia="宋体" w:hint="default"/>
        </w:rPr>
        <w:t>1993</w:t>
      </w:r>
      <w:r>
        <w:rPr>
          <w:rFonts w:ascii="宋体" w:hAnsi="宋体" w:cs="宋体" w:eastAsia="宋体" w:hint="default"/>
          <w:spacing w:val="-60"/>
        </w:rPr>
        <w:t> </w:t>
      </w:r>
      <w:r>
        <w:rPr/>
        <w:t>年至</w:t>
      </w:r>
      <w:r>
        <w:rPr>
          <w:spacing w:val="-60"/>
        </w:rPr>
        <w:t> </w:t>
      </w:r>
      <w:r>
        <w:rPr>
          <w:rFonts w:ascii="宋体" w:hAnsi="宋体" w:cs="宋体" w:eastAsia="宋体" w:hint="default"/>
        </w:rPr>
        <w:t>2002</w:t>
      </w:r>
      <w:r>
        <w:rPr>
          <w:rFonts w:ascii="宋体" w:hAnsi="宋体" w:cs="宋体" w:eastAsia="宋体" w:hint="default"/>
          <w:spacing w:val="-60"/>
        </w:rPr>
        <w:t> </w:t>
      </w:r>
      <w:r>
        <w:rPr/>
        <w:t>年担任北京建设电子信</w:t>
      </w:r>
    </w:p>
    <w:p>
      <w:pPr>
        <w:spacing w:after="0" w:line="357"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16"/>
        <w:jc w:val="left"/>
      </w:pPr>
      <w:r>
        <w:rPr/>
        <w:t>息工程公司市场部经理和规管事业部副经理；</w:t>
      </w:r>
      <w:r>
        <w:rPr>
          <w:rFonts w:ascii="宋体" w:hAnsi="宋体" w:cs="宋体" w:eastAsia="宋体" w:hint="default"/>
        </w:rPr>
        <w:t>2003</w:t>
      </w:r>
      <w:r>
        <w:rPr>
          <w:rFonts w:ascii="宋体" w:hAnsi="宋体" w:cs="宋体" w:eastAsia="宋体" w:hint="default"/>
          <w:spacing w:val="-11"/>
        </w:rPr>
        <w:t> </w:t>
      </w:r>
      <w:r>
        <w:rPr>
          <w:spacing w:val="-4"/>
        </w:rPr>
        <w:t>年加入有限公司，历任销售总监、副董事</w:t>
      </w:r>
      <w:r>
        <w:rPr/>
        <w:t> 长，现任本公司总裁、副董事长。</w:t>
      </w:r>
    </w:p>
    <w:p>
      <w:pPr>
        <w:pStyle w:val="BodyText"/>
        <w:spacing w:line="357" w:lineRule="auto"/>
        <w:ind w:right="95" w:firstLine="480"/>
        <w:jc w:val="left"/>
      </w:pPr>
      <w:r>
        <w:rPr>
          <w:spacing w:val="-10"/>
        </w:rPr>
        <w:t>朱华，男，</w:t>
      </w:r>
      <w:r>
        <w:rPr>
          <w:rFonts w:ascii="宋体" w:hAnsi="宋体" w:cs="宋体" w:eastAsia="宋体" w:hint="default"/>
          <w:spacing w:val="-10"/>
        </w:rPr>
        <w:t>40</w:t>
      </w:r>
      <w:r>
        <w:rPr>
          <w:rFonts w:ascii="宋体" w:hAnsi="宋体" w:cs="宋体" w:eastAsia="宋体" w:hint="default"/>
          <w:spacing w:val="-72"/>
        </w:rPr>
        <w:t> </w:t>
      </w:r>
      <w:r>
        <w:rPr>
          <w:spacing w:val="-6"/>
        </w:rPr>
        <w:t>岁，中国国籍，无境外居留权，</w:t>
      </w:r>
      <w:r>
        <w:rPr>
          <w:rFonts w:ascii="宋体" w:hAnsi="宋体" w:cs="宋体" w:eastAsia="宋体" w:hint="default"/>
          <w:spacing w:val="-6"/>
        </w:rPr>
        <w:t>2000</w:t>
      </w:r>
      <w:r>
        <w:rPr>
          <w:rFonts w:ascii="宋体" w:hAnsi="宋体" w:cs="宋体" w:eastAsia="宋体" w:hint="default"/>
          <w:spacing w:val="-72"/>
        </w:rPr>
        <w:t> </w:t>
      </w:r>
      <w:r>
        <w:rPr/>
        <w:t>年毕业于北京理工大学，研究生学历。 </w:t>
      </w:r>
      <w:r>
        <w:rPr>
          <w:rFonts w:ascii="宋体" w:hAnsi="宋体" w:cs="宋体" w:eastAsia="宋体" w:hint="default"/>
        </w:rPr>
        <w:t>2000</w:t>
      </w:r>
      <w:r>
        <w:rPr>
          <w:rFonts w:ascii="宋体" w:hAnsi="宋体" w:cs="宋体" w:eastAsia="宋体" w:hint="default"/>
          <w:spacing w:val="-64"/>
        </w:rPr>
        <w:t> </w:t>
      </w:r>
      <w:r>
        <w:rPr/>
        <w:t>年至</w:t>
      </w:r>
      <w:r>
        <w:rPr>
          <w:spacing w:val="-64"/>
        </w:rPr>
        <w:t> </w:t>
      </w:r>
      <w:r>
        <w:rPr>
          <w:rFonts w:ascii="宋体" w:hAnsi="宋体" w:cs="宋体" w:eastAsia="宋体" w:hint="default"/>
        </w:rPr>
        <w:t>2002</w:t>
      </w:r>
      <w:r>
        <w:rPr>
          <w:rFonts w:ascii="宋体" w:hAnsi="宋体" w:cs="宋体" w:eastAsia="宋体" w:hint="default"/>
          <w:spacing w:val="-64"/>
        </w:rPr>
        <w:t> </w:t>
      </w:r>
      <w:r>
        <w:rPr/>
        <w:t>年担任北京建设数字科技有限责任公司项目经理；</w:t>
      </w:r>
      <w:r>
        <w:rPr>
          <w:rFonts w:ascii="宋体" w:hAnsi="宋体" w:cs="宋体" w:eastAsia="宋体" w:hint="default"/>
        </w:rPr>
        <w:t>2002</w:t>
      </w:r>
      <w:r>
        <w:rPr>
          <w:rFonts w:ascii="宋体" w:hAnsi="宋体" w:cs="宋体" w:eastAsia="宋体" w:hint="default"/>
          <w:spacing w:val="-7"/>
        </w:rPr>
        <w:t> </w:t>
      </w:r>
      <w:r>
        <w:rPr/>
        <w:t>年加入有限公司，历 任工程部经理、规划和国土事业部副总经理、规划和国土事业部总经理。现任公司董事、副 总裁。</w:t>
      </w:r>
    </w:p>
    <w:p>
      <w:pPr>
        <w:pStyle w:val="BodyText"/>
        <w:spacing w:line="357" w:lineRule="auto"/>
        <w:ind w:right="219" w:firstLine="480"/>
        <w:jc w:val="left"/>
      </w:pPr>
      <w:r>
        <w:rPr>
          <w:spacing w:val="-5"/>
        </w:rPr>
        <w:t>李国忠，男，</w:t>
      </w:r>
      <w:r>
        <w:rPr>
          <w:rFonts w:ascii="宋体" w:hAnsi="宋体" w:cs="宋体" w:eastAsia="宋体" w:hint="default"/>
          <w:spacing w:val="-5"/>
        </w:rPr>
        <w:t>40</w:t>
      </w:r>
      <w:r>
        <w:rPr>
          <w:rFonts w:ascii="宋体" w:hAnsi="宋体" w:cs="宋体" w:eastAsia="宋体" w:hint="default"/>
          <w:spacing w:val="-56"/>
        </w:rPr>
        <w:t> </w:t>
      </w:r>
      <w:r>
        <w:rPr>
          <w:spacing w:val="-3"/>
        </w:rPr>
        <w:t>岁，中国国籍，无境外居留权，</w:t>
      </w:r>
      <w:r>
        <w:rPr>
          <w:rFonts w:ascii="宋体" w:hAnsi="宋体" w:cs="宋体" w:eastAsia="宋体" w:hint="default"/>
          <w:spacing w:val="-3"/>
        </w:rPr>
        <w:t>1999</w:t>
      </w:r>
      <w:r>
        <w:rPr>
          <w:rFonts w:ascii="宋体" w:hAnsi="宋体" w:cs="宋体" w:eastAsia="宋体" w:hint="default"/>
          <w:spacing w:val="-56"/>
        </w:rPr>
        <w:t> </w:t>
      </w:r>
      <w:r>
        <w:rPr/>
        <w:t>年毕业于北京工业大学半导体器件 与微电子学专业，硕士学历。</w:t>
      </w:r>
      <w:r>
        <w:rPr>
          <w:rFonts w:ascii="宋体" w:hAnsi="宋体" w:cs="宋体" w:eastAsia="宋体" w:hint="default"/>
        </w:rPr>
        <w:t>1999</w:t>
      </w:r>
      <w:r>
        <w:rPr>
          <w:rFonts w:ascii="宋体" w:hAnsi="宋体" w:cs="宋体" w:eastAsia="宋体" w:hint="default"/>
          <w:spacing w:val="-60"/>
        </w:rPr>
        <w:t> </w:t>
      </w:r>
      <w:r>
        <w:rPr/>
        <w:t>年至</w:t>
      </w:r>
      <w:r>
        <w:rPr>
          <w:spacing w:val="-60"/>
        </w:rPr>
        <w:t> </w:t>
      </w:r>
      <w:r>
        <w:rPr>
          <w:rFonts w:ascii="宋体" w:hAnsi="宋体" w:cs="宋体" w:eastAsia="宋体" w:hint="default"/>
        </w:rPr>
        <w:t>2002</w:t>
      </w:r>
      <w:r>
        <w:rPr>
          <w:rFonts w:ascii="宋体" w:hAnsi="宋体" w:cs="宋体" w:eastAsia="宋体" w:hint="default"/>
          <w:spacing w:val="-60"/>
        </w:rPr>
        <w:t> </w:t>
      </w:r>
      <w:r>
        <w:rPr/>
        <w:t>年担任北京建设数字科技有限责任公司研发工 程师，</w:t>
      </w:r>
      <w:r>
        <w:rPr>
          <w:rFonts w:ascii="宋体" w:hAnsi="宋体" w:cs="宋体" w:eastAsia="宋体" w:hint="default"/>
        </w:rPr>
        <w:t>2002</w:t>
      </w:r>
      <w:r>
        <w:rPr>
          <w:rFonts w:ascii="宋体" w:hAnsi="宋体" w:cs="宋体" w:eastAsia="宋体" w:hint="default"/>
          <w:spacing w:val="-60"/>
        </w:rPr>
        <w:t> </w:t>
      </w:r>
      <w:r>
        <w:rPr/>
        <w:t>年至</w:t>
      </w:r>
      <w:r>
        <w:rPr>
          <w:spacing w:val="-60"/>
        </w:rPr>
        <w:t> </w:t>
      </w:r>
      <w:r>
        <w:rPr>
          <w:rFonts w:ascii="宋体" w:hAnsi="宋体" w:cs="宋体" w:eastAsia="宋体" w:hint="default"/>
        </w:rPr>
        <w:t>2004</w:t>
      </w:r>
      <w:r>
        <w:rPr>
          <w:rFonts w:ascii="宋体" w:hAnsi="宋体" w:cs="宋体" w:eastAsia="宋体" w:hint="default"/>
          <w:spacing w:val="-60"/>
        </w:rPr>
        <w:t> </w:t>
      </w:r>
      <w:r>
        <w:rPr/>
        <w:t>年担任公司高级研发工程师，</w:t>
      </w:r>
      <w:r>
        <w:rPr>
          <w:rFonts w:ascii="宋体" w:hAnsi="宋体" w:cs="宋体" w:eastAsia="宋体" w:hint="default"/>
        </w:rPr>
        <w:t>2004</w:t>
      </w:r>
      <w:r>
        <w:rPr>
          <w:rFonts w:ascii="宋体" w:hAnsi="宋体" w:cs="宋体" w:eastAsia="宋体" w:hint="default"/>
          <w:spacing w:val="-60"/>
        </w:rPr>
        <w:t> </w:t>
      </w:r>
      <w:r>
        <w:rPr/>
        <w:t>年至今担任公司规划和国土事业部 规划业务研发经理。现任公司董事、规划和国土事业部规划业务研发经理。</w:t>
      </w:r>
    </w:p>
    <w:p>
      <w:pPr>
        <w:pStyle w:val="BodyText"/>
        <w:spacing w:line="357" w:lineRule="auto"/>
        <w:ind w:right="113" w:firstLine="480"/>
        <w:jc w:val="both"/>
      </w:pPr>
      <w:r>
        <w:rPr/>
        <w:t>王洪深，男，</w:t>
      </w:r>
      <w:r>
        <w:rPr>
          <w:rFonts w:ascii="宋体" w:hAnsi="宋体" w:cs="宋体" w:eastAsia="宋体" w:hint="default"/>
        </w:rPr>
        <w:t>38</w:t>
      </w:r>
      <w:r>
        <w:rPr>
          <w:rFonts w:ascii="宋体" w:hAnsi="宋体" w:cs="宋体" w:eastAsia="宋体" w:hint="default"/>
          <w:spacing w:val="-60"/>
        </w:rPr>
        <w:t> </w:t>
      </w:r>
      <w:r>
        <w:rPr/>
        <w:t>岁，中国国籍，无境外居留权，</w:t>
      </w:r>
      <w:r>
        <w:rPr>
          <w:rFonts w:ascii="宋体" w:hAnsi="宋体" w:cs="宋体" w:eastAsia="宋体" w:hint="default"/>
        </w:rPr>
        <w:t>2002</w:t>
      </w:r>
      <w:r>
        <w:rPr>
          <w:rFonts w:ascii="宋体" w:hAnsi="宋体" w:cs="宋体" w:eastAsia="宋体" w:hint="default"/>
          <w:spacing w:val="-60"/>
        </w:rPr>
        <w:t> </w:t>
      </w:r>
      <w:r>
        <w:rPr/>
        <w:t>年毕业于清华大学，研究生学历。 </w:t>
      </w:r>
      <w:r>
        <w:rPr>
          <w:rFonts w:ascii="宋体" w:hAnsi="宋体" w:cs="宋体" w:eastAsia="宋体" w:hint="default"/>
        </w:rPr>
        <w:t>2002</w:t>
      </w:r>
      <w:r>
        <w:rPr>
          <w:rFonts w:ascii="宋体" w:hAnsi="宋体" w:cs="宋体" w:eastAsia="宋体" w:hint="default"/>
          <w:spacing w:val="-50"/>
        </w:rPr>
        <w:t> </w:t>
      </w:r>
      <w:r>
        <w:rPr>
          <w:spacing w:val="-4"/>
        </w:rPr>
        <w:t>年加入有限公司，历任研发组组长、研发部经理、数字城管事业部副总经理、技术总监。</w:t>
      </w:r>
      <w:r>
        <w:rPr/>
        <w:t> 现任公司副总裁、技术总监。</w:t>
      </w:r>
    </w:p>
    <w:p>
      <w:pPr>
        <w:pStyle w:val="BodyText"/>
        <w:spacing w:line="357" w:lineRule="auto"/>
        <w:ind w:right="231" w:firstLine="480"/>
        <w:jc w:val="both"/>
      </w:pPr>
      <w:r>
        <w:rPr>
          <w:spacing w:val="-4"/>
        </w:rPr>
        <w:t>胡环宇，男，</w:t>
      </w:r>
      <w:r>
        <w:rPr>
          <w:rFonts w:ascii="宋体" w:hAnsi="宋体" w:cs="宋体" w:eastAsia="宋体" w:hint="default"/>
          <w:spacing w:val="-4"/>
        </w:rPr>
        <w:t>36</w:t>
      </w:r>
      <w:r>
        <w:rPr>
          <w:rFonts w:ascii="宋体" w:hAnsi="宋体" w:cs="宋体" w:eastAsia="宋体" w:hint="default"/>
          <w:spacing w:val="-59"/>
        </w:rPr>
        <w:t> </w:t>
      </w:r>
      <w:r>
        <w:rPr>
          <w:spacing w:val="-3"/>
        </w:rPr>
        <w:t>岁，中国国籍，无境外居留权，</w:t>
      </w:r>
      <w:r>
        <w:rPr>
          <w:rFonts w:ascii="宋体" w:hAnsi="宋体" w:cs="宋体" w:eastAsia="宋体" w:hint="default"/>
          <w:spacing w:val="-3"/>
        </w:rPr>
        <w:t>2004</w:t>
      </w:r>
      <w:r>
        <w:rPr>
          <w:rFonts w:ascii="宋体" w:hAnsi="宋体" w:cs="宋体" w:eastAsia="宋体" w:hint="default"/>
          <w:spacing w:val="-59"/>
        </w:rPr>
        <w:t> </w:t>
      </w:r>
      <w:r>
        <w:rPr/>
        <w:t>年毕业于北京科技大学，研究生学 历。</w:t>
      </w:r>
      <w:r>
        <w:rPr>
          <w:rFonts w:ascii="宋体" w:hAnsi="宋体" w:cs="宋体" w:eastAsia="宋体" w:hint="default"/>
        </w:rPr>
        <w:t>2004</w:t>
      </w:r>
      <w:r>
        <w:rPr>
          <w:rFonts w:ascii="宋体" w:hAnsi="宋体" w:cs="宋体" w:eastAsia="宋体" w:hint="default"/>
          <w:spacing w:val="-81"/>
        </w:rPr>
        <w:t> </w:t>
      </w:r>
      <w:r>
        <w:rPr/>
        <w:t>年加入有限公司，历任数字城管事业部工程部项目经理、数字城管事业部工程部经 理、数字城管事业部副总经理、数字城管事业部总经理。现任公司副总裁、数字城管事业部 总经理。</w:t>
      </w:r>
    </w:p>
    <w:p>
      <w:pPr>
        <w:pStyle w:val="BodyText"/>
        <w:spacing w:line="357" w:lineRule="auto"/>
        <w:ind w:right="216" w:firstLine="480"/>
        <w:jc w:val="left"/>
      </w:pPr>
      <w:r>
        <w:rPr>
          <w:spacing w:val="-5"/>
        </w:rPr>
        <w:t>邵建平，男，</w:t>
      </w:r>
      <w:r>
        <w:rPr>
          <w:rFonts w:ascii="宋体" w:hAnsi="宋体" w:cs="宋体" w:eastAsia="宋体" w:hint="default"/>
          <w:spacing w:val="-5"/>
        </w:rPr>
        <w:t>61</w:t>
      </w:r>
      <w:r>
        <w:rPr>
          <w:rFonts w:ascii="宋体" w:hAnsi="宋体" w:cs="宋体" w:eastAsia="宋体" w:hint="default"/>
          <w:spacing w:val="-56"/>
        </w:rPr>
        <w:t> </w:t>
      </w:r>
      <w:r>
        <w:rPr>
          <w:spacing w:val="-3"/>
        </w:rPr>
        <w:t>岁，中国国籍，无境外居留权，</w:t>
      </w:r>
      <w:r>
        <w:rPr>
          <w:rFonts w:ascii="宋体" w:hAnsi="宋体" w:cs="宋体" w:eastAsia="宋体" w:hint="default"/>
          <w:spacing w:val="-3"/>
        </w:rPr>
        <w:t>1977</w:t>
      </w:r>
      <w:r>
        <w:rPr>
          <w:rFonts w:ascii="宋体" w:hAnsi="宋体" w:cs="宋体" w:eastAsia="宋体" w:hint="default"/>
          <w:spacing w:val="-56"/>
        </w:rPr>
        <w:t> </w:t>
      </w:r>
      <w:r>
        <w:rPr/>
        <w:t>年毕业于清华大学电子工程系计算 机专业，大学本科学历。</w:t>
      </w:r>
      <w:r>
        <w:rPr>
          <w:rFonts w:ascii="宋体" w:hAnsi="宋体" w:cs="宋体" w:eastAsia="宋体" w:hint="default"/>
        </w:rPr>
        <w:t>1977</w:t>
      </w:r>
      <w:r>
        <w:rPr>
          <w:rFonts w:ascii="宋体" w:hAnsi="宋体" w:cs="宋体" w:eastAsia="宋体" w:hint="default"/>
          <w:spacing w:val="-60"/>
        </w:rPr>
        <w:t> </w:t>
      </w:r>
      <w:r>
        <w:rPr/>
        <w:t>年至</w:t>
      </w:r>
      <w:r>
        <w:rPr>
          <w:spacing w:val="-60"/>
        </w:rPr>
        <w:t> </w:t>
      </w:r>
      <w:r>
        <w:rPr>
          <w:rFonts w:ascii="宋体" w:hAnsi="宋体" w:cs="宋体" w:eastAsia="宋体" w:hint="default"/>
        </w:rPr>
        <w:t>1985 </w:t>
      </w:r>
      <w:r>
        <w:rPr/>
        <w:t>年担任北京计算机三厂厂长助理职务； </w:t>
      </w:r>
      <w:r>
        <w:rPr>
          <w:rFonts w:ascii="宋体" w:hAnsi="宋体" w:cs="宋体" w:eastAsia="宋体" w:hint="default"/>
        </w:rPr>
        <w:t>1985</w:t>
      </w:r>
      <w:r>
        <w:rPr>
          <w:rFonts w:ascii="宋体" w:hAnsi="宋体" w:cs="宋体" w:eastAsia="宋体" w:hint="default"/>
          <w:spacing w:val="-60"/>
        </w:rPr>
        <w:t> </w:t>
      </w:r>
      <w:r>
        <w:rPr/>
        <w:t>年至 </w:t>
      </w:r>
      <w:r>
        <w:rPr>
          <w:rFonts w:ascii="宋体" w:hAnsi="宋体" w:cs="宋体" w:eastAsia="宋体" w:hint="default"/>
        </w:rPr>
        <w:t>1988</w:t>
      </w:r>
      <w:r>
        <w:rPr>
          <w:rFonts w:ascii="宋体" w:hAnsi="宋体" w:cs="宋体" w:eastAsia="宋体" w:hint="default"/>
          <w:spacing w:val="-60"/>
        </w:rPr>
        <w:t> </w:t>
      </w:r>
      <w:r>
        <w:rPr/>
        <w:t>年担任日本</w:t>
      </w:r>
      <w:r>
        <w:rPr>
          <w:spacing w:val="-60"/>
        </w:rPr>
        <w:t> </w:t>
      </w:r>
      <w:r>
        <w:rPr>
          <w:rFonts w:ascii="宋体" w:hAnsi="宋体" w:cs="宋体" w:eastAsia="宋体" w:hint="default"/>
        </w:rPr>
        <w:t>DCL</w:t>
      </w:r>
      <w:r>
        <w:rPr>
          <w:rFonts w:ascii="宋体" w:hAnsi="宋体" w:cs="宋体" w:eastAsia="宋体" w:hint="default"/>
          <w:spacing w:val="-60"/>
        </w:rPr>
        <w:t> </w:t>
      </w:r>
      <w:r>
        <w:rPr/>
        <w:t>株式会社软件开发研修生职务；</w:t>
      </w:r>
      <w:r>
        <w:rPr>
          <w:rFonts w:ascii="宋体" w:hAnsi="宋体" w:cs="宋体" w:eastAsia="宋体" w:hint="default"/>
        </w:rPr>
        <w:t>1988</w:t>
      </w:r>
      <w:r>
        <w:rPr>
          <w:rFonts w:ascii="宋体" w:hAnsi="宋体" w:cs="宋体" w:eastAsia="宋体" w:hint="default"/>
          <w:spacing w:val="-60"/>
        </w:rPr>
        <w:t> </w:t>
      </w:r>
      <w:r>
        <w:rPr/>
        <w:t>年至</w:t>
      </w:r>
      <w:r>
        <w:rPr>
          <w:spacing w:val="-60"/>
        </w:rPr>
        <w:t> </w:t>
      </w:r>
      <w:r>
        <w:rPr>
          <w:rFonts w:ascii="宋体" w:hAnsi="宋体" w:cs="宋体" w:eastAsia="宋体" w:hint="default"/>
        </w:rPr>
        <w:t>1989</w:t>
      </w:r>
      <w:r>
        <w:rPr>
          <w:rFonts w:ascii="宋体" w:hAnsi="宋体" w:cs="宋体" w:eastAsia="宋体" w:hint="default"/>
          <w:spacing w:val="-60"/>
        </w:rPr>
        <w:t> </w:t>
      </w:r>
      <w:r>
        <w:rPr/>
        <w:t>年担任北京计算机三厂 </w:t>
      </w:r>
      <w:r>
        <w:rPr>
          <w:spacing w:val="-4"/>
        </w:rPr>
        <w:t>厂长助理职务；</w:t>
      </w:r>
      <w:r>
        <w:rPr>
          <w:rFonts w:ascii="宋体" w:hAnsi="宋体" w:cs="宋体" w:eastAsia="宋体" w:hint="default"/>
          <w:spacing w:val="-4"/>
        </w:rPr>
        <w:t>1989</w:t>
      </w:r>
      <w:r>
        <w:rPr>
          <w:rFonts w:ascii="宋体" w:hAnsi="宋体" w:cs="宋体" w:eastAsia="宋体" w:hint="default"/>
          <w:spacing w:val="-58"/>
        </w:rPr>
        <w:t> </w:t>
      </w:r>
      <w:r>
        <w:rPr/>
        <w:t>年至</w:t>
      </w:r>
      <w:r>
        <w:rPr>
          <w:spacing w:val="-58"/>
        </w:rPr>
        <w:t> </w:t>
      </w:r>
      <w:r>
        <w:rPr>
          <w:rFonts w:ascii="宋体" w:hAnsi="宋体" w:cs="宋体" w:eastAsia="宋体" w:hint="default"/>
        </w:rPr>
        <w:t>1990</w:t>
      </w:r>
      <w:r>
        <w:rPr>
          <w:rFonts w:ascii="宋体" w:hAnsi="宋体" w:cs="宋体" w:eastAsia="宋体" w:hint="default"/>
          <w:spacing w:val="-58"/>
        </w:rPr>
        <w:t> </w:t>
      </w:r>
      <w:r>
        <w:rPr>
          <w:spacing w:val="-3"/>
        </w:rPr>
        <w:t>年任职于京电香港有限公司；</w:t>
      </w:r>
      <w:r>
        <w:rPr>
          <w:rFonts w:ascii="宋体" w:hAnsi="宋体" w:cs="宋体" w:eastAsia="宋体" w:hint="default"/>
          <w:spacing w:val="-3"/>
        </w:rPr>
        <w:t>1990</w:t>
      </w:r>
      <w:r>
        <w:rPr>
          <w:rFonts w:ascii="宋体" w:hAnsi="宋体" w:cs="宋体" w:eastAsia="宋体" w:hint="default"/>
          <w:spacing w:val="-58"/>
        </w:rPr>
        <w:t> </w:t>
      </w:r>
      <w:r>
        <w:rPr/>
        <w:t>年至</w:t>
      </w:r>
      <w:r>
        <w:rPr>
          <w:spacing w:val="-58"/>
        </w:rPr>
        <w:t> </w:t>
      </w:r>
      <w:r>
        <w:rPr>
          <w:rFonts w:ascii="宋体" w:hAnsi="宋体" w:cs="宋体" w:eastAsia="宋体" w:hint="default"/>
        </w:rPr>
        <w:t>2001</w:t>
      </w:r>
      <w:r>
        <w:rPr>
          <w:rFonts w:ascii="宋体" w:hAnsi="宋体" w:cs="宋体" w:eastAsia="宋体" w:hint="default"/>
          <w:spacing w:val="-58"/>
        </w:rPr>
        <w:t> </w:t>
      </w:r>
      <w:r>
        <w:rPr/>
        <w:t>年担任北京计算 机三厂厂长助理职务；</w:t>
      </w:r>
      <w:r>
        <w:rPr>
          <w:rFonts w:ascii="宋体" w:hAnsi="宋体" w:cs="宋体" w:eastAsia="宋体" w:hint="default"/>
        </w:rPr>
        <w:t>2001 </w:t>
      </w:r>
      <w:r>
        <w:rPr/>
        <w:t>年至</w:t>
      </w:r>
      <w:r>
        <w:rPr>
          <w:spacing w:val="-60"/>
        </w:rPr>
        <w:t> </w:t>
      </w:r>
      <w:r>
        <w:rPr>
          <w:rFonts w:ascii="宋体" w:hAnsi="宋体" w:cs="宋体" w:eastAsia="宋体" w:hint="default"/>
        </w:rPr>
        <w:t>2006</w:t>
      </w:r>
      <w:r>
        <w:rPr>
          <w:rFonts w:ascii="宋体" w:hAnsi="宋体" w:cs="宋体" w:eastAsia="宋体" w:hint="default"/>
          <w:spacing w:val="-60"/>
        </w:rPr>
        <w:t> </w:t>
      </w:r>
      <w:r>
        <w:rPr/>
        <w:t>年担任首都信息发展股份有限公司副总裁职务；</w:t>
      </w:r>
      <w:r>
        <w:rPr>
          <w:rFonts w:ascii="宋体" w:hAnsi="宋体" w:cs="宋体" w:eastAsia="宋体" w:hint="default"/>
        </w:rPr>
        <w:t>2006 </w:t>
      </w:r>
      <w:r>
        <w:rPr/>
        <w:t>年至今担任首都信息发展股份有限公司顾问职务。现任公司独立董事。</w:t>
      </w:r>
    </w:p>
    <w:p>
      <w:pPr>
        <w:pStyle w:val="BodyText"/>
        <w:spacing w:line="357" w:lineRule="auto"/>
        <w:ind w:right="133" w:firstLine="480"/>
        <w:jc w:val="left"/>
      </w:pPr>
      <w:r>
        <w:rPr/>
        <w:t>秦其明，男，</w:t>
      </w:r>
      <w:r>
        <w:rPr>
          <w:rFonts w:ascii="宋体" w:hAnsi="宋体" w:cs="宋体" w:eastAsia="宋体" w:hint="default"/>
        </w:rPr>
        <w:t>59</w:t>
      </w:r>
      <w:r>
        <w:rPr>
          <w:rFonts w:ascii="宋体" w:hAnsi="宋体" w:cs="宋体" w:eastAsia="宋体" w:hint="default"/>
          <w:spacing w:val="-60"/>
        </w:rPr>
        <w:t> </w:t>
      </w:r>
      <w:r>
        <w:rPr/>
        <w:t>岁，中国国籍，无境外居留权，</w:t>
      </w:r>
      <w:r>
        <w:rPr>
          <w:rFonts w:ascii="宋体" w:hAnsi="宋体" w:cs="宋体" w:eastAsia="宋体" w:hint="default"/>
        </w:rPr>
        <w:t>1990</w:t>
      </w:r>
      <w:r>
        <w:rPr>
          <w:rFonts w:ascii="宋体" w:hAnsi="宋体" w:cs="宋体" w:eastAsia="宋体" w:hint="default"/>
          <w:spacing w:val="-60"/>
        </w:rPr>
        <w:t> </w:t>
      </w:r>
      <w:r>
        <w:rPr/>
        <w:t>年毕业于北京大学自然地理专业， 博士学历。</w:t>
      </w:r>
      <w:r>
        <w:rPr>
          <w:rFonts w:ascii="宋体" w:hAnsi="宋体" w:cs="宋体" w:eastAsia="宋体" w:hint="default"/>
        </w:rPr>
        <w:t>1997</w:t>
      </w:r>
      <w:r>
        <w:rPr>
          <w:rFonts w:ascii="宋体" w:hAnsi="宋体" w:cs="宋体" w:eastAsia="宋体" w:hint="default"/>
          <w:spacing w:val="-60"/>
        </w:rPr>
        <w:t> </w:t>
      </w:r>
      <w:r>
        <w:rPr/>
        <w:t>年至</w:t>
      </w:r>
      <w:r>
        <w:rPr>
          <w:spacing w:val="-60"/>
        </w:rPr>
        <w:t> </w:t>
      </w:r>
      <w:r>
        <w:rPr>
          <w:rFonts w:ascii="宋体" w:hAnsi="宋体" w:cs="宋体" w:eastAsia="宋体" w:hint="default"/>
        </w:rPr>
        <w:t>2001</w:t>
      </w:r>
      <w:r>
        <w:rPr>
          <w:rFonts w:ascii="宋体" w:hAnsi="宋体" w:cs="宋体" w:eastAsia="宋体" w:hint="default"/>
          <w:spacing w:val="-60"/>
        </w:rPr>
        <w:t> </w:t>
      </w:r>
      <w:r>
        <w:rPr/>
        <w:t>年担任北京大学遥感研究所副所长职务；</w:t>
      </w:r>
      <w:r>
        <w:rPr>
          <w:rFonts w:ascii="宋体" w:hAnsi="宋体" w:cs="宋体" w:eastAsia="宋体" w:hint="default"/>
        </w:rPr>
        <w:t>2001</w:t>
      </w:r>
      <w:r>
        <w:rPr>
          <w:rFonts w:ascii="宋体" w:hAnsi="宋体" w:cs="宋体" w:eastAsia="宋体" w:hint="default"/>
          <w:spacing w:val="-60"/>
        </w:rPr>
        <w:t> </w:t>
      </w:r>
      <w:r>
        <w:rPr/>
        <w:t>年至今担任北京大 学地球与空间学院副院长职务。现任公司独立董事。</w:t>
      </w:r>
    </w:p>
    <w:p>
      <w:pPr>
        <w:pStyle w:val="BodyText"/>
        <w:spacing w:line="357" w:lineRule="auto"/>
        <w:ind w:left="154" w:right="218" w:firstLine="480"/>
        <w:jc w:val="left"/>
      </w:pPr>
      <w:r>
        <w:rPr>
          <w:spacing w:val="-5"/>
        </w:rPr>
        <w:t>高文荣，女，</w:t>
      </w:r>
      <w:r>
        <w:rPr>
          <w:rFonts w:ascii="宋体" w:hAnsi="宋体" w:cs="宋体" w:eastAsia="宋体" w:hint="default"/>
          <w:spacing w:val="-5"/>
        </w:rPr>
        <w:t>41</w:t>
      </w:r>
      <w:r>
        <w:rPr>
          <w:rFonts w:ascii="宋体" w:hAnsi="宋体" w:cs="宋体" w:eastAsia="宋体" w:hint="default"/>
          <w:spacing w:val="-56"/>
        </w:rPr>
        <w:t> </w:t>
      </w:r>
      <w:r>
        <w:rPr>
          <w:spacing w:val="-3"/>
        </w:rPr>
        <w:t>岁，中国国籍，无境外居留权，</w:t>
      </w:r>
      <w:r>
        <w:rPr>
          <w:rFonts w:ascii="宋体" w:hAnsi="宋体" w:cs="宋体" w:eastAsia="宋体" w:hint="default"/>
          <w:spacing w:val="-3"/>
        </w:rPr>
        <w:t>1996</w:t>
      </w:r>
      <w:r>
        <w:rPr>
          <w:rFonts w:ascii="宋体" w:hAnsi="宋体" w:cs="宋体" w:eastAsia="宋体" w:hint="default"/>
          <w:spacing w:val="-56"/>
        </w:rPr>
        <w:t> </w:t>
      </w:r>
      <w:r>
        <w:rPr/>
        <w:t>年毕业于山西财经大学计划统计专 业，本科学历，注册会计师、注册评估师、注册税务师，</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月，历任</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53"/>
        <w:jc w:val="left"/>
      </w:pPr>
      <w:r>
        <w:rPr/>
        <w:t>山西煤炭气化公司统计员、山西华岳会计师事务所有限公司项目经理、中审会计师事务所有 限公司高级项目经理，现任中磊会计师事务所有限责任公司高级经理。现任公司独立董事。</w:t>
      </w:r>
    </w:p>
    <w:p>
      <w:pPr>
        <w:pStyle w:val="BodyText"/>
        <w:spacing w:line="240" w:lineRule="auto"/>
        <w:ind w:left="633" w:right="95"/>
        <w:jc w:val="left"/>
      </w:pPr>
      <w:r>
        <w:rPr>
          <w:rFonts w:ascii="宋体" w:hAnsi="宋体" w:cs="宋体" w:eastAsia="宋体" w:hint="default"/>
        </w:rPr>
        <w:t>2</w:t>
      </w:r>
      <w:r>
        <w:rPr/>
        <w:t>、公司现任监事</w:t>
      </w:r>
    </w:p>
    <w:p>
      <w:pPr>
        <w:pStyle w:val="BodyText"/>
        <w:spacing w:line="357" w:lineRule="auto" w:before="154"/>
        <w:ind w:right="269" w:firstLine="480"/>
        <w:jc w:val="both"/>
      </w:pPr>
      <w:r>
        <w:rPr/>
        <w:t>张蕾，女，</w:t>
      </w:r>
      <w:r>
        <w:rPr>
          <w:rFonts w:ascii="宋体" w:hAnsi="宋体" w:cs="宋体" w:eastAsia="宋体" w:hint="default"/>
        </w:rPr>
        <w:t>40</w:t>
      </w:r>
      <w:r>
        <w:rPr>
          <w:rFonts w:ascii="宋体" w:hAnsi="宋体" w:cs="宋体" w:eastAsia="宋体" w:hint="default"/>
          <w:spacing w:val="-60"/>
        </w:rPr>
        <w:t> </w:t>
      </w:r>
      <w:r>
        <w:rPr/>
        <w:t>岁，中国国籍，无境外居留权，</w:t>
      </w:r>
      <w:r>
        <w:rPr>
          <w:rFonts w:ascii="宋体" w:hAnsi="宋体" w:cs="宋体" w:eastAsia="宋体" w:hint="default"/>
        </w:rPr>
        <w:t>1998</w:t>
      </w:r>
      <w:r>
        <w:rPr>
          <w:rFonts w:ascii="宋体" w:hAnsi="宋体" w:cs="宋体" w:eastAsia="宋体" w:hint="default"/>
          <w:spacing w:val="-60"/>
        </w:rPr>
        <w:t> </w:t>
      </w:r>
      <w:r>
        <w:rPr/>
        <w:t>年毕业于西安交通大学， 研究生学 历。</w:t>
      </w:r>
      <w:r>
        <w:rPr>
          <w:rFonts w:ascii="宋体" w:hAnsi="宋体" w:cs="宋体" w:eastAsia="宋体" w:hint="default"/>
        </w:rPr>
        <w:t>1998</w:t>
      </w:r>
      <w:r>
        <w:rPr>
          <w:rFonts w:ascii="宋体" w:hAnsi="宋体" w:cs="宋体" w:eastAsia="宋体" w:hint="default"/>
          <w:spacing w:val="-60"/>
        </w:rPr>
        <w:t> </w:t>
      </w:r>
      <w:r>
        <w:rPr/>
        <w:t>年至</w:t>
      </w:r>
      <w:r>
        <w:rPr>
          <w:spacing w:val="-60"/>
        </w:rPr>
        <w:t> </w:t>
      </w:r>
      <w:r>
        <w:rPr>
          <w:rFonts w:ascii="宋体" w:hAnsi="宋体" w:cs="宋体" w:eastAsia="宋体" w:hint="default"/>
        </w:rPr>
        <w:t>2002</w:t>
      </w:r>
      <w:r>
        <w:rPr>
          <w:rFonts w:ascii="宋体" w:hAnsi="宋体" w:cs="宋体" w:eastAsia="宋体" w:hint="default"/>
          <w:spacing w:val="-60"/>
        </w:rPr>
        <w:t> </w:t>
      </w:r>
      <w:r>
        <w:rPr/>
        <w:t>年担任北京建设电子信息工程公司研发工程师，</w:t>
      </w:r>
      <w:r>
        <w:rPr>
          <w:rFonts w:ascii="宋体" w:hAnsi="宋体" w:cs="宋体" w:eastAsia="宋体" w:hint="default"/>
        </w:rPr>
        <w:t>2002</w:t>
      </w:r>
      <w:r>
        <w:rPr>
          <w:rFonts w:ascii="宋体" w:hAnsi="宋体" w:cs="宋体" w:eastAsia="宋体" w:hint="default"/>
          <w:spacing w:val="-60"/>
        </w:rPr>
        <w:t> </w:t>
      </w:r>
      <w:r>
        <w:rPr/>
        <w:t>年加入有限公司， 历任研发组长、研发经理。现任公司监事会主席、规划和国土事业部国土业务研发经理。</w:t>
      </w:r>
    </w:p>
    <w:p>
      <w:pPr>
        <w:pStyle w:val="BodyText"/>
        <w:spacing w:line="357" w:lineRule="auto"/>
        <w:ind w:right="232" w:firstLine="480"/>
        <w:jc w:val="both"/>
      </w:pPr>
      <w:r>
        <w:rPr>
          <w:spacing w:val="-5"/>
        </w:rPr>
        <w:t>幸帮艳，女，</w:t>
      </w:r>
      <w:r>
        <w:rPr>
          <w:rFonts w:ascii="宋体" w:hAnsi="宋体" w:cs="宋体" w:eastAsia="宋体" w:hint="default"/>
          <w:spacing w:val="-5"/>
        </w:rPr>
        <w:t>41</w:t>
      </w:r>
      <w:r>
        <w:rPr>
          <w:rFonts w:ascii="宋体" w:hAnsi="宋体" w:cs="宋体" w:eastAsia="宋体" w:hint="default"/>
          <w:spacing w:val="-56"/>
        </w:rPr>
        <w:t> </w:t>
      </w:r>
      <w:r>
        <w:rPr>
          <w:spacing w:val="-3"/>
        </w:rPr>
        <w:t>岁，中国国籍，无境外居留权，</w:t>
      </w:r>
      <w:r>
        <w:rPr>
          <w:rFonts w:ascii="宋体" w:hAnsi="宋体" w:cs="宋体" w:eastAsia="宋体" w:hint="default"/>
          <w:spacing w:val="-3"/>
        </w:rPr>
        <w:t>2003</w:t>
      </w:r>
      <w:r>
        <w:rPr>
          <w:rFonts w:ascii="宋体" w:hAnsi="宋体" w:cs="宋体" w:eastAsia="宋体" w:hint="default"/>
          <w:spacing w:val="-56"/>
        </w:rPr>
        <w:t> </w:t>
      </w:r>
      <w:r>
        <w:rPr/>
        <w:t>年至今在北京数字政通科技股份有 限公司任职财务工作。现任公司监事。</w:t>
      </w:r>
    </w:p>
    <w:p>
      <w:pPr>
        <w:pStyle w:val="BodyText"/>
        <w:spacing w:line="357" w:lineRule="auto"/>
        <w:ind w:right="229" w:firstLine="480"/>
        <w:jc w:val="both"/>
      </w:pPr>
      <w:r>
        <w:rPr>
          <w:spacing w:val="-4"/>
        </w:rPr>
        <w:t>许菲，男，</w:t>
      </w:r>
      <w:r>
        <w:rPr>
          <w:rFonts w:ascii="宋体" w:hAnsi="宋体" w:cs="宋体" w:eastAsia="宋体" w:hint="default"/>
          <w:spacing w:val="-4"/>
        </w:rPr>
        <w:t>28</w:t>
      </w:r>
      <w:r>
        <w:rPr>
          <w:rFonts w:ascii="宋体" w:hAnsi="宋体" w:cs="宋体" w:eastAsia="宋体" w:hint="default"/>
          <w:spacing w:val="-56"/>
        </w:rPr>
        <w:t> </w:t>
      </w:r>
      <w:r>
        <w:rPr>
          <w:spacing w:val="-3"/>
        </w:rPr>
        <w:t>岁，中国国籍，无境外永久居留权，本科学历。</w:t>
      </w:r>
      <w:r>
        <w:rPr>
          <w:rFonts w:ascii="宋体" w:hAnsi="宋体" w:cs="宋体" w:eastAsia="宋体" w:hint="default"/>
          <w:spacing w:val="-3"/>
        </w:rPr>
        <w:t>2012</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月至今就职于公 司证券事务部，担任证券事务代表。</w:t>
      </w:r>
    </w:p>
    <w:p>
      <w:pPr>
        <w:pStyle w:val="BodyText"/>
        <w:spacing w:line="357" w:lineRule="auto"/>
        <w:ind w:left="633" w:right="4333" w:firstLine="120"/>
        <w:jc w:val="left"/>
      </w:pPr>
      <w:r>
        <w:rPr>
          <w:rFonts w:ascii="宋体" w:hAnsi="宋体" w:cs="宋体" w:eastAsia="宋体" w:hint="default"/>
        </w:rPr>
        <w:t>3</w:t>
      </w:r>
      <w:r>
        <w:rPr/>
        <w:t>、公司现任高级管理人员 许欣，男，现任公司总裁，详见董事简历。 朱华，男，现任公司副总裁，详见董事简历。 胡环宇，男，现任公司副总裁，详见董事简历。 王洪深，男，现任公司副总裁，详见董事简历。</w:t>
      </w:r>
    </w:p>
    <w:p>
      <w:pPr>
        <w:pStyle w:val="BodyText"/>
        <w:spacing w:line="357" w:lineRule="auto"/>
        <w:ind w:left="154" w:right="232" w:firstLine="480"/>
        <w:jc w:val="both"/>
      </w:pPr>
      <w:r>
        <w:rPr/>
        <w:t>王东，男，</w:t>
      </w:r>
      <w:r>
        <w:rPr>
          <w:rFonts w:ascii="宋体" w:hAnsi="宋体" w:cs="宋体" w:eastAsia="宋体" w:hint="default"/>
        </w:rPr>
        <w:t>44</w:t>
      </w:r>
      <w:r>
        <w:rPr>
          <w:rFonts w:ascii="宋体" w:hAnsi="宋体" w:cs="宋体" w:eastAsia="宋体" w:hint="default"/>
          <w:spacing w:val="-82"/>
        </w:rPr>
        <w:t> </w:t>
      </w:r>
      <w:r>
        <w:rPr/>
        <w:t>岁，中国国籍，硕士学位。曾任立得空间信息技术股份有限公司北京公司 总经理，</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月加入本公司，现任公司副总裁。</w:t>
      </w:r>
    </w:p>
    <w:p>
      <w:pPr>
        <w:pStyle w:val="BodyText"/>
        <w:spacing w:line="357" w:lineRule="auto"/>
        <w:ind w:right="230" w:firstLine="480"/>
        <w:jc w:val="both"/>
      </w:pPr>
      <w:r>
        <w:rPr/>
        <w:t>邱鲁闽，</w:t>
      </w:r>
      <w:r>
        <w:rPr>
          <w:rFonts w:ascii="宋体" w:hAnsi="宋体" w:cs="宋体" w:eastAsia="宋体" w:hint="default"/>
        </w:rPr>
        <w:t>38</w:t>
      </w:r>
      <w:r>
        <w:rPr>
          <w:rFonts w:ascii="宋体" w:hAnsi="宋体" w:cs="宋体" w:eastAsia="宋体" w:hint="default"/>
          <w:spacing w:val="-60"/>
        </w:rPr>
        <w:t> </w:t>
      </w:r>
      <w:r>
        <w:rPr/>
        <w:t>岁，中国国籍，无境外居留权，</w:t>
      </w:r>
      <w:r>
        <w:rPr>
          <w:rFonts w:ascii="宋体" w:hAnsi="宋体" w:cs="宋体" w:eastAsia="宋体" w:hint="default"/>
        </w:rPr>
        <w:t>2002</w:t>
      </w:r>
      <w:r>
        <w:rPr>
          <w:rFonts w:ascii="宋体" w:hAnsi="宋体" w:cs="宋体" w:eastAsia="宋体" w:hint="default"/>
          <w:spacing w:val="-60"/>
        </w:rPr>
        <w:t> </w:t>
      </w:r>
      <w:r>
        <w:rPr/>
        <w:t>年毕业于清华大学， 研究生学历，曾 任北京华胜天成科技股份有限公司投资总监及董事会秘书，</w:t>
      </w: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2</w:t>
      </w:r>
      <w:r>
        <w:rPr>
          <w:rFonts w:ascii="宋体" w:hAnsi="宋体" w:cs="宋体" w:eastAsia="宋体" w:hint="default"/>
          <w:spacing w:val="-67"/>
        </w:rPr>
        <w:t> </w:t>
      </w:r>
      <w:r>
        <w:rPr/>
        <w:t>月加入本公司，现任公 司副总裁及董事会秘书。</w:t>
      </w:r>
    </w:p>
    <w:p>
      <w:pPr>
        <w:pStyle w:val="BodyText"/>
        <w:spacing w:line="357" w:lineRule="auto"/>
        <w:ind w:right="96" w:firstLine="480"/>
        <w:jc w:val="left"/>
      </w:pPr>
      <w:r>
        <w:rPr/>
        <w:t>殷小敏，女，</w:t>
      </w:r>
      <w:r>
        <w:rPr>
          <w:rFonts w:ascii="宋体" w:hAnsi="宋体" w:cs="宋体" w:eastAsia="宋体" w:hint="default"/>
        </w:rPr>
        <w:t>58</w:t>
      </w:r>
      <w:r>
        <w:rPr>
          <w:rFonts w:ascii="宋体" w:hAnsi="宋体" w:cs="宋体" w:eastAsia="宋体" w:hint="default"/>
          <w:spacing w:val="-60"/>
        </w:rPr>
        <w:t> </w:t>
      </w:r>
      <w:r>
        <w:rPr/>
        <w:t>岁，中国国籍，无境外居留权，</w:t>
      </w:r>
      <w:r>
        <w:rPr>
          <w:rFonts w:ascii="宋体" w:hAnsi="宋体" w:cs="宋体" w:eastAsia="宋体" w:hint="default"/>
        </w:rPr>
        <w:t>1986</w:t>
      </w:r>
      <w:r>
        <w:rPr>
          <w:rFonts w:ascii="宋体" w:hAnsi="宋体" w:cs="宋体" w:eastAsia="宋体" w:hint="default"/>
          <w:spacing w:val="-60"/>
        </w:rPr>
        <w:t> </w:t>
      </w:r>
      <w:r>
        <w:rPr/>
        <w:t>年毕业于北京广播电视大学， 专 科学历。</w:t>
      </w:r>
      <w:r>
        <w:rPr>
          <w:rFonts w:ascii="宋体" w:hAnsi="宋体" w:cs="宋体" w:eastAsia="宋体" w:hint="default"/>
        </w:rPr>
        <w:t>1981</w:t>
      </w:r>
      <w:r>
        <w:rPr>
          <w:rFonts w:ascii="宋体" w:hAnsi="宋体" w:cs="宋体" w:eastAsia="宋体" w:hint="default"/>
          <w:spacing w:val="-64"/>
        </w:rPr>
        <w:t> </w:t>
      </w:r>
      <w:r>
        <w:rPr/>
        <w:t>年至</w:t>
      </w:r>
      <w:r>
        <w:rPr>
          <w:spacing w:val="-64"/>
        </w:rPr>
        <w:t> </w:t>
      </w:r>
      <w:r>
        <w:rPr>
          <w:rFonts w:ascii="宋体" w:hAnsi="宋体" w:cs="宋体" w:eastAsia="宋体" w:hint="default"/>
        </w:rPr>
        <w:t>2006</w:t>
      </w:r>
      <w:r>
        <w:rPr>
          <w:rFonts w:ascii="宋体" w:hAnsi="宋体" w:cs="宋体" w:eastAsia="宋体" w:hint="default"/>
          <w:spacing w:val="-7"/>
        </w:rPr>
        <w:t> </w:t>
      </w:r>
      <w:r>
        <w:rPr/>
        <w:t>年担任北京友谊宾馆出纳、会计、总账主管、财务经理；</w:t>
      </w:r>
      <w:r>
        <w:rPr>
          <w:rFonts w:ascii="宋体" w:hAnsi="宋体" w:cs="宋体" w:eastAsia="宋体" w:hint="default"/>
        </w:rPr>
        <w:t>2006</w:t>
      </w:r>
      <w:r>
        <w:rPr>
          <w:rFonts w:ascii="宋体" w:hAnsi="宋体" w:cs="宋体" w:eastAsia="宋体" w:hint="default"/>
          <w:spacing w:val="-64"/>
        </w:rPr>
        <w:t> </w:t>
      </w:r>
      <w:r>
        <w:rPr/>
        <w:t>年至</w:t>
      </w:r>
      <w:r>
        <w:rPr>
          <w:spacing w:val="1"/>
        </w:rPr>
        <w:t> </w:t>
      </w:r>
      <w:r>
        <w:rPr>
          <w:rFonts w:ascii="宋体" w:hAnsi="宋体" w:cs="宋体" w:eastAsia="宋体" w:hint="default"/>
        </w:rPr>
        <w:t>2007</w:t>
      </w:r>
      <w:r>
        <w:rPr>
          <w:rFonts w:ascii="宋体" w:hAnsi="宋体" w:cs="宋体" w:eastAsia="宋体" w:hint="default"/>
          <w:spacing w:val="-57"/>
        </w:rPr>
        <w:t> </w:t>
      </w:r>
      <w:r>
        <w:rPr>
          <w:spacing w:val="-4"/>
        </w:rPr>
        <w:t>年担任中国清洁发展机制基金管理中心财务主管；</w:t>
      </w:r>
      <w:r>
        <w:rPr>
          <w:rFonts w:ascii="宋体" w:hAnsi="宋体" w:cs="宋体" w:eastAsia="宋体" w:hint="default"/>
          <w:spacing w:val="-4"/>
        </w:rPr>
        <w:t>2007</w:t>
      </w:r>
      <w:r>
        <w:rPr>
          <w:rFonts w:ascii="宋体" w:hAnsi="宋体" w:cs="宋体" w:eastAsia="宋体" w:hint="default"/>
          <w:spacing w:val="-57"/>
        </w:rPr>
        <w:t> </w:t>
      </w:r>
      <w:r>
        <w:rPr>
          <w:spacing w:val="-7"/>
        </w:rPr>
        <w:t>年加入有限公司，任财务负责人。</w:t>
      </w:r>
      <w:r>
        <w:rPr/>
        <w:t> 现任公司财务负责人。</w:t>
      </w:r>
    </w:p>
    <w:p>
      <w:pPr>
        <w:spacing w:before="47"/>
        <w:ind w:left="153" w:right="9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首都信息发展股份有限公司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北京大学地球与空间学院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中磊会计师事务所有限责任公司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94"/>
      <w:bookmarkEnd w:id="94"/>
      <w:r>
        <w:rPr>
          <w:b w:val="0"/>
          <w:bCs w:val="0"/>
        </w:rPr>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1"/>
        <w:gridCol w:w="5308"/>
      </w:tblGrid>
      <w:tr>
        <w:trPr>
          <w:trHeight w:val="1027"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公司董事报酬或津贴由股东大会决定，高级管理人员报酬由董事会 决定，独立董事津贴由股东大会决定，董事、监事、高级管理人员 薪酬由董事会薪酬与考核委员会组织并考核。</w:t>
            </w:r>
          </w:p>
        </w:tc>
      </w:tr>
      <w:tr>
        <w:trPr>
          <w:trHeight w:val="71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根据公司经营业绩，高级管理人员的报酬根据公司薪酬分配政策， 结合其经营绩效、工作能力、岗位职责等考核确定并发放。</w:t>
            </w:r>
          </w:p>
        </w:tc>
      </w:tr>
      <w:tr>
        <w:trPr>
          <w:trHeight w:val="403"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已按相关规定及时支付董事、监事和高级管理人员报酬。</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吴强华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副董事长；总 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胡环宇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王洪深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邵建平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秦其明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高文荣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幸帮艳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11.3</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殷小敏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bookmarkStart w:name="四、公司董事、监事、高级管理人员变动情况" w:id="95"/>
      <w:bookmarkEnd w:id="95"/>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93"/>
        <w:jc w:val="left"/>
        <w:rPr>
          <w:b w:val="0"/>
          <w:bCs w:val="0"/>
        </w:rPr>
      </w:pPr>
      <w:bookmarkStart w:name="五、报告期核心技术团队或关键技术人员变动情况（非董事、监事、高级管理人员）" w:id="96"/>
      <w:bookmarkEnd w:id="9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93"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报告期内，公司核心技术团队或关键技术人员未发生变动。</w:t>
      </w:r>
    </w:p>
    <w:p>
      <w:pPr>
        <w:spacing w:line="240" w:lineRule="auto" w:before="2"/>
        <w:rPr>
          <w:rFonts w:ascii="宋体" w:hAnsi="宋体" w:cs="宋体" w:eastAsia="宋体" w:hint="default"/>
          <w:sz w:val="25"/>
          <w:szCs w:val="25"/>
        </w:rPr>
      </w:pPr>
    </w:p>
    <w:p>
      <w:pPr>
        <w:pStyle w:val="Heading2"/>
        <w:spacing w:line="240" w:lineRule="auto"/>
        <w:ind w:left="154" w:right="93"/>
        <w:jc w:val="left"/>
        <w:rPr>
          <w:b w:val="0"/>
          <w:bCs w:val="0"/>
        </w:rPr>
      </w:pPr>
      <w:bookmarkStart w:name="六、公司员工情况" w:id="97"/>
      <w:bookmarkEnd w:id="97"/>
      <w:r>
        <w:rPr>
          <w:b w:val="0"/>
          <w:bCs w:val="0"/>
        </w:rPr>
      </w:r>
      <w:r>
        <w:rPr/>
        <w:t>六、公司员工情况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93" w:firstLine="480"/>
        <w:jc w:val="left"/>
      </w:pPr>
      <w:r>
        <w:rPr/>
        <w:t>截止</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日，公司员工人数为</w:t>
      </w:r>
      <w:r>
        <w:rPr>
          <w:spacing w:val="-60"/>
        </w:rPr>
        <w:t> </w:t>
      </w:r>
      <w:r>
        <w:rPr>
          <w:rFonts w:ascii="宋体" w:hAnsi="宋体" w:cs="宋体" w:eastAsia="宋体" w:hint="default"/>
        </w:rPr>
        <w:t>640</w:t>
      </w:r>
      <w:r>
        <w:rPr>
          <w:rFonts w:ascii="宋体" w:hAnsi="宋体" w:cs="宋体" w:eastAsia="宋体" w:hint="default"/>
          <w:spacing w:val="-60"/>
        </w:rPr>
        <w:t> </w:t>
      </w:r>
      <w:r>
        <w:rPr/>
        <w:t>人，公司员工按专业结构、受教育程度、 年龄结构划分的构成情况如下：</w:t>
      </w:r>
    </w:p>
    <w:p>
      <w:pPr>
        <w:pStyle w:val="BodyText"/>
        <w:spacing w:line="240" w:lineRule="auto"/>
        <w:ind w:left="633" w:right="93"/>
        <w:jc w:val="left"/>
      </w:pPr>
      <w:r>
        <w:rPr/>
        <w:t>（一）按专业构成划分：</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2"/>
        <w:gridCol w:w="2692"/>
        <w:gridCol w:w="2837"/>
      </w:tblGrid>
      <w:tr>
        <w:trPr>
          <w:trHeight w:val="344" w:hRule="exact"/>
        </w:trPr>
        <w:tc>
          <w:tcPr>
            <w:tcW w:w="2992" w:type="dxa"/>
            <w:tcBorders>
              <w:top w:val="single" w:sz="4" w:space="0" w:color="000000"/>
              <w:left w:val="single" w:sz="4" w:space="0" w:color="000000"/>
              <w:bottom w:val="single" w:sz="6" w:space="0" w:color="000000"/>
              <w:right w:val="single" w:sz="6" w:space="0" w:color="000000"/>
            </w:tcBorders>
          </w:tcPr>
          <w:p>
            <w:pPr>
              <w:pStyle w:val="TableParagraph"/>
              <w:spacing w:line="275" w:lineRule="exact"/>
              <w:ind w:left="1" w:right="0"/>
              <w:jc w:val="center"/>
              <w:rPr>
                <w:rFonts w:ascii="宋体" w:hAnsi="宋体" w:cs="宋体" w:eastAsia="宋体" w:hint="default"/>
                <w:sz w:val="22"/>
                <w:szCs w:val="22"/>
              </w:rPr>
            </w:pPr>
            <w:r>
              <w:rPr>
                <w:rFonts w:ascii="宋体" w:hAnsi="宋体" w:cs="宋体" w:eastAsia="宋体" w:hint="default"/>
                <w:sz w:val="22"/>
                <w:szCs w:val="22"/>
              </w:rPr>
              <w:t>专业</w:t>
            </w:r>
          </w:p>
        </w:tc>
        <w:tc>
          <w:tcPr>
            <w:tcW w:w="2692" w:type="dxa"/>
            <w:tcBorders>
              <w:top w:val="single" w:sz="4"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sz w:val="22"/>
                <w:szCs w:val="22"/>
              </w:rPr>
              <w:t>人数</w:t>
            </w:r>
          </w:p>
        </w:tc>
        <w:tc>
          <w:tcPr>
            <w:tcW w:w="2837" w:type="dxa"/>
            <w:tcBorders>
              <w:top w:val="single" w:sz="4"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2"/>
                <w:szCs w:val="22"/>
              </w:rPr>
            </w:pPr>
            <w:r>
              <w:rPr>
                <w:rFonts w:ascii="宋体" w:hAnsi="宋体" w:cs="宋体" w:eastAsia="宋体" w:hint="default"/>
                <w:sz w:val="22"/>
                <w:szCs w:val="22"/>
              </w:rPr>
              <w:t>占总人数比例</w:t>
            </w:r>
          </w:p>
        </w:tc>
      </w:tr>
      <w:tr>
        <w:trPr>
          <w:trHeight w:val="336" w:hRule="exact"/>
        </w:trPr>
        <w:tc>
          <w:tcPr>
            <w:tcW w:w="29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2"/>
                <w:szCs w:val="22"/>
              </w:rPr>
            </w:pPr>
            <w:r>
              <w:rPr>
                <w:rFonts w:ascii="宋体" w:hAnsi="宋体" w:cs="宋体" w:eastAsia="宋体" w:hint="default"/>
                <w:sz w:val="22"/>
                <w:szCs w:val="22"/>
              </w:rPr>
              <w:t>技术人员</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431</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67.34%</w:t>
            </w:r>
          </w:p>
        </w:tc>
      </w:tr>
      <w:tr>
        <w:trPr>
          <w:trHeight w:val="337" w:hRule="exact"/>
        </w:trPr>
        <w:tc>
          <w:tcPr>
            <w:tcW w:w="2992" w:type="dxa"/>
            <w:tcBorders>
              <w:top w:val="single" w:sz="6" w:space="0" w:color="000000"/>
              <w:left w:val="single" w:sz="4" w:space="0" w:color="000000"/>
              <w:bottom w:val="single" w:sz="6" w:space="0" w:color="000000"/>
              <w:right w:val="single" w:sz="6"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销售人员</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85</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13.28%</w:t>
            </w:r>
          </w:p>
        </w:tc>
      </w:tr>
      <w:tr>
        <w:trPr>
          <w:trHeight w:val="337" w:hRule="exact"/>
        </w:trPr>
        <w:tc>
          <w:tcPr>
            <w:tcW w:w="2992" w:type="dxa"/>
            <w:tcBorders>
              <w:top w:val="single" w:sz="6" w:space="0" w:color="000000"/>
              <w:left w:val="single" w:sz="4"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管理及财务人员</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105</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16.41%</w:t>
            </w:r>
          </w:p>
        </w:tc>
      </w:tr>
      <w:tr>
        <w:trPr>
          <w:trHeight w:val="337" w:hRule="exact"/>
        </w:trPr>
        <w:tc>
          <w:tcPr>
            <w:tcW w:w="2992" w:type="dxa"/>
            <w:tcBorders>
              <w:top w:val="single" w:sz="6" w:space="0" w:color="000000"/>
              <w:left w:val="single" w:sz="4" w:space="0" w:color="000000"/>
              <w:bottom w:val="single" w:sz="6" w:space="0" w:color="000000"/>
              <w:right w:val="single" w:sz="6"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其他人员</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19</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2.97%</w:t>
            </w:r>
          </w:p>
        </w:tc>
      </w:tr>
      <w:tr>
        <w:trPr>
          <w:trHeight w:val="337" w:hRule="exact"/>
        </w:trPr>
        <w:tc>
          <w:tcPr>
            <w:tcW w:w="29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640</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100.00%</w:t>
            </w:r>
          </w:p>
        </w:tc>
      </w:tr>
    </w:tbl>
    <w:p>
      <w:pPr>
        <w:pStyle w:val="BodyText"/>
        <w:spacing w:line="275" w:lineRule="exact" w:before="0"/>
        <w:ind w:left="634" w:right="93"/>
        <w:jc w:val="left"/>
      </w:pPr>
      <w:r>
        <w:rPr/>
        <w:t>（二）按受教育程度划分：</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992"/>
        <w:gridCol w:w="2712"/>
        <w:gridCol w:w="2817"/>
      </w:tblGrid>
      <w:tr>
        <w:trPr>
          <w:trHeight w:val="347" w:hRule="exact"/>
        </w:trPr>
        <w:tc>
          <w:tcPr>
            <w:tcW w:w="2992" w:type="dxa"/>
            <w:tcBorders>
              <w:top w:val="single" w:sz="4" w:space="0" w:color="000000"/>
              <w:left w:val="single" w:sz="4" w:space="0" w:color="000000"/>
              <w:bottom w:val="single" w:sz="8" w:space="0" w:color="000000"/>
              <w:right w:val="single" w:sz="8" w:space="0" w:color="000000"/>
            </w:tcBorders>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sz w:val="22"/>
                <w:szCs w:val="22"/>
              </w:rPr>
              <w:t>学历</w:t>
            </w:r>
          </w:p>
        </w:tc>
        <w:tc>
          <w:tcPr>
            <w:tcW w:w="2712" w:type="dxa"/>
            <w:tcBorders>
              <w:top w:val="single" w:sz="4"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人数</w:t>
            </w:r>
          </w:p>
        </w:tc>
        <w:tc>
          <w:tcPr>
            <w:tcW w:w="2817" w:type="dxa"/>
            <w:tcBorders>
              <w:top w:val="single" w:sz="4"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占总人数比例</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66" w:lineRule="exact"/>
              <w:ind w:left="3" w:right="0"/>
              <w:jc w:val="center"/>
              <w:rPr>
                <w:rFonts w:ascii="宋体" w:hAnsi="宋体" w:cs="宋体" w:eastAsia="宋体" w:hint="default"/>
                <w:sz w:val="22"/>
                <w:szCs w:val="22"/>
              </w:rPr>
            </w:pPr>
            <w:r>
              <w:rPr>
                <w:rFonts w:ascii="宋体" w:hAnsi="宋体" w:cs="宋体" w:eastAsia="宋体" w:hint="default"/>
                <w:sz w:val="22"/>
                <w:szCs w:val="22"/>
              </w:rPr>
              <w:t>硕士研究生及以上学历人数</w:t>
            </w:r>
          </w:p>
        </w:tc>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134</w:t>
            </w:r>
          </w:p>
        </w:tc>
        <w:tc>
          <w:tcPr>
            <w:tcW w:w="2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20.94%</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66" w:lineRule="exact"/>
              <w:ind w:left="3" w:right="0"/>
              <w:jc w:val="center"/>
              <w:rPr>
                <w:rFonts w:ascii="宋体" w:hAnsi="宋体" w:cs="宋体" w:eastAsia="宋体" w:hint="default"/>
                <w:sz w:val="22"/>
                <w:szCs w:val="22"/>
              </w:rPr>
            </w:pPr>
            <w:r>
              <w:rPr>
                <w:rFonts w:ascii="宋体" w:hAnsi="宋体" w:cs="宋体" w:eastAsia="宋体" w:hint="default"/>
                <w:sz w:val="22"/>
                <w:szCs w:val="22"/>
              </w:rPr>
              <w:t>大学本科学历</w:t>
            </w:r>
          </w:p>
        </w:tc>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351</w:t>
            </w:r>
          </w:p>
        </w:tc>
        <w:tc>
          <w:tcPr>
            <w:tcW w:w="2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54.84%</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大专学历</w:t>
            </w:r>
          </w:p>
        </w:tc>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102</w:t>
            </w:r>
          </w:p>
        </w:tc>
        <w:tc>
          <w:tcPr>
            <w:tcW w:w="2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15.94%</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66" w:lineRule="exact"/>
              <w:ind w:left="3" w:right="0"/>
              <w:jc w:val="center"/>
              <w:rPr>
                <w:rFonts w:ascii="宋体" w:hAnsi="宋体" w:cs="宋体" w:eastAsia="宋体" w:hint="default"/>
                <w:sz w:val="22"/>
                <w:szCs w:val="22"/>
              </w:rPr>
            </w:pPr>
            <w:r>
              <w:rPr>
                <w:rFonts w:ascii="宋体" w:hAnsi="宋体" w:cs="宋体" w:eastAsia="宋体" w:hint="default"/>
                <w:sz w:val="22"/>
                <w:szCs w:val="22"/>
              </w:rPr>
              <w:t>大专以下学历</w:t>
            </w:r>
          </w:p>
        </w:tc>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53</w:t>
            </w:r>
          </w:p>
        </w:tc>
        <w:tc>
          <w:tcPr>
            <w:tcW w:w="2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8.28%</w:t>
            </w:r>
          </w:p>
        </w:tc>
      </w:tr>
      <w:tr>
        <w:trPr>
          <w:trHeight w:val="343"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640</w:t>
            </w:r>
          </w:p>
        </w:tc>
        <w:tc>
          <w:tcPr>
            <w:tcW w:w="28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100.00%</w:t>
            </w:r>
          </w:p>
        </w:tc>
      </w:tr>
    </w:tbl>
    <w:p>
      <w:pPr>
        <w:pStyle w:val="BodyText"/>
        <w:spacing w:line="275" w:lineRule="exact" w:before="0"/>
        <w:ind w:left="634" w:right="93"/>
        <w:jc w:val="left"/>
      </w:pPr>
      <w:r>
        <w:rPr/>
        <w:t>（三）按年龄构成划分：</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992"/>
        <w:gridCol w:w="2877"/>
        <w:gridCol w:w="2716"/>
      </w:tblGrid>
      <w:tr>
        <w:trPr>
          <w:trHeight w:val="347" w:hRule="exact"/>
        </w:trPr>
        <w:tc>
          <w:tcPr>
            <w:tcW w:w="2992" w:type="dxa"/>
            <w:tcBorders>
              <w:top w:val="single" w:sz="4" w:space="0" w:color="000000"/>
              <w:left w:val="single" w:sz="4" w:space="0" w:color="000000"/>
              <w:bottom w:val="single" w:sz="8" w:space="0" w:color="000000"/>
              <w:right w:val="single" w:sz="8"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2877" w:type="dxa"/>
            <w:tcBorders>
              <w:top w:val="single" w:sz="4" w:space="0" w:color="000000"/>
              <w:left w:val="single" w:sz="8" w:space="0" w:color="000000"/>
              <w:bottom w:val="single" w:sz="8" w:space="0" w:color="000000"/>
              <w:right w:val="single" w:sz="8" w:space="0" w:color="000000"/>
            </w:tcBorders>
          </w:tcPr>
          <w:p>
            <w:pPr>
              <w:pStyle w:val="TableParagraph"/>
              <w:spacing w:line="271" w:lineRule="exact"/>
              <w:ind w:right="1217"/>
              <w:jc w:val="right"/>
              <w:rPr>
                <w:rFonts w:ascii="宋体" w:hAnsi="宋体" w:cs="宋体" w:eastAsia="宋体" w:hint="default"/>
                <w:sz w:val="21"/>
                <w:szCs w:val="21"/>
              </w:rPr>
            </w:pPr>
            <w:r>
              <w:rPr>
                <w:rFonts w:ascii="宋体" w:hAnsi="宋体" w:cs="宋体" w:eastAsia="宋体" w:hint="default"/>
                <w:sz w:val="21"/>
                <w:szCs w:val="21"/>
              </w:rPr>
              <w:t>人数</w:t>
            </w:r>
          </w:p>
        </w:tc>
        <w:tc>
          <w:tcPr>
            <w:tcW w:w="2716" w:type="dxa"/>
            <w:tcBorders>
              <w:top w:val="single" w:sz="4"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占总人数比例</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77"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岁及以上</w:t>
            </w:r>
          </w:p>
        </w:tc>
        <w:tc>
          <w:tcPr>
            <w:tcW w:w="2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9</w:t>
            </w:r>
          </w:p>
        </w:tc>
        <w:tc>
          <w:tcPr>
            <w:tcW w:w="2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1.41%</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77"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40-49</w:t>
            </w:r>
            <w:r>
              <w:rPr>
                <w:rFonts w:ascii="宋体" w:hAnsi="宋体" w:cs="宋体" w:eastAsia="宋体" w:hint="default"/>
                <w:sz w:val="21"/>
                <w:szCs w:val="21"/>
              </w:rPr>
              <w:t>岁</w:t>
            </w:r>
          </w:p>
        </w:tc>
        <w:tc>
          <w:tcPr>
            <w:tcW w:w="2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20</w:t>
            </w:r>
          </w:p>
        </w:tc>
        <w:tc>
          <w:tcPr>
            <w:tcW w:w="2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3.13%</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77"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30-39</w:t>
            </w:r>
            <w:r>
              <w:rPr>
                <w:rFonts w:ascii="宋体" w:hAnsi="宋体" w:cs="宋体" w:eastAsia="宋体" w:hint="default"/>
                <w:sz w:val="21"/>
                <w:szCs w:val="21"/>
              </w:rPr>
              <w:t>岁</w:t>
            </w:r>
          </w:p>
        </w:tc>
        <w:tc>
          <w:tcPr>
            <w:tcW w:w="2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1268"/>
              <w:jc w:val="right"/>
              <w:rPr>
                <w:rFonts w:ascii="Times New Roman" w:hAnsi="Times New Roman" w:cs="Times New Roman" w:eastAsia="Times New Roman" w:hint="default"/>
                <w:sz w:val="21"/>
                <w:szCs w:val="21"/>
              </w:rPr>
            </w:pPr>
            <w:r>
              <w:rPr>
                <w:rFonts w:ascii="Times New Roman"/>
                <w:sz w:val="21"/>
              </w:rPr>
              <w:t>205</w:t>
            </w:r>
          </w:p>
        </w:tc>
        <w:tc>
          <w:tcPr>
            <w:tcW w:w="2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32.03%</w:t>
            </w:r>
          </w:p>
        </w:tc>
      </w:tr>
      <w:tr>
        <w:trPr>
          <w:trHeight w:val="342"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77"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岁及以下</w:t>
            </w:r>
          </w:p>
        </w:tc>
        <w:tc>
          <w:tcPr>
            <w:tcW w:w="2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1268"/>
              <w:jc w:val="right"/>
              <w:rPr>
                <w:rFonts w:ascii="Times New Roman" w:hAnsi="Times New Roman" w:cs="Times New Roman" w:eastAsia="Times New Roman" w:hint="default"/>
                <w:sz w:val="21"/>
                <w:szCs w:val="21"/>
              </w:rPr>
            </w:pPr>
            <w:r>
              <w:rPr>
                <w:rFonts w:ascii="Times New Roman"/>
                <w:sz w:val="21"/>
              </w:rPr>
              <w:t>406</w:t>
            </w:r>
          </w:p>
        </w:tc>
        <w:tc>
          <w:tcPr>
            <w:tcW w:w="2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63.44%</w:t>
            </w:r>
          </w:p>
        </w:tc>
      </w:tr>
      <w:tr>
        <w:trPr>
          <w:trHeight w:val="343" w:hRule="exact"/>
        </w:trPr>
        <w:tc>
          <w:tcPr>
            <w:tcW w:w="2992" w:type="dxa"/>
            <w:tcBorders>
              <w:top w:val="single" w:sz="8" w:space="0" w:color="000000"/>
              <w:left w:val="single" w:sz="4" w:space="0" w:color="000000"/>
              <w:bottom w:val="single" w:sz="8" w:space="0" w:color="000000"/>
              <w:right w:val="single" w:sz="8"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1268"/>
              <w:jc w:val="right"/>
              <w:rPr>
                <w:rFonts w:ascii="Times New Roman" w:hAnsi="Times New Roman" w:cs="Times New Roman" w:eastAsia="Times New Roman" w:hint="default"/>
                <w:sz w:val="21"/>
                <w:szCs w:val="21"/>
              </w:rPr>
            </w:pPr>
            <w:r>
              <w:rPr>
                <w:rFonts w:ascii="Times New Roman"/>
                <w:sz w:val="21"/>
              </w:rPr>
              <w:t>640</w:t>
            </w:r>
          </w:p>
        </w:tc>
        <w:tc>
          <w:tcPr>
            <w:tcW w:w="2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509"/>
        <w:jc w:val="center"/>
        <w:rPr>
          <w:b w:val="0"/>
          <w:bCs w:val="0"/>
        </w:rPr>
      </w:pPr>
      <w:bookmarkStart w:name="第八节 公司治理" w:id="98"/>
      <w:bookmarkEnd w:id="98"/>
      <w:r>
        <w:rPr>
          <w:b w:val="0"/>
          <w:bCs w:val="0"/>
        </w:rPr>
      </w:r>
      <w:bookmarkStart w:name="_bookmark7" w:id="99"/>
      <w:bookmarkEnd w:id="99"/>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before="0"/>
        <w:ind w:right="95" w:firstLine="480"/>
        <w:jc w:val="left"/>
      </w:pPr>
      <w:r>
        <w:rPr/>
        <w:t>报告期内，公司严格按照《公司法》、《证券法》、《上市公司治理准则》、《深圳证 </w:t>
      </w:r>
      <w:r>
        <w:rPr>
          <w:spacing w:val="-3"/>
        </w:rPr>
        <w:t>券交易所创业板股票上市规则》、《深圳证券交易所创业板上市公司规范运作指引》等法律、</w:t>
      </w:r>
      <w:r>
        <w:rPr>
          <w:spacing w:val="-80"/>
        </w:rPr>
        <w:t> </w:t>
      </w:r>
      <w:r>
        <w:rPr>
          <w:spacing w:val="-80"/>
        </w:rPr>
      </w:r>
      <w:r>
        <w:rPr/>
        <w:t>法规和中国证监会有关法律法规等的要求，不断完善公司的法人治理结构，建立健全公司内 部管理和控制制度，规范运作，严格进行信息披露工作，保护广大投资者利益。</w:t>
      </w:r>
    </w:p>
    <w:p>
      <w:pPr>
        <w:pStyle w:val="BodyText"/>
        <w:spacing w:line="357" w:lineRule="auto"/>
        <w:ind w:right="269" w:firstLine="480"/>
        <w:jc w:val="both"/>
      </w:pPr>
      <w:r>
        <w:rPr/>
        <w:t>截至报告期末，公司治理的实际情况基本符合中国证监会发布的有关上市公司治理的规 范性文件的要求，已经形成了权力机构、决策机构、监督机构与管理层之间权责分明、各司 其职、相互制衡、科学决策、协调运作的法人治理结构。</w:t>
      </w:r>
    </w:p>
    <w:p>
      <w:pPr>
        <w:pStyle w:val="BodyText"/>
        <w:spacing w:line="357" w:lineRule="auto"/>
        <w:ind w:left="634" w:right="252"/>
        <w:jc w:val="left"/>
      </w:pPr>
      <w:r>
        <w:rPr>
          <w:rFonts w:ascii="宋体" w:hAnsi="宋体" w:cs="宋体" w:eastAsia="宋体" w:hint="default"/>
        </w:rPr>
        <w:t>1</w:t>
      </w:r>
      <w:r>
        <w:rPr/>
        <w:t>、关于股东与股东大会 公司股东大会均严格按照《上市公司股东大会规则》、《公司章程》、《股东大会议事</w:t>
      </w:r>
    </w:p>
    <w:p>
      <w:pPr>
        <w:pStyle w:val="BodyText"/>
        <w:spacing w:line="357" w:lineRule="auto"/>
        <w:ind w:left="154" w:right="270"/>
        <w:jc w:val="both"/>
      </w:pPr>
      <w:r>
        <w:rPr/>
        <w:t>规则》等规定召集、召开，平等对待所有股东，并尽可能为股东参加股东大会提供便利，使 其充分行使股东权利。同时，公司聘请专业律师见证股东大会，确保会议召集召开以及表决 程序符合相关法律规定，维护股东的合法权益。</w:t>
      </w:r>
    </w:p>
    <w:p>
      <w:pPr>
        <w:pStyle w:val="BodyText"/>
        <w:spacing w:line="357" w:lineRule="auto"/>
        <w:ind w:left="634" w:right="252"/>
        <w:jc w:val="left"/>
      </w:pPr>
      <w:r>
        <w:rPr>
          <w:rFonts w:ascii="宋体" w:hAnsi="宋体" w:cs="宋体" w:eastAsia="宋体" w:hint="default"/>
        </w:rPr>
        <w:t>2</w:t>
      </w:r>
      <w:r>
        <w:rPr/>
        <w:t>、关于公司与控股股东、实际控制人 公司控股股东、实际控制人严格规范自己的行为，没有超越股东大会直接或间接干预公</w:t>
      </w:r>
    </w:p>
    <w:p>
      <w:pPr>
        <w:pStyle w:val="BodyText"/>
        <w:spacing w:line="357" w:lineRule="auto"/>
        <w:ind w:left="154" w:right="94"/>
        <w:jc w:val="left"/>
      </w:pPr>
      <w:r>
        <w:rPr>
          <w:spacing w:val="-2"/>
        </w:rPr>
        <w:t>司的决策和经营活动，未损害公司及其他股东的利益，不存在控股股东占用公司资金的现象，</w:t>
      </w:r>
      <w:r>
        <w:rPr/>
        <w:t> 公司亦无为控股股东提供担保的情形。公司拥有独立完整的业务和自主经营能力，在业务、 人员、资产、机构、财务上独立于控股股东，公司董事会、监事会和内部机构独立运作。</w:t>
      </w:r>
    </w:p>
    <w:p>
      <w:pPr>
        <w:pStyle w:val="BodyText"/>
        <w:spacing w:line="240" w:lineRule="auto"/>
        <w:ind w:left="633" w:right="95"/>
        <w:jc w:val="left"/>
      </w:pPr>
      <w:r>
        <w:rPr>
          <w:rFonts w:ascii="宋体" w:hAnsi="宋体" w:cs="宋体" w:eastAsia="宋体" w:hint="default"/>
        </w:rPr>
        <w:t>3</w:t>
      </w:r>
      <w:r>
        <w:rPr/>
        <w:t>、关于董事和董事会</w:t>
      </w:r>
    </w:p>
    <w:p>
      <w:pPr>
        <w:pStyle w:val="BodyText"/>
        <w:spacing w:line="357" w:lineRule="auto" w:before="154"/>
        <w:ind w:left="154" w:right="108" w:firstLine="480"/>
        <w:jc w:val="left"/>
      </w:pPr>
      <w:r>
        <w:rPr/>
        <w:t>公司董事会设董事</w:t>
      </w:r>
      <w:r>
        <w:rPr>
          <w:spacing w:val="-60"/>
        </w:rPr>
        <w:t> </w:t>
      </w:r>
      <w:r>
        <w:rPr>
          <w:rFonts w:ascii="宋体" w:hAnsi="宋体" w:cs="宋体" w:eastAsia="宋体" w:hint="default"/>
        </w:rPr>
        <w:t>9</w:t>
      </w:r>
      <w:r>
        <w:rPr>
          <w:rFonts w:ascii="宋体" w:hAnsi="宋体" w:cs="宋体" w:eastAsia="宋体" w:hint="default"/>
          <w:spacing w:val="-60"/>
        </w:rPr>
        <w:t> </w:t>
      </w:r>
      <w:r>
        <w:rPr/>
        <w:t>名，其中独立董事</w:t>
      </w:r>
      <w:r>
        <w:rPr>
          <w:spacing w:val="-60"/>
        </w:rPr>
        <w:t> </w:t>
      </w:r>
      <w:r>
        <w:rPr>
          <w:rFonts w:ascii="宋体" w:hAnsi="宋体" w:cs="宋体" w:eastAsia="宋体" w:hint="default"/>
        </w:rPr>
        <w:t>3</w:t>
      </w:r>
      <w:r>
        <w:rPr>
          <w:rFonts w:ascii="宋体" w:hAnsi="宋体" w:cs="宋体" w:eastAsia="宋体" w:hint="default"/>
          <w:spacing w:val="-60"/>
        </w:rPr>
        <w:t> </w:t>
      </w:r>
      <w:r>
        <w:rPr/>
        <w:t>名，董事会的人数及人员构成符合法律、法规 </w:t>
      </w:r>
      <w:r>
        <w:rPr>
          <w:spacing w:val="-8"/>
        </w:rPr>
        <w:t>和《公司章程》的要求。公司董事能够依据《深圳证券交易所创业板上市公司规范运作指引》、</w:t>
      </w:r>
    </w:p>
    <w:p>
      <w:pPr>
        <w:pStyle w:val="BodyText"/>
        <w:spacing w:line="357" w:lineRule="auto"/>
        <w:ind w:left="154" w:right="252"/>
        <w:jc w:val="left"/>
      </w:pPr>
      <w:r>
        <w:rPr/>
        <w:t>《董事会议事规则》、《独立董事工作制度》等开展工作，出席董事会和股东大会，勤勉尽 责地履行职责和义务，同时积极参加相关培训，熟悉相关法律法规。</w:t>
      </w:r>
    </w:p>
    <w:p>
      <w:pPr>
        <w:pStyle w:val="BodyText"/>
        <w:spacing w:line="240" w:lineRule="auto"/>
        <w:ind w:left="633" w:right="95"/>
        <w:jc w:val="left"/>
      </w:pPr>
      <w:r>
        <w:rPr>
          <w:rFonts w:ascii="宋体" w:hAnsi="宋体" w:cs="宋体" w:eastAsia="宋体" w:hint="default"/>
        </w:rPr>
        <w:t>4</w:t>
      </w:r>
      <w:r>
        <w:rPr/>
        <w:t>、关于监事和监事会</w:t>
      </w:r>
    </w:p>
    <w:p>
      <w:pPr>
        <w:pStyle w:val="BodyText"/>
        <w:spacing w:line="357" w:lineRule="auto" w:before="154"/>
        <w:ind w:left="154" w:right="252" w:firstLine="480"/>
        <w:jc w:val="left"/>
      </w:pPr>
      <w:r>
        <w:rPr/>
        <w:t>公司监事会设监事</w:t>
      </w:r>
      <w:r>
        <w:rPr>
          <w:spacing w:val="-60"/>
        </w:rPr>
        <w:t> </w:t>
      </w:r>
      <w:r>
        <w:rPr>
          <w:rFonts w:ascii="宋体" w:hAnsi="宋体" w:cs="宋体" w:eastAsia="宋体" w:hint="default"/>
        </w:rPr>
        <w:t>3</w:t>
      </w:r>
      <w:r>
        <w:rPr>
          <w:rFonts w:ascii="宋体" w:hAnsi="宋体" w:cs="宋体" w:eastAsia="宋体" w:hint="default"/>
          <w:spacing w:val="-60"/>
        </w:rPr>
        <w:t> </w:t>
      </w:r>
      <w:r>
        <w:rPr/>
        <w:t>名，其中职工监事</w:t>
      </w:r>
      <w:r>
        <w:rPr>
          <w:spacing w:val="-60"/>
        </w:rPr>
        <w:t> </w:t>
      </w:r>
      <w:r>
        <w:rPr>
          <w:rFonts w:ascii="宋体" w:hAnsi="宋体" w:cs="宋体" w:eastAsia="宋体" w:hint="default"/>
        </w:rPr>
        <w:t>1</w:t>
      </w:r>
      <w:r>
        <w:rPr>
          <w:rFonts w:ascii="宋体" w:hAnsi="宋体" w:cs="宋体" w:eastAsia="宋体" w:hint="default"/>
          <w:spacing w:val="-60"/>
        </w:rPr>
        <w:t> </w:t>
      </w:r>
      <w:r>
        <w:rPr/>
        <w:t>名，监事会的人数和构成符合法律、法规的要 求。公司监事能够按照《深圳证券交易所创业板上市公司规范运作指引》、《监事会议事规</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53"/>
        <w:jc w:val="left"/>
      </w:pPr>
      <w:r>
        <w:rPr/>
        <w:t>则》的要求，认真履行自己的职责，对公司重大事项、财务状况、董事和高级管理人员的履 行职责的合法合规性进行监督，维护公司及股东的合法权益。</w:t>
      </w:r>
    </w:p>
    <w:p>
      <w:pPr>
        <w:pStyle w:val="BodyText"/>
        <w:spacing w:line="357" w:lineRule="auto"/>
        <w:ind w:left="633" w:right="253"/>
        <w:jc w:val="left"/>
      </w:pPr>
      <w:r>
        <w:rPr>
          <w:rFonts w:ascii="宋体" w:hAnsi="宋体" w:cs="宋体" w:eastAsia="宋体" w:hint="default"/>
        </w:rPr>
        <w:t>5</w:t>
      </w:r>
      <w:r>
        <w:rPr/>
        <w:t>、关于绩效评价与激励约束机制 公司已建立企业绩效激励与评价体系，并不断完善。公司董事、监事和高级管理人员的</w:t>
      </w:r>
    </w:p>
    <w:p>
      <w:pPr>
        <w:pStyle w:val="BodyText"/>
        <w:spacing w:line="357" w:lineRule="auto"/>
        <w:ind w:right="95"/>
        <w:jc w:val="left"/>
      </w:pPr>
      <w:r>
        <w:rPr/>
        <w:t>绩效评价标准和激励约束机制公开、透明，符合法律、法规的规定。公司董事会设立了薪酬 </w:t>
      </w:r>
      <w:r>
        <w:rPr>
          <w:spacing w:val="-2"/>
        </w:rPr>
        <w:t>与考核委员会，负责薪酬政策及方案的制定与审定。公司高级管理人员均认真履行工作职责，</w:t>
      </w:r>
      <w:r>
        <w:rPr/>
        <w:t> 较好地完成了董事会制定的经营管理任务。</w:t>
      </w:r>
    </w:p>
    <w:p>
      <w:pPr>
        <w:pStyle w:val="BodyText"/>
        <w:spacing w:line="357" w:lineRule="auto"/>
        <w:ind w:left="633" w:right="253"/>
        <w:jc w:val="left"/>
      </w:pPr>
      <w:r>
        <w:rPr>
          <w:rFonts w:ascii="宋体" w:hAnsi="宋体" w:cs="宋体" w:eastAsia="宋体" w:hint="default"/>
        </w:rPr>
        <w:t>6</w:t>
      </w:r>
      <w:r>
        <w:rPr/>
        <w:t>、关于信息披露与透明度 公司严格按照《上市公司信息披露管理办法》、深圳证券交易所创业板上市公司的信息</w:t>
      </w:r>
    </w:p>
    <w:p>
      <w:pPr>
        <w:pStyle w:val="BodyText"/>
        <w:spacing w:line="357" w:lineRule="auto"/>
        <w:ind w:right="230"/>
        <w:jc w:val="both"/>
      </w:pPr>
      <w:r>
        <w:rPr/>
        <w:t>披露格式指引等规定以及公司制定的《信息披露制度》等要求，真实、准确、及时、公平、 </w:t>
      </w:r>
      <w:r>
        <w:rPr>
          <w:spacing w:val="-2"/>
        </w:rPr>
        <w:t>完整地披露有关信息；并指定公司董事会秘书负责信息披露工作，协调公司与投资者的关系</w:t>
      </w:r>
      <w:r>
        <w:rPr>
          <w:rFonts w:ascii="宋体" w:hAnsi="宋体" w:cs="宋体" w:eastAsia="宋体" w:hint="default"/>
          <w:spacing w:val="-2"/>
        </w:rPr>
        <w:t>,</w:t>
      </w:r>
      <w:r>
        <w:rPr>
          <w:rFonts w:ascii="宋体" w:hAnsi="宋体" w:cs="宋体" w:eastAsia="宋体" w:hint="default"/>
        </w:rPr>
        <w:t> </w:t>
      </w:r>
      <w:r>
        <w:rPr/>
        <w:t>接待股东来访，回答投资者咨询；并指定《中国证券报》、《证券时报》等法定报纸和巨潮 </w:t>
      </w:r>
      <w:r>
        <w:rPr>
          <w:spacing w:val="-2"/>
        </w:rPr>
        <w:t>资讯网（</w:t>
      </w:r>
      <w:hyperlink r:id="rId11">
        <w:r>
          <w:rPr>
            <w:rFonts w:ascii="宋体" w:hAnsi="宋体" w:cs="宋体" w:eastAsia="宋体" w:hint="default"/>
            <w:spacing w:val="-2"/>
          </w:rPr>
          <w:t>www.cninfo.com.cn</w:t>
        </w:r>
      </w:hyperlink>
      <w:r>
        <w:rPr>
          <w:spacing w:val="-2"/>
        </w:rPr>
        <w:t>）为公司信息披露的指定报纸和网站，确保公司所有股东能够以</w:t>
      </w:r>
      <w:r>
        <w:rPr>
          <w:spacing w:val="-106"/>
        </w:rPr>
        <w:t> </w:t>
      </w:r>
      <w:r>
        <w:rPr>
          <w:spacing w:val="-106"/>
        </w:rPr>
      </w:r>
      <w:r>
        <w:rPr/>
        <w:t>平等的机会获得信息。</w:t>
      </w:r>
    </w:p>
    <w:p>
      <w:pPr>
        <w:pStyle w:val="BodyText"/>
        <w:spacing w:line="357" w:lineRule="auto"/>
        <w:ind w:left="634" w:right="252"/>
        <w:jc w:val="left"/>
      </w:pPr>
      <w:r>
        <w:rPr>
          <w:rFonts w:ascii="宋体" w:hAnsi="宋体" w:cs="宋体" w:eastAsia="宋体" w:hint="default"/>
        </w:rPr>
        <w:t>7</w:t>
      </w:r>
      <w:r>
        <w:rPr/>
        <w:t>、关于相关利益者 公司充分尊重和维护相关利益者的合法权益，实现社会、股东、公司、员工等各方面利</w:t>
      </w:r>
    </w:p>
    <w:p>
      <w:pPr>
        <w:pStyle w:val="BodyText"/>
        <w:spacing w:line="357" w:lineRule="auto"/>
        <w:ind w:left="154" w:right="252"/>
        <w:jc w:val="left"/>
      </w:pPr>
      <w:r>
        <w:rPr/>
        <w:t>益的协调平衡，诚信对待供应商和客户，坚持与相关利益者互利共赢的原则，共同推动公司 持续、稳健发展。</w:t>
      </w:r>
    </w:p>
    <w:p>
      <w:pPr>
        <w:spacing w:before="47"/>
        <w:ind w:left="154" w:right="95"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95"/>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bookmarkStart w:name="1、本报告期年度股东大会情况" w:id="102"/>
      <w:bookmarkEnd w:id="10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spacing w:before="35"/>
        <w:ind w:left="154" w:right="95" w:firstLine="0"/>
        <w:jc w:val="left"/>
        <w:rPr>
          <w:rFonts w:ascii="宋体" w:hAnsi="宋体" w:cs="宋体" w:eastAsia="宋体" w:hint="default"/>
          <w:sz w:val="21"/>
          <w:szCs w:val="21"/>
        </w:rPr>
      </w:pPr>
      <w:bookmarkStart w:name="2、本报告期临时股东大会情况" w:id="103"/>
      <w:bookmarkEnd w:id="1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第二届董事会第二十二次会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第二届董事会第二十三次会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第二届董事会第二十四次会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第二届董事会第二十五次会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第二届董事会第二十六次会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第二届董事会第二十七次会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第二届董事会第二十八次会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5"/>
      <w:bookmarkEnd w:id="105"/>
      <w:r>
        <w:rPr>
          <w:b w:val="0"/>
          <w:bCs w:val="0"/>
        </w:rPr>
      </w:r>
      <w:r>
        <w:rPr/>
        <w:t>四、年度报告重大差错责任追究制度的建立与执行情况</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right="189" w:firstLine="480"/>
        <w:jc w:val="both"/>
      </w:pPr>
      <w:r>
        <w:rPr/>
        <w:t>为了进一步完善信息披露管理制度，强化信息披露责任意识，建立内部责任追究机制， 促进董事、监事和高级管理人员勤勉尽责，公司第一届董事会第十三次会议审议通过了《年 报信息披露重大差错责任追究制度》。报告期内，公司严格执行制度的相关规定，公司未发 生重大会计差错更正、重大遗漏信息补充以及业绩预告修正等情况。</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五、监事会工作情况" w:id="106"/>
      <w:bookmarkEnd w:id="106"/>
      <w:r>
        <w:rPr>
          <w:b w:val="0"/>
          <w:bCs w:val="0"/>
        </w:rPr>
      </w:r>
      <w:r>
        <w:rPr/>
        <w:t>五、监事会工作情况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38" w:lineRule="auto" w:before="116"/>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09"/>
        <w:jc w:val="center"/>
        <w:rPr>
          <w:b w:val="0"/>
          <w:bCs w:val="0"/>
        </w:rPr>
      </w:pPr>
      <w:bookmarkStart w:name="第九节 财务报告" w:id="107"/>
      <w:bookmarkEnd w:id="107"/>
      <w:r>
        <w:rPr>
          <w:b w:val="0"/>
          <w:bCs w:val="0"/>
        </w:rPr>
      </w:r>
      <w:bookmarkStart w:name="_bookmark8" w:id="108"/>
      <w:bookmarkEnd w:id="108"/>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5"/>
        <w:jc w:val="left"/>
        <w:rPr>
          <w:b w:val="0"/>
          <w:bCs w:val="0"/>
        </w:rPr>
      </w:pPr>
      <w:bookmarkStart w:name="一、审计报告" w:id="109"/>
      <w:bookmarkEnd w:id="10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[2015]01310084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苗策、薛东升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00"/>
        </w:sectPr>
      </w:pPr>
    </w:p>
    <w:p>
      <w:pPr>
        <w:spacing w:line="240" w:lineRule="auto" w:before="12"/>
        <w:rPr>
          <w:rFonts w:ascii="宋体" w:hAnsi="宋体" w:cs="宋体" w:eastAsia="宋体" w:hint="default"/>
          <w:b/>
          <w:bCs/>
          <w:sz w:val="26"/>
          <w:szCs w:val="26"/>
        </w:rPr>
      </w:pPr>
    </w:p>
    <w:p>
      <w:pPr>
        <w:pStyle w:val="Heading2"/>
        <w:spacing w:line="240" w:lineRule="auto"/>
        <w:ind w:right="0"/>
        <w:jc w:val="left"/>
        <w:rPr>
          <w:b w:val="0"/>
          <w:bCs w:val="0"/>
        </w:rPr>
      </w:pPr>
      <w:r>
        <w:rPr>
          <w:w w:val="95"/>
        </w:rPr>
        <w:t>北京数字政通科技股份有限公司：</w:t>
      </w:r>
      <w:r>
        <w:rPr>
          <w:b w:val="0"/>
          <w:bCs w:val="0"/>
        </w:rPr>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900"/>
          <w:cols w:num="2" w:equalWidth="0">
            <w:col w:w="3766" w:space="514"/>
            <w:col w:w="5750"/>
          </w:cols>
        </w:sectPr>
      </w:pPr>
    </w:p>
    <w:p>
      <w:pPr>
        <w:spacing w:line="240" w:lineRule="auto" w:before="10"/>
        <w:rPr>
          <w:rFonts w:ascii="宋体" w:hAnsi="宋体" w:cs="宋体" w:eastAsia="宋体" w:hint="default"/>
          <w:sz w:val="27"/>
          <w:szCs w:val="27"/>
        </w:rPr>
      </w:pPr>
    </w:p>
    <w:p>
      <w:pPr>
        <w:pStyle w:val="BodyText"/>
        <w:spacing w:line="357" w:lineRule="auto" w:before="26"/>
        <w:ind w:left="154" w:right="95" w:firstLine="480"/>
        <w:jc w:val="left"/>
      </w:pPr>
      <w:r>
        <w:rPr>
          <w:spacing w:val="-3"/>
        </w:rPr>
        <w:t>我们审计了后附的北京数字政通科技股份有限公司（以下简称“贵公司”）的财务报表，</w:t>
      </w:r>
      <w:r>
        <w:rPr/>
        <w:t> 包括</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日合并及公司的资产负债表，</w:t>
      </w:r>
      <w:r>
        <w:rPr>
          <w:rFonts w:ascii="宋体" w:hAnsi="宋体" w:cs="宋体" w:eastAsia="宋体" w:hint="default"/>
        </w:rPr>
        <w:t>2014</w:t>
      </w:r>
      <w:r>
        <w:rPr/>
        <w:t>年度合并及公司的利润表、合并及公司</w:t>
      </w:r>
      <w:r>
        <w:rPr>
          <w:spacing w:val="-107"/>
        </w:rPr>
        <w:t> </w:t>
      </w:r>
      <w:r>
        <w:rPr>
          <w:spacing w:val="-107"/>
        </w:rPr>
      </w:r>
      <w:r>
        <w:rPr/>
        <w:t>的现金流量表和合并及公司的股东权益变动表以及财务报表附注。</w:t>
      </w:r>
    </w:p>
    <w:p>
      <w:pPr>
        <w:spacing w:line="240" w:lineRule="auto" w:before="0"/>
        <w:rPr>
          <w:rFonts w:ascii="宋体" w:hAnsi="宋体" w:cs="宋体" w:eastAsia="宋体" w:hint="default"/>
          <w:sz w:val="24"/>
          <w:szCs w:val="24"/>
        </w:rPr>
      </w:pPr>
    </w:p>
    <w:p>
      <w:pPr>
        <w:spacing w:line="357" w:lineRule="auto" w:before="190"/>
        <w:ind w:left="634" w:right="95"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编制和公允列报财务报表是贵公司管理层的责任。这种责任包括：（</w:t>
      </w:r>
      <w:r>
        <w:rPr>
          <w:rFonts w:ascii="宋体" w:hAnsi="宋体" w:cs="宋体" w:eastAsia="宋体" w:hint="default"/>
          <w:spacing w:val="-3"/>
          <w:sz w:val="24"/>
          <w:szCs w:val="24"/>
        </w:rPr>
        <w:t>1</w:t>
      </w:r>
      <w:r>
        <w:rPr>
          <w:rFonts w:ascii="宋体" w:hAnsi="宋体" w:cs="宋体" w:eastAsia="宋体" w:hint="default"/>
          <w:spacing w:val="-3"/>
          <w:sz w:val="24"/>
          <w:szCs w:val="24"/>
        </w:rPr>
        <w:t>）按照企业会计准</w:t>
      </w:r>
    </w:p>
    <w:p>
      <w:pPr>
        <w:pStyle w:val="BodyText"/>
        <w:spacing w:line="357" w:lineRule="auto"/>
        <w:ind w:right="95"/>
        <w:jc w:val="left"/>
      </w:pP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w:t>
      </w:r>
      <w:r>
        <w:rPr>
          <w:spacing w:val="-82"/>
        </w:rPr>
        <w:t> </w:t>
      </w:r>
      <w:r>
        <w:rPr>
          <w:spacing w:val="-82"/>
        </w:rPr>
      </w:r>
      <w:r>
        <w:rPr/>
        <w:t>使财务报表不存在由于舞弊或错误导致的重大错报。</w:t>
      </w:r>
    </w:p>
    <w:p>
      <w:pPr>
        <w:spacing w:line="240" w:lineRule="auto" w:before="0"/>
        <w:rPr>
          <w:rFonts w:ascii="宋体" w:hAnsi="宋体" w:cs="宋体" w:eastAsia="宋体" w:hint="default"/>
          <w:sz w:val="24"/>
          <w:szCs w:val="24"/>
        </w:rPr>
      </w:pPr>
    </w:p>
    <w:p>
      <w:pPr>
        <w:spacing w:line="357" w:lineRule="auto" w:before="190"/>
        <w:ind w:left="634" w:right="95"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ind w:left="154" w:right="95"/>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ind w:right="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BodyText"/>
        <w:spacing w:line="240" w:lineRule="auto"/>
        <w:ind w:left="633" w:right="95"/>
        <w:jc w:val="left"/>
      </w:pPr>
      <w:r>
        <w:rPr/>
        <w:t>我们相信，我们获取的审计证据是充分、适当的，为发表审计意见提供了基础。</w:t>
      </w:r>
    </w:p>
    <w:p>
      <w:pPr>
        <w:spacing w:after="0" w:line="240" w:lineRule="auto"/>
        <w:jc w:val="left"/>
        <w:sectPr>
          <w:type w:val="continuous"/>
          <w:pgSz w:w="11910" w:h="16840"/>
          <w:pgMar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57" w:lineRule="auto" w:before="26"/>
        <w:ind w:left="633"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我们认为，上述财务报表在所有重大方面按照企业会计准则的规定编制，公允反映了北</w:t>
      </w:r>
    </w:p>
    <w:p>
      <w:pPr>
        <w:pStyle w:val="BodyText"/>
        <w:spacing w:line="357" w:lineRule="auto"/>
        <w:ind w:right="0"/>
        <w:jc w:val="left"/>
      </w:pPr>
      <w:r>
        <w:rPr/>
        <w:t>京数字政通科技股份有限公司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2014</w:t>
      </w:r>
      <w:r>
        <w:rPr/>
        <w:t>年度合并及公</w:t>
      </w:r>
      <w:r>
        <w:rPr>
          <w:spacing w:val="-105"/>
        </w:rPr>
        <w:t> </w:t>
      </w:r>
      <w:r>
        <w:rPr>
          <w:spacing w:val="-105"/>
        </w:rPr>
      </w:r>
      <w:r>
        <w:rPr/>
        <w:t>司的经营成果和现金流量。</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2"/>
        <w:spacing w:line="240" w:lineRule="auto"/>
        <w:ind w:left="154" w:right="0"/>
        <w:jc w:val="left"/>
        <w:rPr>
          <w:b w:val="0"/>
          <w:bCs w:val="0"/>
        </w:rPr>
      </w:pPr>
      <w:bookmarkStart w:name="二、财务报表" w:id="110"/>
      <w:bookmarkEnd w:id="11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合并资产负债表" w:id="111"/>
      <w:bookmarkEnd w:id="1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编制单位：北京数字政通科技股份有限公司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575" w:space="503"/>
            <w:col w:w="1639" w:space="3203"/>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547,524,539.13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689,294,474.03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364,451,160.39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206,278,465.62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8,237,868.25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3,901,315.97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58,480,330.14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48,910,706.03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46,745,287.17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41,089,024.60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68,426,481.29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3,236,105.13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1,099,145,666.37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993,010,091.38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72,400,585.59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32,961,018.24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83,709,393.59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84,627,100.13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1,891,807.89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84,863,102.28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82,817,254.45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34,538,330.81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31,452,691.76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27,283,004.88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27,283,004.88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9,735,211.27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5,469,596.79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312,762,128.42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266,502,474.14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1,411,907,794.79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1,259,512,565.52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125,139,030.75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84,394,955.10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6,819,724.28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1,378,080.00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53,481,183.89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35,098,627.31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8,093,084.72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9,797,965.04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7,681,729.53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3,498,562.30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17,010,867.09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20,624,756.49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5,498,199.30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28,231,946.08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223,723,819.56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183,024,892.32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19,111,959.12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2,847,622.49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11,281,723.83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12,684,731.02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37,051,305.44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16,184,231.02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260,775,125.00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199,209,123.34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603,922,238.72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658,684,369.68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41,233,227.07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31,203,862.26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305,655,963.73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221,827,556.50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1,140,954,229.52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1,037,715,788.44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10,178,440.27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22,587,653.74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1,151,132,669.79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1,060,303,442.18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1,411,907,794.79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1,259,512,565.52</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12"/>
      <w:bookmarkEnd w:id="1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536,379,125.96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652,835,822.87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245,050,792.30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161,731,843.78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78,943,393.92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56,280,172.14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442,334.66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373,985.31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926,140,646.84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871,273,824.10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13,765,656.80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81,450,123.02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83,776,151.70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1,891,807.89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29,851,826.50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18,853,587.73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27,657,250.73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26,925,621.04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4,678,836.19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2,945,171.99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297,303,693.24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247,592,340.35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1,223,444,340.08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1,118,866,164.45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34,081,534.38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24,239,290.33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5,808,124.82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3,152,172.81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15,689,984.05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19,814,996.90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34,487,011.70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29,257,578.40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90,066,654.95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76,464,038.44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2,847,622.49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6,657,622.49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96,724,277.44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79,963,538.44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607,264,991.97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658,684,003.46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41,233,227.07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31,203,862.26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288,079,043.60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223,014,760.29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1,126,720,062.64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1,038,902,626.01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1,223,444,340.08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1,118,866,164.45</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3、合并利润表" w:id="113"/>
      <w:bookmarkEnd w:id="1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682.119995pt;width:157.7pt;height:19.650pt;mso-position-horizontal-relative:page;mso-position-vertical-relative:page;z-index:-743968" coordorigin="4245,13642" coordsize="3154,393">
            <v:shape style="position:absolute;left:4245;top:13642;width:3154;height:393" coordorigin="4245,13642" coordsize="3154,393" path="m4245,14035l7399,14035,7399,13642,4245,13642,4245,140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546,086,754.32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406,357,113.32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546,086,754.32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406,357,113.32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439,292,738.63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343,612,494.73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303,910,169.09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246,590,562.38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4,768,545.20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4,713,179.92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39,959,907.87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29,635,857.69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82,935,768.92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68,186,482.35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-9,442,774.90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-13,032,710.66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17,161,122.45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7,519,123.05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106,794,015.69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62,744,618.59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26,881,634.33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31,424,624.47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85,453.75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80,641.09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743.90</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133,674,897.53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94,168,499.16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6,669,458.43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652,149.35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127,005,439.10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93,516,349.81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119,057,772.04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94,035,979.70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7,947,667.06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-519,629.89</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127,005,439.10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93,516,349.81</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119,057,772.04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94,035,979.70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7,947,667.06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-519,629.89</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法定代表人：吴强华</w:t>
        <w:tab/>
        <w:t>主管会计工作负责人：殷小敏</w:t>
        <w:tab/>
        <w:t>会计机构负责人：向华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母公司利润表" w:id="114"/>
      <w:bookmarkEnd w:id="11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366,589,763.36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292,693,340.40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197,682,793.22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154,519,508.19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3,467,758.48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3,793,540.27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24,754,247.04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20,318,070.91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55,176,592.89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47,535,127.19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-15,608,780.71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-14,151,123.88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10,667,542.20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4,910,446.21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90,449,610.24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75,767,771.51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20,362,790.05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26,584,137.74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85,453.75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80,641.09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743.90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110,811,747.80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102,351,165.35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10,518,099.68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7,088,537.55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100,293,648.12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95,262,627.80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100,293,648.12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95,262,627.80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5、合并现金流量表" w:id="115"/>
      <w:bookmarkEnd w:id="11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367,933,446.24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363,776,705.08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26,054,281.48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15,499,017.25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59,114,196.01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44,731,829.31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453,101,923.73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424,007,551.64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263,056,579.59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223,185,619.97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88,114,712.03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73,949,258.34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56,043,676.76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44,187,407.67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105,163,665.82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69,115,072.62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512,378,634.20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410,437,358.60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-59,276,710.47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13,570,193.04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31,181,554.14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31,710,058.46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371,256,403.63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402,437,957.77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31,710,058.46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-402,342,957.77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-31,607,308.46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9,416,197.00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84,394,955.10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174,666,197.00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84,394,955.10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107,393,965.23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33,056,298.94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17,968,666.67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164,150,264.17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50,448,666.67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10,515,932.83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33,946,288.43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-451,103,735.41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15,909,173.01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682,623,859.66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666,714,686.65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231,520,124.25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682,623,859.66</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6、母公司现金流量表" w:id="116"/>
      <w:bookmarkEnd w:id="11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288,469,572.28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290,011,130.35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23,925,570.29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10,673,530.52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144,019,429.65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101,010,822.06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456,414,572.22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401,695,482.93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150,353,811.79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113,596,951.29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65,242,130.54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58,008,839.61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46,091,614.59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36,855,528.65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177,603,406.81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110,960,504.96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439,290,963.73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319,421,824.51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17,123,608.49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82,273,658.42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102,750.00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29,268,899.28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31,198,179.51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371,256,403.63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427,225,302.91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63,678,179.51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-427,130,302.91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-63,575,429.51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9,416,197.00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9,416,197.00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-15,783,803.00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-425,790,497.42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1,898,228.91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646,165,208.50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644,266,979.59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220,374,711.08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646,165,208.50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合并所有者权益变动表" w:id="117"/>
      <w:bookmarkEnd w:id="11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6810"/>
        <w:gridCol w:w="665"/>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3"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658,684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,369.68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862.26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221,827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,556.50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653.74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03,442.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658,684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,369.68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862.26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221,827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,556.50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653.74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03,442.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-54,762,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407.23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213.47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90,829,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227.61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119,057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,772.04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7,947,6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127,005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,439.10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1,142,</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800.00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8,237,8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69.04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-20,356,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880.53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-10,976,</w:t>
            </w:r>
          </w:p>
          <w:p>
            <w:pPr>
              <w:pStyle w:val="TableParagraph"/>
              <w:spacing w:line="240" w:lineRule="auto" w:before="106"/>
              <w:ind w:left="112" w:right="0"/>
              <w:jc w:val="center"/>
              <w:rPr>
                <w:rFonts w:ascii="Times New Roman" w:hAnsi="Times New Roman" w:cs="Times New Roman" w:eastAsia="Times New Roman" w:hint="default"/>
                <w:sz w:val="18"/>
                <w:szCs w:val="18"/>
              </w:rPr>
            </w:pPr>
            <w:r>
              <w:rPr>
                <w:rFonts w:ascii="Times New Roman"/>
                <w:sz w:val="18"/>
              </w:rPr>
              <w:t>211.49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1,142,</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800.00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10,607,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208.51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11,750,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008.51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973,780</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973,780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-3,343,1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19.47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-20,356,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880.53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364.81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-35,229,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364.81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364.81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364.81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-25,200,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-25,200,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190,14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603,922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,238.72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41,233,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227.07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305,655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,963.73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10,178,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440.27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697,228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,339.68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21,677,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599.48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154,117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,839.58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23,107,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283.63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980,131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,062.37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84,000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697,228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21,677,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5" w:right="0"/>
              <w:jc w:val="left"/>
              <w:rPr>
                <w:rFonts w:ascii="Times New Roman" w:hAnsi="Times New Roman" w:cs="Times New Roman" w:eastAsia="Times New Roman" w:hint="default"/>
                <w:sz w:val="18"/>
                <w:szCs w:val="18"/>
              </w:rPr>
            </w:pPr>
            <w:r>
              <w:rPr>
                <w:rFonts w:ascii="Times New Roman"/>
                <w:sz w:val="18"/>
              </w:rPr>
              <w:t>154,117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23,107,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980,131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,339.68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599.48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,839.58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283.63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,062.37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-38,543,</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970.00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9,526,2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67,709,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716.92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-519,62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80,172,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379.81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94,035,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979.70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-519,62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93,516,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349.81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3,456,0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3,456,0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3,456,0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3,456,0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9,526,2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-26,326,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262.78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9,526,2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-9,526,2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658,684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,369.68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221,827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,556.50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22,587,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653.74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03,442.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8、母公司所有者权益变动表" w:id="118"/>
      <w:bookmarkEnd w:id="11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658,684,0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03.46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31,203,86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223,014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,760.29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1,038,902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,626.01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658,684,0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31,203,86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223,014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,760.29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1,038,902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,626.01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64,142,8</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-51,419,0</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11.49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65,064,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283.31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87,817,43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6.63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100,293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,648.12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1,142,80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11,580,98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12,723,78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8.51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1,142,80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10,607,20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11,750,00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8.51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973,780.0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973,780.0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-35,229,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364.81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10,029,36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-10,029,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364.81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-25,200,0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190,142,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607,264,9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41,233,22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288,079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,043.60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1,126,720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,062.64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697,227,9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73.46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21,677,59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154,078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,395.27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956,983,9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68.21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697,227,9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73.46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21,677,59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154,078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,395.27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956,983,9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68.21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-38,543,9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9,526,262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68,936,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365.02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81,918,65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95,262,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627.80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95,262,62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3,456,030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3,456,030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3,456,030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3,456,030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9,526,262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-26,326,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262.78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9,526,262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-9,526,2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62.78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658,684,0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31,203,86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223,014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,760.29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1,038,902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,626.01</w:t>
            </w:r>
          </w:p>
        </w:tc>
      </w:tr>
    </w:tbl>
    <w:p>
      <w:pPr>
        <w:spacing w:line="240" w:lineRule="auto" w:before="2"/>
        <w:rPr>
          <w:rFonts w:ascii="宋体" w:hAnsi="宋体" w:cs="宋体" w:eastAsia="宋体" w:hint="default"/>
          <w:sz w:val="18"/>
          <w:szCs w:val="18"/>
        </w:rPr>
      </w:pPr>
    </w:p>
    <w:p>
      <w:pPr>
        <w:pStyle w:val="BodyText"/>
        <w:spacing w:line="528" w:lineRule="auto" w:before="26"/>
        <w:ind w:left="636" w:right="148" w:hanging="483"/>
        <w:jc w:val="left"/>
      </w:pPr>
      <w:bookmarkStart w:name="三、公司基本情况" w:id="119"/>
      <w:bookmarkEnd w:id="119"/>
      <w:r>
        <w:rPr/>
      </w:r>
      <w:r>
        <w:rPr>
          <w:rFonts w:ascii="宋体" w:hAnsi="宋体" w:cs="宋体" w:eastAsia="宋体" w:hint="default"/>
          <w:b/>
          <w:bCs/>
        </w:rPr>
        <w:t>三、公司基本情况</w:t>
      </w:r>
      <w:r>
        <w:rPr>
          <w:rFonts w:ascii="宋体" w:hAnsi="宋体" w:cs="宋体" w:eastAsia="宋体" w:hint="default"/>
          <w:b/>
          <w:bCs/>
          <w:w w:val="99"/>
        </w:rPr>
        <w:t> </w:t>
      </w:r>
      <w:r>
        <w:rPr>
          <w:spacing w:val="-1"/>
        </w:rPr>
        <w:t>北京数字政通科技股份有限公司（以下简称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日经北京</w:t>
      </w:r>
    </w:p>
    <w:p>
      <w:pPr>
        <w:spacing w:after="0" w:line="528"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40" w:lineRule="auto" w:before="26"/>
        <w:ind w:right="95"/>
        <w:jc w:val="left"/>
      </w:pPr>
      <w:r>
        <w:rPr/>
        <w:t>市工商行政管理局批准成立的有限责任公司，成立时注册公司名称为北京数字通图科技有限 公司，</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日更名为北京数字政通科技有限公司。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日经整体变更设立股份 </w:t>
      </w:r>
      <w:r>
        <w:rPr>
          <w:spacing w:val="2"/>
        </w:rPr>
        <w:t>有限公司，更名为北京数字政通科技股份有限公司，注册资本</w:t>
      </w:r>
      <w:r>
        <w:rPr>
          <w:rFonts w:ascii="Times New Roman" w:hAnsi="Times New Roman" w:cs="Times New Roman" w:eastAsia="Times New Roman" w:hint="default"/>
          <w:spacing w:val="2"/>
        </w:rPr>
        <w:t>4,200</w:t>
      </w:r>
      <w:r>
        <w:rPr>
          <w:spacing w:val="2"/>
        </w:rPr>
        <w:t>万元。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日公</w:t>
      </w:r>
      <w:r>
        <w:rPr>
          <w:spacing w:val="3"/>
        </w:rPr>
        <w:t> </w:t>
      </w:r>
      <w:r>
        <w:rPr>
          <w:spacing w:val="-4"/>
        </w:rPr>
        <w:t>司向社会公众公开发行流通股</w:t>
      </w:r>
      <w:r>
        <w:rPr>
          <w:rFonts w:ascii="Times New Roman" w:hAnsi="Times New Roman" w:cs="Times New Roman" w:eastAsia="Times New Roman" w:hint="default"/>
          <w:spacing w:val="-4"/>
        </w:rPr>
        <w:t>1,400</w:t>
      </w:r>
      <w:r>
        <w:rPr>
          <w:spacing w:val="-4"/>
        </w:rPr>
        <w:t>万股，并在深圳证券交易所上市交易，股票代码为</w:t>
      </w:r>
      <w:r>
        <w:rPr>
          <w:rFonts w:ascii="Times New Roman" w:hAnsi="Times New Roman" w:cs="Times New Roman" w:eastAsia="Times New Roman" w:hint="default"/>
          <w:spacing w:val="-4"/>
        </w:rPr>
        <w:t>300075</w:t>
      </w:r>
      <w:r>
        <w:rPr>
          <w:spacing w:val="-4"/>
        </w:rPr>
        <w:t>。</w:t>
      </w:r>
      <w:r>
        <w:rPr>
          <w:spacing w:val="-74"/>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日，经公司</w:t>
      </w:r>
      <w:r>
        <w:rPr>
          <w:rFonts w:ascii="Times New Roman" w:hAnsi="Times New Roman" w:cs="Times New Roman" w:eastAsia="Times New Roman" w:hint="default"/>
        </w:rPr>
        <w:t>2010</w:t>
      </w:r>
      <w:r>
        <w:rPr/>
        <w:t>年年度股东大会审议通过了《</w:t>
      </w:r>
      <w:r>
        <w:rPr>
          <w:rFonts w:ascii="Times New Roman" w:hAnsi="Times New Roman" w:cs="Times New Roman" w:eastAsia="Times New Roman" w:hint="default"/>
        </w:rPr>
        <w:t>2010</w:t>
      </w:r>
      <w:r>
        <w:rPr/>
        <w:t>年度利润分配和资本公积金转 增股本的议案》，以</w:t>
      </w:r>
      <w:r>
        <w:rPr>
          <w:rFonts w:ascii="Times New Roman" w:hAnsi="Times New Roman" w:cs="Times New Roman" w:eastAsia="Times New Roman" w:hint="default"/>
        </w:rPr>
        <w:t>2010</w:t>
      </w:r>
      <w:r>
        <w:rPr/>
        <w:t>年末总股本</w:t>
      </w:r>
      <w:r>
        <w:rPr>
          <w:rFonts w:ascii="Times New Roman" w:hAnsi="Times New Roman" w:cs="Times New Roman" w:eastAsia="Times New Roman" w:hint="default"/>
        </w:rPr>
        <w:t>5,600</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w:t>
      </w:r>
      <w:r>
        <w:rPr>
          <w:spacing w:val="-34"/>
        </w:rPr>
        <w:t> </w:t>
      </w:r>
      <w:r>
        <w:rPr>
          <w:spacing w:val="-34"/>
        </w:rPr>
      </w:r>
      <w:r>
        <w:rPr>
          <w:rFonts w:ascii="Times New Roman" w:hAnsi="Times New Roman" w:cs="Times New Roman" w:eastAsia="Times New Roman" w:hint="default"/>
        </w:rPr>
        <w:t>2,800</w:t>
      </w:r>
      <w:r>
        <w:rPr/>
        <w:t>万股。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日，经公司董事会决议审议通过了《</w:t>
      </w:r>
      <w:r>
        <w:rPr>
          <w:rFonts w:ascii="Times New Roman" w:hAnsi="Times New Roman" w:cs="Times New Roman" w:eastAsia="Times New Roman" w:hint="default"/>
        </w:rPr>
        <w:t>2012</w:t>
      </w:r>
      <w:r>
        <w:rPr/>
        <w:t>年度利润分配预案》，以</w:t>
      </w:r>
    </w:p>
    <w:p>
      <w:pPr>
        <w:pStyle w:val="BodyText"/>
        <w:spacing w:line="338" w:lineRule="auto" w:before="24"/>
        <w:ind w:right="229"/>
        <w:jc w:val="both"/>
      </w:pPr>
      <w:r>
        <w:rPr>
          <w:rFonts w:ascii="Times New Roman" w:hAnsi="Times New Roman" w:cs="Times New Roman" w:eastAsia="Times New Roman" w:hint="default"/>
          <w:spacing w:val="2"/>
        </w:rPr>
        <w:t>2012</w:t>
      </w:r>
      <w:r>
        <w:rPr>
          <w:spacing w:val="2"/>
        </w:rPr>
        <w:t>年末总股本</w:t>
      </w:r>
      <w:r>
        <w:rPr>
          <w:rFonts w:ascii="Times New Roman" w:hAnsi="Times New Roman" w:cs="Times New Roman" w:eastAsia="Times New Roman" w:hint="default"/>
          <w:spacing w:val="2"/>
        </w:rPr>
        <w:t>8,400</w:t>
      </w:r>
      <w:r>
        <w:rPr>
          <w:spacing w:val="2"/>
        </w:rPr>
        <w:t>万股为基数，以资本公积金每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w:t>
      </w:r>
      <w:r>
        <w:rPr>
          <w:rFonts w:ascii="Times New Roman" w:hAnsi="Times New Roman" w:cs="Times New Roman" w:eastAsia="Times New Roman" w:hint="default"/>
          <w:spacing w:val="2"/>
        </w:rPr>
        <w:t>4,200</w:t>
      </w:r>
      <w:r>
        <w:rPr>
          <w:spacing w:val="2"/>
        </w:rPr>
        <w:t>万股。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3"/>
        </w:rPr>
        <w:t> </w:t>
      </w:r>
      <w:r>
        <w:rPr/>
        <w:t>月，经公司董事会决议审议通过了《</w:t>
      </w:r>
      <w:r>
        <w:rPr>
          <w:rFonts w:ascii="Times New Roman" w:hAnsi="Times New Roman" w:cs="Times New Roman" w:eastAsia="Times New Roman" w:hint="default"/>
        </w:rPr>
        <w:t>2014</w:t>
      </w:r>
      <w:r>
        <w:rPr/>
        <w:t>年度利润分配方案》，以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12,600</w:t>
      </w:r>
      <w:r>
        <w:rPr/>
        <w:t>万</w:t>
      </w:r>
      <w:r>
        <w:rPr>
          <w:spacing w:val="-32"/>
        </w:rPr>
        <w:t> </w:t>
      </w:r>
      <w:r>
        <w:rPr>
          <w:spacing w:val="-7"/>
        </w:rPr>
        <w:t>股为基数，以资本公积金每</w:t>
      </w:r>
      <w:r>
        <w:rPr>
          <w:rFonts w:ascii="Times New Roman" w:hAnsi="Times New Roman" w:cs="Times New Roman" w:eastAsia="Times New Roman" w:hint="default"/>
          <w:spacing w:val="-7"/>
        </w:rPr>
        <w:t>10</w:t>
      </w:r>
      <w:r>
        <w:rPr>
          <w:spacing w:val="-7"/>
        </w:rPr>
        <w:t>股转增</w:t>
      </w:r>
      <w:r>
        <w:rPr>
          <w:rFonts w:ascii="Times New Roman" w:hAnsi="Times New Roman" w:cs="Times New Roman" w:eastAsia="Times New Roman" w:hint="default"/>
          <w:spacing w:val="-7"/>
        </w:rPr>
        <w:t>5</w:t>
      </w:r>
      <w:r>
        <w:rPr>
          <w:spacing w:val="-7"/>
        </w:rPr>
        <w:t>股，共计</w:t>
      </w:r>
      <w:r>
        <w:rPr>
          <w:rFonts w:ascii="Times New Roman" w:hAnsi="Times New Roman" w:cs="Times New Roman" w:eastAsia="Times New Roman" w:hint="default"/>
          <w:spacing w:val="-7"/>
        </w:rPr>
        <w:t>6,300</w:t>
      </w:r>
      <w:r>
        <w:rPr>
          <w:spacing w:val="-7"/>
        </w:rPr>
        <w:t>万股。</w:t>
      </w:r>
      <w:r>
        <w:rPr>
          <w:rFonts w:ascii="Times New Roman" w:hAnsi="Times New Roman" w:cs="Times New Roman" w:eastAsia="Times New Roman" w:hint="default"/>
          <w:spacing w:val="-7"/>
        </w:rPr>
        <w:t>2014</w:t>
      </w:r>
      <w:r>
        <w:rPr>
          <w:spacing w:val="-7"/>
        </w:rPr>
        <w:t>年股票期权行权增加股本</w:t>
      </w:r>
      <w:r>
        <w:rPr>
          <w:rFonts w:ascii="Times New Roman" w:hAnsi="Times New Roman" w:cs="Times New Roman" w:eastAsia="Times New Roman" w:hint="default"/>
          <w:spacing w:val="-7"/>
        </w:rPr>
        <w:t>114.28</w:t>
      </w:r>
      <w:r>
        <w:rPr>
          <w:rFonts w:ascii="Times New Roman" w:hAnsi="Times New Roman" w:cs="Times New Roman" w:eastAsia="Times New Roman" w:hint="default"/>
          <w:spacing w:val="-24"/>
        </w:rPr>
        <w:t> </w:t>
      </w:r>
      <w:r>
        <w:rPr/>
        <w:t>万股。截至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19,014.28</w:t>
      </w:r>
      <w:r>
        <w:rPr/>
        <w:t>万股。</w:t>
      </w:r>
    </w:p>
    <w:p>
      <w:pPr>
        <w:pStyle w:val="BodyText"/>
        <w:spacing w:line="338" w:lineRule="auto" w:before="27"/>
        <w:ind w:left="636" w:right="222"/>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日决议批准报出。 </w:t>
      </w:r>
      <w:r>
        <w:rPr>
          <w:spacing w:val="-2"/>
        </w:rPr>
        <w:t>公司的法定代表人为吴强华，营业执照注册号：</w:t>
      </w:r>
      <w:r>
        <w:rPr>
          <w:rFonts w:ascii="Times New Roman" w:hAnsi="Times New Roman" w:cs="Times New Roman" w:eastAsia="Times New Roman" w:hint="default"/>
          <w:spacing w:val="-2"/>
        </w:rPr>
        <w:t>110108003382370</w:t>
      </w:r>
      <w:r>
        <w:rPr>
          <w:spacing w:val="-2"/>
        </w:rPr>
        <w:t>，注册地址：北京市海</w:t>
      </w:r>
    </w:p>
    <w:p>
      <w:pPr>
        <w:pStyle w:val="BodyText"/>
        <w:spacing w:line="338" w:lineRule="auto" w:before="27"/>
        <w:ind w:left="636" w:right="95" w:hanging="483"/>
        <w:jc w:val="left"/>
      </w:pPr>
      <w:r>
        <w:rPr/>
        <w:t>淀区西直门北大街</w:t>
      </w:r>
      <w:r>
        <w:rPr>
          <w:rFonts w:ascii="Times New Roman" w:hAnsi="Times New Roman" w:cs="Times New Roman" w:eastAsia="Times New Roman" w:hint="default"/>
        </w:rPr>
        <w:t>32</w:t>
      </w:r>
      <w:r>
        <w:rPr/>
        <w:t>号枫蓝国际中心</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18</w:t>
      </w:r>
      <w:r>
        <w:rPr/>
        <w:t>层。 公司经营范围为：许可经营项目：专业承包。一般经营项目：基础软件服务、应用软件</w:t>
      </w:r>
    </w:p>
    <w:p>
      <w:pPr>
        <w:pStyle w:val="BodyText"/>
        <w:spacing w:line="357" w:lineRule="auto" w:before="56"/>
        <w:ind w:right="95"/>
        <w:jc w:val="left"/>
      </w:pPr>
      <w:r>
        <w:rPr>
          <w:spacing w:val="-3"/>
        </w:rPr>
        <w:t>服务、技术开发、技术转让、技术服务、技术咨询、技术推广；产品设计；计算机系统服务；</w:t>
      </w:r>
      <w:r>
        <w:rPr>
          <w:spacing w:val="-81"/>
        </w:rPr>
        <w:t> </w:t>
      </w:r>
      <w:r>
        <w:rPr>
          <w:spacing w:val="-81"/>
        </w:rPr>
      </w:r>
      <w:r>
        <w:rPr/>
        <w:t>数据处理；经济贸易资讯；投资咨询；项目投资；投资管理；资产管理；货物进出口、技术 进出口、代理进出口；销售通讯设备、电子产品、计算机、软件及辅助设备。</w:t>
      </w:r>
    </w:p>
    <w:p>
      <w:pPr>
        <w:pStyle w:val="BodyText"/>
        <w:spacing w:line="338" w:lineRule="auto"/>
        <w:ind w:right="230" w:firstLine="482"/>
        <w:jc w:val="both"/>
      </w:pPr>
      <w:r>
        <w:rPr>
          <w:spacing w:val="-2"/>
        </w:rPr>
        <w:t>本公司</w:t>
      </w:r>
      <w:r>
        <w:rPr>
          <w:rFonts w:ascii="Times New Roman" w:hAnsi="Times New Roman" w:cs="Times New Roman" w:eastAsia="Times New Roman" w:hint="default"/>
          <w:spacing w:val="-2"/>
        </w:rPr>
        <w:t>2014</w:t>
      </w:r>
      <w:r>
        <w:rPr>
          <w:spacing w:val="-2"/>
        </w:rPr>
        <w:t>年度纳入合并范围的子公司共</w:t>
      </w:r>
      <w:r>
        <w:rPr>
          <w:rFonts w:ascii="Times New Roman" w:hAnsi="Times New Roman" w:cs="Times New Roman" w:eastAsia="Times New Roman" w:hint="default"/>
          <w:spacing w:val="-2"/>
        </w:rPr>
        <w:t>6</w:t>
      </w:r>
      <w:r>
        <w:rPr>
          <w:spacing w:val="-2"/>
        </w:rPr>
        <w:t>户，详见本附注</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w:t>
      </w:r>
      <w:r>
        <w:rPr/>
        <w:t> 司本年度合并范围比上年度增加</w:t>
      </w:r>
      <w:r>
        <w:rPr>
          <w:rFonts w:ascii="Times New Roman" w:hAnsi="Times New Roman" w:cs="Times New Roman" w:eastAsia="Times New Roman" w:hint="default"/>
        </w:rPr>
        <w:t>2</w:t>
      </w:r>
      <w:r>
        <w:rPr/>
        <w:t>户，详见本附注</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528" w:lineRule="auto" w:before="27"/>
        <w:ind w:left="154" w:right="5050" w:firstLine="482"/>
        <w:jc w:val="left"/>
        <w:rPr>
          <w:rFonts w:ascii="宋体" w:hAnsi="宋体" w:cs="宋体" w:eastAsia="宋体" w:hint="default"/>
          <w:sz w:val="24"/>
          <w:szCs w:val="24"/>
        </w:rPr>
      </w:pPr>
      <w:r>
        <w:rPr>
          <w:rFonts w:ascii="宋体" w:hAnsi="宋体" w:cs="宋体" w:eastAsia="宋体" w:hint="default"/>
          <w:sz w:val="24"/>
          <w:szCs w:val="24"/>
        </w:rPr>
        <w:t>本公司及各子公司主要从事计算机服务。 </w:t>
      </w:r>
      <w:bookmarkStart w:name="四、财务报表的编制基础" w:id="120"/>
      <w:bookmarkEnd w:id="120"/>
      <w:r>
        <w:rPr>
          <w:rFonts w:ascii="宋体" w:hAnsi="宋体" w:cs="宋体" w:eastAsia="宋体" w:hint="default"/>
          <w:sz w:val="24"/>
          <w:szCs w:val="24"/>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spacing w:before="34"/>
        <w:ind w:left="154" w:right="95" w:firstLine="0"/>
        <w:jc w:val="left"/>
        <w:rPr>
          <w:rFonts w:ascii="宋体" w:hAnsi="宋体" w:cs="宋体" w:eastAsia="宋体" w:hint="default"/>
          <w:sz w:val="21"/>
          <w:szCs w:val="21"/>
        </w:rPr>
      </w:pPr>
      <w:bookmarkStart w:name="1、编制基础" w:id="121"/>
      <w:bookmarkEnd w:id="12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231" w:firstLine="482"/>
        <w:jc w:val="both"/>
      </w:pPr>
      <w:r>
        <w:rPr/>
        <w:t>本公司财务报表以持续经营假设为基础，根据实际发生的交易和事项，按照财政部发布 的《企业会计准则——基本准则》（财政部令第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rFonts w:ascii="宋体" w:hAnsi="宋体" w:cs="宋体" w:eastAsia="宋体" w:hint="default"/>
          <w:spacing w:val="-108"/>
        </w:rPr>
        <w:t> </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日及其后颁布和修订的</w:t>
      </w:r>
      <w:r>
        <w:rPr>
          <w:rFonts w:ascii="宋体" w:hAnsi="宋体" w:cs="宋体" w:eastAsia="宋体" w:hint="default"/>
          <w:spacing w:val="-2"/>
        </w:rPr>
        <w:t>41</w:t>
      </w:r>
      <w:r>
        <w:rPr>
          <w:spacing w:val="-2"/>
        </w:rPr>
        <w:t>项具体会计准则、企业会计准则应用指南、企业会计准则解</w:t>
      </w:r>
      <w:r>
        <w:rPr>
          <w:spacing w:val="-116"/>
        </w:rPr>
        <w:t> </w:t>
      </w:r>
      <w:r>
        <w:rPr>
          <w:spacing w:val="-116"/>
        </w:rPr>
      </w:r>
      <w:r>
        <w:rPr/>
        <w:t>释及其他相关规定（以下合称“企业会计准则”），以及中国证券监督管理委员会《公开发</w:t>
      </w:r>
      <w:r>
        <w:rPr>
          <w:spacing w:val="-114"/>
        </w:rPr>
        <w:t> </w:t>
      </w:r>
      <w:r>
        <w:rPr>
          <w:spacing w:val="-114"/>
        </w:rPr>
      </w:r>
      <w:r>
        <w:rPr/>
        <w:t>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定编制。</w:t>
      </w:r>
    </w:p>
    <w:p>
      <w:pPr>
        <w:pStyle w:val="BodyText"/>
        <w:spacing w:line="357" w:lineRule="auto" w:before="154"/>
        <w:ind w:right="159" w:firstLine="482"/>
        <w:jc w:val="both"/>
      </w:pPr>
      <w:r>
        <w:rPr/>
        <w:t>根据企业会计准则的相关规定，本公司会计核算以权责发生制为基础。本财务报表均以 历史成本为计量基础。资产如果发生减值，则按照相关规定计提相应的减值准备。</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line="506" w:lineRule="auto" w:before="0"/>
        <w:ind w:left="489" w:right="3347" w:hanging="336"/>
        <w:jc w:val="left"/>
        <w:rPr>
          <w:rFonts w:ascii="宋体" w:hAnsi="宋体" w:cs="宋体" w:eastAsia="宋体" w:hint="default"/>
          <w:sz w:val="21"/>
          <w:szCs w:val="21"/>
        </w:rPr>
      </w:pPr>
      <w:bookmarkStart w:name="2、持续经营" w:id="122"/>
      <w:bookmarkEnd w:id="1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公司自报告期末起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个月的持续经营能力不存在重大怀疑的因素。</w:t>
      </w:r>
    </w:p>
    <w:p>
      <w:pPr>
        <w:pStyle w:val="Heading2"/>
        <w:spacing w:line="240" w:lineRule="auto" w:before="41"/>
        <w:ind w:left="154" w:right="0"/>
        <w:jc w:val="both"/>
        <w:rPr>
          <w:b w:val="0"/>
          <w:bCs w:val="0"/>
        </w:rPr>
      </w:pPr>
      <w:bookmarkStart w:name="五、重要会计政策及会计估计" w:id="123"/>
      <w:bookmarkEnd w:id="123"/>
      <w:r>
        <w:rPr>
          <w:b w:val="0"/>
          <w:bCs w:val="0"/>
        </w:rPr>
      </w:r>
      <w:r>
        <w:rPr/>
        <w:t>五、重要会计政策及会计估计</w:t>
      </w:r>
      <w:r>
        <w:rPr>
          <w:b w:val="0"/>
          <w:bCs w:val="0"/>
        </w:rPr>
      </w:r>
    </w:p>
    <w:p>
      <w:pPr>
        <w:spacing w:line="240" w:lineRule="auto" w:before="10"/>
        <w:rPr>
          <w:rFonts w:ascii="宋体" w:hAnsi="宋体" w:cs="宋体" w:eastAsia="宋体" w:hint="default"/>
          <w:b/>
          <w:bCs/>
          <w:sz w:val="28"/>
          <w:szCs w:val="28"/>
        </w:rPr>
      </w:pPr>
    </w:p>
    <w:p>
      <w:pPr>
        <w:pStyle w:val="BodyText"/>
        <w:spacing w:line="357" w:lineRule="auto" w:before="0"/>
        <w:ind w:left="636" w:right="0"/>
        <w:jc w:val="left"/>
        <w:rPr>
          <w:rFonts w:ascii="宋体" w:hAnsi="宋体" w:cs="宋体" w:eastAsia="宋体" w:hint="default"/>
        </w:rPr>
      </w:pPr>
      <w:r>
        <w:rPr/>
        <w:t>具体会计政策和会计估计提示： 本公司编制的财务报表符合企业会计准则的要求，真实、完整地反映了本公司</w:t>
      </w:r>
      <w:r>
        <w:rPr>
          <w:rFonts w:ascii="宋体" w:hAnsi="宋体" w:cs="宋体" w:eastAsia="宋体" w:hint="default"/>
        </w:rPr>
        <w:t>2014</w:t>
      </w:r>
      <w:r>
        <w:rPr/>
        <w:t>年</w:t>
      </w:r>
      <w:r>
        <w:rPr>
          <w:rFonts w:ascii="宋体" w:hAnsi="宋体" w:cs="宋体" w:eastAsia="宋体" w:hint="default"/>
        </w:rPr>
        <w:t>12</w:t>
      </w:r>
    </w:p>
    <w:p>
      <w:pPr>
        <w:pStyle w:val="BodyText"/>
        <w:spacing w:line="357" w:lineRule="auto"/>
        <w:ind w:right="155"/>
        <w:jc w:val="both"/>
      </w:pPr>
      <w:r>
        <w:rPr/>
        <w:t>月</w:t>
      </w:r>
      <w:r>
        <w:rPr>
          <w:rFonts w:ascii="宋体" w:hAnsi="宋体" w:cs="宋体" w:eastAsia="宋体" w:hint="default"/>
        </w:rPr>
        <w:t>31</w:t>
      </w:r>
      <w:r>
        <w:rPr/>
        <w:t>日的财务状况及</w:t>
      </w:r>
      <w:r>
        <w:rPr>
          <w:rFonts w:ascii="宋体" w:hAnsi="宋体" w:cs="宋体" w:eastAsia="宋体" w:hint="default"/>
        </w:rPr>
        <w:t>2014</w:t>
      </w:r>
      <w:r>
        <w:rPr/>
        <w:t>年度的经营成果和现金流量等有关信息。本公司的财务报表在所有</w:t>
      </w:r>
      <w:r>
        <w:rPr>
          <w:spacing w:val="-115"/>
        </w:rPr>
        <w:t> </w:t>
      </w:r>
      <w:r>
        <w:rPr>
          <w:spacing w:val="-115"/>
        </w:rPr>
      </w:r>
      <w:r>
        <w:rPr/>
        <w:t>重大方面符合中国证券监督管理委员会</w:t>
      </w:r>
      <w:r>
        <w:rPr>
          <w:rFonts w:ascii="宋体" w:hAnsi="宋体" w:cs="宋体" w:eastAsia="宋体" w:hint="default"/>
        </w:rPr>
        <w:t>2014</w:t>
      </w:r>
      <w:r>
        <w:rPr/>
        <w:t>年修订的《公开发行证券的公司信息披露编报规</w:t>
      </w:r>
      <w:r>
        <w:rPr>
          <w:spacing w:val="-112"/>
        </w:rPr>
        <w:t> </w:t>
      </w:r>
      <w:r>
        <w:rPr>
          <w:spacing w:val="-112"/>
        </w:rPr>
      </w:r>
      <w:r>
        <w:rPr/>
        <w:t>则第</w:t>
      </w:r>
      <w:r>
        <w:rPr>
          <w:rFonts w:ascii="宋体" w:hAnsi="宋体" w:cs="宋体" w:eastAsia="宋体" w:hint="default"/>
        </w:rPr>
        <w:t>15</w:t>
      </w:r>
      <w:r>
        <w:rPr/>
        <w:t>号－财务报告的一般规定》有关财务报表及其附注的披露要求。</w:t>
      </w:r>
    </w:p>
    <w:p>
      <w:pPr>
        <w:spacing w:line="240" w:lineRule="auto" w:before="8"/>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1、遵循企业会计准则的声明" w:id="124"/>
      <w:bookmarkEnd w:id="1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49" w:firstLine="482"/>
        <w:jc w:val="both"/>
      </w:pPr>
      <w:r>
        <w:rPr/>
        <w:t>本公司及各子公司从事计算机服务经营。本公司及各子公司根据实际生产经营特点，依</w:t>
      </w:r>
      <w:r>
        <w:rPr>
          <w:spacing w:val="1"/>
        </w:rPr>
        <w:t> </w:t>
      </w:r>
      <w:r>
        <w:rPr/>
        <w:t>据相关企业会计准则的规定，对收入确认、研究开发支出等交易和事项制定了若干项具体会</w:t>
      </w:r>
      <w:r>
        <w:rPr>
          <w:spacing w:val="-114"/>
        </w:rPr>
        <w:t> </w:t>
      </w:r>
      <w:r>
        <w:rPr>
          <w:spacing w:val="-114"/>
        </w:rPr>
      </w:r>
      <w:r>
        <w:rPr/>
        <w:t>计政策和会计估计，详见本附注“收入”、“无形资产”各项描述。</w:t>
      </w:r>
    </w:p>
    <w:p>
      <w:pPr>
        <w:spacing w:line="240" w:lineRule="auto" w:before="8"/>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会计期间" w:id="125"/>
      <w:bookmarkEnd w:id="1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9" w:firstLine="482"/>
        <w:jc w:val="both"/>
      </w:pPr>
      <w:r>
        <w:rPr/>
        <w:t>本公司的会计期间分为年度和中期，会计中期指短于一个完整的会计年度的报告期间。 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3、营业周期" w:id="126"/>
      <w:bookmarkEnd w:id="1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9" w:firstLine="482"/>
        <w:jc w:val="both"/>
      </w:pPr>
      <w:r>
        <w:rPr/>
        <w:t>正常营业周期是指本公司从购买用于加工的资产起至实现现金或现金等价物的期间。本 公司以</w:t>
      </w:r>
      <w:r>
        <w:rPr>
          <w:rFonts w:ascii="宋体" w:hAnsi="宋体" w:cs="宋体" w:eastAsia="宋体" w:hint="default"/>
        </w:rPr>
        <w:t>12</w:t>
      </w:r>
      <w:r>
        <w:rPr/>
        <w:t>个月作为一个营业周期，并以其作为资产和负债的流动性划分标准。</w:t>
      </w:r>
    </w:p>
    <w:p>
      <w:pPr>
        <w:spacing w:after="0" w:line="357"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3" w:right="0" w:firstLine="0"/>
        <w:jc w:val="both"/>
        <w:rPr>
          <w:rFonts w:ascii="宋体" w:hAnsi="宋体" w:cs="宋体" w:eastAsia="宋体" w:hint="default"/>
          <w:sz w:val="21"/>
          <w:szCs w:val="21"/>
        </w:rPr>
      </w:pPr>
      <w:bookmarkStart w:name="4、记账本位币" w:id="127"/>
      <w:bookmarkEnd w:id="12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236" w:firstLine="482"/>
        <w:jc w:val="both"/>
      </w:pPr>
      <w:r>
        <w:rPr/>
        <w:t>人民币为本公司及境内子公司经营所处的主要经济环境中的货币，本公司及境内子公司 以人民币为记账本位币。本公司编制本财务报表时所采用的货币为人民币。</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5、同一控制下和非同一控制下企业合并的会计处理方法" w:id="128"/>
      <w:bookmarkEnd w:id="12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239" w:firstLine="482"/>
        <w:jc w:val="both"/>
      </w:pPr>
      <w:r>
        <w:rPr/>
        <w:t>企业合并，是指将两个或两个以上单独的企业合并形成一个报告主体的交易或事项。企 业合并分为同一控制下企业合并和非同一控制下企业合并。</w:t>
      </w:r>
    </w:p>
    <w:p>
      <w:pPr>
        <w:pStyle w:val="BodyText"/>
        <w:spacing w:line="357" w:lineRule="auto"/>
        <w:ind w:left="636" w:right="95"/>
        <w:jc w:val="left"/>
      </w:pPr>
      <w:r>
        <w:rPr/>
        <w:t>（</w:t>
      </w:r>
      <w:r>
        <w:rPr>
          <w:rFonts w:ascii="宋体" w:hAnsi="宋体" w:cs="宋体" w:eastAsia="宋体" w:hint="default"/>
        </w:rPr>
        <w:t>1</w:t>
      </w:r>
      <w:r>
        <w:rPr/>
        <w:t>）同一控制下企业合并 </w:t>
      </w:r>
      <w:r>
        <w:rPr>
          <w:spacing w:val="-3"/>
        </w:rPr>
        <w:t>参与合并的企业在合并前后均受同一方或相同的多方最终控制，且该控制并非暂时性的，</w:t>
      </w:r>
    </w:p>
    <w:p>
      <w:pPr>
        <w:pStyle w:val="BodyText"/>
        <w:spacing w:line="357" w:lineRule="auto"/>
        <w:ind w:right="236"/>
        <w:jc w:val="both"/>
      </w:pPr>
      <w:r>
        <w:rPr/>
        <w:t>为同一控制下的企业合并。同一控制下的企业合并，在合并日取得对其他参与合并企业控制 权的一方为合并方，参与合并的其他企业为被合并方。合并日，是指合并方实际取得对被合</w:t>
      </w:r>
      <w:r>
        <w:rPr>
          <w:spacing w:val="-116"/>
        </w:rPr>
        <w:t> </w:t>
      </w:r>
      <w:r>
        <w:rPr>
          <w:spacing w:val="-116"/>
        </w:rPr>
      </w:r>
      <w:r>
        <w:rPr/>
        <w:t>并方控制权的日期。</w:t>
      </w:r>
    </w:p>
    <w:p>
      <w:pPr>
        <w:pStyle w:val="BodyText"/>
        <w:spacing w:line="357" w:lineRule="auto"/>
        <w:ind w:right="239" w:firstLine="482"/>
        <w:jc w:val="both"/>
      </w:pPr>
      <w:r>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BodyText"/>
        <w:spacing w:line="240" w:lineRule="auto"/>
        <w:ind w:left="636" w:right="95"/>
        <w:jc w:val="left"/>
      </w:pPr>
      <w:r>
        <w:rPr/>
        <w:t>合并方为进行企业合并发生的各项直接费用，于发生时计入当期损益。</w:t>
      </w:r>
    </w:p>
    <w:p>
      <w:pPr>
        <w:pStyle w:val="BodyText"/>
        <w:spacing w:line="357" w:lineRule="auto" w:before="154"/>
        <w:ind w:left="636" w:right="95"/>
        <w:jc w:val="left"/>
      </w:pPr>
      <w:r>
        <w:rPr/>
        <w:t>（</w:t>
      </w:r>
      <w:r>
        <w:rPr>
          <w:rFonts w:ascii="宋体" w:hAnsi="宋体" w:cs="宋体" w:eastAsia="宋体" w:hint="default"/>
        </w:rPr>
        <w:t>2</w:t>
      </w:r>
      <w:r>
        <w:rPr/>
        <w:t>）非同一控制下企业合并 参与合并的企业在合并前后不受同一方或相同的多方最终控制的，为非同一控制下的企</w:t>
      </w:r>
    </w:p>
    <w:p>
      <w:pPr>
        <w:pStyle w:val="BodyText"/>
        <w:spacing w:line="357" w:lineRule="auto"/>
        <w:ind w:right="233"/>
        <w:jc w:val="both"/>
      </w:pPr>
      <w:r>
        <w:rPr/>
        <w:t>业合并。非同一控制下的企业合并，在购买日取得对其他参与合并企业控制权的一方为购买</w:t>
      </w:r>
      <w:r>
        <w:rPr>
          <w:spacing w:val="-113"/>
        </w:rPr>
        <w:t> </w:t>
      </w:r>
      <w:r>
        <w:rPr>
          <w:spacing w:val="-113"/>
        </w:rPr>
      </w:r>
      <w:r>
        <w:rPr/>
        <w:t>方，参与合并的其他企业为被购买方。购买日，是指为购买方实际取得对被购买方控制权的 日期。</w:t>
      </w:r>
    </w:p>
    <w:p>
      <w:pPr>
        <w:pStyle w:val="BodyText"/>
        <w:spacing w:line="357" w:lineRule="auto"/>
        <w:ind w:right="229" w:firstLine="482"/>
        <w:jc w:val="both"/>
      </w:pPr>
      <w:r>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宋体" w:hAnsi="宋体" w:cs="宋体" w:eastAsia="宋体" w:hint="default"/>
        </w:rPr>
        <w:t>12</w:t>
      </w:r>
      <w:r>
        <w:rPr/>
        <w:t>个月内出</w:t>
      </w:r>
      <w:r>
        <w:rPr>
          <w:spacing w:val="-109"/>
        </w:rPr>
        <w:t> </w:t>
      </w:r>
      <w:r>
        <w:rPr/>
        <w:t>现对购买日已存在情况的新的或进一步证据而需要调整或有对价的，相应调整合并商誉。购</w:t>
      </w:r>
      <w:r>
        <w:rPr/>
        <w:t> 买方发生的合并成本及在合并中取得的可辨认净资产按购买日的公允价值计量。合并成本大 于合并中取得的被购买方于购买日可辨认净资产公允价值份额的差额，确认为商誉。合并成</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BodyText"/>
        <w:spacing w:line="357" w:lineRule="auto"/>
        <w:ind w:right="154" w:firstLine="482"/>
        <w:jc w:val="both"/>
      </w:pPr>
      <w:r>
        <w:rPr/>
        <w:t>购买方取得被购买方的可抵扣暂时性差异，在购买日因不符合递延所得税资产确认条件 而未予确认的，在购买日后</w:t>
      </w:r>
      <w:r>
        <w:rPr>
          <w:rFonts w:ascii="宋体" w:hAnsi="宋体" w:cs="宋体" w:eastAsia="宋体" w:hint="default"/>
        </w:rPr>
        <w:t>12</w:t>
      </w:r>
      <w:r>
        <w:rPr/>
        <w:t>个月内，如取得新的或进一步的信息表明购买日的相关情况已</w:t>
      </w:r>
      <w:r>
        <w:rPr>
          <w:spacing w:val="-116"/>
        </w:rPr>
        <w:t> </w:t>
      </w:r>
      <w:r>
        <w:rPr/>
        <w:t>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BodyText"/>
        <w:spacing w:line="357" w:lineRule="auto"/>
        <w:ind w:right="149" w:firstLine="482"/>
        <w:jc w:val="both"/>
      </w:pPr>
      <w:r>
        <w:rPr/>
        <w:t>通过多次交易分步实现的非同一控制下企业合并，根据《财政部关于印发企业会计准则 </w:t>
      </w:r>
      <w:r>
        <w:rPr>
          <w:spacing w:val="-2"/>
        </w:rPr>
        <w:t>解释第</w:t>
      </w:r>
      <w:r>
        <w:rPr>
          <w:rFonts w:ascii="宋体" w:hAnsi="宋体" w:cs="宋体" w:eastAsia="宋体" w:hint="default"/>
          <w:spacing w:val="-2"/>
        </w:rPr>
        <w:t>5</w:t>
      </w:r>
      <w:r>
        <w:rPr>
          <w:spacing w:val="-2"/>
        </w:rPr>
        <w:t>号的通知》（财会〔</w:t>
      </w:r>
      <w:r>
        <w:rPr>
          <w:rFonts w:ascii="宋体" w:hAnsi="宋体" w:cs="宋体" w:eastAsia="宋体" w:hint="default"/>
          <w:spacing w:val="-2"/>
        </w:rPr>
        <w:t>2012</w:t>
      </w:r>
      <w:r>
        <w:rPr>
          <w:spacing w:val="-2"/>
        </w:rPr>
        <w:t>〕</w:t>
      </w:r>
      <w:r>
        <w:rPr>
          <w:rFonts w:ascii="宋体" w:hAnsi="宋体" w:cs="宋体" w:eastAsia="宋体" w:hint="default"/>
          <w:spacing w:val="-2"/>
        </w:rPr>
        <w:t>19</w:t>
      </w:r>
      <w:r>
        <w:rPr>
          <w:spacing w:val="-2"/>
        </w:rPr>
        <w:t>号）和《企业会计准则第</w:t>
      </w:r>
      <w:r>
        <w:rPr>
          <w:rFonts w:ascii="宋体" w:hAnsi="宋体" w:cs="宋体" w:eastAsia="宋体" w:hint="default"/>
          <w:spacing w:val="-2"/>
        </w:rPr>
        <w:t>33</w:t>
      </w:r>
      <w:r>
        <w:rPr>
          <w:spacing w:val="-2"/>
        </w:rPr>
        <w:t>号——合并财务报表》第五</w:t>
      </w:r>
      <w:r>
        <w:rPr>
          <w:spacing w:val="-115"/>
        </w:rPr>
        <w:t> </w:t>
      </w:r>
      <w:r>
        <w:rPr>
          <w:spacing w:val="-115"/>
        </w:rPr>
      </w:r>
      <w:r>
        <w:rPr/>
        <w:t>十一条关于“一揽子交易”的判断标准（参见本附注四、</w:t>
      </w:r>
      <w:r>
        <w:rPr>
          <w:rFonts w:ascii="宋体" w:hAnsi="宋体" w:cs="宋体" w:eastAsia="宋体" w:hint="default"/>
        </w:rPr>
        <w:t>5</w:t>
      </w:r>
      <w:r>
        <w:rPr/>
        <w:t>（</w:t>
      </w:r>
      <w:r>
        <w:rPr>
          <w:rFonts w:ascii="宋体" w:hAnsi="宋体" w:cs="宋体" w:eastAsia="宋体" w:hint="default"/>
        </w:rPr>
        <w:t>2</w:t>
      </w:r>
      <w:r>
        <w:rPr/>
        <w:t>）），判断该多次交易是否属</w:t>
      </w:r>
      <w:r>
        <w:rPr>
          <w:spacing w:val="-109"/>
        </w:rPr>
        <w:t> </w:t>
      </w:r>
      <w:r>
        <w:rPr/>
        <w:t>于“一揽子交易”。属于“一揽子交易”的，参考本部分前面各段描述及本附注四、</w:t>
      </w:r>
      <w:r>
        <w:rPr>
          <w:rFonts w:ascii="宋体" w:hAnsi="宋体" w:cs="宋体" w:eastAsia="宋体" w:hint="default"/>
        </w:rPr>
        <w:t>11</w:t>
      </w:r>
      <w:r>
        <w:rPr/>
        <w:t>“长</w:t>
      </w:r>
      <w:r>
        <w:rPr>
          <w:spacing w:val="-104"/>
        </w:rPr>
        <w:t> </w:t>
      </w:r>
      <w:r>
        <w:rPr/>
        <w:t>期股权投资”进行会计处理；不属于“一揽子交易”的，区分个别财务报表和合并财务报表</w:t>
      </w:r>
      <w:r>
        <w:rPr>
          <w:spacing w:val="-110"/>
        </w:rPr>
        <w:t> </w:t>
      </w:r>
      <w:r>
        <w:rPr>
          <w:spacing w:val="-110"/>
        </w:rPr>
      </w:r>
      <w:r>
        <w:rPr/>
        <w:t>进行相关会计处理：</w:t>
      </w:r>
    </w:p>
    <w:p>
      <w:pPr>
        <w:pStyle w:val="BodyText"/>
        <w:spacing w:line="357" w:lineRule="auto"/>
        <w:ind w:right="157" w:firstLine="482"/>
        <w:jc w:val="both"/>
      </w:pPr>
      <w:r>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w:t>
      </w:r>
    </w:p>
    <w:p>
      <w:pPr>
        <w:pStyle w:val="BodyText"/>
        <w:spacing w:line="357" w:lineRule="auto"/>
        <w:ind w:right="152" w:firstLine="482"/>
        <w:jc w:val="both"/>
      </w:pPr>
      <w:r>
        <w:rPr/>
        <w:t>在合并财务报表中，对于购买日之前持有的被购买方的股权，按照该股权在购买日的公 允价值进行重新计量，公允价值与其账面价值的差额计入当期投资收益；购买日之前持有的 被购买方的股权涉及其他综合收益的，与其相关的其他综合收益应当采用与被购买方直接处 置相关资产或负债相同的基础进行会计处理（即，除了按照权益法核算的在被购买方重新计 量设定受益计划净负债或净资产导致的变动中的相应份额以外，其余转为购买日所属当期投</w:t>
      </w:r>
      <w:r>
        <w:rPr>
          <w:spacing w:val="-112"/>
        </w:rPr>
        <w:t> </w:t>
      </w:r>
      <w:r>
        <w:rPr>
          <w:spacing w:val="-112"/>
        </w:rPr>
      </w:r>
      <w:r>
        <w:rPr/>
        <w:t>资收益）。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6、合并财务报表的编制方法" w:id="129"/>
      <w:bookmarkEnd w:id="12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0"/>
        <w:jc w:val="left"/>
      </w:pPr>
      <w:r>
        <w:rPr/>
        <w:t>（</w:t>
      </w:r>
      <w:r>
        <w:rPr>
          <w:rFonts w:ascii="宋体" w:hAnsi="宋体" w:cs="宋体" w:eastAsia="宋体" w:hint="default"/>
        </w:rPr>
        <w:t>1</w:t>
      </w:r>
      <w:r>
        <w:rPr/>
        <w:t>）合并财务报表范围的确定原则 合并财务报表的合并范围以控制为基础予以确定。控制是指本公司拥有对被投资方的权</w:t>
      </w:r>
    </w:p>
    <w:p>
      <w:pPr>
        <w:spacing w:after="0" w:line="357" w:lineRule="auto"/>
        <w:jc w:val="left"/>
        <w:sectPr>
          <w:footerReference w:type="default" r:id="rId15"/>
          <w:pgSz w:w="11910" w:h="16840"/>
          <w:pgMar w:footer="979" w:header="747" w:top="1060" w:bottom="1160" w:left="980" w:right="980"/>
          <w:pgNumType w:start="86"/>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力，通过参与被投资方的相关活动而享有可变回报，并且有能力运用对被投资方的权力影响 该回报金额。合并范围包括本公司及全部子公司。子公司，是指被本公司控制的主体。</w:t>
      </w:r>
    </w:p>
    <w:p>
      <w:pPr>
        <w:pStyle w:val="BodyText"/>
        <w:spacing w:line="357" w:lineRule="auto"/>
        <w:ind w:right="159" w:firstLine="482"/>
        <w:jc w:val="both"/>
      </w:pPr>
      <w:r>
        <w:rPr/>
        <w:t>一旦相关事实和情况的变化导致上述控制定义涉及的相关要素发生了变化，本公司将进 行重新评估。</w:t>
      </w:r>
    </w:p>
    <w:p>
      <w:pPr>
        <w:pStyle w:val="BodyText"/>
        <w:spacing w:line="357" w:lineRule="auto"/>
        <w:ind w:left="636" w:right="0"/>
        <w:jc w:val="left"/>
      </w:pPr>
      <w:r>
        <w:rPr/>
        <w:t>（</w:t>
      </w:r>
      <w:r>
        <w:rPr>
          <w:rFonts w:ascii="宋体" w:hAnsi="宋体" w:cs="宋体" w:eastAsia="宋体" w:hint="default"/>
        </w:rPr>
        <w:t>2</w:t>
      </w:r>
      <w:r>
        <w:rPr/>
        <w:t>）合并财务报表编制的方法 从取得子公司的净资产和生产经营决策的实际控制权之日起，本公司开始将其纳入合并</w:t>
      </w:r>
    </w:p>
    <w:p>
      <w:pPr>
        <w:pStyle w:val="BodyText"/>
        <w:spacing w:line="357" w:lineRule="auto"/>
        <w:ind w:right="159"/>
        <w:jc w:val="both"/>
      </w:pPr>
      <w:r>
        <w:rPr/>
        <w:t>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BodyText"/>
        <w:spacing w:line="357" w:lineRule="auto"/>
        <w:ind w:right="157" w:firstLine="482"/>
        <w:jc w:val="both"/>
      </w:pPr>
      <w:r>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BodyText"/>
        <w:spacing w:line="357" w:lineRule="auto"/>
        <w:ind w:left="636"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57" w:lineRule="auto"/>
        <w:ind w:right="151"/>
        <w:jc w:val="both"/>
      </w:pPr>
      <w:r>
        <w:rPr/>
        <w:t>少数股东损益在合并财务报表中股东权益及净利润项下单独列示。子公司当期净损益中属于 少数股东权益的份额，在合并利润表中净利润项目下以“少数股东损益”项目列示。少数股</w:t>
      </w:r>
      <w:r>
        <w:rPr>
          <w:spacing w:val="-110"/>
        </w:rPr>
        <w:t> </w:t>
      </w:r>
      <w:r>
        <w:rPr>
          <w:spacing w:val="-110"/>
        </w:rPr>
      </w:r>
      <w:r>
        <w:rPr/>
        <w:t>东分担的子公司的亏损超过了少数股东在该子公司期初股东权益中所享有的份额，仍冲减少 数股东权益。</w:t>
      </w:r>
    </w:p>
    <w:p>
      <w:pPr>
        <w:pStyle w:val="BodyText"/>
        <w:spacing w:line="357" w:lineRule="auto"/>
        <w:ind w:right="150" w:firstLine="482"/>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w:t>
      </w:r>
      <w:r>
        <w:rPr>
          <w:spacing w:val="-116"/>
        </w:rPr>
        <w:t> </w:t>
      </w:r>
      <w:r>
        <w:rPr>
          <w:spacing w:val="-116"/>
        </w:rPr>
      </w:r>
      <w:r>
        <w:rPr>
          <w:spacing w:val="-3"/>
        </w:rPr>
        <w:t>资收益）。其后，对该部分剩余股权按照《企业会计准则第</w:t>
      </w:r>
      <w:r>
        <w:rPr>
          <w:rFonts w:ascii="宋体" w:hAnsi="宋体" w:cs="宋体" w:eastAsia="宋体" w:hint="default"/>
          <w:spacing w:val="-3"/>
        </w:rPr>
        <w:t>2</w:t>
      </w:r>
      <w:r>
        <w:rPr>
          <w:spacing w:val="-3"/>
        </w:rPr>
        <w:t>号——长期股权投资》或《企业</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154" w:right="147"/>
        <w:jc w:val="left"/>
      </w:pPr>
      <w:r>
        <w:rPr>
          <w:spacing w:val="-5"/>
        </w:rPr>
        <w:t>会计准则第</w:t>
      </w:r>
      <w:r>
        <w:rPr>
          <w:rFonts w:ascii="宋体" w:hAnsi="宋体" w:cs="宋体" w:eastAsia="宋体" w:hint="default"/>
          <w:spacing w:val="-5"/>
        </w:rPr>
        <w:t>22</w:t>
      </w:r>
      <w:r>
        <w:rPr>
          <w:spacing w:val="-5"/>
        </w:rPr>
        <w:t>号——金融工具确认和计量》等相关规定进行后续计量，详见本附注四、</w:t>
      </w:r>
      <w:r>
        <w:rPr>
          <w:rFonts w:ascii="宋体" w:hAnsi="宋体" w:cs="宋体" w:eastAsia="宋体" w:hint="default"/>
          <w:spacing w:val="-5"/>
        </w:rPr>
        <w:t>11</w:t>
      </w:r>
      <w:r>
        <w:rPr>
          <w:spacing w:val="-5"/>
        </w:rPr>
        <w:t>“长</w:t>
      </w:r>
      <w:r>
        <w:rPr>
          <w:spacing w:val="-108"/>
        </w:rPr>
        <w:t> </w:t>
      </w:r>
      <w:r>
        <w:rPr/>
        <w:t>期股权投资”或本附注四、</w:t>
      </w:r>
      <w:r>
        <w:rPr>
          <w:rFonts w:ascii="宋体" w:hAnsi="宋体" w:cs="宋体" w:eastAsia="宋体" w:hint="default"/>
        </w:rPr>
        <w:t>8</w:t>
      </w:r>
      <w:r>
        <w:rPr/>
        <w:t>“金融工具”。</w:t>
      </w:r>
    </w:p>
    <w:p>
      <w:pPr>
        <w:pStyle w:val="BodyText"/>
        <w:spacing w:line="357" w:lineRule="auto"/>
        <w:ind w:right="149" w:firstLine="482"/>
        <w:jc w:val="both"/>
      </w:pPr>
      <w:r>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w:t>
      </w:r>
      <w:r>
        <w:rPr>
          <w:spacing w:val="-109"/>
        </w:rPr>
        <w:t> </w:t>
      </w:r>
      <w:r>
        <w:rPr>
          <w:spacing w:val="-109"/>
        </w:rPr>
      </w:r>
      <w:r>
        <w:rPr/>
        <w:t>一揽子交易进行会计处理：①这些交易是同时或者在考虑了彼此影响的情况下订立的；②这</w:t>
      </w:r>
      <w:r>
        <w:rPr/>
        <w:t> 些交易整体才能达成一项完整的商业结果；③一项交易的发生取决于其他至少一项交易的发 生；④一项交易单独看是不经济的，但是和其他交易一并考虑时是经济的。不属于一揽子交 易的，对其中的每一项交易视情况分别按照“不丧失控制权的情况下部分处置对子公司的长</w:t>
      </w:r>
      <w:r>
        <w:rPr>
          <w:spacing w:val="-115"/>
        </w:rPr>
        <w:t> </w:t>
      </w:r>
      <w:r>
        <w:rPr>
          <w:spacing w:val="-115"/>
        </w:rPr>
      </w:r>
      <w:r>
        <w:rPr>
          <w:spacing w:val="-3"/>
        </w:rPr>
        <w:t>期股权投资”（详见本附注四、</w:t>
      </w:r>
      <w:r>
        <w:rPr>
          <w:rFonts w:ascii="宋体" w:hAnsi="宋体" w:cs="宋体" w:eastAsia="宋体" w:hint="default"/>
          <w:spacing w:val="-3"/>
        </w:rPr>
        <w:t>11</w:t>
      </w:r>
      <w:r>
        <w:rPr>
          <w:spacing w:val="-3"/>
        </w:rPr>
        <w:t>、（</w:t>
      </w:r>
      <w:r>
        <w:rPr>
          <w:rFonts w:ascii="宋体" w:hAnsi="宋体" w:cs="宋体" w:eastAsia="宋体" w:hint="default"/>
          <w:spacing w:val="-3"/>
        </w:rPr>
        <w:t>2</w:t>
      </w:r>
      <w:r>
        <w:rPr>
          <w:spacing w:val="-3"/>
        </w:rPr>
        <w:t>）④）和“因处置部分股权投资或其他原因丧失了对</w:t>
      </w:r>
      <w:r>
        <w:rPr>
          <w:spacing w:val="-79"/>
        </w:rPr>
        <w:t> </w:t>
      </w:r>
      <w:r>
        <w:rPr>
          <w:spacing w:val="-79"/>
        </w:rPr>
      </w:r>
      <w:r>
        <w:rPr/>
        <w:t>原有子公司的控制权”（详见前段）适用的原则进行会计处理。处置对子公司股权投资直至</w:t>
      </w:r>
      <w:r>
        <w:rPr/>
        <w:t> 丧失控制权的各项交易属于一揽子交易的，将各项交易作为一项处置子公司并丧失控制权的</w:t>
      </w:r>
      <w:r>
        <w:rPr>
          <w:spacing w:val="-117"/>
        </w:rPr>
        <w:t> </w:t>
      </w:r>
      <w:r>
        <w:rPr>
          <w:spacing w:val="-117"/>
        </w:rPr>
      </w:r>
      <w:r>
        <w:rPr/>
        <w:t>交易进行会计处理；但是，在丧失控制权之前每一次处置价款与处置投资对应的享有该子公 司净资产份额的差额，在合并财务报表中确认为其他综合收益，在丧失控制权时一并转入丧 失控制权当期的损益。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7、合营安排分类及共同经营会计处理方法" w:id="130"/>
      <w:bookmarkEnd w:id="13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49" w:firstLine="482"/>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w:t>
      </w:r>
      <w:r>
        <w:rPr>
          <w:spacing w:val="-109"/>
        </w:rPr>
        <w:t> </w:t>
      </w:r>
      <w:r>
        <w:rPr>
          <w:spacing w:val="-109"/>
        </w:rPr>
      </w:r>
      <w:r>
        <w:rPr/>
        <w:t>排的净资产享有权利的合营安排。</w:t>
      </w:r>
    </w:p>
    <w:p>
      <w:pPr>
        <w:pStyle w:val="BodyText"/>
        <w:spacing w:line="357" w:lineRule="auto"/>
        <w:ind w:right="150" w:firstLine="482"/>
        <w:jc w:val="both"/>
      </w:pPr>
      <w:r>
        <w:rPr/>
        <w:t>本公司对合营企业的投资采用权益法核算，按照本附注四、</w:t>
      </w:r>
      <w:r>
        <w:rPr>
          <w:rFonts w:ascii="宋体" w:hAnsi="宋体" w:cs="宋体" w:eastAsia="宋体" w:hint="default"/>
        </w:rPr>
        <w:t>11</w:t>
      </w:r>
      <w:r>
        <w:rPr/>
        <w:t>（</w:t>
      </w:r>
      <w:r>
        <w:rPr>
          <w:rFonts w:ascii="宋体" w:hAnsi="宋体" w:cs="宋体" w:eastAsia="宋体" w:hint="default"/>
        </w:rPr>
        <w:t>2</w:t>
      </w:r>
      <w:r>
        <w:rPr/>
        <w:t>）②</w:t>
      </w:r>
      <w:r>
        <w:rPr>
          <w:spacing w:val="9"/>
        </w:rPr>
        <w:t> </w:t>
      </w:r>
      <w:r>
        <w:rPr/>
        <w:t>“权益法核算的</w:t>
      </w:r>
      <w:r>
        <w:rPr/>
        <w:t> 长期股权投资”中所述的会计政策处理。</w:t>
      </w:r>
    </w:p>
    <w:p>
      <w:pPr>
        <w:pStyle w:val="BodyText"/>
        <w:spacing w:line="357" w:lineRule="auto"/>
        <w:ind w:left="154" w:right="159" w:firstLine="482"/>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BodyText"/>
        <w:spacing w:line="357" w:lineRule="auto"/>
        <w:ind w:right="151" w:firstLine="482"/>
        <w:jc w:val="both"/>
      </w:pPr>
      <w:r>
        <w:rPr/>
        <w:t>当本公司作为合营方向共同经营投出或出售资产（该资产不构成业务，下同）、或者自 共同经营购买资产时，在该等资产出售给第三方之前，本公司仅确认因该交易产生的损益中</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3"/>
        <w:jc w:val="left"/>
      </w:pPr>
      <w:r>
        <w:rPr/>
        <w:t>归属于共同经营其他参与方的部分。该等资产发生符合《企业会计准则第</w:t>
      </w:r>
      <w:r>
        <w:rPr>
          <w:rFonts w:ascii="宋体" w:hAnsi="宋体" w:cs="宋体" w:eastAsia="宋体" w:hint="default"/>
        </w:rPr>
        <w:t>8</w:t>
      </w:r>
      <w:r>
        <w:rPr/>
        <w:t>号——资产减值》 等规定的资产减值损失的，对于由本公司向共同经营投出或出售资产的情况，本公司全额确 认该损失；对于本公司自共同经营购买资产的情况，本公司按承担的份额确认该损失。</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93" w:firstLine="0"/>
        <w:jc w:val="left"/>
        <w:rPr>
          <w:rFonts w:ascii="宋体" w:hAnsi="宋体" w:cs="宋体" w:eastAsia="宋体" w:hint="default"/>
          <w:sz w:val="21"/>
          <w:szCs w:val="21"/>
        </w:rPr>
      </w:pPr>
      <w:bookmarkStart w:name="8、现金及现金等价物的确定标准" w:id="131"/>
      <w:bookmarkEnd w:id="13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89" w:firstLine="482"/>
        <w:jc w:val="both"/>
      </w:pPr>
      <w:r>
        <w:rPr/>
        <w:t>本公司现金及现金等价物包括库存现金、可以随时用于支付的存款以及本公司持有的期 限短（一般为从购买日起，三个月内到期）、流动性强、易于转换为已知金额的现金、价值</w:t>
      </w:r>
      <w:r>
        <w:rPr>
          <w:spacing w:val="-109"/>
        </w:rPr>
        <w:t> </w:t>
      </w:r>
      <w:r>
        <w:rPr>
          <w:spacing w:val="-109"/>
        </w:rPr>
      </w:r>
      <w:r>
        <w:rPr/>
        <w:t>变动风险很小的投资。</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93" w:firstLine="0"/>
        <w:jc w:val="left"/>
        <w:rPr>
          <w:rFonts w:ascii="宋体" w:hAnsi="宋体" w:cs="宋体" w:eastAsia="宋体" w:hint="default"/>
          <w:sz w:val="21"/>
          <w:szCs w:val="21"/>
        </w:rPr>
      </w:pPr>
      <w:bookmarkStart w:name="9、金融工具" w:id="132"/>
      <w:bookmarkEnd w:id="13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99" w:firstLine="482"/>
        <w:jc w:val="both"/>
      </w:pPr>
      <w:r>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BodyText"/>
        <w:spacing w:line="357" w:lineRule="auto"/>
        <w:ind w:left="636" w:right="93"/>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w:t>
      </w:r>
    </w:p>
    <w:p>
      <w:pPr>
        <w:pStyle w:val="BodyText"/>
        <w:spacing w:line="357" w:lineRule="auto"/>
        <w:ind w:right="199"/>
        <w:jc w:val="both"/>
      </w:pPr>
      <w:r>
        <w:rPr/>
        <w:t>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pStyle w:val="BodyText"/>
        <w:spacing w:line="357" w:lineRule="auto"/>
        <w:ind w:left="636" w:right="93"/>
        <w:jc w:val="left"/>
      </w:pPr>
      <w:r>
        <w:rPr/>
        <w:t>（</w:t>
      </w:r>
      <w:r>
        <w:rPr>
          <w:rFonts w:ascii="宋体" w:hAnsi="宋体" w:cs="宋体" w:eastAsia="宋体" w:hint="default"/>
        </w:rPr>
        <w:t>2</w:t>
      </w:r>
      <w:r>
        <w:rPr/>
        <w:t>）金融资产的分类、确认和计量 以常规方式买卖金融资产，按交易日进行会计确认和终止确认。金融资产在初始确认时</w:t>
      </w:r>
    </w:p>
    <w:p>
      <w:pPr>
        <w:pStyle w:val="BodyText"/>
        <w:spacing w:line="357" w:lineRule="auto"/>
        <w:ind w:left="154" w:right="93"/>
        <w:jc w:val="left"/>
      </w:pPr>
      <w:r>
        <w:rPr/>
        <w:t>划分为以公允价值计量且其变动计入当期损益的金融资产、持有至到期投资、贷款和应收款</w:t>
      </w:r>
      <w:r>
        <w:rPr>
          <w:spacing w:val="-113"/>
        </w:rPr>
        <w:t> </w:t>
      </w:r>
      <w:r>
        <w:rPr>
          <w:spacing w:val="-113"/>
        </w:rPr>
      </w:r>
      <w:r>
        <w:rPr/>
        <w:t>项以及可供出售金融资产。</w:t>
      </w:r>
    </w:p>
    <w:p>
      <w:pPr>
        <w:pStyle w:val="BodyText"/>
        <w:spacing w:line="357" w:lineRule="auto"/>
        <w:ind w:left="636" w:right="690"/>
        <w:jc w:val="left"/>
      </w:pPr>
      <w:r>
        <w:rPr/>
        <w:t>① 以公允价值计量且其变动计入当期损益的金融资产 包括交易性金融资产和指定为以公允价值计量且其变动计入当期损益的金融资产。</w:t>
      </w:r>
    </w:p>
    <w:p>
      <w:pPr>
        <w:spacing w:after="0" w:line="357" w:lineRule="auto"/>
        <w:jc w:val="left"/>
        <w:sectPr>
          <w:pgSz w:w="11910" w:h="16840"/>
          <w:pgMar w:header="747" w:footer="979" w:top="1060" w:bottom="1160" w:left="980" w:right="940"/>
        </w:sectPr>
      </w:pPr>
    </w:p>
    <w:p>
      <w:pPr>
        <w:spacing w:line="240" w:lineRule="auto" w:before="7"/>
        <w:rPr>
          <w:rFonts w:ascii="宋体" w:hAnsi="宋体" w:cs="宋体" w:eastAsia="宋体" w:hint="default"/>
          <w:sz w:val="29"/>
          <w:szCs w:val="29"/>
        </w:rPr>
      </w:pPr>
    </w:p>
    <w:p>
      <w:pPr>
        <w:pStyle w:val="BodyText"/>
        <w:spacing w:line="357" w:lineRule="auto" w:before="26"/>
        <w:ind w:right="153" w:firstLine="482"/>
        <w:jc w:val="both"/>
      </w:pPr>
      <w:r>
        <w:rPr/>
        <w:t>交易性金融资产是指满足下列条件之一的金融资产：</w:t>
      </w:r>
      <w:r>
        <w:rPr>
          <w:rFonts w:ascii="宋体" w:hAnsi="宋体" w:cs="宋体" w:eastAsia="宋体" w:hint="default"/>
        </w:rPr>
        <w:t>A.</w:t>
      </w:r>
      <w:r>
        <w:rPr/>
        <w:t>取得该金融资产的目的，主要是 为了近期内出售；</w:t>
      </w:r>
      <w:r>
        <w:rPr>
          <w:rFonts w:ascii="宋体" w:hAnsi="宋体" w:cs="宋体" w:eastAsia="宋体" w:hint="default"/>
        </w:rPr>
        <w:t>B.</w:t>
      </w:r>
      <w:r>
        <w:rPr/>
        <w:t>属于进行集中管理的可辨认金融工具组合的一部分，且有客观证据表明</w:t>
      </w:r>
      <w:r>
        <w:rPr>
          <w:spacing w:val="-116"/>
        </w:rPr>
        <w:t> </w:t>
      </w:r>
      <w:r>
        <w:rPr/>
        <w:t>本公司近期采用短期获利方式对该组合进行管理；</w:t>
      </w:r>
      <w:r>
        <w:rPr>
          <w:rFonts w:ascii="宋体" w:hAnsi="宋体" w:cs="宋体" w:eastAsia="宋体" w:hint="default"/>
        </w:rPr>
        <w:t>C.</w:t>
      </w:r>
      <w:r>
        <w:rPr/>
        <w:t>属于衍生工具，但是，被指定且为有效</w:t>
      </w:r>
      <w:r>
        <w:rPr>
          <w:spacing w:val="-113"/>
        </w:rPr>
        <w:t> </w:t>
      </w:r>
      <w:r>
        <w:rPr/>
        <w:t>套期工具的衍生工具、属于财务担保合同的衍生工具、与在活跃市场中没有报价且其公允价 值不能可靠计量的权益工具投资挂钩并须通过交付该权益工具结算的衍生工具除外。</w:t>
      </w:r>
    </w:p>
    <w:p>
      <w:pPr>
        <w:pStyle w:val="BodyText"/>
        <w:spacing w:line="357" w:lineRule="auto"/>
        <w:ind w:right="154" w:firstLine="482"/>
        <w:jc w:val="both"/>
      </w:pPr>
      <w:r>
        <w:rPr/>
        <w:t>符合下述条件之一的金融资产，在初始确认时可指定为以公允价值计量且其变动计入当 期损益的金融资产：</w:t>
      </w:r>
      <w:r>
        <w:rPr>
          <w:rFonts w:ascii="宋体" w:hAnsi="宋体" w:cs="宋体" w:eastAsia="宋体" w:hint="default"/>
        </w:rPr>
        <w:t>A.</w:t>
      </w:r>
      <w:r>
        <w:rPr/>
        <w:t>该指定可以消除或明显减少由于该金融资产的计量基础不同所导致的</w:t>
      </w:r>
      <w:r>
        <w:rPr>
          <w:spacing w:val="-117"/>
        </w:rPr>
        <w:t> </w:t>
      </w:r>
      <w:r>
        <w:rPr/>
        <w:t>相关利得或损失在确认或计量方面不一致的情况；</w:t>
      </w:r>
      <w:r>
        <w:rPr>
          <w:rFonts w:ascii="宋体" w:hAnsi="宋体" w:cs="宋体" w:eastAsia="宋体" w:hint="default"/>
        </w:rPr>
        <w:t>B.</w:t>
      </w:r>
      <w:r>
        <w:rPr/>
        <w:t>本公司风险管理或投资策略的正式书面</w:t>
      </w:r>
      <w:r>
        <w:rPr>
          <w:spacing w:val="-113"/>
        </w:rPr>
        <w:t> </w:t>
      </w:r>
      <w:r>
        <w:rPr/>
        <w:t>文件已载明，对该金融资产所在的金融资产组合或金融资产和金融负债组合以公允价值为基 础进行管理、评价并向关键管理人员报告。</w:t>
      </w:r>
    </w:p>
    <w:p>
      <w:pPr>
        <w:pStyle w:val="BodyText"/>
        <w:spacing w:line="357" w:lineRule="auto"/>
        <w:ind w:left="154" w:right="159" w:firstLine="482"/>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57" w:lineRule="auto"/>
        <w:ind w:left="636" w:right="0"/>
        <w:jc w:val="left"/>
      </w:pPr>
      <w:r>
        <w:rPr/>
        <w:t>② 持有至到期投资 是指到期日固定、回收金额固定或可确定，且本公司有明确意图和能力持有至到期的非</w:t>
      </w:r>
    </w:p>
    <w:p>
      <w:pPr>
        <w:pStyle w:val="BodyText"/>
        <w:spacing w:line="357" w:lineRule="auto"/>
        <w:ind w:left="636" w:right="0" w:hanging="483"/>
        <w:jc w:val="left"/>
      </w:pPr>
      <w:r>
        <w:rPr/>
        <w:t>衍生金融资产。 持有至到期投资采用实际利率法，按摊余成本进行后续计量，在终止确认、发生减值或</w:t>
      </w:r>
    </w:p>
    <w:p>
      <w:pPr>
        <w:pStyle w:val="BodyText"/>
        <w:spacing w:line="357" w:lineRule="auto"/>
        <w:ind w:left="636" w:right="0" w:hanging="483"/>
        <w:jc w:val="left"/>
      </w:pPr>
      <w:r>
        <w:rPr/>
        <w:t>摊销时产生的利得或损失，计入当期损益。 实际利率法是指按照金融资产或金融负债（含一组金融资产或金融负债）的实际利率计</w:t>
      </w:r>
    </w:p>
    <w:p>
      <w:pPr>
        <w:pStyle w:val="BodyText"/>
        <w:spacing w:line="357" w:lineRule="auto"/>
        <w:ind w:left="154" w:right="151"/>
        <w:jc w:val="both"/>
      </w:pPr>
      <w:r>
        <w:rPr/>
        <w:t>算其摊余成本及各期利息收入或支出的方法。实际利率是指将金融资产或金融负债在预期存 续期间或适用的更短期间内的未来现金流量，折现为该金融资产或金融负债当前账面价值所</w:t>
      </w:r>
      <w:r>
        <w:rPr>
          <w:spacing w:val="-112"/>
        </w:rPr>
        <w:t> </w:t>
      </w:r>
      <w:r>
        <w:rPr>
          <w:spacing w:val="-112"/>
        </w:rPr>
      </w:r>
      <w:r>
        <w:rPr/>
        <w:t>使用的利率。</w:t>
      </w:r>
    </w:p>
    <w:p>
      <w:pPr>
        <w:pStyle w:val="BodyText"/>
        <w:spacing w:line="357" w:lineRule="auto"/>
        <w:ind w:left="154" w:right="159" w:firstLine="482"/>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57" w:lineRule="auto"/>
        <w:ind w:left="636" w:right="0"/>
        <w:jc w:val="left"/>
      </w:pPr>
      <w:r>
        <w:rPr/>
        <w:t>③ 贷款和应收款项 是指在活跃市场中没有报价、回收金额固定或可确定的非衍生金融资产。本公司划分为</w:t>
      </w:r>
    </w:p>
    <w:p>
      <w:pPr>
        <w:pStyle w:val="BodyText"/>
        <w:spacing w:line="357" w:lineRule="auto"/>
        <w:ind w:left="636" w:right="0" w:hanging="483"/>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ind w:right="0"/>
        <w:jc w:val="left"/>
      </w:pPr>
      <w:r>
        <w:rPr/>
        <w:t>摊销时产生的利得或损失，计入当期损益。</w:t>
      </w:r>
    </w:p>
    <w:p>
      <w:pPr>
        <w:spacing w:after="0" w:line="240"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6" w:right="95"/>
        <w:jc w:val="left"/>
      </w:pPr>
      <w:r>
        <w:rPr/>
        <w:t>④ 可供出售金融资产 包括初始确认时即被指定为可供出售的非衍生金融资产，以及除了以公允价值计量且其</w:t>
      </w:r>
    </w:p>
    <w:p>
      <w:pPr>
        <w:pStyle w:val="BodyText"/>
        <w:spacing w:line="357" w:lineRule="auto"/>
        <w:ind w:left="636" w:right="95" w:hanging="483"/>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357" w:lineRule="auto"/>
        <w:ind w:right="239"/>
        <w:jc w:val="both"/>
      </w:pPr>
      <w:r>
        <w:rPr/>
        <w:t>的本金，加上或减去采用实际利率法将该初始确认金额与到期日金额之间的差额进行摊销形 成的累计摊销额，并扣除已发生的减值损失后的金额。可供出售权益工具投资的期末成本为 其初始取得成本。</w:t>
      </w:r>
    </w:p>
    <w:p>
      <w:pPr>
        <w:pStyle w:val="BodyText"/>
        <w:spacing w:line="357" w:lineRule="auto"/>
        <w:ind w:right="233" w:firstLine="482"/>
        <w:jc w:val="both"/>
      </w:pPr>
      <w:r>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240" w:lineRule="auto"/>
        <w:ind w:left="636" w:right="95"/>
        <w:jc w:val="left"/>
      </w:pPr>
      <w:r>
        <w:rPr/>
        <w:t>可供出售金融资产持有期间取得的利息及被投资单位宣告发放的现金股利，计入投资收</w:t>
      </w:r>
    </w:p>
    <w:p>
      <w:pPr>
        <w:spacing w:line="240" w:lineRule="auto" w:before="10"/>
        <w:rPr>
          <w:rFonts w:ascii="宋体" w:hAnsi="宋体" w:cs="宋体" w:eastAsia="宋体" w:hint="default"/>
          <w:sz w:val="9"/>
          <w:szCs w:val="9"/>
        </w:rPr>
      </w:pPr>
    </w:p>
    <w:p>
      <w:pPr>
        <w:pStyle w:val="BodyText"/>
        <w:spacing w:line="240" w:lineRule="auto" w:before="26"/>
        <w:ind w:right="95"/>
        <w:jc w:val="left"/>
      </w:pPr>
      <w:r>
        <w:rPr/>
        <w:t>益。</w:t>
      </w:r>
    </w:p>
    <w:p>
      <w:pPr>
        <w:pStyle w:val="BodyText"/>
        <w:spacing w:line="357" w:lineRule="auto" w:before="154"/>
        <w:ind w:left="636" w:right="95"/>
        <w:jc w:val="left"/>
      </w:pPr>
      <w:r>
        <w:rPr/>
        <w:t>（</w:t>
      </w:r>
      <w:r>
        <w:rPr>
          <w:rFonts w:ascii="宋体" w:hAnsi="宋体" w:cs="宋体" w:eastAsia="宋体" w:hint="default"/>
        </w:rPr>
        <w:t>3</w:t>
      </w:r>
      <w:r>
        <w:rPr/>
        <w:t>）金融资产减值 除了以公允价值计量且其变动计入当期损益的金融资产外，本公司在每个资产负债表日</w:t>
      </w:r>
    </w:p>
    <w:p>
      <w:pPr>
        <w:pStyle w:val="BodyText"/>
        <w:spacing w:line="357" w:lineRule="auto"/>
        <w:ind w:left="636" w:right="95" w:hanging="483"/>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57" w:lineRule="auto"/>
        <w:ind w:left="154" w:right="239"/>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57" w:lineRule="auto"/>
        <w:ind w:left="636" w:right="95"/>
        <w:jc w:val="left"/>
      </w:pPr>
      <w:r>
        <w:rPr/>
        <w:t>① 持有至到期投资、贷款和应收款项减值 以成本或摊余成本计量的金融资产将其账面价值减记至预计未来现金流量现值，减记金</w:t>
      </w:r>
    </w:p>
    <w:p>
      <w:pPr>
        <w:pStyle w:val="BodyText"/>
        <w:spacing w:line="357" w:lineRule="auto"/>
        <w:ind w:left="154" w:right="239"/>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240" w:lineRule="auto"/>
        <w:ind w:left="636" w:right="95"/>
        <w:jc w:val="left"/>
      </w:pPr>
      <w:r>
        <w:rPr/>
        <w:t>② 可供出售金融资产减值</w:t>
      </w:r>
    </w:p>
    <w:p>
      <w:pPr>
        <w:spacing w:after="0" w:line="240"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93" w:firstLine="482"/>
        <w:jc w:val="both"/>
      </w:pPr>
      <w:r>
        <w:rPr/>
        <w:t>当综合相关因素判断可供出售权益工具投资公允价值下跌是严重或非暂时性下跌时，表 </w:t>
      </w:r>
      <w:r>
        <w:rPr>
          <w:spacing w:val="6"/>
        </w:rPr>
        <w:t>明该可供出售权益工具投资发生减值。其中“严重下跌”是指公允价值下跌幅度累计超过</w:t>
      </w:r>
      <w:r>
        <w:rPr>
          <w:spacing w:val="-85"/>
        </w:rPr>
        <w:t> </w:t>
      </w:r>
      <w:r>
        <w:rPr>
          <w:spacing w:val="-85"/>
        </w:rPr>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w:t>
      </w:r>
    </w:p>
    <w:p>
      <w:pPr>
        <w:pStyle w:val="BodyText"/>
        <w:spacing w:line="357" w:lineRule="auto"/>
        <w:ind w:right="199" w:firstLine="482"/>
        <w:jc w:val="both"/>
      </w:pPr>
      <w:r>
        <w:rPr/>
        <w:t>可供出售金融资产发生减值时，将原计入其他综合收益的因公允价值下降形成的累计损 失予以转出并计入当期损益，该转出的累计损失为该资产初始取得成本扣除已收回本金和已 摊销金额、当前公允价值和原已计入损益的减值损失后的余额。</w:t>
      </w:r>
    </w:p>
    <w:p>
      <w:pPr>
        <w:pStyle w:val="BodyText"/>
        <w:spacing w:line="357" w:lineRule="auto"/>
        <w:ind w:right="199" w:firstLine="482"/>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57" w:lineRule="auto"/>
        <w:ind w:right="193" w:firstLine="482"/>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57" w:lineRule="auto"/>
        <w:ind w:left="636" w:right="174"/>
        <w:jc w:val="left"/>
      </w:pPr>
      <w:r>
        <w:rPr/>
        <w:t>（</w:t>
      </w:r>
      <w:r>
        <w:rPr>
          <w:rFonts w:ascii="宋体" w:hAnsi="宋体" w:cs="宋体" w:eastAsia="宋体" w:hint="default"/>
        </w:rPr>
        <w:t>4</w:t>
      </w:r>
      <w:r>
        <w:rPr/>
        <w:t>）金融资产转移的确认依据和计量方法 </w:t>
      </w:r>
      <w:r>
        <w:rPr>
          <w:spacing w:val="-4"/>
        </w:rPr>
        <w:t>满足下列条件之一的金融资产，予以终止确认：①</w:t>
      </w:r>
      <w:r>
        <w:rPr>
          <w:spacing w:val="4"/>
        </w:rPr>
        <w:t> </w:t>
      </w:r>
      <w:r>
        <w:rPr/>
        <w:t>收取该金融资产现金流量的合同权利</w:t>
      </w:r>
    </w:p>
    <w:p>
      <w:pPr>
        <w:pStyle w:val="BodyText"/>
        <w:spacing w:line="240" w:lineRule="auto"/>
        <w:ind w:left="154" w:right="0"/>
        <w:jc w:val="left"/>
      </w:pPr>
      <w:r>
        <w:rPr/>
        <w:t>终止；② 该金融资产已转移，且将金融资产所有权上几乎所有的风险和报酬转移给转入方；</w:t>
      </w:r>
    </w:p>
    <w:p>
      <w:pPr>
        <w:pStyle w:val="BodyText"/>
        <w:spacing w:line="357" w:lineRule="auto" w:before="154"/>
        <w:ind w:right="93"/>
        <w:jc w:val="left"/>
      </w:pPr>
      <w:r>
        <w:rPr/>
        <w:t>③该金融资产已转移，虽然企业既没有转移也没有保留金融资产所有权上几乎所有的风险和 报酬，但是放弃了对该金融资产控制。</w:t>
      </w:r>
    </w:p>
    <w:p>
      <w:pPr>
        <w:pStyle w:val="BodyText"/>
        <w:spacing w:line="357" w:lineRule="auto"/>
        <w:ind w:left="154" w:right="195" w:firstLine="482"/>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116"/>
        </w:rPr>
        <w:t> </w:t>
      </w:r>
      <w:r>
        <w:rPr>
          <w:spacing w:val="-116"/>
        </w:rPr>
      </w:r>
      <w:r>
        <w:rPr/>
        <w:t>有关负债。继续涉入所转移金融资产的程度，是指该金融资产价值变动使企业面临的风险水 平。</w:t>
      </w:r>
    </w:p>
    <w:p>
      <w:pPr>
        <w:pStyle w:val="BodyText"/>
        <w:spacing w:line="357" w:lineRule="auto"/>
        <w:ind w:left="154" w:right="199" w:firstLine="482"/>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57" w:lineRule="auto"/>
        <w:ind w:right="199" w:firstLine="482"/>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57" w:lineRule="auto"/>
        <w:ind w:right="199" w:firstLine="482"/>
        <w:jc w:val="both"/>
      </w:pPr>
      <w:r>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w:t>
      </w:r>
    </w:p>
    <w:p>
      <w:pPr>
        <w:spacing w:after="0" w:line="357" w:lineRule="auto"/>
        <w:jc w:val="both"/>
        <w:sectPr>
          <w:pgSz w:w="11910" w:h="16840"/>
          <w:pgMar w:header="747" w:footer="979" w:top="1060" w:bottom="1160" w:left="980" w:right="94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57" w:lineRule="auto"/>
        <w:ind w:left="636" w:right="0"/>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w:t>
      </w:r>
    </w:p>
    <w:p>
      <w:pPr>
        <w:pStyle w:val="BodyText"/>
        <w:spacing w:line="357" w:lineRule="auto"/>
        <w:ind w:right="159"/>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57" w:lineRule="auto"/>
        <w:ind w:left="636" w:right="0"/>
        <w:jc w:val="left"/>
      </w:pPr>
      <w:r>
        <w:rPr/>
        <w:t>① 以公允价值计量且其变动计入当期损益的金融负债 分类为交易性金融负债和在初始确认时指定为以公允价值计量且其变动计入当期损益的</w:t>
      </w:r>
    </w:p>
    <w:p>
      <w:pPr>
        <w:pStyle w:val="BodyText"/>
        <w:spacing w:line="357" w:lineRule="auto"/>
        <w:ind w:right="159"/>
        <w:jc w:val="both"/>
      </w:pPr>
      <w:r>
        <w:rPr/>
        <w:t>金融负债的条件与分类为交易性金融资产和在初始确认时指定为以公允价值计量且其变动计 入当期损益的金融资产的条件一致。</w:t>
      </w:r>
    </w:p>
    <w:p>
      <w:pPr>
        <w:pStyle w:val="BodyText"/>
        <w:spacing w:line="357" w:lineRule="auto"/>
        <w:ind w:right="0" w:firstLine="482"/>
        <w:jc w:val="left"/>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357" w:lineRule="auto"/>
        <w:ind w:left="636" w:right="0"/>
        <w:jc w:val="left"/>
      </w:pPr>
      <w:r>
        <w:rPr/>
        <w:t>② 其他金融负债 与在活跃市场中没有报价、公允价值不能可靠计量的权益工具挂钩并须通过交付该权益</w:t>
      </w:r>
    </w:p>
    <w:p>
      <w:pPr>
        <w:pStyle w:val="BodyText"/>
        <w:spacing w:line="357" w:lineRule="auto"/>
        <w:ind w:left="154" w:right="159"/>
        <w:jc w:val="both"/>
      </w:pPr>
      <w:r>
        <w:rPr/>
        <w:t>工具结算的衍生金融负债，按照成本进行后续计量。其他金融负债采用实际利率法，按摊余 成本进行后续计量，终止确认或摊销产生的利得或损失计入当期损益。</w:t>
      </w:r>
    </w:p>
    <w:p>
      <w:pPr>
        <w:pStyle w:val="BodyText"/>
        <w:spacing w:line="357" w:lineRule="auto"/>
        <w:ind w:left="636" w:right="0"/>
        <w:jc w:val="left"/>
      </w:pPr>
      <w:r>
        <w:rPr/>
        <w:t>③ 财务担保合同 不属于指定为以公允价值计量且其变动计入当期损益的金融负债的财务担保合同，或没</w:t>
      </w:r>
    </w:p>
    <w:p>
      <w:pPr>
        <w:pStyle w:val="BodyText"/>
        <w:spacing w:line="357" w:lineRule="auto"/>
        <w:ind w:right="153"/>
        <w:jc w:val="both"/>
      </w:pPr>
      <w:r>
        <w:rPr/>
        <w:t>有指定为以公允价值计量且其变动计入损益并将以低于市场利率贷款的贷款承诺，以公允价 值进行初始确认，在初始确认后按照《企业会计准则第</w:t>
      </w:r>
      <w:r>
        <w:rPr>
          <w:rFonts w:ascii="宋体" w:hAnsi="宋体" w:cs="宋体" w:eastAsia="宋体" w:hint="default"/>
        </w:rPr>
        <w:t>13</w:t>
      </w:r>
      <w:r>
        <w:rPr/>
        <w:t>号—或有事项》确定的金额和初始</w:t>
      </w:r>
      <w:r>
        <w:rPr>
          <w:spacing w:val="-112"/>
        </w:rPr>
        <w:t> </w:t>
      </w:r>
      <w:r>
        <w:rPr>
          <w:spacing w:val="-112"/>
        </w:rPr>
      </w:r>
      <w:r>
        <w:rPr/>
        <w:t>确认金额扣除按照《企业会计准则第</w:t>
      </w:r>
      <w:r>
        <w:rPr>
          <w:rFonts w:ascii="宋体" w:hAnsi="宋体" w:cs="宋体" w:eastAsia="宋体" w:hint="default"/>
        </w:rPr>
        <w:t>14</w:t>
      </w:r>
      <w:r>
        <w:rPr/>
        <w:t>号—收入》的原则确定的累计摊销额后的余额之中的</w:t>
      </w:r>
      <w:r>
        <w:rPr>
          <w:spacing w:val="-114"/>
        </w:rPr>
        <w:t> </w:t>
      </w:r>
      <w:r>
        <w:rPr>
          <w:spacing w:val="-114"/>
        </w:rPr>
      </w:r>
      <w:r>
        <w:rPr/>
        <w:t>较高者进行后续计量。</w:t>
      </w:r>
    </w:p>
    <w:p>
      <w:pPr>
        <w:pStyle w:val="BodyText"/>
        <w:spacing w:line="357" w:lineRule="auto"/>
        <w:ind w:left="636" w:right="0"/>
        <w:jc w:val="left"/>
      </w:pPr>
      <w:r>
        <w:rPr/>
        <w:t>（</w:t>
      </w:r>
      <w:r>
        <w:rPr>
          <w:rFonts w:ascii="宋体" w:hAnsi="宋体" w:cs="宋体" w:eastAsia="宋体" w:hint="default"/>
        </w:rPr>
        <w:t>6</w:t>
      </w:r>
      <w:r>
        <w:rPr/>
        <w:t>）金融负债的终止确认 金融负债的现时义务全部或部分已经解除的，才能终止确认该金融负债或其一部分。本</w:t>
      </w:r>
    </w:p>
    <w:p>
      <w:pPr>
        <w:pStyle w:val="BodyText"/>
        <w:spacing w:line="357" w:lineRule="auto"/>
        <w:ind w:right="159"/>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5" w:firstLine="482"/>
        <w:jc w:val="left"/>
      </w:pPr>
      <w:r>
        <w:rPr/>
        <w:t>金融负债全部或部分终止确认的，将终止确认部分的账面价值与支付的对价（包括转出 的非现金资产或承担的新金融负债）之间的差额，计入当期损益。</w:t>
      </w:r>
    </w:p>
    <w:p>
      <w:pPr>
        <w:pStyle w:val="BodyText"/>
        <w:spacing w:line="357" w:lineRule="auto"/>
        <w:ind w:left="636" w:right="95"/>
        <w:jc w:val="left"/>
      </w:pPr>
      <w:r>
        <w:rPr/>
        <w:t>（</w:t>
      </w:r>
      <w:r>
        <w:rPr>
          <w:rFonts w:ascii="宋体" w:hAnsi="宋体" w:cs="宋体" w:eastAsia="宋体" w:hint="default"/>
        </w:rPr>
        <w:t>7</w:t>
      </w:r>
      <w:r>
        <w:rPr/>
        <w:t>）衍生工具及嵌入衍生工具 衍生工具于相关合同签署日以公允价值进行初始计量，并以公允价值进行后续计量。衍</w:t>
      </w:r>
    </w:p>
    <w:p>
      <w:pPr>
        <w:pStyle w:val="BodyText"/>
        <w:spacing w:line="357" w:lineRule="auto"/>
        <w:ind w:left="636" w:right="95" w:hanging="483"/>
        <w:jc w:val="left"/>
      </w:pPr>
      <w:r>
        <w:rPr/>
        <w:t>生工具的公允价值变动计入当期损益。 对包含嵌入衍生工具的混合工具，如未指定为以公允价值计量且其变动计入当期损益的</w:t>
      </w:r>
    </w:p>
    <w:p>
      <w:pPr>
        <w:pStyle w:val="BodyText"/>
        <w:spacing w:line="357" w:lineRule="auto"/>
        <w:ind w:left="154" w:right="239"/>
        <w:jc w:val="both"/>
      </w:pPr>
      <w:r>
        <w:rPr/>
        <w:t>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57" w:lineRule="auto"/>
        <w:ind w:left="636" w:right="95"/>
        <w:jc w:val="left"/>
      </w:pPr>
      <w:r>
        <w:rPr/>
        <w:t>（</w:t>
      </w:r>
      <w:r>
        <w:rPr>
          <w:rFonts w:ascii="宋体" w:hAnsi="宋体" w:cs="宋体" w:eastAsia="宋体" w:hint="default"/>
        </w:rPr>
        <w:t>8</w:t>
      </w:r>
      <w:r>
        <w:rPr/>
        <w:t>）金融资产和金融负债的抵销 </w:t>
      </w:r>
      <w:r>
        <w:rPr>
          <w:spacing w:val="-3"/>
        </w:rPr>
        <w:t>当本公司具有抵销已确认金融资产和金融负债的法定权利，且目前可执行该种法定权利，</w:t>
      </w:r>
    </w:p>
    <w:p>
      <w:pPr>
        <w:pStyle w:val="BodyText"/>
        <w:spacing w:line="357" w:lineRule="auto"/>
        <w:ind w:left="154" w:right="239"/>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BodyText"/>
        <w:spacing w:line="357" w:lineRule="auto"/>
        <w:ind w:left="636" w:right="95"/>
        <w:jc w:val="left"/>
      </w:pPr>
      <w:r>
        <w:rPr/>
        <w:t>（</w:t>
      </w:r>
      <w:r>
        <w:rPr>
          <w:rFonts w:ascii="宋体" w:hAnsi="宋体" w:cs="宋体" w:eastAsia="宋体" w:hint="default"/>
        </w:rPr>
        <w:t>9</w:t>
      </w:r>
      <w:r>
        <w:rPr/>
        <w:t>）权益工具 权益工具是指能证明拥有本公司在扣除所有负债后的资产中的剩余权益的合同。本公司</w:t>
      </w:r>
    </w:p>
    <w:p>
      <w:pPr>
        <w:pStyle w:val="BodyText"/>
        <w:spacing w:line="357" w:lineRule="auto"/>
        <w:ind w:left="154" w:right="237"/>
        <w:jc w:val="both"/>
      </w:pPr>
      <w:r>
        <w:rPr/>
        <w:t>发行（含再融资）、回购、出售或注销权益工具作为权益的变动处理。本公司不确认权益工</w:t>
      </w:r>
      <w:r>
        <w:rPr>
          <w:spacing w:val="-117"/>
        </w:rPr>
        <w:t> </w:t>
      </w:r>
      <w:r>
        <w:rPr>
          <w:spacing w:val="-117"/>
        </w:rPr>
      </w:r>
      <w:r>
        <w:rPr/>
        <w:t>具的公允价值变动。与权益性交易相关的交易费用从权益中扣减。</w:t>
      </w:r>
    </w:p>
    <w:p>
      <w:pPr>
        <w:pStyle w:val="BodyText"/>
        <w:spacing w:line="357" w:lineRule="auto"/>
        <w:ind w:right="95" w:firstLine="482"/>
        <w:jc w:val="left"/>
      </w:pPr>
      <w:r>
        <w:rPr/>
        <w:t>本公司对权益工具持有方的各种分配（不包括股票股利），减少股东权益。本公司不确 认权益工具的公允价值变动额。</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10、应收款项" w:id="133"/>
      <w:bookmarkEnd w:id="13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单项金额重大并单独计提坏账准备的应收款项" w:id="134"/>
      <w:bookmarkEnd w:id="1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900"/>
        </w:sectPr>
      </w:pPr>
    </w:p>
    <w:p>
      <w:pPr>
        <w:spacing w:line="240" w:lineRule="auto" w:before="2"/>
        <w:rPr>
          <w:rFonts w:ascii="宋体" w:hAnsi="宋体" w:cs="宋体" w:eastAsia="宋体" w:hint="default"/>
          <w:b/>
          <w:bCs/>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14;width:4775;height:665" coordorigin="10,14" coordsize="4775,665">
              <v:shape style="position:absolute;left:10;top:14;width:4775;height:665" coordorigin="10,14" coordsize="4775,665" path="m10,679l4784,679,4784,14,10,14,10,679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4776;height:2" coordorigin="10,684" coordsize="4776,2">
              <v:shape style="position:absolute;left:10;top:684;width:4776;height:2" coordorigin="10,684" coordsize="4776,0" path="m10,684l4785,684e" filled="false" stroked="true" strokeweight=".48pt" strokecolor="#000000">
                <v:path arrowok="t"/>
              </v:shape>
            </v:group>
            <v:group style="position:absolute;left:4790;top:5;width:2;height:684" coordorigin="4790,5" coordsize="2,684">
              <v:shape style="position:absolute;left:4790;top:5;width:2;height:684" coordorigin="4790,5" coordsize="0,684" path="m4790,5l4790,689e" filled="false" stroked="true" strokeweight=".48pt" strokecolor="#000000">
                <v:path arrowok="t"/>
              </v:shape>
            </v:group>
            <v:group style="position:absolute;left:4795;top:684;width:4774;height:2" coordorigin="4795,684" coordsize="4774,2">
              <v:shape style="position:absolute;left:4795;top:684;width:4774;height:2" coordorigin="4795,684" coordsize="4774,0" path="m4795,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4789;top:10;width:4785;height:675" type="#_x0000_t202" filled="false" stroked="false">
                <v:textbox inset="0,0,0,0">
                  <w:txbxContent>
                    <w:p>
                      <w:pPr>
                        <w:spacing w:line="319" w:lineRule="auto" w:before="15"/>
                        <w:ind w:left="28" w:right="75" w:firstLine="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 组合中进行减值测试。</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35"/>
      <w:bookmarkEnd w:id="1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3" w:right="6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单项金额上重大但单独计提坏账准备的应收款项" w:id="136"/>
      <w:bookmarkEnd w:id="1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44"/>
        <w:ind w:left="0" w:right="159" w:firstLine="0"/>
        <w:jc w:val="right"/>
        <w:rPr>
          <w:rFonts w:ascii="宋体" w:hAnsi="宋体" w:cs="宋体" w:eastAsia="宋体" w:hint="default"/>
          <w:sz w:val="18"/>
          <w:szCs w:val="18"/>
        </w:rPr>
      </w:pPr>
      <w:r>
        <w:rPr/>
        <w:pict>
          <v:shape style="position:absolute;margin-left:56.459999pt;margin-top:-31.988281pt;width:479.2pt;height:179.1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计提坏账准备：应收关联方款项；与对方存在争议或涉及诉 讼、仲裁的应收款项；已有明显迹象表明债务人很可能无法 履行还款义务的应收款项等。</w:t>
                        </w:r>
                      </w:p>
                    </w:tc>
                  </w:tr>
                  <w:tr>
                    <w:trPr>
                      <w:trHeight w:val="161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计提坏账准备：应收关联方款项；与对方存在争议或涉及诉 讼、仲裁的应收款项；已有明显迹象表明债务人很可能无法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63"/>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履行还款义务的应收款项等。</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spacing w:before="35"/>
        <w:ind w:left="154" w:right="0" w:firstLine="0"/>
        <w:jc w:val="left"/>
        <w:rPr>
          <w:rFonts w:ascii="宋体" w:hAnsi="宋体" w:cs="宋体" w:eastAsia="宋体" w:hint="default"/>
          <w:sz w:val="21"/>
          <w:szCs w:val="21"/>
        </w:rPr>
      </w:pPr>
      <w:bookmarkStart w:name="11、存货" w:id="137"/>
      <w:bookmarkEnd w:id="13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4730"/>
        <w:jc w:val="left"/>
      </w:pPr>
      <w:r>
        <w:rPr/>
        <w:t>（</w:t>
      </w:r>
      <w:r>
        <w:rPr>
          <w:rFonts w:ascii="宋体" w:hAnsi="宋体" w:cs="宋体" w:eastAsia="宋体" w:hint="default"/>
        </w:rPr>
        <w:t>1</w:t>
      </w:r>
      <w:r>
        <w:rPr/>
        <w:t>）存货的分类 存货主要包括在产品、周转材料及产成品。</w:t>
      </w:r>
    </w:p>
    <w:p>
      <w:pPr>
        <w:pStyle w:val="BodyText"/>
        <w:spacing w:line="357" w:lineRule="auto"/>
        <w:ind w:left="636" w:right="0"/>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w:t>
      </w:r>
    </w:p>
    <w:p>
      <w:pPr>
        <w:pStyle w:val="BodyText"/>
        <w:spacing w:line="240" w:lineRule="auto"/>
        <w:ind w:left="154" w:right="0"/>
        <w:jc w:val="left"/>
      </w:pPr>
      <w:r>
        <w:rPr/>
        <w:t>发出时按个别认定法等计价。</w:t>
      </w:r>
    </w:p>
    <w:p>
      <w:pPr>
        <w:pStyle w:val="BodyText"/>
        <w:spacing w:line="357" w:lineRule="auto" w:before="154"/>
        <w:ind w:left="636" w:right="0"/>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w:t>
      </w:r>
    </w:p>
    <w:p>
      <w:pPr>
        <w:pStyle w:val="BodyText"/>
        <w:spacing w:line="357" w:lineRule="auto"/>
        <w:ind w:right="0"/>
        <w:jc w:val="left"/>
      </w:pPr>
      <w:r>
        <w:rPr/>
        <w:t>计的销售费用以及相关税费后的金额。在确定存货的可变现净值时，以取得的确凿证据为基 础，同时考虑持有存货的目的以及资产负债表日后事项的影响。</w:t>
      </w:r>
    </w:p>
    <w:p>
      <w:pPr>
        <w:pStyle w:val="BodyText"/>
        <w:spacing w:line="357" w:lineRule="auto"/>
        <w:ind w:right="159" w:firstLine="482"/>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57" w:lineRule="auto"/>
        <w:ind w:right="159" w:firstLine="482"/>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40" w:lineRule="auto"/>
        <w:ind w:left="636" w:right="0"/>
        <w:jc w:val="left"/>
      </w:pPr>
      <w:r>
        <w:rPr/>
        <w:t>（</w:t>
      </w:r>
      <w:r>
        <w:rPr>
          <w:rFonts w:ascii="宋体" w:hAnsi="宋体" w:cs="宋体" w:eastAsia="宋体" w:hint="default"/>
        </w:rPr>
        <w:t>4</w:t>
      </w:r>
      <w:r>
        <w:rPr/>
        <w:t>）存货的盘存制度为永续盘存制。</w:t>
      </w:r>
    </w:p>
    <w:p>
      <w:pPr>
        <w:pStyle w:val="BodyText"/>
        <w:spacing w:line="357" w:lineRule="auto" w:before="154"/>
        <w:ind w:left="636" w:right="1130"/>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12、长期股权投资" w:id="138"/>
      <w:bookmarkEnd w:id="13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157" w:firstLine="482"/>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详见附注四、“金融工具”。</w:t>
      </w:r>
    </w:p>
    <w:p>
      <w:pPr>
        <w:pStyle w:val="BodyText"/>
        <w:spacing w:line="357" w:lineRule="auto"/>
        <w:ind w:right="159" w:firstLine="482"/>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制定。</w:t>
      </w:r>
    </w:p>
    <w:p>
      <w:pPr>
        <w:pStyle w:val="BodyText"/>
        <w:spacing w:line="357" w:lineRule="auto" w:before="154"/>
        <w:ind w:left="636" w:right="0"/>
        <w:jc w:val="left"/>
      </w:pPr>
      <w:r>
        <w:rPr/>
        <w:t>（</w:t>
      </w:r>
      <w:r>
        <w:rPr>
          <w:rFonts w:ascii="宋体" w:hAnsi="宋体" w:cs="宋体" w:eastAsia="宋体" w:hint="default"/>
        </w:rPr>
        <w:t>1</w:t>
      </w:r>
      <w:r>
        <w:rPr/>
        <w:t>）投资成本的确定 对于同一控制下的企业合并取得的长期股权投资，在合并日按照被合并方股东权益在最</w:t>
      </w:r>
    </w:p>
    <w:p>
      <w:pPr>
        <w:pStyle w:val="BodyText"/>
        <w:spacing w:line="357" w:lineRule="auto"/>
        <w:ind w:left="154" w:right="159"/>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w:t>
      </w:r>
    </w:p>
    <w:p>
      <w:pPr>
        <w:pStyle w:val="BodyText"/>
        <w:spacing w:line="357" w:lineRule="auto"/>
        <w:ind w:right="159" w:firstLine="482"/>
        <w:jc w:val="both"/>
      </w:pPr>
      <w:r>
        <w:rPr/>
        <w:t>对于非同一控制下的企业合并取得的长期股权投资，在购买日按照合并成本作为长期股 权投资的初始投资成本，合并成本包括包括购买方付出的资产、发生或承担的负债、发行的 权益性证券的公允价值之和。</w:t>
      </w:r>
    </w:p>
    <w:p>
      <w:pPr>
        <w:pStyle w:val="BodyText"/>
        <w:spacing w:line="357" w:lineRule="auto"/>
        <w:ind w:right="159" w:firstLine="482"/>
        <w:jc w:val="both"/>
      </w:pPr>
      <w:r>
        <w:rPr/>
        <w:t>合并方或购买方为企业合并发生的审计、法律服务、评估咨询等中介费用以及其他相关 管理费用，于发生时计入当期损益。</w:t>
      </w:r>
    </w:p>
    <w:p>
      <w:pPr>
        <w:pStyle w:val="BodyText"/>
        <w:spacing w:line="357" w:lineRule="auto"/>
        <w:ind w:right="150" w:firstLine="482"/>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接相关的费用、税金及其他必要支出也计入投资成本。对于因追加投资能够对被投资单位实 施重大影响或实施共同控制但不构成控制的，长期股权投资成本为按照《企业会计准则第</w:t>
      </w:r>
      <w:r>
        <w:rPr>
          <w:rFonts w:ascii="宋体" w:hAnsi="宋体" w:cs="宋体" w:eastAsia="宋体" w:hint="default"/>
        </w:rPr>
        <w:t>22</w:t>
      </w:r>
      <w:r>
        <w:rPr>
          <w:rFonts w:ascii="宋体" w:hAnsi="宋体" w:cs="宋体" w:eastAsia="宋体" w:hint="default"/>
          <w:spacing w:val="-111"/>
        </w:rPr>
        <w:t> </w:t>
      </w:r>
      <w:r>
        <w:rPr/>
        <w:t>号——金融工具确认和计量》确定的原持有股权投资的公允价值加上新增投资成本之和。</w:t>
      </w:r>
    </w:p>
    <w:p>
      <w:pPr>
        <w:pStyle w:val="BodyText"/>
        <w:spacing w:line="357" w:lineRule="auto"/>
        <w:ind w:left="636" w:right="0"/>
        <w:jc w:val="left"/>
      </w:pPr>
      <w:r>
        <w:rPr/>
        <w:t>（</w:t>
      </w:r>
      <w:r>
        <w:rPr>
          <w:rFonts w:ascii="宋体" w:hAnsi="宋体" w:cs="宋体" w:eastAsia="宋体" w:hint="default"/>
        </w:rPr>
        <w:t>2</w:t>
      </w:r>
      <w:r>
        <w:rPr/>
        <w:t>）后续计量及损益确认方法 对被投资单位具有共同控制（构成共同经营者除外）或重大影响的长期股权投资，采用</w:t>
      </w:r>
    </w:p>
    <w:p>
      <w:pPr>
        <w:pStyle w:val="BodyText"/>
        <w:spacing w:line="357" w:lineRule="auto"/>
        <w:ind w:right="157"/>
        <w:jc w:val="both"/>
      </w:pPr>
      <w:r>
        <w:rPr/>
        <w:t>权益法核算。此外，公司财务报表采用成本法核算能够对被投资单位实施控制的长期股权投</w:t>
      </w:r>
      <w:r>
        <w:rPr>
          <w:spacing w:val="-117"/>
        </w:rPr>
        <w:t> </w:t>
      </w:r>
      <w:r>
        <w:rPr>
          <w:spacing w:val="-117"/>
        </w:rPr>
      </w:r>
      <w:r>
        <w:rPr/>
        <w:t>资。</w:t>
      </w:r>
    </w:p>
    <w:p>
      <w:pPr>
        <w:pStyle w:val="BodyText"/>
        <w:spacing w:line="357" w:lineRule="auto"/>
        <w:ind w:left="636" w:right="0"/>
        <w:jc w:val="left"/>
      </w:pPr>
      <w:r>
        <w:rPr/>
        <w:t>① 成本法核算的长期股权投资 采用成本法核算时，长期股权投资按初始投资成本计价，追加或收回投资调整长期股权</w:t>
      </w:r>
    </w:p>
    <w:p>
      <w:pPr>
        <w:pStyle w:val="BodyText"/>
        <w:spacing w:line="357" w:lineRule="auto"/>
        <w:ind w:right="0"/>
        <w:jc w:val="left"/>
      </w:pPr>
      <w:r>
        <w:rPr/>
        <w:t>投资的成本。除取得投资时实际支付的价款或者对价中包含的已宣告但尚未发放的现金股利 或者利润外，当期投资收益按照享有被投资单位宣告发放的现金股利或利润确认。</w:t>
      </w:r>
    </w:p>
    <w:p>
      <w:pPr>
        <w:spacing w:after="0" w:line="357"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6" w:right="95"/>
        <w:jc w:val="left"/>
      </w:pPr>
      <w:r>
        <w:rPr/>
        <w:t>② 权益法核算的长期股权投资 采用权益法核算时，长期股权投资的初始投资成本大于投资时应享有被投资单位可辨认</w:t>
      </w:r>
    </w:p>
    <w:p>
      <w:pPr>
        <w:pStyle w:val="BodyText"/>
        <w:spacing w:line="357" w:lineRule="auto"/>
        <w:ind w:right="229"/>
        <w:jc w:val="both"/>
      </w:pPr>
      <w:r>
        <w:rPr/>
        <w:t>净资产公允价值份额的，不调整长期股权投资的初始投资成本；初始投资成本小于投资时应</w:t>
      </w:r>
      <w:r>
        <w:rPr>
          <w:spacing w:val="-110"/>
        </w:rPr>
        <w:t> </w:t>
      </w:r>
      <w:r>
        <w:rPr>
          <w:spacing w:val="-110"/>
        </w:rPr>
      </w:r>
      <w:r>
        <w:rPr/>
        <w:t>享有被投资单位可辨认净资产公允价值份额的，其差额计入当期损益，同时调整长期股权投</w:t>
      </w:r>
      <w:r>
        <w:rPr/>
        <w:t> 资的成本。</w:t>
      </w:r>
    </w:p>
    <w:p>
      <w:pPr>
        <w:pStyle w:val="BodyText"/>
        <w:spacing w:line="357" w:lineRule="auto"/>
        <w:ind w:right="95" w:firstLine="482"/>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w:t>
      </w:r>
    </w:p>
    <w:p>
      <w:pPr>
        <w:pStyle w:val="BodyText"/>
        <w:spacing w:line="357" w:lineRule="auto"/>
        <w:ind w:right="233" w:firstLine="482"/>
        <w:jc w:val="right"/>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 </w:t>
      </w:r>
      <w:r>
        <w:rPr>
          <w:spacing w:val="6"/>
        </w:rPr>
        <w:t>对于本公司首次执行新会计准则之前已经持有的对联营企业和合营企业的长期股权投</w:t>
      </w:r>
    </w:p>
    <w:p>
      <w:pPr>
        <w:pStyle w:val="BodyText"/>
        <w:spacing w:line="240" w:lineRule="auto"/>
        <w:ind w:right="0"/>
        <w:jc w:val="both"/>
      </w:pPr>
      <w:r>
        <w:rPr>
          <w:spacing w:val="-2"/>
        </w:rPr>
        <w:t>资，如存在与该投资相关的股权投资借方差额，按原剩余期限直线摊销的金额计入当期损益。</w:t>
      </w:r>
    </w:p>
    <w:p>
      <w:pPr>
        <w:pStyle w:val="BodyText"/>
        <w:spacing w:line="357" w:lineRule="auto" w:before="154"/>
        <w:ind w:left="636" w:right="95"/>
        <w:jc w:val="left"/>
      </w:pPr>
      <w:r>
        <w:rPr/>
        <w:t>③ 收购少数股权 在编制合并财务报表时，因购买少数股权新增的长期股权投资与按照新增持股比例计算</w:t>
      </w:r>
    </w:p>
    <w:p>
      <w:pPr>
        <w:pStyle w:val="BodyText"/>
        <w:spacing w:line="357" w:lineRule="auto"/>
        <w:ind w:right="95"/>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57" w:lineRule="auto"/>
        <w:ind w:left="636" w:right="95"/>
        <w:jc w:val="left"/>
      </w:pPr>
      <w:r>
        <w:rPr/>
        <w:t>④ 处置长期股权投资 </w:t>
      </w:r>
      <w:r>
        <w:rPr>
          <w:spacing w:val="-3"/>
        </w:rPr>
        <w:t>在合并财务报表中，母公司在不丧失控制权的情况下部分处置对子公司的长期股权投资，</w:t>
      </w:r>
    </w:p>
    <w:p>
      <w:pPr>
        <w:pStyle w:val="BodyText"/>
        <w:spacing w:line="240" w:lineRule="auto"/>
        <w:ind w:left="154" w:right="0"/>
        <w:jc w:val="both"/>
      </w:pPr>
      <w:r>
        <w:rPr/>
        <w:t>处置价款与处置长期股权投资相对应享有子公司净资产的差额计入股东权益；母公司部分处</w:t>
      </w:r>
    </w:p>
    <w:p>
      <w:pPr>
        <w:spacing w:after="0" w:line="240"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5"/>
        <w:jc w:val="left"/>
      </w:pPr>
      <w:r>
        <w:rPr/>
        <w:t>置对子公司的长期股权投资导致丧失对子公司控制权的，按本附注四、</w:t>
      </w:r>
      <w:r>
        <w:rPr>
          <w:rFonts w:ascii="宋体" w:hAnsi="宋体" w:cs="宋体" w:eastAsia="宋体" w:hint="default"/>
        </w:rPr>
        <w:t>5</w:t>
      </w:r>
      <w:r>
        <w:rPr/>
        <w:t>、（</w:t>
      </w:r>
      <w:r>
        <w:rPr>
          <w:rFonts w:ascii="宋体" w:hAnsi="宋体" w:cs="宋体" w:eastAsia="宋体" w:hint="default"/>
        </w:rPr>
        <w:t>2</w:t>
      </w:r>
      <w:r>
        <w:rPr/>
        <w:t>）“合并财务</w:t>
      </w:r>
      <w:r>
        <w:rPr>
          <w:spacing w:val="-104"/>
        </w:rPr>
        <w:t> </w:t>
      </w:r>
      <w:r>
        <w:rPr>
          <w:spacing w:val="-104"/>
        </w:rPr>
      </w:r>
      <w:r>
        <w:rPr/>
        <w:t>报表编制的方法”中所述的相关会计政策处理。</w:t>
      </w:r>
    </w:p>
    <w:p>
      <w:pPr>
        <w:pStyle w:val="BodyText"/>
        <w:spacing w:line="357" w:lineRule="auto"/>
        <w:ind w:left="154" w:right="95" w:firstLine="482"/>
        <w:jc w:val="left"/>
      </w:pPr>
      <w:r>
        <w:rPr>
          <w:spacing w:val="-3"/>
        </w:rPr>
        <w:t>其他情形下的长期股权投资处置，对于处置的股权，其账面价值与实际取得价款的差额，</w:t>
      </w:r>
      <w:r>
        <w:rPr/>
        <w:t> 计入当期损益。</w:t>
      </w:r>
    </w:p>
    <w:p>
      <w:pPr>
        <w:pStyle w:val="BodyText"/>
        <w:spacing w:line="357" w:lineRule="auto"/>
        <w:ind w:right="239" w:firstLine="482"/>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57" w:lineRule="auto"/>
        <w:ind w:right="233" w:firstLine="482"/>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w:t>
      </w:r>
      <w:r>
        <w:rPr>
          <w:spacing w:val="-114"/>
        </w:rPr>
        <w:t> </w:t>
      </w:r>
      <w:r>
        <w:rPr>
          <w:spacing w:val="-114"/>
        </w:rPr>
      </w:r>
      <w:r>
        <w:rPr/>
        <w:t>期损益；因采用权益法核算而确认的被投资单位净资产中除净损益、其他综合收益和利润分 配以外的其他所有者权益变动按比例结转当期损益。</w:t>
      </w:r>
    </w:p>
    <w:p>
      <w:pPr>
        <w:spacing w:line="240" w:lineRule="auto" w:before="8"/>
        <w:rPr>
          <w:rFonts w:ascii="宋体" w:hAnsi="宋体" w:cs="宋体" w:eastAsia="宋体" w:hint="default"/>
          <w:sz w:val="21"/>
          <w:szCs w:val="21"/>
        </w:rPr>
      </w:pPr>
    </w:p>
    <w:p>
      <w:pPr>
        <w:spacing w:before="0"/>
        <w:ind w:left="153" w:right="95" w:firstLine="0"/>
        <w:jc w:val="left"/>
        <w:rPr>
          <w:rFonts w:ascii="宋体" w:hAnsi="宋体" w:cs="宋体" w:eastAsia="宋体" w:hint="default"/>
          <w:sz w:val="21"/>
          <w:szCs w:val="21"/>
        </w:rPr>
      </w:pPr>
      <w:bookmarkStart w:name="13、固定资产" w:id="139"/>
      <w:bookmarkEnd w:id="13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bookmarkStart w:name="（1）确认条件" w:id="140"/>
      <w:bookmarkEnd w:id="1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239" w:firstLine="482"/>
        <w:jc w:val="both"/>
      </w:pPr>
      <w:r>
        <w:rPr/>
        <w:t>固定资产是指为生产商品、提供劳务、出租或经营管理而持有的，使用寿命超过一个会 计年度的有形资产。固定资产仅在与其有关的经济利益很可能流入本公司，且其成本能够可 靠地计量时才予以确认。固定资产按成本并考虑预计弃置费用因素的影响进行初始计量。</w:t>
      </w:r>
    </w:p>
    <w:p>
      <w:pPr>
        <w:spacing w:line="240" w:lineRule="auto" w:before="8"/>
        <w:rPr>
          <w:rFonts w:ascii="宋体" w:hAnsi="宋体" w:cs="宋体" w:eastAsia="宋体" w:hint="default"/>
          <w:sz w:val="21"/>
          <w:szCs w:val="21"/>
        </w:rPr>
      </w:pPr>
    </w:p>
    <w:p>
      <w:pPr>
        <w:spacing w:before="0"/>
        <w:ind w:left="153" w:right="95" w:firstLine="0"/>
        <w:jc w:val="left"/>
        <w:rPr>
          <w:rFonts w:ascii="宋体" w:hAnsi="宋体" w:cs="宋体" w:eastAsia="宋体" w:hint="default"/>
          <w:sz w:val="21"/>
          <w:szCs w:val="21"/>
        </w:rPr>
      </w:pPr>
      <w:bookmarkStart w:name="（2）折旧方法" w:id="141"/>
      <w:bookmarkEnd w:id="1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19.00-32.33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13.57-32.33</w:t>
            </w:r>
          </w:p>
        </w:tc>
      </w:tr>
    </w:tbl>
    <w:p>
      <w:pPr>
        <w:pStyle w:val="BodyText"/>
        <w:spacing w:line="357" w:lineRule="auto" w:before="40"/>
        <w:ind w:right="95" w:firstLine="482"/>
        <w:jc w:val="left"/>
      </w:pPr>
      <w:r>
        <w:rPr/>
        <w:t>预计净残值是指假定固定资产预计使用寿命已满并处于使用寿命终了时的预期状态，本 公司目前从该项资产处置中获得的扣除预计处置费用后的金额。</w:t>
      </w:r>
    </w:p>
    <w:p>
      <w:pPr>
        <w:spacing w:after="0" w:line="357" w:lineRule="auto"/>
        <w:jc w:val="left"/>
        <w:sectPr>
          <w:pgSz w:w="11910" w:h="16840"/>
          <w:pgMar w:header="747" w:footer="979" w:top="1060" w:bottom="1160" w:left="980" w:right="90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融资租入固定资产的认定依据、计价和折旧方法" w:id="142"/>
      <w:bookmarkEnd w:id="1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6" w:firstLine="482"/>
        <w:jc w:val="both"/>
      </w:pPr>
      <w:r>
        <w:rPr/>
        <w:t>融资租赁为实质上转移了与资产所有权有关的全部风险和报酬的租赁，其所有权最终可 能转移，也可能不转移。以融资租赁方式租入的固定资产采用与自有固定资产一致的政策计</w:t>
      </w:r>
      <w:r>
        <w:rPr>
          <w:spacing w:val="-116"/>
        </w:rPr>
        <w:t> </w:t>
      </w:r>
      <w:r>
        <w:rPr>
          <w:spacing w:val="-116"/>
        </w:rPr>
      </w:r>
      <w:r>
        <w:rPr/>
        <w:t>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14、在建工程" w:id="143"/>
      <w:bookmarkEnd w:id="14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159" w:firstLine="482"/>
        <w:jc w:val="both"/>
      </w:pPr>
      <w:r>
        <w:rPr/>
        <w:t>在建工程成本按实际工程支出确定，包括在建期间发生的各项工程支出、工程达到预定 可使用状态前的资本化的借款费用以及其他相关费用等。在建工程在达到预定可使用状态后 结转为固定资产。</w:t>
      </w:r>
    </w:p>
    <w:p>
      <w:pPr>
        <w:pStyle w:val="BodyText"/>
        <w:spacing w:line="240" w:lineRule="auto"/>
        <w:ind w:left="636" w:right="0"/>
        <w:jc w:val="left"/>
      </w:pPr>
      <w:r>
        <w:rPr/>
        <w:t>在建工程的减值测试方法和减值准备计提方法详见附注“长期资产减值”。</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before="0"/>
        <w:ind w:left="153" w:right="0" w:firstLine="0"/>
        <w:jc w:val="left"/>
        <w:rPr>
          <w:rFonts w:ascii="宋体" w:hAnsi="宋体" w:cs="宋体" w:eastAsia="宋体" w:hint="default"/>
          <w:sz w:val="21"/>
          <w:szCs w:val="21"/>
        </w:rPr>
      </w:pPr>
      <w:bookmarkStart w:name="15、借款费用" w:id="144"/>
      <w:bookmarkEnd w:id="144"/>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159" w:firstLine="482"/>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57" w:lineRule="auto"/>
        <w:ind w:right="154" w:firstLine="482"/>
        <w:jc w:val="both"/>
      </w:pPr>
      <w:r>
        <w:rPr/>
        <w:t>专门借款当期实际发生的利息费用，减去尚未动用的借款资金存入银行取得的利息收入 或进行暂时性投资取得的投资收益后的金额予以资本化；一般借款根据累计资产支出超过专</w:t>
      </w:r>
      <w:r>
        <w:rPr>
          <w:spacing w:val="-114"/>
        </w:rPr>
        <w:t> </w:t>
      </w:r>
      <w:r>
        <w:rPr>
          <w:spacing w:val="-114"/>
        </w:rPr>
      </w:r>
      <w:r>
        <w:rPr/>
        <w:t>门借款部分的资产支出加权平均数乘以所占用一般借款的资本化率，确定资本化金额。资本 化率根据一般借款的加权平均利率计算确定。</w:t>
      </w:r>
    </w:p>
    <w:p>
      <w:pPr>
        <w:pStyle w:val="BodyText"/>
        <w:spacing w:line="357" w:lineRule="auto"/>
        <w:ind w:left="154" w:right="159" w:firstLine="482"/>
        <w:jc w:val="both"/>
      </w:pPr>
      <w:r>
        <w:rPr/>
        <w:t>资本化期间内，外币专门借款的汇兑差额全部予以资本化；外币一般借款的汇兑差额计 入当期损益。</w:t>
      </w:r>
    </w:p>
    <w:p>
      <w:pPr>
        <w:pStyle w:val="BodyText"/>
        <w:spacing w:line="357" w:lineRule="auto"/>
        <w:ind w:left="154" w:right="159" w:firstLine="482"/>
        <w:jc w:val="both"/>
      </w:pPr>
      <w:r>
        <w:rPr/>
        <w:t>符合资本化条件的资产指需要经过相当长时间的购建或者生产活动才能达到预定可使用 或可销售状态的固定资产、投资性房地产和存货等资产。</w:t>
      </w:r>
    </w:p>
    <w:p>
      <w:pPr>
        <w:pStyle w:val="BodyText"/>
        <w:spacing w:line="357" w:lineRule="auto"/>
        <w:ind w:right="159" w:firstLine="482"/>
        <w:jc w:val="both"/>
      </w:pPr>
      <w:r>
        <w:rPr/>
        <w:t>如果符合资本化条件的资产在购建或生产过程中发生非正常中断、并且中断时间连续超 过</w:t>
      </w:r>
      <w:r>
        <w:rPr>
          <w:rFonts w:ascii="宋体" w:hAnsi="宋体" w:cs="宋体" w:eastAsia="宋体" w:hint="default"/>
        </w:rPr>
        <w:t>3</w:t>
      </w:r>
      <w:r>
        <w:rPr/>
        <w:t>个月的，暂停借款费用的资本化，直至资产的购建或生产活动重新开始。</w:t>
      </w:r>
    </w:p>
    <w:p>
      <w:pPr>
        <w:spacing w:after="0" w:line="357" w:lineRule="auto"/>
        <w:jc w:val="both"/>
        <w:sectPr>
          <w:footerReference w:type="default" r:id="rId16"/>
          <w:pgSz w:w="11910" w:h="16840"/>
          <w:pgMar w:footer="979" w:header="747" w:top="1060" w:bottom="1160" w:left="980" w:right="980"/>
        </w:sectPr>
      </w:pPr>
    </w:p>
    <w:p>
      <w:pPr>
        <w:spacing w:line="240" w:lineRule="auto" w:before="10"/>
        <w:rPr>
          <w:rFonts w:ascii="宋体" w:hAnsi="宋体" w:cs="宋体" w:eastAsia="宋体" w:hint="default"/>
          <w:sz w:val="24"/>
          <w:szCs w:val="24"/>
        </w:rPr>
      </w:pPr>
    </w:p>
    <w:p>
      <w:pPr>
        <w:spacing w:before="35"/>
        <w:ind w:left="153" w:right="95" w:firstLine="0"/>
        <w:jc w:val="left"/>
        <w:rPr>
          <w:rFonts w:ascii="宋体" w:hAnsi="宋体" w:cs="宋体" w:eastAsia="宋体" w:hint="default"/>
          <w:sz w:val="21"/>
          <w:szCs w:val="21"/>
        </w:rPr>
      </w:pPr>
      <w:bookmarkStart w:name="16、无形资产" w:id="145"/>
      <w:bookmarkEnd w:id="145"/>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bookmarkStart w:name="（1）计价方法、使用寿命、减值测试" w:id="146"/>
      <w:bookmarkEnd w:id="1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95"/>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57" w:lineRule="auto"/>
        <w:ind w:right="95"/>
        <w:jc w:val="left"/>
      </w:pPr>
      <w:r>
        <w:rPr/>
        <w:t>入本公司且其成本能可靠地计量，则计入无形资产成本。除此以外的其他项目的支出，在发 生时计入当期损益。</w:t>
      </w:r>
    </w:p>
    <w:p>
      <w:pPr>
        <w:pStyle w:val="BodyText"/>
        <w:spacing w:line="357" w:lineRule="auto"/>
        <w:ind w:right="95" w:firstLine="482"/>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w:t>
      </w:r>
      <w:r>
        <w:rPr>
          <w:spacing w:val="-114"/>
        </w:rPr>
        <w:t> </w:t>
      </w:r>
      <w:r>
        <w:rPr>
          <w:spacing w:val="-114"/>
        </w:rPr>
      </w:r>
      <w:r>
        <w:rPr/>
        <w:t>理。</w:t>
      </w:r>
    </w:p>
    <w:p>
      <w:pPr>
        <w:pStyle w:val="BodyText"/>
        <w:spacing w:line="357" w:lineRule="auto"/>
        <w:ind w:left="154" w:right="239" w:firstLine="482"/>
        <w:jc w:val="both"/>
      </w:pPr>
      <w:r>
        <w:rPr/>
        <w:t>使用寿命有限的无形资产自可供使用时起，对其原值减去预计净残值和已计提的减值准 备累计金额在其预计使用寿命内采用直线法分期平均摊销。使用寿命不确定的无形资产不予 摊销。</w:t>
      </w:r>
    </w:p>
    <w:p>
      <w:pPr>
        <w:pStyle w:val="BodyText"/>
        <w:spacing w:line="357" w:lineRule="auto"/>
        <w:ind w:left="154" w:right="231" w:firstLine="1322"/>
        <w:jc w:val="both"/>
      </w:pPr>
      <w:r>
        <w:rPr>
          <w:spacing w:val="-3"/>
        </w:rPr>
        <w:t>期末，对使用寿命有限的无形资产的使用寿命和摊销方法进行复核，如发生变更</w:t>
      </w:r>
      <w:r>
        <w:rPr/>
        <w:t> 则作为会计估计变更处理。此外，还对使用寿命不确定的无形资产的使用寿命进行复核，如 果有证据表明该无形资产为企业带来经济利益的期限是可预见的，则估计其使用寿命并按照 使用寿命有限的无形资产的摊销政策进行摊销。</w:t>
      </w:r>
    </w:p>
    <w:p>
      <w:pPr>
        <w:pStyle w:val="BodyText"/>
        <w:spacing w:line="357" w:lineRule="auto"/>
        <w:ind w:left="154" w:right="94" w:firstLine="482"/>
        <w:jc w:val="left"/>
      </w:pPr>
      <w:r>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57" w:lineRule="auto"/>
        <w:ind w:left="154" w:right="234" w:firstLine="482"/>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w:t>
      </w:r>
      <w:r>
        <w:rPr>
          <w:spacing w:val="-115"/>
        </w:rPr>
        <w:t> </w:t>
      </w:r>
      <w:r>
        <w:rPr>
          <w:spacing w:val="-115"/>
        </w:rPr>
      </w:r>
      <w:r>
        <w:rPr/>
        <w:t>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w:t>
      </w:r>
    </w:p>
    <w:p>
      <w:pPr>
        <w:spacing w:after="0" w:line="357" w:lineRule="auto"/>
        <w:jc w:val="both"/>
        <w:sectPr>
          <w:footerReference w:type="default" r:id="rId17"/>
          <w:pgSz w:w="11910" w:h="16840"/>
          <w:pgMar w:footer="979" w:header="747" w:top="1060" w:bottom="1160" w:left="980" w:right="900"/>
          <w:pgNumType w:start="101"/>
        </w:sectPr>
      </w:pPr>
    </w:p>
    <w:p>
      <w:pPr>
        <w:spacing w:line="240" w:lineRule="auto" w:before="7"/>
        <w:rPr>
          <w:rFonts w:ascii="宋体" w:hAnsi="宋体" w:cs="宋体" w:eastAsia="宋体" w:hint="default"/>
          <w:sz w:val="29"/>
          <w:szCs w:val="29"/>
        </w:rPr>
      </w:pPr>
    </w:p>
    <w:p>
      <w:pPr>
        <w:pStyle w:val="BodyText"/>
        <w:spacing w:line="357" w:lineRule="auto" w:before="26"/>
        <w:ind w:right="149"/>
        <w:jc w:val="both"/>
      </w:pPr>
      <w:r>
        <w:rPr/>
        <w:t>量，选择恰当的折现率对其进行折现后的金额加以确定。资产减值准备按单项资产为基础计 算并确认，如果难以对单项资产的可收回金额进行估计的，以该资产所属的资产组确定资产</w:t>
      </w:r>
      <w:r>
        <w:rPr>
          <w:spacing w:val="-109"/>
        </w:rPr>
        <w:t> </w:t>
      </w:r>
      <w:r>
        <w:rPr>
          <w:spacing w:val="-109"/>
        </w:rPr>
      </w:r>
      <w:r>
        <w:rPr/>
        <w:t>组的可收回金额。资产组是能够独立产生现金流入的最小资产组合。</w:t>
      </w:r>
    </w:p>
    <w:p>
      <w:pPr>
        <w:pStyle w:val="BodyText"/>
        <w:spacing w:line="357" w:lineRule="auto"/>
        <w:ind w:right="159" w:firstLine="482"/>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ind w:left="636" w:right="0"/>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before="0"/>
        <w:ind w:left="153" w:right="0" w:firstLine="0"/>
        <w:jc w:val="both"/>
        <w:rPr>
          <w:rFonts w:ascii="宋体" w:hAnsi="宋体" w:cs="宋体" w:eastAsia="宋体" w:hint="default"/>
          <w:sz w:val="21"/>
          <w:szCs w:val="21"/>
        </w:rPr>
      </w:pPr>
      <w:bookmarkStart w:name="（2）内部研究开发支出会计政策" w:id="147"/>
      <w:bookmarkEnd w:id="1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0"/>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40" w:lineRule="auto"/>
        <w:ind w:left="154" w:right="0"/>
        <w:jc w:val="both"/>
      </w:pPr>
      <w:r>
        <w:rPr/>
        <w:t>的支出计入当期损益：</w:t>
      </w:r>
    </w:p>
    <w:p>
      <w:pPr>
        <w:pStyle w:val="BodyText"/>
        <w:spacing w:line="240" w:lineRule="auto" w:before="154"/>
        <w:ind w:left="636" w:right="0"/>
        <w:jc w:val="left"/>
      </w:pPr>
      <w:r>
        <w:rPr/>
        <w:t>① 完成该无形资产以使其能够使用或出售在技术上具有可行性；</w:t>
      </w:r>
    </w:p>
    <w:p>
      <w:pPr>
        <w:pStyle w:val="BodyText"/>
        <w:spacing w:line="240" w:lineRule="auto" w:before="154"/>
        <w:ind w:left="636" w:right="0"/>
        <w:jc w:val="left"/>
      </w:pPr>
      <w:r>
        <w:rPr/>
        <w:t>② 具有完成该无形资产并使用或出售的意图；</w:t>
      </w:r>
    </w:p>
    <w:p>
      <w:pPr>
        <w:pStyle w:val="BodyText"/>
        <w:spacing w:line="357" w:lineRule="auto" w:before="154"/>
        <w:ind w:left="154" w:right="151" w:firstLine="482"/>
        <w:jc w:val="both"/>
      </w:pPr>
      <w:r>
        <w:rPr/>
        <w:t>③</w:t>
      </w:r>
      <w:r>
        <w:rPr>
          <w:spacing w:val="25"/>
        </w:rPr>
        <w:t> </w:t>
      </w:r>
      <w:r>
        <w:rPr>
          <w:spacing w:val="-3"/>
        </w:rPr>
        <w:t>无形资产产生经济利益的方式，包括能够证明运用该无形资产生产的产品存在市场或</w:t>
      </w:r>
      <w:r>
        <w:rPr/>
        <w:t> 无形资产自身存在市场，无形资产将在内部使用的，能够证明其有用性；</w:t>
      </w:r>
    </w:p>
    <w:p>
      <w:pPr>
        <w:pStyle w:val="BodyText"/>
        <w:spacing w:line="357" w:lineRule="auto"/>
        <w:ind w:left="154" w:right="150" w:firstLine="482"/>
        <w:jc w:val="both"/>
      </w:pPr>
      <w:r>
        <w:rPr/>
        <w:t>④</w:t>
      </w:r>
      <w:r>
        <w:rPr>
          <w:spacing w:val="25"/>
        </w:rPr>
        <w:t> </w:t>
      </w:r>
      <w:r>
        <w:rPr>
          <w:spacing w:val="-3"/>
        </w:rPr>
        <w:t>有足够的技术、财务资源和其他资源支持，以完成该无形资产的开发，并有能力使用</w:t>
      </w:r>
      <w:r>
        <w:rPr/>
        <w:t> 或出售该无形资产；</w:t>
      </w:r>
    </w:p>
    <w:p>
      <w:pPr>
        <w:pStyle w:val="BodyText"/>
        <w:spacing w:line="357" w:lineRule="auto"/>
        <w:ind w:left="636" w:right="650"/>
        <w:jc w:val="left"/>
      </w:pPr>
      <w:r>
        <w:rPr/>
        <w:t>⑤ 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17、长期资产减值" w:id="148"/>
      <w:bookmarkEnd w:id="148"/>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159" w:firstLine="482"/>
        <w:jc w:val="both"/>
      </w:pPr>
      <w:r>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5"/>
        <w:jc w:val="left"/>
      </w:pPr>
      <w:r>
        <w:rPr>
          <w:spacing w:val="-2"/>
        </w:rPr>
        <w:t>誉、使用寿命不确定的无形资产和尚未达到可使用状态的无形资产，无论是否存在减值迹象，</w:t>
      </w:r>
      <w:r>
        <w:rPr/>
        <w:t> 每年均进行减值测试。</w:t>
      </w:r>
    </w:p>
    <w:p>
      <w:pPr>
        <w:pStyle w:val="BodyText"/>
        <w:spacing w:line="357" w:lineRule="auto"/>
        <w:ind w:right="233" w:firstLine="482"/>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w:t>
      </w:r>
      <w:r>
        <w:rPr>
          <w:spacing w:val="-112"/>
        </w:rPr>
        <w:t> </w:t>
      </w:r>
      <w:r>
        <w:rPr>
          <w:spacing w:val="-112"/>
        </w:rPr>
      </w:r>
      <w:r>
        <w:rPr/>
        <w:t>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357" w:lineRule="auto"/>
        <w:ind w:right="235" w:firstLine="482"/>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w:t>
      </w:r>
      <w:r>
        <w:rPr>
          <w:spacing w:val="-116"/>
        </w:rPr>
        <w:t> </w:t>
      </w:r>
      <w:r>
        <w:rPr>
          <w:spacing w:val="-116"/>
        </w:rPr>
      </w:r>
      <w:r>
        <w:rPr/>
        <w:t>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ind w:left="636" w:right="95"/>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before="0"/>
        <w:ind w:left="153" w:right="95" w:firstLine="0"/>
        <w:jc w:val="left"/>
        <w:rPr>
          <w:rFonts w:ascii="宋体" w:hAnsi="宋体" w:cs="宋体" w:eastAsia="宋体" w:hint="default"/>
          <w:sz w:val="21"/>
          <w:szCs w:val="21"/>
        </w:rPr>
      </w:pPr>
      <w:bookmarkStart w:name="18、职工薪酬" w:id="149"/>
      <w:bookmarkEnd w:id="149"/>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bookmarkStart w:name="（1）短期薪酬的会计处理方法" w:id="150"/>
      <w:bookmarkEnd w:id="1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233" w:firstLine="482"/>
        <w:jc w:val="both"/>
      </w:pPr>
      <w:r>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w:t>
      </w:r>
      <w:r>
        <w:rPr>
          <w:spacing w:val="-113"/>
        </w:rPr>
        <w:t> </w:t>
      </w:r>
      <w:r>
        <w:rPr>
          <w:spacing w:val="-113"/>
        </w:rPr>
      </w:r>
      <w:r>
        <w:rPr/>
        <w:t>产成本。其中非货币性福利按公允价值计量。</w:t>
      </w:r>
    </w:p>
    <w:p>
      <w:pPr>
        <w:spacing w:line="240" w:lineRule="auto" w:before="8"/>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bookmarkStart w:name="（2）离职后福利的会计处理方法" w:id="151"/>
      <w:bookmarkEnd w:id="1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239" w:firstLine="482"/>
        <w:jc w:val="both"/>
      </w:pPr>
      <w:r>
        <w:rPr/>
        <w:t>离职后福利主要包括设定提存计划。其中设定提存计划主要包括基本养老保险、失业保 险，相应的应缴存金额于发生时计入相关资产成本或当期损益。</w:t>
      </w:r>
    </w:p>
    <w:p>
      <w:pPr>
        <w:spacing w:after="0" w:line="357" w:lineRule="auto"/>
        <w:jc w:val="both"/>
        <w:sectPr>
          <w:pgSz w:w="11910" w:h="16840"/>
          <w:pgMar w:header="747" w:footer="979" w:top="1060" w:bottom="1160" w:left="980" w:right="90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辞退福利的会计处理方法" w:id="152"/>
      <w:bookmarkEnd w:id="1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7" w:firstLine="482"/>
        <w:jc w:val="both"/>
      </w:pPr>
      <w:r>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其他长期职工福利的会计处理方法" w:id="153"/>
      <w:bookmarkEnd w:id="1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9" w:firstLine="482"/>
        <w:jc w:val="both"/>
      </w:pPr>
      <w:r>
        <w:rPr/>
        <w:t>职工内部退休计划采用上述辞退福利相同的原则处理。本公司将自职工停止提供服务日 至正常退休日的期间拟支付的内退人员工资和缴纳的社会保险费等，在符合预计负债确认条 件时，计入当期损益（辞退福利）。</w:t>
      </w:r>
    </w:p>
    <w:p>
      <w:pPr>
        <w:pStyle w:val="BodyText"/>
        <w:spacing w:line="357" w:lineRule="auto"/>
        <w:ind w:right="159" w:firstLine="482"/>
        <w:jc w:val="both"/>
      </w:pPr>
      <w:r>
        <w:rPr/>
        <w:t>本公司向职工提供的其他长期职工福利，符合设定提存计划的，按照设定提存计划进行 会计处理，除此之外按照设定收益计划进行会计处理。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19、预计负债" w:id="154"/>
      <w:bookmarkEnd w:id="154"/>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2" w:firstLine="482"/>
        <w:jc w:val="both"/>
      </w:pPr>
      <w:r>
        <w:rPr>
          <w:spacing w:val="-3"/>
        </w:rPr>
        <w:t>当与或有事项相关的义务同时符合以下条件，确认为预计负债：（</w:t>
      </w:r>
      <w:r>
        <w:rPr>
          <w:rFonts w:ascii="宋体" w:hAnsi="宋体" w:cs="宋体" w:eastAsia="宋体" w:hint="default"/>
          <w:spacing w:val="-3"/>
        </w:rPr>
        <w:t>1</w:t>
      </w:r>
      <w:r>
        <w:rPr>
          <w:spacing w:val="-3"/>
        </w:rPr>
        <w:t>）该义务是本公司承</w:t>
      </w:r>
      <w:r>
        <w:rPr/>
        <w:t> 担的现时义务；（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w:t>
      </w:r>
      <w:r>
        <w:rPr>
          <w:spacing w:val="-112"/>
        </w:rPr>
        <w:t> </w:t>
      </w:r>
      <w:r>
        <w:rPr/>
        <w:t>计量。</w:t>
      </w:r>
    </w:p>
    <w:p>
      <w:pPr>
        <w:pStyle w:val="BodyText"/>
        <w:spacing w:line="357" w:lineRule="auto"/>
        <w:ind w:right="159" w:firstLine="482"/>
        <w:jc w:val="both"/>
      </w:pPr>
      <w:r>
        <w:rPr/>
        <w:t>在资产负债表日，考虑与或有事项有关的风险、不确定性和货币时间价值等因素，按照 履行相关现时义务所需支出的最佳估计数对预计负债进行计量。</w:t>
      </w:r>
    </w:p>
    <w:p>
      <w:pPr>
        <w:pStyle w:val="BodyText"/>
        <w:spacing w:line="357" w:lineRule="auto"/>
        <w:ind w:right="159" w:firstLine="482"/>
        <w:jc w:val="both"/>
      </w:pPr>
      <w:r>
        <w:rPr/>
        <w:t>如果清偿预计负债所需支出全部或部分预期由第三方补偿的，补偿金额在基本确定能够 收到时，作为资产单独确认，且确认的补偿金额不超过预计负债的账面价值。</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0、股份支付" w:id="155"/>
      <w:bookmarkEnd w:id="155"/>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0"/>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w:t>
      </w:r>
    </w:p>
    <w:p>
      <w:pPr>
        <w:pStyle w:val="BodyText"/>
        <w:spacing w:line="240" w:lineRule="auto"/>
        <w:ind w:right="0"/>
        <w:jc w:val="left"/>
      </w:pPr>
      <w:r>
        <w:rPr/>
        <w:t>确定的负债的交易。股份支付为以权益结算的股份支付。</w:t>
      </w:r>
    </w:p>
    <w:p>
      <w:pPr>
        <w:pStyle w:val="BodyText"/>
        <w:spacing w:line="240" w:lineRule="auto" w:before="154"/>
        <w:ind w:left="636" w:right="0"/>
        <w:jc w:val="left"/>
      </w:pPr>
      <w:r>
        <w:rPr/>
        <w:t>① 以权益结算的股份支付</w:t>
      </w:r>
    </w:p>
    <w:p>
      <w:pPr>
        <w:spacing w:after="0" w:line="240"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95" w:firstLine="482"/>
        <w:jc w:val="left"/>
      </w:pPr>
      <w:r>
        <w:rPr/>
        <w:t>用以换取职工提供的服务的权益结算的股份支付，以授予职工权益工具在授予日的公允 </w:t>
      </w:r>
      <w:r>
        <w:rPr>
          <w:spacing w:val="-2"/>
        </w:rPr>
        <w:t>价值计量。该公允价值的金额在完成等待期内的服务或达到规定业绩条件才可行权的情况下，</w:t>
      </w:r>
      <w:r>
        <w:rPr/>
        <w:t> 在等待期内以对可行权权益工具数量的最佳估计为基础，按直线法计算计入相关成本或费用</w:t>
      </w:r>
      <w:r>
        <w:rPr>
          <w:rFonts w:ascii="宋体" w:hAnsi="宋体" w:cs="宋体" w:eastAsia="宋体" w:hint="default"/>
        </w:rPr>
        <w:t>/ </w:t>
      </w:r>
      <w:r>
        <w:rPr/>
        <w:t>在授予后立即可行权时，在授予日计入相关成本或费用，相应增加资本公积。</w:t>
      </w:r>
    </w:p>
    <w:p>
      <w:pPr>
        <w:pStyle w:val="BodyText"/>
        <w:spacing w:line="357" w:lineRule="auto"/>
        <w:ind w:right="95" w:firstLine="482"/>
        <w:jc w:val="left"/>
      </w:pPr>
      <w:r>
        <w:rPr/>
        <w:t>在等待期内每个资产负债表日，本公司根据最新取得的可行权职工人数变动等后续信息 </w:t>
      </w:r>
      <w:r>
        <w:rPr>
          <w:spacing w:val="-2"/>
        </w:rPr>
        <w:t>做出最佳估计，修正预计可行权的权益工具数量。上述估计的影响计入当期相关成本或费用，</w:t>
      </w:r>
      <w:r>
        <w:rPr/>
        <w:t> 并相应调整资本公积。</w:t>
      </w:r>
    </w:p>
    <w:p>
      <w:pPr>
        <w:pStyle w:val="BodyText"/>
        <w:spacing w:line="357" w:lineRule="auto"/>
        <w:ind w:right="95" w:firstLine="482"/>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BodyText"/>
        <w:spacing w:line="357" w:lineRule="auto"/>
        <w:ind w:left="636" w:right="95"/>
        <w:jc w:val="left"/>
      </w:pPr>
      <w:r>
        <w:rPr/>
        <w:t>（</w:t>
      </w:r>
      <w:r>
        <w:rPr>
          <w:rFonts w:ascii="宋体" w:hAnsi="宋体" w:cs="宋体" w:eastAsia="宋体" w:hint="default"/>
        </w:rPr>
        <w:t>2</w:t>
      </w:r>
      <w:r>
        <w:rPr/>
        <w:t>）修改、终止股份支付计划的相关会计处理 本公司对股份支付计划进行修改时，若修改增加了所授予权益工具的公允价值，按照权</w:t>
      </w:r>
    </w:p>
    <w:p>
      <w:pPr>
        <w:pStyle w:val="BodyText"/>
        <w:spacing w:line="357" w:lineRule="auto"/>
        <w:ind w:left="154" w:right="234"/>
        <w:jc w:val="both"/>
      </w:pPr>
      <w:r>
        <w:rPr/>
        <w:t>益工具公允价值的增加相应确认取得服务的增加。权益工具公允价值的增加是指修改前后的</w:t>
      </w:r>
      <w:r>
        <w:rPr>
          <w:spacing w:val="-114"/>
        </w:rPr>
        <w:t> </w:t>
      </w:r>
      <w:r>
        <w:rPr>
          <w:spacing w:val="-114"/>
        </w:rPr>
      </w:r>
      <w:r>
        <w:rPr/>
        <w:t>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BodyText"/>
        <w:spacing w:line="357" w:lineRule="auto"/>
        <w:ind w:left="154" w:right="239" w:firstLine="482"/>
        <w:jc w:val="both"/>
      </w:pPr>
      <w:r>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21、收入" w:id="156"/>
      <w:bookmarkEnd w:id="156"/>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95"/>
        <w:jc w:val="left"/>
      </w:pPr>
      <w:r>
        <w:rPr/>
        <w:t>（</w:t>
      </w:r>
      <w:r>
        <w:rPr>
          <w:rFonts w:ascii="宋体" w:hAnsi="宋体" w:cs="宋体" w:eastAsia="宋体" w:hint="default"/>
        </w:rPr>
        <w:t>1</w:t>
      </w:r>
      <w:r>
        <w:rPr/>
        <w:t>）商品销售收入 在已将商品所有权上的主要风险和报酬转移给买方，既没有保留通常与所有权相联系的</w:t>
      </w:r>
    </w:p>
    <w:p>
      <w:pPr>
        <w:pStyle w:val="BodyText"/>
        <w:spacing w:line="357" w:lineRule="auto"/>
        <w:ind w:left="154" w:right="239"/>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240" w:lineRule="auto"/>
        <w:ind w:left="636" w:right="95"/>
        <w:jc w:val="left"/>
      </w:pPr>
      <w:r>
        <w:rPr/>
        <w:t>（</w:t>
      </w:r>
      <w:r>
        <w:rPr>
          <w:rFonts w:ascii="宋体" w:hAnsi="宋体" w:cs="宋体" w:eastAsia="宋体" w:hint="default"/>
        </w:rPr>
        <w:t>2</w:t>
      </w:r>
      <w:r>
        <w:rPr/>
        <w:t>）提供劳务收入</w:t>
      </w:r>
    </w:p>
    <w:p>
      <w:pPr>
        <w:spacing w:after="0" w:line="240"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9" w:firstLine="482"/>
        <w:jc w:val="both"/>
      </w:pPr>
      <w:r>
        <w:rPr/>
        <w:t>在提供劳务交易的结果能够可靠估计的情况下，于资产负债表日按照完工百分比法确认 提供的劳务收入。劳务交易的完工进度按已完工作的测量确定。</w:t>
      </w:r>
    </w:p>
    <w:p>
      <w:pPr>
        <w:pStyle w:val="BodyText"/>
        <w:spacing w:line="357" w:lineRule="auto"/>
        <w:ind w:right="235" w:firstLine="482"/>
        <w:jc w:val="both"/>
      </w:pPr>
      <w:r>
        <w:rPr/>
        <w:t>提供劳务交易的结果能够可靠估计是指同时满足：①收入的金额能够可靠地计量；②相 关的经济利益很可能流入企业；③交易的完工程度能够可靠地确定；④交易中已发生和将发</w:t>
      </w:r>
      <w:r>
        <w:rPr>
          <w:spacing w:val="-115"/>
        </w:rPr>
        <w:t> </w:t>
      </w:r>
      <w:r>
        <w:rPr>
          <w:spacing w:val="-115"/>
        </w:rPr>
      </w:r>
      <w:r>
        <w:rPr/>
        <w:t>生的成本能够可靠地计量。</w:t>
      </w:r>
    </w:p>
    <w:p>
      <w:pPr>
        <w:pStyle w:val="BodyText"/>
        <w:spacing w:line="357" w:lineRule="auto"/>
        <w:ind w:right="239" w:firstLine="482"/>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57" w:lineRule="auto"/>
        <w:ind w:right="239" w:firstLine="482"/>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357" w:lineRule="auto"/>
        <w:ind w:left="636" w:right="95"/>
        <w:jc w:val="left"/>
      </w:pPr>
      <w:r>
        <w:rPr/>
        <w:t>（</w:t>
      </w:r>
      <w:r>
        <w:rPr>
          <w:rFonts w:ascii="宋体" w:hAnsi="宋体" w:cs="宋体" w:eastAsia="宋体" w:hint="default"/>
        </w:rPr>
        <w:t>3</w:t>
      </w:r>
      <w:r>
        <w:rPr/>
        <w:t>）分期收款销售商品 按照销售商品的公允价值确定商品销售收入。销售商品应收款项与其公允价值之间的差</w:t>
      </w:r>
    </w:p>
    <w:p>
      <w:pPr>
        <w:pStyle w:val="BodyText"/>
        <w:spacing w:line="240" w:lineRule="auto"/>
        <w:ind w:left="154" w:right="95"/>
        <w:jc w:val="left"/>
      </w:pPr>
      <w:r>
        <w:rPr/>
        <w:t>额，在收款期内采用实际利率法进行摊销，计入财务费用。</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before="0"/>
        <w:ind w:left="153" w:right="95" w:firstLine="0"/>
        <w:jc w:val="left"/>
        <w:rPr>
          <w:rFonts w:ascii="宋体" w:hAnsi="宋体" w:cs="宋体" w:eastAsia="宋体" w:hint="default"/>
          <w:sz w:val="21"/>
          <w:szCs w:val="21"/>
        </w:rPr>
      </w:pPr>
      <w:bookmarkStart w:name="22、政府补助" w:id="157"/>
      <w:bookmarkEnd w:id="157"/>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bookmarkStart w:name="（1）与资产相关的政府补助判断依据及会计处理方法" w:id="158"/>
      <w:bookmarkEnd w:id="1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13" w:firstLine="482"/>
        <w:jc w:val="both"/>
      </w:pPr>
      <w:r>
        <w:rPr/>
        <w:t>政府补助是指本公司从政府无偿取得货币性资产和非货币性资产，不包括政府作为所有 者投入的资本。政府补助分为与资产相关的政府补助和与收益相关的政府补助。</w:t>
      </w:r>
      <w:r>
        <w:rPr>
          <w:spacing w:val="12"/>
        </w:rPr>
        <w:t> </w:t>
      </w:r>
      <w:r>
        <w:rPr/>
        <w:t>本公司将</w:t>
      </w:r>
      <w:r>
        <w:rPr>
          <w:spacing w:val="1"/>
        </w:rPr>
        <w:t> </w:t>
      </w:r>
      <w:r>
        <w:rPr/>
        <w:t>所取得的用于购建或以其他方式形成长期资产的政府补助界定为与资产相关的政府补助；其</w:t>
      </w:r>
      <w:r>
        <w:rPr/>
        <w:t> 余政府补助界定为与收益相关的政府补助。若政府文件未明确规定补助对象，则采用以下方</w:t>
      </w:r>
      <w:r>
        <w:rPr>
          <w:spacing w:val="-114"/>
        </w:rPr>
        <w:t> </w:t>
      </w:r>
      <w:r>
        <w:rPr>
          <w:spacing w:val="-114"/>
        </w:rPr>
      </w:r>
      <w:r>
        <w:rPr>
          <w:spacing w:val="-3"/>
        </w:rPr>
        <w:t>式将补助款划分为与收益相关的政府补助和与资产相关的政府补助：（</w:t>
      </w:r>
      <w:r>
        <w:rPr>
          <w:rFonts w:ascii="宋体" w:hAnsi="宋体" w:cs="宋体" w:eastAsia="宋体" w:hint="default"/>
          <w:spacing w:val="-3"/>
        </w:rPr>
        <w:t>1</w:t>
      </w:r>
      <w:r>
        <w:rPr>
          <w:spacing w:val="-3"/>
        </w:rPr>
        <w:t>）政府文件明确了补</w:t>
      </w:r>
      <w:r>
        <w:rPr>
          <w:spacing w:val="-80"/>
        </w:rPr>
        <w:t> </w:t>
      </w:r>
      <w:r>
        <w:rPr>
          <w:spacing w:val="-80"/>
        </w:rPr>
      </w:r>
      <w:r>
        <w:rPr/>
        <w:t>助所针对的特定项目的，根据该特定项目的预算中将形成资产的支出金额和计入费用的支出 </w:t>
      </w:r>
      <w:r>
        <w:rPr>
          <w:spacing w:val="-2"/>
        </w:rPr>
        <w:t>金额的相对比例进行划分，对该划分比例需在每个资产负债表日进行复核，必要时进行变更；</w:t>
      </w:r>
    </w:p>
    <w:p>
      <w:pPr>
        <w:pStyle w:val="BodyText"/>
        <w:spacing w:line="357" w:lineRule="auto"/>
        <w:ind w:left="636" w:right="103" w:hanging="483"/>
        <w:jc w:val="left"/>
      </w:pPr>
      <w:r>
        <w:rPr>
          <w:spacing w:val="-5"/>
        </w:rPr>
        <w:t>（</w:t>
      </w:r>
      <w:r>
        <w:rPr>
          <w:rFonts w:ascii="宋体" w:hAnsi="宋体" w:cs="宋体" w:eastAsia="宋体" w:hint="default"/>
          <w:spacing w:val="-5"/>
        </w:rPr>
        <w:t>2</w:t>
      </w:r>
      <w:r>
        <w:rPr>
          <w:spacing w:val="-5"/>
        </w:rPr>
        <w:t>）政府文件中对用途仅作一般性表述，没有指明特定项目的，作为与收益相关的政府补助。</w:t>
      </w:r>
      <w:r>
        <w:rPr>
          <w:spacing w:val="-114"/>
        </w:rPr>
        <w:t> </w:t>
      </w:r>
      <w:r>
        <w:rPr>
          <w:spacing w:val="-114"/>
        </w:rPr>
      </w:r>
      <w:r>
        <w:rPr/>
        <w:t>政府补助为货币性资产的，按照收到或应收的金额计量。政府补助为非货币性资产的，</w:t>
      </w:r>
    </w:p>
    <w:p>
      <w:pPr>
        <w:pStyle w:val="BodyText"/>
        <w:spacing w:line="357" w:lineRule="auto"/>
        <w:ind w:left="154" w:right="95"/>
        <w:jc w:val="left"/>
      </w:pPr>
      <w:r>
        <w:rPr/>
        <w:t>按照公允价值计量；公允价值不能够可靠取得的，按照名义金额计量。按照名义金额计量的 政府补助，直接计入当期损益。</w:t>
      </w:r>
    </w:p>
    <w:p>
      <w:pPr>
        <w:spacing w:after="0" w:line="357"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13" w:firstLine="482"/>
        <w:jc w:val="both"/>
      </w:pPr>
      <w:r>
        <w:rPr/>
        <w:t>本公司对于政府补助通常在实际收到时，按照实收金额予以确认和计量。但对于期末有 确凿证据表明能够符合财政扶持政策规定的相关条件预计能够收到财政扶持资金，按照应收 的金额计量。按照应收金额计量的政府补助应同时符合以下条件：（</w:t>
      </w:r>
      <w:r>
        <w:rPr>
          <w:rFonts w:ascii="宋体" w:hAnsi="宋体" w:cs="宋体" w:eastAsia="宋体" w:hint="default"/>
        </w:rPr>
        <w:t>1</w:t>
      </w:r>
      <w:r>
        <w:rPr/>
        <w:t>）应收补助款的金额已 经过有权政府部门发文确认，或者可根据正式发布的财政资金管理办法的有关规定自行合理 </w:t>
      </w:r>
      <w:r>
        <w:rPr>
          <w:spacing w:val="-8"/>
        </w:rPr>
        <w:t>测算，且预计其金额不存在重大不确定性；（</w:t>
      </w:r>
      <w:r>
        <w:rPr>
          <w:rFonts w:ascii="宋体" w:hAnsi="宋体" w:cs="宋体" w:eastAsia="宋体" w:hint="default"/>
          <w:spacing w:val="-8"/>
        </w:rPr>
        <w:t>2</w:t>
      </w:r>
      <w:r>
        <w:rPr>
          <w:spacing w:val="-8"/>
        </w:rPr>
        <w:t>）所依据的是当地财政部门正式发布并按照《政</w:t>
      </w:r>
      <w:r>
        <w:rPr>
          <w:spacing w:val="-108"/>
        </w:rPr>
        <w:t> </w:t>
      </w:r>
      <w:r>
        <w:rPr>
          <w:spacing w:val="-108"/>
        </w:rPr>
      </w:r>
      <w:r>
        <w:rPr/>
        <w:t>府信息公开条例》的规定予以主动公开的财政扶持项目及其财政资金管理办法，且该管理办 </w:t>
      </w:r>
      <w:r>
        <w:rPr>
          <w:spacing w:val="-3"/>
        </w:rPr>
        <w:t>法应当是普惠性的（任何符合规定条件的企业均可申请），而不是专门针对特定企业制定的；</w:t>
      </w:r>
    </w:p>
    <w:p>
      <w:pPr>
        <w:pStyle w:val="BodyText"/>
        <w:spacing w:line="357" w:lineRule="auto"/>
        <w:ind w:right="103"/>
        <w:jc w:val="left"/>
      </w:pPr>
      <w:r>
        <w:rPr/>
        <w:t>（</w:t>
      </w:r>
      <w:r>
        <w:rPr>
          <w:rFonts w:ascii="宋体" w:hAnsi="宋体" w:cs="宋体" w:eastAsia="宋体" w:hint="default"/>
        </w:rPr>
        <w:t>3</w:t>
      </w:r>
      <w:r>
        <w:rPr/>
        <w:t>）相关的补助款批文中已明确承诺了拨付期限，且该款项的拨付是有相应财政预算作为保 </w:t>
      </w:r>
      <w:r>
        <w:rPr>
          <w:spacing w:val="-5"/>
        </w:rPr>
        <w:t>障的，因而可以合理保证其可在规定期限内收到；（</w:t>
      </w:r>
      <w:r>
        <w:rPr>
          <w:rFonts w:ascii="宋体" w:hAnsi="宋体" w:cs="宋体" w:eastAsia="宋体" w:hint="default"/>
          <w:spacing w:val="-5"/>
        </w:rPr>
        <w:t>4</w:t>
      </w:r>
      <w:r>
        <w:rPr>
          <w:spacing w:val="-5"/>
        </w:rPr>
        <w:t>）根据本公司和该补助事项的具体情况，</w:t>
      </w:r>
      <w:r>
        <w:rPr>
          <w:spacing w:val="-113"/>
        </w:rPr>
        <w:t> </w:t>
      </w:r>
      <w:r>
        <w:rPr>
          <w:spacing w:val="-113"/>
        </w:rPr>
      </w:r>
      <w:r>
        <w:rPr/>
        <w:t>应满足的其他相关条件（如有）。</w:t>
      </w:r>
    </w:p>
    <w:p>
      <w:pPr>
        <w:pStyle w:val="BodyText"/>
        <w:spacing w:line="357" w:lineRule="auto"/>
        <w:ind w:right="95" w:firstLine="482"/>
        <w:jc w:val="left"/>
      </w:pPr>
      <w:r>
        <w:rPr/>
        <w:t>与资产相关的政府补助，确认为递延收益，并在相关资产的使用寿命内平均分配计入当 </w:t>
      </w:r>
      <w:r>
        <w:rPr>
          <w:spacing w:val="-3"/>
        </w:rPr>
        <w:t>期损益。与收益相关的政府补助，用于补偿以后期间的相关费用和损失的，确认为递延收益，</w:t>
      </w:r>
      <w:r>
        <w:rPr>
          <w:spacing w:val="-81"/>
        </w:rPr>
        <w:t> </w:t>
      </w:r>
      <w:r>
        <w:rPr>
          <w:spacing w:val="-81"/>
        </w:rPr>
      </w:r>
      <w:r>
        <w:rPr/>
        <w:t>并在确认相关费用的期间计入当期损益；用于补偿已经发生的相关费用和损失的，直接计入</w:t>
      </w:r>
      <w:r>
        <w:rPr>
          <w:spacing w:val="-109"/>
        </w:rPr>
        <w:t> </w:t>
      </w:r>
      <w:r>
        <w:rPr>
          <w:spacing w:val="-109"/>
        </w:rPr>
      </w:r>
      <w:r>
        <w:rPr/>
        <w:t>当期损益。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95" w:firstLine="0"/>
        <w:jc w:val="left"/>
        <w:rPr>
          <w:rFonts w:ascii="宋体" w:hAnsi="宋体" w:cs="宋体" w:eastAsia="宋体" w:hint="default"/>
          <w:sz w:val="21"/>
          <w:szCs w:val="21"/>
        </w:rPr>
      </w:pPr>
      <w:bookmarkStart w:name="（2）与收益相关的政府补助判断依据及会计处理方法" w:id="159"/>
      <w:bookmarkEnd w:id="1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95" w:firstLine="482"/>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240" w:lineRule="auto" w:before="8"/>
        <w:rPr>
          <w:rFonts w:ascii="宋体" w:hAnsi="宋体" w:cs="宋体" w:eastAsia="宋体" w:hint="default"/>
          <w:sz w:val="21"/>
          <w:szCs w:val="21"/>
        </w:rPr>
      </w:pPr>
    </w:p>
    <w:p>
      <w:pPr>
        <w:spacing w:before="0"/>
        <w:ind w:left="153" w:right="95" w:firstLine="0"/>
        <w:jc w:val="left"/>
        <w:rPr>
          <w:rFonts w:ascii="宋体" w:hAnsi="宋体" w:cs="宋体" w:eastAsia="宋体" w:hint="default"/>
          <w:sz w:val="21"/>
          <w:szCs w:val="21"/>
        </w:rPr>
      </w:pPr>
      <w:bookmarkStart w:name="23、递延所得税资产/递延所得税负债" w:id="160"/>
      <w:bookmarkEnd w:id="16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636" w:right="95"/>
        <w:jc w:val="left"/>
      </w:pPr>
      <w:r>
        <w:rPr/>
        <w:t>（</w:t>
      </w:r>
      <w:r>
        <w:rPr>
          <w:rFonts w:ascii="宋体" w:hAnsi="宋体" w:cs="宋体" w:eastAsia="宋体" w:hint="default"/>
        </w:rPr>
        <w:t>1</w:t>
      </w:r>
      <w:r>
        <w:rPr/>
        <w:t>）当期所得税 资产负债表日，对于当期和以前期间形成的当期所得税负债（或资产），以按照税法规</w:t>
      </w:r>
    </w:p>
    <w:p>
      <w:pPr>
        <w:pStyle w:val="BodyText"/>
        <w:spacing w:line="357" w:lineRule="auto"/>
        <w:ind w:left="154" w:right="95"/>
        <w:jc w:val="left"/>
      </w:pPr>
      <w:r>
        <w:rPr/>
        <w:t>定计算的预期应交纳（或返还）的所得税金额计量。计算当期所得税费用所依据的应纳税所 得额系根据有关税法规定对本年度税前会计利润作相应调整后计算得出。</w:t>
      </w:r>
    </w:p>
    <w:p>
      <w:pPr>
        <w:pStyle w:val="BodyText"/>
        <w:spacing w:line="357" w:lineRule="auto"/>
        <w:ind w:left="636" w:right="95"/>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w:t>
      </w:r>
    </w:p>
    <w:p>
      <w:pPr>
        <w:pStyle w:val="BodyText"/>
        <w:spacing w:line="357" w:lineRule="auto"/>
        <w:ind w:left="154" w:right="95"/>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240" w:lineRule="auto"/>
        <w:ind w:left="636" w:right="95"/>
        <w:jc w:val="left"/>
      </w:pPr>
      <w:r>
        <w:rPr/>
        <w:t>与商誉的初始确认有关，以及与既不是企业合并、发生时也不影响会计利润和应纳税所</w:t>
      </w:r>
    </w:p>
    <w:p>
      <w:pPr>
        <w:spacing w:after="0" w:line="240"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35"/>
        <w:jc w:val="both"/>
      </w:pPr>
      <w:r>
        <w:rPr/>
        <w:t>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w:t>
      </w:r>
      <w:r>
        <w:rPr>
          <w:spacing w:val="-116"/>
        </w:rPr>
        <w:t> </w:t>
      </w:r>
      <w:r>
        <w:rPr>
          <w:spacing w:val="-116"/>
        </w:rPr>
      </w:r>
      <w:r>
        <w:rPr/>
        <w:t>来很可能不会转回，也不予确认有关的递延所得税负债。除上述例外情况，本公司确认其他 所有应纳税暂时性差异产生的递延所得税负债。</w:t>
      </w:r>
    </w:p>
    <w:p>
      <w:pPr>
        <w:pStyle w:val="BodyText"/>
        <w:spacing w:line="357" w:lineRule="auto"/>
        <w:ind w:right="95" w:firstLine="482"/>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w:t>
      </w:r>
      <w:r>
        <w:rPr>
          <w:spacing w:val="-117"/>
        </w:rPr>
        <w:t> </w:t>
      </w:r>
      <w:r>
        <w:rPr>
          <w:spacing w:val="-117"/>
        </w:rPr>
      </w:r>
      <w:r>
        <w:rPr/>
        <w:t>扣可抵扣暂时性差异的应纳税所得额为限，确认其他可抵扣暂时性差异产生的递延所得税资 产。</w:t>
      </w:r>
    </w:p>
    <w:p>
      <w:pPr>
        <w:pStyle w:val="BodyText"/>
        <w:spacing w:line="357" w:lineRule="auto"/>
        <w:ind w:left="154" w:right="239" w:firstLine="482"/>
        <w:jc w:val="both"/>
      </w:pPr>
      <w:r>
        <w:rPr/>
        <w:t>对于能够结转以后年度的可抵扣亏损和税款抵减，以很可能获得用来抵扣可抵扣亏损和 税款抵减的未来应纳税所得额为限，确认相应的递延所得税资产。</w:t>
      </w:r>
    </w:p>
    <w:p>
      <w:pPr>
        <w:pStyle w:val="BodyText"/>
        <w:spacing w:line="357" w:lineRule="auto"/>
        <w:ind w:right="239" w:firstLine="482"/>
        <w:jc w:val="both"/>
      </w:pPr>
      <w:r>
        <w:rPr/>
        <w:t>资产负债表日，对于递延所得税资产和递延所得税负债，根据税法规定，按照预期收回 相关资产或清偿相关负债期间的适用税率计量。</w:t>
      </w:r>
    </w:p>
    <w:p>
      <w:pPr>
        <w:pStyle w:val="BodyText"/>
        <w:spacing w:line="357" w:lineRule="auto"/>
        <w:ind w:left="154" w:right="234" w:firstLine="482"/>
        <w:jc w:val="both"/>
      </w:pPr>
      <w:r>
        <w:rPr/>
        <w:t>于资产负债表日，对递延所得税资产的账面价值进行复核，如果未来很可能无法获得足 够的应纳税所得额用以抵扣递延所得税资产的利益，则减记递延所得税资产的账面价值。在</w:t>
      </w:r>
      <w:r>
        <w:rPr>
          <w:spacing w:val="-114"/>
        </w:rPr>
        <w:t> </w:t>
      </w:r>
      <w:r>
        <w:rPr>
          <w:spacing w:val="-114"/>
        </w:rPr>
      </w:r>
      <w:r>
        <w:rPr/>
        <w:t>很可能获得足够的应纳税所得额时，减记的金额予以转回。</w:t>
      </w:r>
    </w:p>
    <w:p>
      <w:pPr>
        <w:pStyle w:val="BodyText"/>
        <w:spacing w:line="357" w:lineRule="auto"/>
        <w:ind w:left="636" w:right="4810"/>
        <w:jc w:val="left"/>
      </w:pPr>
      <w:r>
        <w:rPr/>
        <w:t>（</w:t>
      </w:r>
      <w:r>
        <w:rPr>
          <w:rFonts w:ascii="宋体" w:hAnsi="宋体" w:cs="宋体" w:eastAsia="宋体" w:hint="default"/>
        </w:rPr>
        <w:t>3</w:t>
      </w:r>
      <w:r>
        <w:rPr/>
        <w:t>）所得税费用 所得税费用包括当期所得税和递延所得税。</w:t>
      </w:r>
    </w:p>
    <w:p>
      <w:pPr>
        <w:pStyle w:val="BodyText"/>
        <w:spacing w:line="357" w:lineRule="auto"/>
        <w:ind w:left="154" w:right="239" w:firstLine="482"/>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57" w:lineRule="auto"/>
        <w:ind w:left="636" w:right="95"/>
        <w:jc w:val="left"/>
      </w:pPr>
      <w:r>
        <w:rPr/>
        <w:t>（</w:t>
      </w:r>
      <w:r>
        <w:rPr>
          <w:rFonts w:ascii="宋体" w:hAnsi="宋体" w:cs="宋体" w:eastAsia="宋体" w:hint="default"/>
        </w:rPr>
        <w:t>4</w:t>
      </w:r>
      <w:r>
        <w:rPr/>
        <w:t>）所得税的抵销 当拥有以净额结算的法定权利，且意图以净额结算或取得资产、清偿负债同时进行时，</w:t>
      </w:r>
    </w:p>
    <w:p>
      <w:pPr>
        <w:pStyle w:val="BodyText"/>
        <w:spacing w:line="357" w:lineRule="auto"/>
        <w:ind w:left="636" w:right="95" w:hanging="483"/>
        <w:jc w:val="left"/>
      </w:pPr>
      <w:r>
        <w:rPr/>
        <w:t>本公司当期所得税资产及当期所得税负债以抵销后的净额列报。 当拥有以净额结算当期所得税资产及当期所得税负债的法定权利，且递延所得税资产及</w:t>
      </w:r>
    </w:p>
    <w:p>
      <w:pPr>
        <w:pStyle w:val="BodyText"/>
        <w:spacing w:line="240" w:lineRule="auto"/>
        <w:ind w:right="95"/>
        <w:jc w:val="left"/>
      </w:pPr>
      <w:r>
        <w:rPr/>
        <w:t>递延所得税负债是与同一税收征管部门对同一纳税主体征收的所得税相关或者是对不同的纳</w:t>
      </w:r>
    </w:p>
    <w:p>
      <w:pPr>
        <w:spacing w:after="0" w:line="240" w:lineRule="auto"/>
        <w:jc w:val="left"/>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159"/>
        <w:jc w:val="both"/>
      </w:pPr>
      <w:r>
        <w:rPr/>
        <w:t>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4、租赁" w:id="161"/>
      <w:bookmarkEnd w:id="161"/>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融资租赁的会计处理方法" w:id="162"/>
      <w:bookmarkEnd w:id="1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0" w:firstLine="482"/>
        <w:jc w:val="left"/>
      </w:pPr>
      <w:r>
        <w:rPr/>
        <w:t>融资租赁为实质上转移了与资产所有权有关的全部风险和报酬的租赁，其所有权最终可 能转移，也可能不转移。融资租赁以外的其他租赁为经营租赁。</w:t>
      </w:r>
    </w:p>
    <w:p>
      <w:pPr>
        <w:pStyle w:val="BodyText"/>
        <w:spacing w:line="357" w:lineRule="auto"/>
        <w:ind w:left="636" w:right="0"/>
        <w:jc w:val="left"/>
      </w:pPr>
      <w:r>
        <w:rPr/>
        <w:t>（</w:t>
      </w:r>
      <w:r>
        <w:rPr>
          <w:rFonts w:ascii="宋体" w:hAnsi="宋体" w:cs="宋体" w:eastAsia="宋体" w:hint="default"/>
        </w:rPr>
        <w:t>1</w:t>
      </w:r>
      <w:r>
        <w:rPr/>
        <w:t>）本公司作为承租人记录经营租赁业务 经营租赁的租金支出在租赁期内的各个期间按直线法计入相关资产成本或当期损益。初</w:t>
      </w:r>
    </w:p>
    <w:p>
      <w:pPr>
        <w:pStyle w:val="BodyText"/>
        <w:spacing w:line="240" w:lineRule="auto"/>
        <w:ind w:left="154" w:right="0"/>
        <w:jc w:val="both"/>
      </w:pPr>
      <w:r>
        <w:rPr/>
        <w:t>始直接费用计入当期损益。或有租金于实际发生时计入当期损益。</w:t>
      </w:r>
    </w:p>
    <w:p>
      <w:pPr>
        <w:pStyle w:val="BodyText"/>
        <w:spacing w:line="357" w:lineRule="auto" w:before="154"/>
        <w:ind w:left="636" w:right="0"/>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w:t>
      </w:r>
    </w:p>
    <w:p>
      <w:pPr>
        <w:pStyle w:val="BodyText"/>
        <w:spacing w:line="357" w:lineRule="auto"/>
        <w:ind w:left="154" w:right="159"/>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BodyText"/>
        <w:spacing w:line="357" w:lineRule="auto"/>
        <w:ind w:left="636" w:right="0"/>
        <w:jc w:val="left"/>
      </w:pPr>
      <w:r>
        <w:rPr/>
        <w:t>（</w:t>
      </w:r>
      <w:r>
        <w:rPr>
          <w:rFonts w:ascii="宋体" w:hAnsi="宋体" w:cs="宋体" w:eastAsia="宋体" w:hint="default"/>
        </w:rPr>
        <w:t>3</w:t>
      </w:r>
      <w:r>
        <w:rPr/>
        <w:t>）本公司作为承租人记录融资租赁业务 于租赁期开始日，将租赁开始日租赁资产的公允价值与最低租赁付款额现值两者中较低</w:t>
      </w:r>
    </w:p>
    <w:p>
      <w:pPr>
        <w:pStyle w:val="BodyText"/>
        <w:spacing w:line="357" w:lineRule="auto"/>
        <w:ind w:left="154" w:right="159"/>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57" w:lineRule="auto"/>
        <w:ind w:left="154" w:right="0" w:firstLine="482"/>
        <w:jc w:val="left"/>
      </w:pPr>
      <w:r>
        <w:rPr/>
        <w:t>未确认融资费用在租赁期内采用实际利率法计算确认当期的融资费用。或有租金于实际 发生时计入当期损益。</w:t>
      </w:r>
    </w:p>
    <w:p>
      <w:pPr>
        <w:pStyle w:val="BodyText"/>
        <w:spacing w:line="357" w:lineRule="auto"/>
        <w:ind w:left="636" w:right="0"/>
        <w:jc w:val="left"/>
      </w:pPr>
      <w:r>
        <w:rPr/>
        <w:t>（</w:t>
      </w:r>
      <w:r>
        <w:rPr>
          <w:rFonts w:ascii="宋体" w:hAnsi="宋体" w:cs="宋体" w:eastAsia="宋体" w:hint="default"/>
        </w:rPr>
        <w:t>4</w:t>
      </w:r>
      <w:r>
        <w:rPr/>
        <w:t>）本公司作为出租人记录融资租赁业务 于租赁期开始日，将租赁开始日最低租赁收款额与初始直接费用之和作为应收融资租赁</w:t>
      </w:r>
    </w:p>
    <w:p>
      <w:pPr>
        <w:pStyle w:val="BodyText"/>
        <w:spacing w:line="357" w:lineRule="auto"/>
        <w:ind w:left="154" w:right="159"/>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59" w:firstLine="482"/>
        <w:jc w:val="both"/>
      </w:pPr>
      <w:r>
        <w:rPr/>
        <w:t>未实现融资收益在租赁期内采用实际利率法计算确认当期的融资收入。或有租金于实际 发生时计入当期损益。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5、重要会计政策和会计估计变更" w:id="163"/>
      <w:bookmarkEnd w:id="163"/>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会计政策变更" w:id="164"/>
      <w:bookmarkEnd w:id="1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left="636" w:right="4730"/>
        <w:jc w:val="left"/>
      </w:pPr>
      <w:r>
        <w:rPr/>
        <w:t>（</w:t>
      </w:r>
      <w:r>
        <w:rPr>
          <w:rFonts w:ascii="宋体" w:hAnsi="宋体" w:cs="宋体" w:eastAsia="宋体" w:hint="default"/>
        </w:rPr>
        <w:t>1</w:t>
      </w:r>
      <w:r>
        <w:rPr/>
        <w:t>）会计政策变更 因执行新企业会计准则导致的会计政策变更</w:t>
      </w:r>
    </w:p>
    <w:p>
      <w:pPr>
        <w:pStyle w:val="BodyText"/>
        <w:spacing w:line="357" w:lineRule="auto"/>
        <w:ind w:right="149" w:firstLine="482"/>
        <w:jc w:val="both"/>
      </w:pPr>
      <w:r>
        <w:rPr>
          <w:rFonts w:ascii="宋体" w:hAnsi="宋体" w:cs="宋体" w:eastAsia="宋体" w:hint="default"/>
          <w:spacing w:val="-7"/>
        </w:rPr>
        <w:t>2014</w:t>
      </w:r>
      <w:r>
        <w:rPr>
          <w:spacing w:val="-7"/>
        </w:rPr>
        <w:t>年初，财政部分别以财会</w:t>
      </w:r>
      <w:r>
        <w:rPr>
          <w:rFonts w:ascii="宋体" w:hAnsi="宋体" w:cs="宋体" w:eastAsia="宋体" w:hint="default"/>
          <w:spacing w:val="-7"/>
        </w:rPr>
        <w:t>[2014]6</w:t>
      </w:r>
      <w:r>
        <w:rPr>
          <w:spacing w:val="-7"/>
        </w:rPr>
        <w:t>号、</w:t>
      </w:r>
      <w:r>
        <w:rPr>
          <w:rFonts w:ascii="宋体" w:hAnsi="宋体" w:cs="宋体" w:eastAsia="宋体" w:hint="default"/>
          <w:spacing w:val="-7"/>
        </w:rPr>
        <w:t>7</w:t>
      </w:r>
      <w:r>
        <w:rPr>
          <w:spacing w:val="-7"/>
        </w:rPr>
        <w:t>号、</w:t>
      </w:r>
      <w:r>
        <w:rPr>
          <w:rFonts w:ascii="宋体" w:hAnsi="宋体" w:cs="宋体" w:eastAsia="宋体" w:hint="default"/>
          <w:spacing w:val="-7"/>
        </w:rPr>
        <w:t>8</w:t>
      </w:r>
      <w:r>
        <w:rPr>
          <w:spacing w:val="-7"/>
        </w:rPr>
        <w:t>号、</w:t>
      </w:r>
      <w:r>
        <w:rPr>
          <w:rFonts w:ascii="宋体" w:hAnsi="宋体" w:cs="宋体" w:eastAsia="宋体" w:hint="default"/>
          <w:spacing w:val="-7"/>
        </w:rPr>
        <w:t>10</w:t>
      </w:r>
      <w:r>
        <w:rPr>
          <w:spacing w:val="-7"/>
        </w:rPr>
        <w:t>号、</w:t>
      </w:r>
      <w:r>
        <w:rPr>
          <w:rFonts w:ascii="宋体" w:hAnsi="宋体" w:cs="宋体" w:eastAsia="宋体" w:hint="default"/>
          <w:spacing w:val="-7"/>
        </w:rPr>
        <w:t>11</w:t>
      </w:r>
      <w:r>
        <w:rPr>
          <w:spacing w:val="-7"/>
        </w:rPr>
        <w:t>号、</w:t>
      </w:r>
      <w:r>
        <w:rPr>
          <w:rFonts w:ascii="宋体" w:hAnsi="宋体" w:cs="宋体" w:eastAsia="宋体" w:hint="default"/>
          <w:spacing w:val="-7"/>
        </w:rPr>
        <w:t>14</w:t>
      </w:r>
      <w:r>
        <w:rPr>
          <w:spacing w:val="-7"/>
        </w:rPr>
        <w:t>号及</w:t>
      </w:r>
      <w:r>
        <w:rPr>
          <w:rFonts w:ascii="宋体" w:hAnsi="宋体" w:cs="宋体" w:eastAsia="宋体" w:hint="default"/>
          <w:spacing w:val="-7"/>
        </w:rPr>
        <w:t>16</w:t>
      </w:r>
      <w:r>
        <w:rPr>
          <w:spacing w:val="-7"/>
        </w:rPr>
        <w:t>号发布了《企</w:t>
      </w:r>
      <w:r>
        <w:rPr/>
        <w:t> 业会计准则第</w:t>
      </w:r>
      <w:r>
        <w:rPr>
          <w:rFonts w:ascii="宋体" w:hAnsi="宋体" w:cs="宋体" w:eastAsia="宋体" w:hint="default"/>
        </w:rPr>
        <w:t>39</w:t>
      </w:r>
      <w:r>
        <w:rPr/>
        <w:t>号——公允价值计量》、《企业会计准则第</w:t>
      </w:r>
      <w:r>
        <w:rPr>
          <w:rFonts w:ascii="宋体" w:hAnsi="宋体" w:cs="宋体" w:eastAsia="宋体" w:hint="default"/>
        </w:rPr>
        <w:t>30</w:t>
      </w:r>
      <w:r>
        <w:rPr/>
        <w:t>号——财务报表列报（</w:t>
      </w:r>
      <w:r>
        <w:rPr>
          <w:rFonts w:ascii="宋体" w:hAnsi="宋体" w:cs="宋体" w:eastAsia="宋体" w:hint="default"/>
        </w:rPr>
        <w:t>2014</w:t>
      </w:r>
      <w:r>
        <w:rPr/>
        <w:t>年</w:t>
      </w:r>
      <w:r>
        <w:rPr>
          <w:spacing w:val="-107"/>
        </w:rPr>
        <w:t> </w:t>
      </w:r>
      <w:r>
        <w:rPr>
          <w:spacing w:val="-8"/>
        </w:rPr>
        <w:t>修订）》、《企业会计准则第</w:t>
      </w:r>
      <w:r>
        <w:rPr>
          <w:rFonts w:ascii="宋体" w:hAnsi="宋体" w:cs="宋体" w:eastAsia="宋体" w:hint="default"/>
          <w:spacing w:val="-8"/>
        </w:rPr>
        <w:t>9</w:t>
      </w:r>
      <w:r>
        <w:rPr>
          <w:spacing w:val="-8"/>
        </w:rPr>
        <w:t>号——职工薪酬（</w:t>
      </w:r>
      <w:r>
        <w:rPr>
          <w:rFonts w:ascii="宋体" w:hAnsi="宋体" w:cs="宋体" w:eastAsia="宋体" w:hint="default"/>
          <w:spacing w:val="-8"/>
        </w:rPr>
        <w:t>2014</w:t>
      </w:r>
      <w:r>
        <w:rPr>
          <w:spacing w:val="-8"/>
        </w:rPr>
        <w:t>年修订）》、《企业会计准则第</w:t>
      </w:r>
      <w:r>
        <w:rPr>
          <w:rFonts w:ascii="宋体" w:hAnsi="宋体" w:cs="宋体" w:eastAsia="宋体" w:hint="default"/>
          <w:spacing w:val="-8"/>
        </w:rPr>
        <w:t>33</w:t>
      </w:r>
      <w:r>
        <w:rPr>
          <w:spacing w:val="-8"/>
        </w:rPr>
        <w:t>号——</w:t>
      </w:r>
      <w:r>
        <w:rPr>
          <w:spacing w:val="-83"/>
        </w:rPr>
        <w:t> </w:t>
      </w:r>
      <w:r>
        <w:rPr/>
        <w:t>合并财务报表（</w:t>
      </w:r>
      <w:r>
        <w:rPr>
          <w:rFonts w:ascii="宋体" w:hAnsi="宋体" w:cs="宋体" w:eastAsia="宋体" w:hint="default"/>
        </w:rPr>
        <w:t>2014</w:t>
      </w:r>
      <w:r>
        <w:rPr/>
        <w:t>年修订）》、《企业会计准则第</w:t>
      </w:r>
      <w:r>
        <w:rPr>
          <w:rFonts w:ascii="宋体" w:hAnsi="宋体" w:cs="宋体" w:eastAsia="宋体" w:hint="default"/>
        </w:rPr>
        <w:t>40</w:t>
      </w:r>
      <w:r>
        <w:rPr/>
        <w:t>号——合营安排》、《企业会计准则</w:t>
      </w:r>
      <w:r>
        <w:rPr>
          <w:spacing w:val="-108"/>
        </w:rPr>
        <w:t> </w:t>
      </w:r>
      <w:r>
        <w:rPr>
          <w:spacing w:val="-108"/>
        </w:rPr>
      </w:r>
      <w:r>
        <w:rPr>
          <w:spacing w:val="-2"/>
        </w:rPr>
        <w:t>第</w:t>
      </w:r>
      <w:r>
        <w:rPr>
          <w:rFonts w:ascii="宋体" w:hAnsi="宋体" w:cs="宋体" w:eastAsia="宋体" w:hint="default"/>
          <w:spacing w:val="-2"/>
        </w:rPr>
        <w:t>2</w:t>
      </w:r>
      <w:r>
        <w:rPr>
          <w:spacing w:val="-2"/>
        </w:rPr>
        <w:t>号——长期股权投资（</w:t>
      </w:r>
      <w:r>
        <w:rPr>
          <w:rFonts w:ascii="宋体" w:hAnsi="宋体" w:cs="宋体" w:eastAsia="宋体" w:hint="default"/>
          <w:spacing w:val="-2"/>
        </w:rPr>
        <w:t>2014</w:t>
      </w:r>
      <w:r>
        <w:rPr>
          <w:spacing w:val="-2"/>
        </w:rPr>
        <w:t>年修订）》及《企业会计准则第</w:t>
      </w:r>
      <w:r>
        <w:rPr>
          <w:rFonts w:ascii="宋体" w:hAnsi="宋体" w:cs="宋体" w:eastAsia="宋体" w:hint="default"/>
          <w:spacing w:val="-2"/>
        </w:rPr>
        <w:t>41</w:t>
      </w:r>
      <w:r>
        <w:rPr>
          <w:spacing w:val="-2"/>
        </w:rPr>
        <w:t>号——在其他主体中权益的</w:t>
      </w:r>
      <w:r>
        <w:rPr>
          <w:spacing w:val="-118"/>
        </w:rPr>
        <w:t> </w:t>
      </w:r>
      <w:r>
        <w:rPr>
          <w:spacing w:val="-118"/>
        </w:rPr>
      </w:r>
      <w:r>
        <w:rPr/>
        <w:t>披露》，要求自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日起在所有执行企业会计准则的企业范围内施行，鼓励在境外上</w:t>
      </w:r>
      <w:r>
        <w:rPr>
          <w:spacing w:val="-111"/>
        </w:rPr>
        <w:t> </w:t>
      </w:r>
      <w:r>
        <w:rPr>
          <w:spacing w:val="-111"/>
        </w:rPr>
      </w:r>
      <w:r>
        <w:rPr/>
        <w:t>市的企业提前执行。同时，财政部以财会</w:t>
      </w:r>
      <w:r>
        <w:rPr>
          <w:rFonts w:ascii="宋体" w:hAnsi="宋体" w:cs="宋体" w:eastAsia="宋体" w:hint="default"/>
        </w:rPr>
        <w:t>[2014]23</w:t>
      </w:r>
      <w:r>
        <w:rPr/>
        <w:t>号发布了《企业会计准则第</w:t>
      </w:r>
      <w:r>
        <w:rPr>
          <w:rFonts w:ascii="宋体" w:hAnsi="宋体" w:cs="宋体" w:eastAsia="宋体" w:hint="default"/>
        </w:rPr>
        <w:t>37</w:t>
      </w:r>
      <w:r>
        <w:rPr/>
        <w:t>号——金融</w:t>
      </w:r>
      <w:r>
        <w:rPr>
          <w:spacing w:val="-98"/>
        </w:rPr>
        <w:t> </w:t>
      </w:r>
      <w:r>
        <w:rPr>
          <w:spacing w:val="-98"/>
        </w:rPr>
      </w:r>
      <w:r>
        <w:rPr/>
        <w:t>工具列报（</w:t>
      </w:r>
      <w:r>
        <w:rPr>
          <w:rFonts w:ascii="宋体" w:hAnsi="宋体" w:cs="宋体" w:eastAsia="宋体" w:hint="default"/>
        </w:rPr>
        <w:t>2014</w:t>
      </w:r>
      <w:r>
        <w:rPr/>
        <w:t>年修订）》（以下简称“金融工具列报准则”），要求在</w:t>
      </w:r>
      <w:r>
        <w:rPr>
          <w:rFonts w:ascii="宋体" w:hAnsi="宋体" w:cs="宋体" w:eastAsia="宋体" w:hint="default"/>
        </w:rPr>
        <w:t>2014</w:t>
      </w:r>
      <w:r>
        <w:rPr/>
        <w:t>年年度及以后</w:t>
      </w:r>
      <w:r>
        <w:rPr>
          <w:spacing w:val="-102"/>
        </w:rPr>
        <w:t> </w:t>
      </w:r>
      <w:r>
        <w:rPr>
          <w:spacing w:val="-102"/>
        </w:rPr>
      </w:r>
      <w:r>
        <w:rPr/>
        <w:t>期间的财务报告中按照该准则的要求对金融工具进行列报。</w:t>
      </w:r>
    </w:p>
    <w:p>
      <w:pPr>
        <w:pStyle w:val="BodyText"/>
        <w:spacing w:line="357" w:lineRule="auto"/>
        <w:ind w:left="154" w:right="150" w:firstLine="482"/>
        <w:jc w:val="both"/>
      </w:pPr>
      <w:r>
        <w:rPr>
          <w:spacing w:val="3"/>
        </w:rPr>
        <w:t>本公司于</w:t>
      </w:r>
      <w:r>
        <w:rPr>
          <w:rFonts w:ascii="宋体" w:hAnsi="宋体" w:cs="宋体" w:eastAsia="宋体" w:hint="default"/>
          <w:spacing w:val="3"/>
        </w:rPr>
        <w:t>2014</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w:t>
      </w:r>
      <w:r>
        <w:rPr>
          <w:spacing w:val="3"/>
        </w:rPr>
        <w:t>日开始执行前述除金融工具列报准则以外的</w:t>
      </w:r>
      <w:r>
        <w:rPr>
          <w:rFonts w:ascii="宋体" w:hAnsi="宋体" w:cs="宋体" w:eastAsia="宋体" w:hint="default"/>
          <w:spacing w:val="3"/>
        </w:rPr>
        <w:t>7</w:t>
      </w:r>
      <w:r>
        <w:rPr>
          <w:spacing w:val="3"/>
        </w:rPr>
        <w:t>项新颁布或修订的企</w:t>
      </w:r>
      <w:r>
        <w:rPr/>
        <w:t> 业会计准则，在编制</w:t>
      </w:r>
      <w:r>
        <w:rPr>
          <w:rFonts w:ascii="宋体" w:hAnsi="宋体" w:cs="宋体" w:eastAsia="宋体" w:hint="default"/>
        </w:rPr>
        <w:t>2014</w:t>
      </w:r>
      <w:r>
        <w:rPr/>
        <w:t>年年度财务报告时开始执行金融工具列报准则，并根据各准则衔接</w:t>
      </w:r>
      <w:r>
        <w:rPr>
          <w:spacing w:val="-116"/>
        </w:rPr>
        <w:t> </w:t>
      </w:r>
      <w:r>
        <w:rPr>
          <w:spacing w:val="-116"/>
        </w:rPr>
      </w:r>
      <w:r>
        <w:rPr/>
        <w:t>要求进行了调整，对当期和列报前期财务报表项目及金额的影响如下：</w:t>
      </w:r>
    </w:p>
    <w:tbl>
      <w:tblPr>
        <w:tblW w:w="0" w:type="auto"/>
        <w:jc w:val="left"/>
        <w:tblInd w:w="146" w:type="dxa"/>
        <w:tblLayout w:type="fixed"/>
        <w:tblCellMar>
          <w:top w:w="0" w:type="dxa"/>
          <w:left w:w="0" w:type="dxa"/>
          <w:bottom w:w="0" w:type="dxa"/>
          <w:right w:w="0" w:type="dxa"/>
        </w:tblCellMar>
        <w:tblLook w:val="01E0"/>
      </w:tblPr>
      <w:tblGrid>
        <w:gridCol w:w="1527"/>
        <w:gridCol w:w="4252"/>
        <w:gridCol w:w="1419"/>
        <w:gridCol w:w="1843"/>
      </w:tblGrid>
      <w:tr>
        <w:trPr>
          <w:trHeight w:val="668" w:hRule="exact"/>
        </w:trPr>
        <w:tc>
          <w:tcPr>
            <w:tcW w:w="1527" w:type="dxa"/>
            <w:vMerge w:val="restart"/>
            <w:tcBorders>
              <w:top w:val="single" w:sz="6" w:space="0" w:color="000000"/>
              <w:left w:val="single" w:sz="6" w:space="0" w:color="000000"/>
              <w:right w:val="single" w:sz="6" w:space="0" w:color="000000"/>
            </w:tcBorders>
          </w:tcPr>
          <w:p>
            <w:pPr>
              <w:pStyle w:val="TableParagraph"/>
              <w:spacing w:line="273" w:lineRule="auto"/>
              <w:ind w:left="545" w:right="545"/>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6" w:space="0" w:color="000000"/>
              <w:left w:val="single" w:sz="6" w:space="0" w:color="000000"/>
              <w:right w:val="single" w:sz="6" w:space="0" w:color="000000"/>
            </w:tcBorders>
          </w:tcPr>
          <w:p>
            <w:pPr>
              <w:pStyle w:val="TableParagraph"/>
              <w:spacing w:line="273" w:lineRule="auto"/>
              <w:ind w:left="1907" w:right="227" w:hanging="1680"/>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6" w:space="0" w:color="000000"/>
              <w:left w:val="single" w:sz="6" w:space="0" w:color="000000"/>
              <w:bottom w:val="single" w:sz="12" w:space="0" w:color="000000"/>
              <w:right w:val="single" w:sz="4" w:space="0" w:color="000000"/>
            </w:tcBorders>
          </w:tcPr>
          <w:p>
            <w:pPr>
              <w:pStyle w:val="TableParagraph"/>
              <w:spacing w:line="256" w:lineRule="auto"/>
              <w:ind w:left="677" w:right="20" w:hanging="659"/>
              <w:jc w:val="left"/>
              <w:rPr>
                <w:rFonts w:ascii="宋体" w:hAnsi="宋体" w:cs="宋体" w:eastAsia="宋体" w:hint="default"/>
                <w:sz w:val="21"/>
                <w:szCs w:val="21"/>
              </w:rPr>
            </w:pPr>
            <w:r>
              <w:rPr>
                <w:rFonts w:ascii="宋体" w:hAnsi="宋体" w:cs="宋体" w:eastAsia="宋体" w:hint="default"/>
                <w:sz w:val="21"/>
                <w:szCs w:val="21"/>
              </w:rPr>
              <w:t>对</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年度相关财务 报表项目的影响金额</w:t>
            </w:r>
          </w:p>
        </w:tc>
      </w:tr>
      <w:tr>
        <w:trPr>
          <w:trHeight w:val="664" w:hRule="exact"/>
        </w:trPr>
        <w:tc>
          <w:tcPr>
            <w:tcW w:w="1527" w:type="dxa"/>
            <w:vMerge/>
            <w:tcBorders>
              <w:left w:val="single" w:sz="6" w:space="0" w:color="000000"/>
              <w:bottom w:val="single" w:sz="12" w:space="0" w:color="000000"/>
              <w:right w:val="single" w:sz="6" w:space="0" w:color="000000"/>
            </w:tcBorders>
          </w:tcPr>
          <w:p>
            <w:pPr/>
          </w:p>
        </w:tc>
        <w:tc>
          <w:tcPr>
            <w:tcW w:w="4252" w:type="dxa"/>
            <w:vMerge/>
            <w:tcBorders>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281"/>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影响金额</w:t>
            </w:r>
          </w:p>
          <w:p>
            <w:pPr>
              <w:pStyle w:val="TableParagraph"/>
              <w:spacing w:line="240" w:lineRule="auto" w:before="37"/>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r>
              <w:rPr>
                <w:rFonts w:ascii="Times New Roman" w:hAnsi="Times New Roman" w:cs="Times New Roman" w:eastAsia="Times New Roman" w:hint="default"/>
                <w:sz w:val="21"/>
                <w:szCs w:val="21"/>
              </w:rPr>
              <w:t>-</w:t>
            </w:r>
          </w:p>
        </w:tc>
      </w:tr>
      <w:tr>
        <w:trPr>
          <w:trHeight w:val="352" w:hRule="exact"/>
        </w:trPr>
        <w:tc>
          <w:tcPr>
            <w:tcW w:w="1527" w:type="dxa"/>
            <w:vMerge w:val="restart"/>
            <w:tcBorders>
              <w:top w:val="single" w:sz="12" w:space="0" w:color="000000"/>
              <w:left w:val="single" w:sz="6" w:space="0" w:color="000000"/>
              <w:right w:val="single" w:sz="6" w:space="0" w:color="000000"/>
            </w:tcBorders>
          </w:tcPr>
          <w:p>
            <w:pPr>
              <w:pStyle w:val="TableParagraph"/>
              <w:spacing w:line="256" w:lineRule="exact"/>
              <w:ind w:left="2" w:right="0"/>
              <w:jc w:val="both"/>
              <w:rPr>
                <w:rFonts w:ascii="宋体" w:hAnsi="宋体" w:cs="宋体" w:eastAsia="宋体" w:hint="default"/>
                <w:sz w:val="21"/>
                <w:szCs w:val="21"/>
              </w:rPr>
            </w:pPr>
            <w:r>
              <w:rPr>
                <w:rFonts w:ascii="宋体" w:hAnsi="宋体" w:cs="宋体" w:eastAsia="宋体" w:hint="default"/>
                <w:spacing w:val="6"/>
                <w:sz w:val="21"/>
                <w:szCs w:val="21"/>
              </w:rPr>
              <w:t>《企业会计准则</w:t>
            </w:r>
            <w:r>
              <w:rPr>
                <w:rFonts w:ascii="宋体" w:hAnsi="宋体" w:cs="宋体" w:eastAsia="宋体" w:hint="default"/>
                <w:sz w:val="21"/>
                <w:szCs w:val="21"/>
              </w:rPr>
            </w:r>
          </w:p>
          <w:p>
            <w:pPr>
              <w:pStyle w:val="TableParagraph"/>
              <w:spacing w:line="256" w:lineRule="auto" w:before="37"/>
              <w:ind w:left="2" w:right="-4"/>
              <w:jc w:val="both"/>
              <w:rPr>
                <w:rFonts w:ascii="宋体" w:hAnsi="宋体" w:cs="宋体" w:eastAsia="宋体" w:hint="default"/>
                <w:sz w:val="21"/>
                <w:szCs w:val="21"/>
              </w:rPr>
            </w:pPr>
            <w:r>
              <w:rPr>
                <w:rFonts w:ascii="宋体" w:hAnsi="宋体" w:cs="宋体" w:eastAsia="宋体" w:hint="default"/>
                <w:spacing w:val="5"/>
                <w:sz w:val="21"/>
                <w:szCs w:val="21"/>
              </w:rPr>
              <w:t>第</w:t>
            </w:r>
            <w:r>
              <w:rPr>
                <w:rFonts w:ascii="Times New Roman" w:hAnsi="Times New Roman" w:cs="Times New Roman" w:eastAsia="Times New Roman" w:hint="default"/>
                <w:spacing w:val="5"/>
                <w:sz w:val="21"/>
                <w:szCs w:val="21"/>
              </w:rPr>
              <w:t>30</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财务</w:t>
            </w:r>
            <w:r>
              <w:rPr>
                <w:rFonts w:ascii="宋体" w:hAnsi="宋体" w:cs="宋体" w:eastAsia="宋体" w:hint="default"/>
                <w:spacing w:val="7"/>
                <w:sz w:val="21"/>
                <w:szCs w:val="21"/>
              </w:rPr>
              <w:t> </w:t>
            </w:r>
            <w:r>
              <w:rPr>
                <w:rFonts w:ascii="宋体" w:hAnsi="宋体" w:cs="宋体" w:eastAsia="宋体" w:hint="default"/>
                <w:spacing w:val="3"/>
                <w:sz w:val="21"/>
                <w:szCs w:val="21"/>
              </w:rPr>
              <w:t>报表列报（</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年修订）》</w:t>
            </w:r>
          </w:p>
        </w:tc>
        <w:tc>
          <w:tcPr>
            <w:tcW w:w="4252" w:type="dxa"/>
            <w:vMerge w:val="restart"/>
            <w:tcBorders>
              <w:top w:val="single" w:sz="12" w:space="0" w:color="000000"/>
              <w:left w:val="single" w:sz="6" w:space="0" w:color="000000"/>
              <w:right w:val="single" w:sz="6" w:space="0" w:color="000000"/>
            </w:tcBorders>
          </w:tcPr>
          <w:p>
            <w:pPr>
              <w:pStyle w:val="TableParagraph"/>
              <w:spacing w:line="272" w:lineRule="exact"/>
              <w:ind w:left="2" w:right="0"/>
              <w:jc w:val="both"/>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Times New Roman" w:hAnsi="Times New Roman" w:cs="Times New Roman" w:eastAsia="Times New Roman" w:hint="default"/>
                <w:sz w:val="21"/>
                <w:szCs w:val="21"/>
              </w:rPr>
              <w:t>30</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财务报表列报</w:t>
            </w:r>
          </w:p>
          <w:p>
            <w:pPr>
              <w:pStyle w:val="TableParagraph"/>
              <w:spacing w:line="266" w:lineRule="auto" w:before="21"/>
              <w:ind w:left="2" w:right="5"/>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年修订）》的规定，资产负债表的列表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应根据期末相关总账余额填列，本公司递延收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益性质的其他非流动负债应在财务报表中列报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为递延收益。</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281"/>
              <w:jc w:val="right"/>
              <w:rPr>
                <w:rFonts w:ascii="宋体" w:hAnsi="宋体" w:cs="宋体" w:eastAsia="宋体" w:hint="default"/>
                <w:sz w:val="21"/>
                <w:szCs w:val="21"/>
              </w:rPr>
            </w:pPr>
            <w:r>
              <w:rPr>
                <w:rFonts w:ascii="宋体" w:hAnsi="宋体" w:cs="宋体" w:eastAsia="宋体" w:hint="default"/>
                <w:sz w:val="21"/>
                <w:szCs w:val="21"/>
              </w:rPr>
              <w:t>递延收益</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0"/>
              <w:ind w:right="4"/>
              <w:jc w:val="right"/>
              <w:rPr>
                <w:rFonts w:ascii="Times New Roman" w:hAnsi="Times New Roman" w:cs="Times New Roman" w:eastAsia="Times New Roman" w:hint="default"/>
                <w:sz w:val="21"/>
                <w:szCs w:val="21"/>
              </w:rPr>
            </w:pPr>
            <w:r>
              <w:rPr>
                <w:rFonts w:ascii="Times New Roman"/>
                <w:spacing w:val="-1"/>
                <w:sz w:val="21"/>
              </w:rPr>
              <w:t>1,469,500.00</w:t>
            </w:r>
          </w:p>
        </w:tc>
      </w:tr>
      <w:tr>
        <w:trPr>
          <w:trHeight w:val="1248" w:hRule="exact"/>
        </w:trPr>
        <w:tc>
          <w:tcPr>
            <w:tcW w:w="1527" w:type="dxa"/>
            <w:vMerge/>
            <w:tcBorders>
              <w:left w:val="single" w:sz="6" w:space="0" w:color="000000"/>
              <w:bottom w:val="single" w:sz="12" w:space="0" w:color="000000"/>
              <w:right w:val="single" w:sz="6" w:space="0" w:color="000000"/>
            </w:tcBorders>
          </w:tcPr>
          <w:p>
            <w:pPr/>
          </w:p>
        </w:tc>
        <w:tc>
          <w:tcPr>
            <w:tcW w:w="4252" w:type="dxa"/>
            <w:vMerge/>
            <w:tcBorders>
              <w:left w:val="single" w:sz="6" w:space="0" w:color="000000"/>
              <w:bottom w:val="single" w:sz="12" w:space="0" w:color="000000"/>
              <w:right w:val="single" w:sz="6" w:space="0" w:color="000000"/>
            </w:tcBorders>
          </w:tcPr>
          <w:p>
            <w:pP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其他非流动负</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债</w:t>
            </w:r>
          </w:p>
        </w:tc>
        <w:tc>
          <w:tcPr>
            <w:tcW w:w="18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0"/>
              <w:ind w:right="3"/>
              <w:jc w:val="right"/>
              <w:rPr>
                <w:rFonts w:ascii="Times New Roman" w:hAnsi="Times New Roman" w:cs="Times New Roman" w:eastAsia="Times New Roman" w:hint="default"/>
                <w:sz w:val="21"/>
                <w:szCs w:val="21"/>
              </w:rPr>
            </w:pPr>
            <w:r>
              <w:rPr>
                <w:rFonts w:ascii="Times New Roman"/>
                <w:spacing w:val="-1"/>
                <w:sz w:val="21"/>
              </w:rPr>
              <w:t>-1,469,500.00</w:t>
            </w:r>
          </w:p>
        </w:tc>
      </w:tr>
    </w:tbl>
    <w:p>
      <w:pPr>
        <w:pStyle w:val="BodyText"/>
        <w:spacing w:line="357" w:lineRule="auto"/>
        <w:ind w:left="636" w:right="4250"/>
        <w:jc w:val="left"/>
      </w:pPr>
      <w:r>
        <w:rPr/>
        <w:t>（</w:t>
      </w:r>
      <w:r>
        <w:rPr>
          <w:rFonts w:ascii="宋体" w:hAnsi="宋体" w:cs="宋体" w:eastAsia="宋体" w:hint="default"/>
        </w:rPr>
        <w:t>2</w:t>
      </w:r>
      <w:r>
        <w:rPr/>
        <w:t>）会计估计变更 本公司</w:t>
      </w:r>
      <w:r>
        <w:rPr>
          <w:rFonts w:ascii="宋体" w:hAnsi="宋体" w:cs="宋体" w:eastAsia="宋体" w:hint="default"/>
        </w:rPr>
        <w:t>2014</w:t>
      </w:r>
      <w:r>
        <w:rPr/>
        <w:t>年度无需披露的会计估计变更事项。</w:t>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95" w:firstLine="0"/>
        <w:jc w:val="left"/>
        <w:rPr>
          <w:rFonts w:ascii="宋体" w:hAnsi="宋体" w:cs="宋体" w:eastAsia="宋体" w:hint="default"/>
          <w:sz w:val="21"/>
          <w:szCs w:val="21"/>
        </w:rPr>
      </w:pPr>
      <w:bookmarkStart w:name="（2）重要会计估计变更" w:id="165"/>
      <w:bookmarkEnd w:id="1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95"/>
        <w:jc w:val="left"/>
        <w:rPr>
          <w:b w:val="0"/>
          <w:bCs w:val="0"/>
        </w:rPr>
      </w:pPr>
      <w:bookmarkStart w:name="六、税项" w:id="166"/>
      <w:bookmarkEnd w:id="16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bookmarkStart w:name="1、主要税种及税率" w:id="167"/>
      <w:bookmarkEnd w:id="1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8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 按扣除当期允许抵扣的进项税额后的差 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2"/>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10-25%</w:t>
            </w:r>
            <w:r>
              <w:rPr>
                <w:rFonts w:ascii="宋体" w:hAnsi="宋体" w:cs="宋体" w:eastAsia="宋体" w:hint="default"/>
                <w:sz w:val="18"/>
                <w:szCs w:val="18"/>
              </w:rPr>
              <w:t>计缴，详见下 表。</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10-25%</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2"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克拉玛依数字政通信息科技有限责任公司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上海政通信息科技有限公司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武汉智慧政通科技有限公司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北京数字政通信息技术有限公司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北京汉王智通科技有限公司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2013-2014 </w:t>
            </w:r>
            <w:r>
              <w:rPr>
                <w:rFonts w:ascii="宋体" w:hAnsi="宋体" w:cs="宋体" w:eastAsia="宋体" w:hint="default"/>
                <w:sz w:val="18"/>
                <w:szCs w:val="18"/>
              </w:rPr>
              <w:t>年度免税、</w:t>
            </w: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年度减半征收。</w:t>
            </w:r>
          </w:p>
        </w:tc>
      </w:tr>
    </w:tbl>
    <w:p>
      <w:pPr>
        <w:spacing w:line="240" w:lineRule="auto" w:before="2"/>
        <w:rPr>
          <w:rFonts w:ascii="宋体" w:hAnsi="宋体" w:cs="宋体" w:eastAsia="宋体" w:hint="default"/>
          <w:sz w:val="19"/>
          <w:szCs w:val="19"/>
        </w:rPr>
      </w:pPr>
    </w:p>
    <w:p>
      <w:pPr>
        <w:spacing w:before="35"/>
        <w:ind w:left="154" w:right="95" w:firstLine="0"/>
        <w:jc w:val="left"/>
        <w:rPr>
          <w:rFonts w:ascii="宋体" w:hAnsi="宋体" w:cs="宋体" w:eastAsia="宋体" w:hint="default"/>
          <w:sz w:val="21"/>
          <w:szCs w:val="21"/>
        </w:rPr>
      </w:pPr>
      <w:bookmarkStart w:name="2、税收优惠" w:id="168"/>
      <w:bookmarkEnd w:id="1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230" w:firstLine="482"/>
        <w:jc w:val="both"/>
      </w:pPr>
      <w:r>
        <w:rPr/>
        <w:t>根据国务院下发的《关于鼓励软件产业和集成电路产业若干政策的通知》</w:t>
      </w:r>
      <w:r>
        <w:rPr>
          <w:rFonts w:ascii="宋体" w:hAnsi="宋体" w:cs="宋体" w:eastAsia="宋体" w:hint="default"/>
        </w:rPr>
        <w:t>(</w:t>
      </w:r>
      <w:r>
        <w:rPr/>
        <w:t>国发</w:t>
      </w:r>
      <w:r>
        <w:rPr>
          <w:rFonts w:ascii="宋体" w:hAnsi="宋体" w:cs="宋体" w:eastAsia="宋体" w:hint="default"/>
        </w:rPr>
        <w:t>[2011]4 </w:t>
      </w:r>
      <w:r>
        <w:rPr>
          <w:spacing w:val="-2"/>
        </w:rPr>
        <w:t>号</w:t>
      </w:r>
      <w:r>
        <w:rPr>
          <w:rFonts w:ascii="宋体" w:hAnsi="宋体" w:cs="宋体" w:eastAsia="宋体" w:hint="default"/>
          <w:spacing w:val="-2"/>
        </w:rPr>
        <w:t>)</w:t>
      </w:r>
      <w:r>
        <w:rPr>
          <w:spacing w:val="-2"/>
        </w:rPr>
        <w:t>和财政部、国家税务总局和海关总署联合下发的《关于鼓励软件产业和集成电路产业发展</w:t>
      </w:r>
      <w:r>
        <w:rPr/>
        <w:t> </w:t>
      </w:r>
      <w:r>
        <w:rPr>
          <w:spacing w:val="-5"/>
        </w:rPr>
        <w:t>有关税收政策问题的通知》</w:t>
      </w:r>
      <w:r>
        <w:rPr>
          <w:rFonts w:ascii="宋体" w:hAnsi="宋体" w:cs="宋体" w:eastAsia="宋体" w:hint="default"/>
          <w:spacing w:val="-5"/>
        </w:rPr>
        <w:t>(</w:t>
      </w:r>
      <w:r>
        <w:rPr>
          <w:spacing w:val="-5"/>
        </w:rPr>
        <w:t>财税</w:t>
      </w:r>
      <w:r>
        <w:rPr>
          <w:rFonts w:ascii="宋体" w:hAnsi="宋体" w:cs="宋体" w:eastAsia="宋体" w:hint="default"/>
          <w:spacing w:val="-5"/>
        </w:rPr>
        <w:t>[2011]100</w:t>
      </w:r>
      <w:r>
        <w:rPr>
          <w:spacing w:val="-5"/>
        </w:rPr>
        <w:t>号</w:t>
      </w:r>
      <w:r>
        <w:rPr>
          <w:rFonts w:ascii="宋体" w:hAnsi="宋体" w:cs="宋体" w:eastAsia="宋体" w:hint="default"/>
          <w:spacing w:val="-5"/>
        </w:rPr>
        <w:t>)</w:t>
      </w:r>
      <w:r>
        <w:rPr>
          <w:spacing w:val="-5"/>
        </w:rPr>
        <w:t>，本公司销售自行开发生产的软件产品，按</w:t>
      </w:r>
      <w:r>
        <w:rPr>
          <w:rFonts w:ascii="宋体" w:hAnsi="宋体" w:cs="宋体" w:eastAsia="宋体" w:hint="default"/>
          <w:spacing w:val="-5"/>
        </w:rPr>
        <w:t>17%</w:t>
      </w:r>
      <w:r>
        <w:rPr>
          <w:rFonts w:ascii="宋体" w:hAnsi="宋体" w:cs="宋体" w:eastAsia="宋体" w:hint="default"/>
          <w:spacing w:val="-83"/>
        </w:rPr>
        <w:t> </w:t>
      </w:r>
      <w:r>
        <w:rPr/>
        <w:t>的法定税率缴纳增值税后，享受增值税实际税负超过</w:t>
      </w:r>
      <w:r>
        <w:rPr>
          <w:rFonts w:ascii="宋体" w:hAnsi="宋体" w:cs="宋体" w:eastAsia="宋体" w:hint="default"/>
        </w:rPr>
        <w:t>3%</w:t>
      </w:r>
      <w:r>
        <w:rPr/>
        <w:t>的部分即征即退的税收优惠。</w:t>
      </w:r>
    </w:p>
    <w:p>
      <w:pPr>
        <w:pStyle w:val="BodyText"/>
        <w:spacing w:line="357" w:lineRule="auto"/>
        <w:ind w:right="110" w:firstLine="482"/>
        <w:jc w:val="both"/>
      </w:pPr>
      <w:r>
        <w:rPr/>
        <w:t>根据国家发展和改革委员会、工业和信息化部、财政部、商务部、国家税务总局等五部 </w:t>
      </w:r>
      <w:r>
        <w:rPr>
          <w:spacing w:val="-8"/>
        </w:rPr>
        <w:t>委联合下发的《关于印发</w:t>
      </w:r>
      <w:r>
        <w:rPr>
          <w:spacing w:val="1"/>
        </w:rPr>
        <w:t> </w:t>
      </w:r>
      <w:r>
        <w:rPr>
          <w:rFonts w:ascii="宋体" w:hAnsi="宋体" w:cs="宋体" w:eastAsia="宋体" w:hint="default"/>
        </w:rPr>
        <w:t>2013-2014</w:t>
      </w:r>
      <w:r>
        <w:rPr>
          <w:rFonts w:ascii="宋体" w:hAnsi="宋体" w:cs="宋体" w:eastAsia="宋体" w:hint="default"/>
          <w:spacing w:val="1"/>
        </w:rPr>
        <w:t> </w:t>
      </w:r>
      <w:r>
        <w:rPr/>
        <w:t>年度国家规划布局内重点软件企业和集成电路设计企业</w:t>
      </w:r>
      <w:r>
        <w:rPr>
          <w:spacing w:val="-118"/>
        </w:rPr>
        <w:t> </w:t>
      </w:r>
      <w:r>
        <w:rPr/>
        <w:t>名单的通知》（发改高技</w:t>
      </w:r>
      <w:r>
        <w:rPr>
          <w:rFonts w:ascii="宋体" w:hAnsi="宋体" w:cs="宋体" w:eastAsia="宋体" w:hint="default"/>
        </w:rPr>
        <w:t>[2013]2458 </w:t>
      </w:r>
      <w:r>
        <w:rPr>
          <w:spacing w:val="-3"/>
        </w:rPr>
        <w:t>号），本公司被确定为“</w:t>
      </w:r>
      <w:r>
        <w:rPr>
          <w:rFonts w:ascii="宋体" w:hAnsi="宋体" w:cs="宋体" w:eastAsia="宋体" w:hint="default"/>
          <w:spacing w:val="-3"/>
        </w:rPr>
        <w:t>2013-2014</w:t>
      </w:r>
      <w:r>
        <w:rPr>
          <w:rFonts w:ascii="宋体" w:hAnsi="宋体" w:cs="宋体" w:eastAsia="宋体" w:hint="default"/>
          <w:spacing w:val="-16"/>
        </w:rPr>
        <w:t> </w:t>
      </w:r>
      <w:r>
        <w:rPr/>
        <w:t>年度国家规划布局 内重点软件企业”，获发“国家规划布局内重点软件企业证书”。根据《财政部国家税务总</w:t>
      </w:r>
      <w:r>
        <w:rPr>
          <w:spacing w:val="-111"/>
        </w:rPr>
        <w:t> </w:t>
      </w:r>
      <w:r>
        <w:rPr>
          <w:spacing w:val="-111"/>
        </w:rPr>
      </w:r>
      <w:r>
        <w:rPr>
          <w:spacing w:val="-11"/>
        </w:rPr>
        <w:t>局关于进一步鼓励软件产业和集成电路产业发展企业所得税政策的通知》（财税〔</w:t>
      </w:r>
      <w:r>
        <w:rPr>
          <w:rFonts w:ascii="宋体" w:hAnsi="宋体" w:cs="宋体" w:eastAsia="宋体" w:hint="default"/>
          <w:spacing w:val="-11"/>
        </w:rPr>
        <w:t>2012</w:t>
      </w:r>
      <w:r>
        <w:rPr>
          <w:spacing w:val="-11"/>
        </w:rPr>
        <w:t>〕</w:t>
      </w:r>
      <w:r>
        <w:rPr>
          <w:rFonts w:ascii="宋体" w:hAnsi="宋体" w:cs="宋体" w:eastAsia="宋体" w:hint="default"/>
          <w:spacing w:val="-11"/>
        </w:rPr>
        <w:t>27</w:t>
      </w:r>
      <w:r>
        <w:rPr>
          <w:rFonts w:ascii="宋体" w:hAnsi="宋体" w:cs="宋体" w:eastAsia="宋体" w:hint="default"/>
          <w:spacing w:val="30"/>
        </w:rPr>
        <w:t> </w:t>
      </w:r>
      <w:r>
        <w:rPr/>
        <w:t>号）</w:t>
      </w:r>
    </w:p>
    <w:p>
      <w:pPr>
        <w:spacing w:after="0" w:line="357" w:lineRule="auto"/>
        <w:jc w:val="both"/>
        <w:sectPr>
          <w:pgSz w:w="11910" w:h="16840"/>
          <w:pgMar w:header="747" w:footer="979" w:top="1060" w:bottom="11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636" w:right="130" w:hanging="483"/>
        <w:jc w:val="left"/>
      </w:pPr>
      <w:r>
        <w:rPr/>
        <w:t>的规定，国家规划布局内重点软件企业可享受企业所得税减按</w:t>
      </w:r>
      <w:r>
        <w:rPr>
          <w:rFonts w:ascii="宋体" w:hAnsi="宋体" w:cs="宋体" w:eastAsia="宋体" w:hint="default"/>
        </w:rPr>
        <w:t>10%</w:t>
      </w:r>
      <w:r>
        <w:rPr/>
        <w:t>税率征收的优惠政策。 本公司的子公司北京汉王智通科技有限公司于</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31</w:t>
      </w:r>
      <w:r>
        <w:rPr/>
        <w:t>日取得《软件企业认定证书》</w:t>
      </w:r>
    </w:p>
    <w:p>
      <w:pPr>
        <w:pStyle w:val="BodyText"/>
        <w:spacing w:line="240" w:lineRule="auto"/>
        <w:ind w:right="95"/>
        <w:jc w:val="left"/>
      </w:pPr>
      <w:r>
        <w:rPr>
          <w:spacing w:val="-5"/>
        </w:rPr>
        <w:t>（证书编号：京</w:t>
      </w:r>
      <w:r>
        <w:rPr>
          <w:rFonts w:ascii="宋体" w:hAnsi="宋体" w:cs="宋体" w:eastAsia="宋体" w:hint="default"/>
          <w:spacing w:val="-5"/>
        </w:rPr>
        <w:t>R-2013-0330</w:t>
      </w:r>
      <w:r>
        <w:rPr>
          <w:spacing w:val="-5"/>
        </w:rPr>
        <w:t>），根据《进一步鼓励软件产业和集成电路产业发展的若干政策》</w:t>
      </w:r>
    </w:p>
    <w:p>
      <w:pPr>
        <w:pStyle w:val="BodyText"/>
        <w:spacing w:line="357" w:lineRule="auto" w:before="154"/>
        <w:ind w:right="95"/>
        <w:jc w:val="left"/>
      </w:pPr>
      <w:r>
        <w:rPr/>
        <w:t>（国发</w:t>
      </w:r>
      <w:r>
        <w:rPr>
          <w:rFonts w:ascii="宋体" w:hAnsi="宋体" w:cs="宋体" w:eastAsia="宋体" w:hint="default"/>
        </w:rPr>
        <w:t>[2012]27</w:t>
      </w:r>
      <w:r>
        <w:rPr/>
        <w:t>号）的规定，软件企业自获利年度起可享受企业所得税“两免三减半”的优</w:t>
      </w:r>
      <w:r>
        <w:rPr>
          <w:spacing w:val="-103"/>
        </w:rPr>
        <w:t> </w:t>
      </w:r>
      <w:r>
        <w:rPr>
          <w:spacing w:val="-103"/>
        </w:rPr>
      </w:r>
      <w:r>
        <w:rPr/>
        <w:t>惠政策。根据政策规定</w:t>
      </w:r>
      <w:r>
        <w:rPr>
          <w:rFonts w:ascii="宋体" w:hAnsi="宋体" w:cs="宋体" w:eastAsia="宋体" w:hint="default"/>
        </w:rPr>
        <w:t>2014</w:t>
      </w:r>
      <w:r>
        <w:rPr/>
        <w:t>年免征企业所得税</w:t>
      </w:r>
    </w:p>
    <w:p>
      <w:pPr>
        <w:spacing w:line="240" w:lineRule="auto" w:before="11"/>
        <w:rPr>
          <w:rFonts w:ascii="宋体" w:hAnsi="宋体" w:cs="宋体" w:eastAsia="宋体" w:hint="default"/>
          <w:sz w:val="19"/>
          <w:szCs w:val="19"/>
        </w:rPr>
      </w:pPr>
    </w:p>
    <w:p>
      <w:pPr>
        <w:pStyle w:val="Heading2"/>
        <w:spacing w:line="240" w:lineRule="auto"/>
        <w:ind w:left="154" w:right="95"/>
        <w:jc w:val="left"/>
        <w:rPr>
          <w:b w:val="0"/>
          <w:bCs w:val="0"/>
        </w:rPr>
      </w:pPr>
      <w:bookmarkStart w:name="七、合并财务报表项目注释" w:id="169"/>
      <w:bookmarkEnd w:id="16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154" w:right="95" w:firstLine="0"/>
        <w:jc w:val="left"/>
        <w:rPr>
          <w:rFonts w:ascii="宋体" w:hAnsi="宋体" w:cs="宋体" w:eastAsia="宋体" w:hint="default"/>
          <w:sz w:val="21"/>
          <w:szCs w:val="21"/>
        </w:rPr>
      </w:pPr>
      <w:bookmarkStart w:name="1、货币资金"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68,538.93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542,664,221.89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682,555,320.73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4,748,011.25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6,670,614.37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547,524,539.13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689,294,474.03</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4"/>
        <w:ind w:left="636" w:right="95"/>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日公司开立保函保证金</w:t>
      </w:r>
      <w:r>
        <w:rPr>
          <w:rFonts w:ascii="宋体" w:hAnsi="宋体" w:cs="宋体" w:eastAsia="宋体" w:hint="default"/>
        </w:rPr>
        <w:t>4,748,011.25</w:t>
      </w:r>
      <w:r>
        <w:rPr/>
        <w:t>元尚未到期。</w:t>
      </w:r>
    </w:p>
    <w:p>
      <w:pPr>
        <w:spacing w:line="240" w:lineRule="auto" w:before="8"/>
        <w:rPr>
          <w:rFonts w:ascii="宋体" w:hAnsi="宋体" w:cs="宋体" w:eastAsia="宋体" w:hint="default"/>
          <w:sz w:val="30"/>
          <w:szCs w:val="30"/>
        </w:rPr>
      </w:pPr>
    </w:p>
    <w:p>
      <w:pPr>
        <w:spacing w:before="0"/>
        <w:ind w:left="153" w:right="95" w:firstLine="0"/>
        <w:jc w:val="left"/>
        <w:rPr>
          <w:rFonts w:ascii="宋体" w:hAnsi="宋体" w:cs="宋体" w:eastAsia="宋体" w:hint="default"/>
          <w:sz w:val="21"/>
          <w:szCs w:val="21"/>
        </w:rPr>
      </w:pPr>
      <w:bookmarkStart w:name="2、应收票据"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bookmarkStart w:name="（1）应收票据分类列示" w:id="172"/>
      <w:bookmarkEnd w:id="1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2"/>
        <w:rPr>
          <w:rFonts w:ascii="宋体" w:hAnsi="宋体" w:cs="宋体" w:eastAsia="宋体" w:hint="default"/>
          <w:sz w:val="19"/>
          <w:szCs w:val="19"/>
        </w:rPr>
      </w:pPr>
    </w:p>
    <w:p>
      <w:pPr>
        <w:spacing w:before="35"/>
        <w:ind w:left="154" w:right="95" w:firstLine="0"/>
        <w:jc w:val="left"/>
        <w:rPr>
          <w:rFonts w:ascii="宋体" w:hAnsi="宋体" w:cs="宋体" w:eastAsia="宋体" w:hint="default"/>
          <w:sz w:val="21"/>
          <w:szCs w:val="21"/>
        </w:rPr>
      </w:pPr>
      <w:bookmarkStart w:name="（2）期末公司已背书或贴现且在资产负债表日尚未到期的应收票据" w:id="173"/>
      <w:bookmarkEnd w:id="1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0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应收账款" w:id="174"/>
      <w:bookmarkEnd w:id="1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400,610,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739.82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36,159,5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364,451,1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225,370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19,092,08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206,278,46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5.62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400,610,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739.82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36,159,5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364,451,1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60.39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225,370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,546.76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19,092,08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206,278,46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5.62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293,118,837.83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14,655,941.89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69,788,440.28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6,978,844.03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25,709,881.60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7,712,964.48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9,955,450.18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4,977,725.09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1,020,129.93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816,103.94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400,610,739.82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36,159,579.43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本期计提、收回或转回的坏账准备情况"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379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17,067,498.29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after="0" w:line="338"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按欠款方归集的期末余额前五吊的应收账款情况" w:id="177"/>
      <w:bookmarkEnd w:id="1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before="0"/>
        <w:ind w:right="150" w:firstLine="482"/>
        <w:jc w:val="both"/>
      </w:pPr>
      <w:r>
        <w:rPr>
          <w:spacing w:val="-2"/>
        </w:rPr>
        <w:t>本公司本年按欠款方归集的年末余额前五名应收账款汇总金额为</w:t>
      </w:r>
      <w:r>
        <w:rPr>
          <w:rFonts w:ascii="宋体" w:hAnsi="宋体" w:cs="宋体" w:eastAsia="宋体" w:hint="default"/>
          <w:spacing w:val="-2"/>
        </w:rPr>
        <w:t>45,433,214.53</w:t>
      </w:r>
      <w:r>
        <w:rPr>
          <w:spacing w:val="-2"/>
        </w:rPr>
        <w:t>元，占应</w:t>
      </w:r>
      <w:r>
        <w:rPr/>
        <w:t> </w:t>
      </w:r>
      <w:r>
        <w:rPr>
          <w:spacing w:val="21"/>
        </w:rPr>
        <w:t>收账款年</w:t>
      </w:r>
      <w:r>
        <w:rPr>
          <w:spacing w:val="-88"/>
        </w:rPr>
        <w:t> </w:t>
      </w:r>
      <w:r>
        <w:rPr>
          <w:spacing w:val="21"/>
        </w:rPr>
        <w:t>末余额合</w:t>
      </w:r>
      <w:r>
        <w:rPr>
          <w:spacing w:val="-88"/>
        </w:rPr>
        <w:t> </w:t>
      </w:r>
      <w:r>
        <w:rPr>
          <w:spacing w:val="21"/>
        </w:rPr>
        <w:t>计数的比</w:t>
      </w:r>
      <w:r>
        <w:rPr>
          <w:spacing w:val="-88"/>
        </w:rPr>
        <w:t> </w:t>
      </w:r>
      <w:r>
        <w:rPr>
          <w:spacing w:val="14"/>
        </w:rPr>
        <w:t>例为</w:t>
      </w:r>
      <w:r>
        <w:rPr>
          <w:spacing w:val="-85"/>
        </w:rPr>
        <w:t> </w:t>
      </w:r>
      <w:r>
        <w:rPr>
          <w:rFonts w:ascii="宋体" w:hAnsi="宋体" w:cs="宋体" w:eastAsia="宋体" w:hint="default"/>
        </w:rPr>
        <w:t>11.34%</w:t>
      </w:r>
      <w:r>
        <w:rPr>
          <w:rFonts w:ascii="宋体" w:hAnsi="宋体" w:cs="宋体" w:eastAsia="宋体" w:hint="default"/>
          <w:spacing w:val="-88"/>
        </w:rPr>
        <w:t> </w:t>
      </w:r>
      <w:r>
        <w:rPr/>
        <w:t>，</w:t>
      </w:r>
      <w:r>
        <w:rPr>
          <w:spacing w:val="-90"/>
        </w:rPr>
        <w:t> </w:t>
      </w:r>
      <w:r>
        <w:rPr>
          <w:spacing w:val="14"/>
        </w:rPr>
        <w:t>相应</w:t>
      </w:r>
      <w:r>
        <w:rPr>
          <w:spacing w:val="-88"/>
        </w:rPr>
        <w:t> </w:t>
      </w:r>
      <w:r>
        <w:rPr>
          <w:spacing w:val="21"/>
        </w:rPr>
        <w:t>计提的坏</w:t>
      </w:r>
      <w:r>
        <w:rPr>
          <w:spacing w:val="-88"/>
        </w:rPr>
        <w:t> </w:t>
      </w:r>
      <w:r>
        <w:rPr>
          <w:spacing w:val="21"/>
        </w:rPr>
        <w:t>账准备年</w:t>
      </w:r>
      <w:r>
        <w:rPr>
          <w:spacing w:val="-88"/>
        </w:rPr>
        <w:t> </w:t>
      </w:r>
      <w:r>
        <w:rPr>
          <w:spacing w:val="21"/>
        </w:rPr>
        <w:t>末余额汇</w:t>
      </w:r>
      <w:r>
        <w:rPr>
          <w:spacing w:val="-88"/>
        </w:rPr>
        <w:t> </w:t>
      </w:r>
      <w:r>
        <w:rPr>
          <w:spacing w:val="21"/>
        </w:rPr>
        <w:t>总金额为</w:t>
      </w:r>
      <w:r>
        <w:rPr>
          <w:spacing w:val="-118"/>
        </w:rPr>
        <w:t> </w:t>
      </w:r>
      <w:r>
        <w:rPr>
          <w:spacing w:val="-118"/>
        </w:rPr>
      </w:r>
      <w:r>
        <w:rPr>
          <w:rFonts w:ascii="宋体" w:hAnsi="宋体" w:cs="宋体" w:eastAsia="宋体" w:hint="default"/>
        </w:rPr>
        <w:t>4,820,874.81</w:t>
      </w:r>
      <w:r>
        <w:rPr/>
        <w:t>元</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4、预付款项" w:id="178"/>
      <w:bookmarkEnd w:id="1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付款项按账龄列示" w:id="179"/>
      <w:bookmarkEnd w:id="1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8,192,868.25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3,856,315.97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8,237,868.25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3,901,315.97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1"/>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按预付对象归集的期末余额前五吊的预付款情况"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0" w:firstLine="482"/>
        <w:jc w:val="left"/>
      </w:pPr>
      <w:r>
        <w:rPr/>
        <w:t>本公司按预付对象归集的年末余额前五名预付账款汇总金额为</w:t>
      </w:r>
      <w:r>
        <w:rPr>
          <w:rFonts w:ascii="宋体" w:hAnsi="宋体" w:cs="宋体" w:eastAsia="宋体" w:hint="default"/>
        </w:rPr>
        <w:t>6,770,535.80</w:t>
      </w:r>
      <w:r>
        <w:rPr/>
        <w:t>元，占预付 账款年末余额合计数的比例为</w:t>
      </w:r>
      <w:r>
        <w:rPr>
          <w:rFonts w:ascii="宋体" w:hAnsi="宋体" w:cs="宋体" w:eastAsia="宋体" w:hint="default"/>
        </w:rPr>
        <w:t>82.19%</w:t>
      </w:r>
      <w:r>
        <w:rPr/>
        <w:t>。</w:t>
      </w: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应收利息" w:id="181"/>
      <w:bookmarkEnd w:id="1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利息分类"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73" w:right="93" w:firstLine="0"/>
        <w:jc w:val="left"/>
        <w:rPr>
          <w:rFonts w:ascii="宋体" w:hAnsi="宋体" w:cs="宋体" w:eastAsia="宋体" w:hint="default"/>
          <w:sz w:val="21"/>
          <w:szCs w:val="21"/>
        </w:rPr>
      </w:pPr>
      <w:bookmarkStart w:name="6、其他应收款" w:id="183"/>
      <w:bookmarkEnd w:id="18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73" w:right="93" w:firstLine="0"/>
        <w:jc w:val="left"/>
        <w:rPr>
          <w:rFonts w:ascii="宋体" w:hAnsi="宋体" w:cs="宋体" w:eastAsia="宋体" w:hint="default"/>
          <w:sz w:val="21"/>
          <w:szCs w:val="21"/>
        </w:rPr>
      </w:pPr>
      <w:bookmarkStart w:name="（1）其他应收款分类披露"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58,573,9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93,624.1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58,480,33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48,910,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706.03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48,910,706.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58,573,9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54.30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93,624.1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58,480,33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48,910,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706.03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48,910,706.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60" w:right="960"/>
        </w:sectPr>
      </w:pPr>
    </w:p>
    <w:p>
      <w:pPr>
        <w:spacing w:before="51"/>
        <w:ind w:left="17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7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7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60" w:right="960"/>
          <w:cols w:num="2" w:equalWidth="0">
            <w:col w:w="4495" w:space="4335"/>
            <w:col w:w="1160"/>
          </w:cols>
        </w:sectPr>
      </w:pP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386"/>
        <w:gridCol w:w="2399"/>
        <w:gridCol w:w="2392"/>
        <w:gridCol w:w="2392"/>
      </w:tblGrid>
      <w:tr>
        <w:trPr>
          <w:trHeight w:val="206" w:hRule="exact"/>
        </w:trPr>
        <w:tc>
          <w:tcPr>
            <w:tcW w:w="2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6"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1,872,483.29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93,624.16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1,872,483.29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93,624.16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line="360" w:lineRule="auto" w:before="51"/>
        <w:ind w:left="174" w:right="529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73" w:right="5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74" w:right="93" w:firstLine="0"/>
        <w:jc w:val="left"/>
        <w:rPr>
          <w:rFonts w:ascii="宋体" w:hAnsi="宋体" w:cs="宋体" w:eastAsia="宋体" w:hint="default"/>
          <w:sz w:val="18"/>
          <w:szCs w:val="18"/>
        </w:rPr>
      </w:pPr>
      <w:r>
        <w:rPr/>
        <w:pict>
          <v:group style="position:absolute;margin-left:195.619995pt;margin-top:21.60169pt;width:345.3pt;height:23.55pt;mso-position-horizontal-relative:page;mso-position-vertical-relative:paragraph;z-index:-743824" coordorigin="3912,432" coordsize="6906,471">
            <v:group style="position:absolute;left:3922;top:432;width:10;height:20" coordorigin="3922,432" coordsize="10,20">
              <v:shape style="position:absolute;left:3922;top:432;width:10;height:20" coordorigin="3922,432" coordsize="10,20" path="m3922,451l3932,451,3932,432,3922,432,3922,451xe" filled="true" fillcolor="#000000" stroked="false">
                <v:path arrowok="t"/>
                <v:fill type="solid"/>
              </v:shape>
            </v:group>
            <v:group style="position:absolute;left:3922;top:451;width:10;height:20" coordorigin="3922,451" coordsize="10,20">
              <v:shape style="position:absolute;left:3922;top:451;width:10;height:20" coordorigin="3922,451" coordsize="10,20" path="m3922,470l3932,470,3932,451,3922,451,3922,470xe" filled="true" fillcolor="#000000" stroked="false">
                <v:path arrowok="t"/>
                <v:fill type="solid"/>
              </v:shape>
            </v:group>
            <v:group style="position:absolute;left:3922;top:470;width:10;height:20" coordorigin="3922,470" coordsize="10,20">
              <v:shape style="position:absolute;left:3922;top:470;width:10;height:20" coordorigin="3922,470" coordsize="10,20" path="m3922,490l3932,490,3932,470,3922,470,3922,490xe" filled="true" fillcolor="#000000" stroked="false">
                <v:path arrowok="t"/>
                <v:fill type="solid"/>
              </v:shape>
            </v:group>
            <v:group style="position:absolute;left:3922;top:490;width:10;height:20" coordorigin="3922,490" coordsize="10,20">
              <v:shape style="position:absolute;left:3922;top:490;width:10;height:20" coordorigin="3922,490" coordsize="10,20" path="m3922,509l3932,509,3932,490,3922,490,3922,509xe" filled="true" fillcolor="#000000" stroked="false">
                <v:path arrowok="t"/>
                <v:fill type="solid"/>
              </v:shape>
            </v:group>
            <v:group style="position:absolute;left:3922;top:509;width:10;height:20" coordorigin="3922,509" coordsize="10,20">
              <v:shape style="position:absolute;left:3922;top:509;width:10;height:20" coordorigin="3922,509" coordsize="10,20" path="m3922,528l3932,528,3932,509,3922,509,3922,528xe" filled="true" fillcolor="#000000" stroked="false">
                <v:path arrowok="t"/>
                <v:fill type="solid"/>
              </v:shape>
            </v:group>
            <v:group style="position:absolute;left:3922;top:528;width:10;height:20" coordorigin="3922,528" coordsize="10,20">
              <v:shape style="position:absolute;left:3922;top:528;width:10;height:20" coordorigin="3922,528" coordsize="10,20" path="m3922,547l3932,547,3932,528,3922,528,3922,547xe" filled="true" fillcolor="#000000" stroked="false">
                <v:path arrowok="t"/>
                <v:fill type="solid"/>
              </v:shape>
            </v:group>
            <v:group style="position:absolute;left:3922;top:547;width:10;height:20" coordorigin="3922,547" coordsize="10,20">
              <v:shape style="position:absolute;left:3922;top:547;width:10;height:20" coordorigin="3922,547" coordsize="10,20" path="m3922,566l3932,566,3932,547,3922,547,3922,566xe" filled="true" fillcolor="#000000" stroked="false">
                <v:path arrowok="t"/>
                <v:fill type="solid"/>
              </v:shape>
            </v:group>
            <v:group style="position:absolute;left:3922;top:566;width:10;height:20" coordorigin="3922,566" coordsize="10,20">
              <v:shape style="position:absolute;left:3922;top:566;width:10;height:20" coordorigin="3922,566" coordsize="10,20" path="m3922,586l3932,586,3932,566,3922,566,3922,586xe" filled="true" fillcolor="#000000" stroked="false">
                <v:path arrowok="t"/>
                <v:fill type="solid"/>
              </v:shape>
            </v:group>
            <v:group style="position:absolute;left:3922;top:586;width:10;height:20" coordorigin="3922,586" coordsize="10,20">
              <v:shape style="position:absolute;left:3922;top:586;width:10;height:20" coordorigin="3922,586" coordsize="10,20" path="m3922,605l3932,605,3932,586,3922,586,3922,605xe" filled="true" fillcolor="#000000" stroked="false">
                <v:path arrowok="t"/>
                <v:fill type="solid"/>
              </v:shape>
            </v:group>
            <v:group style="position:absolute;left:3922;top:605;width:10;height:20" coordorigin="3922,605" coordsize="10,20">
              <v:shape style="position:absolute;left:3922;top:605;width:10;height:20" coordorigin="3922,605" coordsize="10,20" path="m3922,624l3932,624,3932,605,3922,605,3922,624xe" filled="true" fillcolor="#000000" stroked="false">
                <v:path arrowok="t"/>
                <v:fill type="solid"/>
              </v:shape>
            </v:group>
            <v:group style="position:absolute;left:3922;top:624;width:10;height:20" coordorigin="3922,624" coordsize="10,20">
              <v:shape style="position:absolute;left:3922;top:624;width:10;height:20" coordorigin="3922,624" coordsize="10,20" path="m3922,643l3932,643,3932,624,3922,624,3922,643xe" filled="true" fillcolor="#000000" stroked="false">
                <v:path arrowok="t"/>
                <v:fill type="solid"/>
              </v:shape>
            </v:group>
            <v:group style="position:absolute;left:3922;top:643;width:10;height:20" coordorigin="3922,643" coordsize="10,20">
              <v:shape style="position:absolute;left:3922;top:643;width:10;height:20" coordorigin="3922,643" coordsize="10,20" path="m3922,662l3932,662,3932,643,3922,643,3922,662xe" filled="true" fillcolor="#000000" stroked="false">
                <v:path arrowok="t"/>
                <v:fill type="solid"/>
              </v:shape>
            </v:group>
            <v:group style="position:absolute;left:3922;top:662;width:10;height:20" coordorigin="3922,662" coordsize="10,20">
              <v:shape style="position:absolute;left:3922;top:662;width:10;height:20" coordorigin="3922,662" coordsize="10,20" path="m3922,682l3932,682,3932,662,3922,662,3922,682xe" filled="true" fillcolor="#000000" stroked="false">
                <v:path arrowok="t"/>
                <v:fill type="solid"/>
              </v:shape>
            </v:group>
            <v:group style="position:absolute;left:3922;top:682;width:10;height:20" coordorigin="3922,682" coordsize="10,20">
              <v:shape style="position:absolute;left:3922;top:682;width:10;height:20" coordorigin="3922,682" coordsize="10,20" path="m3922,701l3932,701,3932,682,3922,682,3922,701xe" filled="true" fillcolor="#000000" stroked="false">
                <v:path arrowok="t"/>
                <v:fill type="solid"/>
              </v:shape>
            </v:group>
            <v:group style="position:absolute;left:3922;top:701;width:10;height:20" coordorigin="3922,701" coordsize="10,20">
              <v:shape style="position:absolute;left:3922;top:701;width:10;height:20" coordorigin="3922,701" coordsize="10,20" path="m3922,720l3932,720,3932,701,3922,701,3922,720xe" filled="true" fillcolor="#000000" stroked="false">
                <v:path arrowok="t"/>
                <v:fill type="solid"/>
              </v:shape>
            </v:group>
            <v:group style="position:absolute;left:3922;top:720;width:10;height:20" coordorigin="3922,720" coordsize="10,20">
              <v:shape style="position:absolute;left:3922;top:720;width:10;height:20" coordorigin="3922,720" coordsize="10,20" path="m3922,739l3932,739,3932,720,3922,720,3922,739xe" filled="true" fillcolor="#000000" stroked="false">
                <v:path arrowok="t"/>
                <v:fill type="solid"/>
              </v:shape>
            </v:group>
            <v:group style="position:absolute;left:3922;top:739;width:10;height:20" coordorigin="3922,739" coordsize="10,20">
              <v:shape style="position:absolute;left:3922;top:739;width:10;height:20" coordorigin="3922,739" coordsize="10,20" path="m3922,758l3932,758,3932,739,3922,739,3922,758xe" filled="true" fillcolor="#000000" stroked="false">
                <v:path arrowok="t"/>
                <v:fill type="solid"/>
              </v:shape>
            </v:group>
            <v:group style="position:absolute;left:3922;top:758;width:10;height:20" coordorigin="3922,758" coordsize="10,20">
              <v:shape style="position:absolute;left:3922;top:758;width:10;height:20" coordorigin="3922,758" coordsize="10,20" path="m3922,778l3932,778,3932,758,3922,758,3922,778xe" filled="true" fillcolor="#000000" stroked="false">
                <v:path arrowok="t"/>
                <v:fill type="solid"/>
              </v:shape>
            </v:group>
            <v:group style="position:absolute;left:3922;top:778;width:10;height:20" coordorigin="3922,778" coordsize="10,20">
              <v:shape style="position:absolute;left:3922;top:778;width:10;height:20" coordorigin="3922,778" coordsize="10,20" path="m3922,797l3932,797,3932,778,3922,778,3922,797xe" filled="true" fillcolor="#000000" stroked="false">
                <v:path arrowok="t"/>
                <v:fill type="solid"/>
              </v:shape>
              <v:shape style="position:absolute;left:3912;top:797;width:2332;height:106" type="#_x0000_t75" stroked="false">
                <v:imagedata r:id="rId18" o:title=""/>
              </v:shape>
              <v:shape style="position:absolute;left:6240;top:893;width:2291;height:10" type="#_x0000_t75" stroked="false">
                <v:imagedata r:id="rId19" o:title=""/>
              </v:shape>
              <v:shape style="position:absolute;left:8526;top:893;width:2292;height:10" type="#_x0000_t75" stroked="false">
                <v:imagedata r:id="rId20" o:title=""/>
              </v:shape>
            </v:group>
            <w10:wrap type="none"/>
          </v:group>
        </w:pict>
      </w:r>
      <w:r>
        <w:rPr/>
        <w:pict>
          <v:group style="position:absolute;margin-left:53.700001pt;margin-top:88.80175pt;width:487.2pt;height:5.35pt;mso-position-horizontal-relative:page;mso-position-vertical-relative:paragraph;z-index:-743800" coordorigin="1074,1776" coordsize="9744,107">
            <v:shape style="position:absolute;left:1074;top:1776;width:2867;height:107" type="#_x0000_t75" stroked="false">
              <v:imagedata r:id="rId21" o:title=""/>
            </v:shape>
            <v:shape style="position:absolute;left:3917;top:1872;width:2337;height:11" type="#_x0000_t75" stroked="false">
              <v:imagedata r:id="rId22" o:title=""/>
            </v:shape>
            <v:shape style="position:absolute;left:6240;top:1872;width:2301;height:11" type="#_x0000_t75" stroked="false">
              <v:imagedata r:id="rId23" o:title=""/>
            </v:shape>
            <v:shape style="position:absolute;left:8526;top:1873;width:2292;height:10" type="#_x0000_t75" stroked="false">
              <v:imagedata r:id="rId24" o:title=""/>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843"/>
        <w:gridCol w:w="2322"/>
        <w:gridCol w:w="2286"/>
        <w:gridCol w:w="2287"/>
      </w:tblGrid>
      <w:tr>
        <w:trPr>
          <w:trHeight w:val="505" w:hRule="exact"/>
        </w:trPr>
        <w:tc>
          <w:tcPr>
            <w:tcW w:w="9739" w:type="dxa"/>
            <w:gridSpan w:val="4"/>
            <w:tcBorders>
              <w:top w:val="single" w:sz="12" w:space="0" w:color="000000"/>
              <w:left w:val="single" w:sz="4" w:space="0" w:color="000000"/>
              <w:bottom w:val="nil" w:sz="6" w:space="0" w:color="auto"/>
              <w:right w:val="single" w:sz="4" w:space="0" w:color="000000"/>
            </w:tcBorders>
          </w:tcPr>
          <w:p>
            <w:pPr>
              <w:pStyle w:val="TableParagraph"/>
              <w:spacing w:line="240" w:lineRule="auto" w:before="151"/>
              <w:ind w:left="5926"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5" w:hRule="exact"/>
        </w:trPr>
        <w:tc>
          <w:tcPr>
            <w:tcW w:w="2843" w:type="dxa"/>
            <w:tcBorders>
              <w:top w:val="nil" w:sz="6" w:space="0" w:color="auto"/>
              <w:left w:val="single" w:sz="4" w:space="0" w:color="000000"/>
              <w:bottom w:val="single" w:sz="4" w:space="0" w:color="000000"/>
              <w:right w:val="single" w:sz="4" w:space="0" w:color="000000"/>
            </w:tcBorders>
          </w:tcPr>
          <w:p>
            <w:pPr>
              <w:pStyle w:val="TableParagraph"/>
              <w:spacing w:line="142" w:lineRule="exact"/>
              <w:ind w:right="44"/>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89" w:hRule="exact"/>
        </w:trPr>
        <w:tc>
          <w:tcPr>
            <w:tcW w:w="2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备用金、押金及保证金组合</w:t>
            </w:r>
          </w:p>
        </w:tc>
        <w:tc>
          <w:tcPr>
            <w:tcW w:w="2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56,701,471.01</w:t>
            </w:r>
          </w:p>
        </w:tc>
        <w:tc>
          <w:tcPr>
            <w:tcW w:w="2286" w:type="dxa"/>
            <w:vMerge w:val="restart"/>
            <w:tcBorders>
              <w:top w:val="single" w:sz="4" w:space="0" w:color="000000"/>
              <w:left w:val="single" w:sz="4" w:space="0" w:color="000000"/>
              <w:right w:val="single" w:sz="4" w:space="0" w:color="000000"/>
            </w:tcBorders>
          </w:tcPr>
          <w:p>
            <w:pPr/>
          </w:p>
        </w:tc>
        <w:tc>
          <w:tcPr>
            <w:tcW w:w="2287" w:type="dxa"/>
            <w:vMerge w:val="restart"/>
            <w:tcBorders>
              <w:top w:val="single" w:sz="4" w:space="0" w:color="000000"/>
              <w:left w:val="single" w:sz="4" w:space="0" w:color="000000"/>
              <w:right w:val="single" w:sz="4" w:space="0" w:color="000000"/>
            </w:tcBorders>
          </w:tcPr>
          <w:p>
            <w:pPr/>
          </w:p>
        </w:tc>
      </w:tr>
      <w:tr>
        <w:trPr>
          <w:trHeight w:val="602" w:hRule="exact"/>
        </w:trPr>
        <w:tc>
          <w:tcPr>
            <w:tcW w:w="28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56,701,471.01</w:t>
            </w:r>
          </w:p>
        </w:tc>
        <w:tc>
          <w:tcPr>
            <w:tcW w:w="2286" w:type="dxa"/>
            <w:vMerge/>
            <w:tcBorders>
              <w:left w:val="single" w:sz="4" w:space="0" w:color="000000"/>
              <w:bottom w:val="single" w:sz="12" w:space="0" w:color="000000"/>
              <w:right w:val="single" w:sz="4" w:space="0" w:color="000000"/>
            </w:tcBorders>
          </w:tcPr>
          <w:p>
            <w:pPr/>
          </w:p>
        </w:tc>
        <w:tc>
          <w:tcPr>
            <w:tcW w:w="2287" w:type="dxa"/>
            <w:vMerge/>
            <w:tcBorders>
              <w:left w:val="single" w:sz="4" w:space="0" w:color="000000"/>
              <w:bottom w:val="single" w:sz="12" w:space="0" w:color="000000"/>
              <w:right w:val="single" w:sz="4" w:space="0" w:color="000000"/>
            </w:tcBorders>
          </w:tcPr>
          <w:p>
            <w:pPr/>
          </w:p>
        </w:tc>
      </w:tr>
    </w:tbl>
    <w:p>
      <w:pPr>
        <w:spacing w:after="0"/>
        <w:sectPr>
          <w:type w:val="continuous"/>
          <w:pgSz w:w="11910" w:h="16840"/>
          <w:pgMar w:top="1060" w:bottom="1160" w:left="960" w:right="96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本期计提、收回或转回的坏账准备情况"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93,624.16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825" w:space="300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其他应收款按款项性质分类情况"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24,792,443.97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23,147,098.66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12,826,569.59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13,376,038.13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11,978,426.95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11,988,850.74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4,770,219.00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398,718.50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股权激励行权款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2,333,811.50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1,872,483.29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58,573,954.30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48,910,706.03</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按欠款方归集的期末余额前五吊的其他应收款情况"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软件企业增值税退 税款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12,826,569.59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鄂尔多斯市东胜区 信息化委员会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3,929,750.00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应收股权激励行权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2,333,811.50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洛阳市城市监察管 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2,191,927.00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23,282,058.09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涉及政府补助的应收款项"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96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12,826,569.59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截至本财务报告报出 日，本公司已获得主管 税务机关批准的软件产 品增值税即征即退税额 尚有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859,491.78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元未收 到。</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12,826,569.59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存货" w:id="189"/>
      <w:bookmarkEnd w:id="18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存货分类"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38,483,486.56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38,483,486.56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35,298,258.60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35,298,258.60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8,261,800.61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8,261,800.61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5,790,766.00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5,790,766.00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46,745,287.17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46,745,287.17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41,089,024.60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41,089,024.60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8、其他流动资产" w:id="191"/>
      <w:bookmarkEnd w:id="19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8,426,481.29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3,236,105.13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68,426,481.29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3,236,105.13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9、长期应收款" w:id="192"/>
      <w:bookmarkEnd w:id="19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应收款情况"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1"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72,400,585.59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72,400,585.59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32,961,018.24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32,961,018.24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5.75%-6.00%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92"/>
        <w:gridCol w:w="1179"/>
        <w:gridCol w:w="1167"/>
        <w:gridCol w:w="1168"/>
        <w:gridCol w:w="1166"/>
        <w:gridCol w:w="1169"/>
        <w:gridCol w:w="1164"/>
        <w:gridCol w:w="1154"/>
      </w:tblGrid>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72,400,585.59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72,400,585.59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32,961,018.24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32,961,018.24</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0、固定资产" w:id="194"/>
      <w:bookmarkEnd w:id="19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固定资产情况"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78,313,302.61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8,297,583.11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7,899,151.04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4,738,508.28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99,248,545.04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2,523,316.71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3,261,842.68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359,795.05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6,144,954.44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1,500,739.73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3,261,842.68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359,795.05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5,122,377.46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1,022,576.98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1,022,576.98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24,741.02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341,136.96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181,713.00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547,590.98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24,741.02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341,136.96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181,713.00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547,590.98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78,313,302.61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10,796,158.80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10,819,856.76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4,916,590.33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104,845,908.50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5,297,340.54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4,938,285.47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2,376,041.97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2,009,776.93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14,621,444.91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1,464,696.84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1,993,260.33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1,732,316.51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1,785,672.96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6,975,946.64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1,464,696.84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1,993,260.33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1,732,316.51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1,785,672.96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6,975,946.64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23,998.79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330,902.85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460,876.64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23,998.79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330,902.85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460,876.64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6,762,037.38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6,907,547.01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3,777,455.63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3,689,474.89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21,136,514.91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71,551,265.23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3,888,611.79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7,042,401.13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1,227,115.44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83,709,393.59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73,015,962.07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3,359,297.64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5,523,109.07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2,728,731.35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84,627,100.13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办妥产权证书的固定资产情况"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pict>
          <v:shape style="position:absolute;margin-left:56.459999pt;margin-top:-20.948259pt;width:479.25pt;height:40.7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武汉研发中心房屋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39,257,259.00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由开发商统一办理，尚未完成相关手续</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1、在建工程" w:id="197"/>
      <w:bookmarkEnd w:id="19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建工程情况"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河南济源视频监 控平台及数据中 心项目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1,875,141.22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1,875,141.22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采集车用扫描系 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1,891,807.89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1,891,807.89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在建工程项目本期变动情况"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河南济 源视频 监控平 台及数 据中心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11,978,0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1,875,14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12,307,1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16.11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14,182,2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57.33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采集车 用扫描 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1,589,50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1,005,91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1,022,57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13,567,5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1,891,80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13,313,0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26.42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1,022,57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14,182,2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57.33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2、无形资产" w:id="200"/>
      <w:bookmarkEnd w:id="200"/>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无形资产情况"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8,983,876.60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112,128,190.47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422,770.66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121,534,837.73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3,839,938.22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20,021,082.88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63,505.89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23,924,526.99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63,505.89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63,505.89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3,839,938.22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20,021,082.88</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23,861,021.10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12,823,814.82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132,149,273.35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486,276.55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145,459,364.72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2,655,054.37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35,942,918.56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119,610.35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38,717,583.28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1,494,383.58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20,300,445.23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83,850.35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21,878,679.16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1,494,383.58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20,300,445.23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83,850.35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21,878,679.16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4,149,437.95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56,243,363.79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203,460.70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60,596,262.44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8,674,376.87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75,905,909.56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282,815.85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84,863,102.28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6,328,822.23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76,185,271.91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303,160.31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82,817,254.45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39.33%</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3、开发支出" w:id="202"/>
      <w:bookmarkEnd w:id="20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高分辨率全景 相机研制项目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19,449,520.01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12,014,969.12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7,434,550.89</w:t>
            </w: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网格化城市管 理卫星技术综 合应用服务示 范项目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6,039,344.46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196,998.00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6,236,342.46</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智慧城市公用 信息平台研发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865,193.70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4,459,381.46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5,324,575.16</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国土综合监管</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3,324,847.92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3,324,847.92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智信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研发 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2,973,186.28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2,973,186.28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数字城管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2,363,748.02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2,363,748.02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TC500B </w:t>
            </w:r>
            <w:r>
              <w:rPr>
                <w:rFonts w:ascii="宋体" w:hAnsi="宋体" w:cs="宋体" w:eastAsia="宋体" w:hint="default"/>
                <w:sz w:val="18"/>
                <w:szCs w:val="18"/>
              </w:rPr>
              <w:t>项目</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支出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748,940.00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1,189,516.55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1,938,456.55</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TC500BT </w:t>
            </w:r>
            <w:r>
              <w:rPr>
                <w:rFonts w:ascii="宋体" w:hAnsi="宋体" w:cs="宋体" w:eastAsia="宋体" w:hint="default"/>
                <w:sz w:val="18"/>
                <w:szCs w:val="18"/>
              </w:rPr>
              <w:t>路径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识别一体机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1,796,826.67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1,796,826.67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公安指挥调度 平台项目支出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1,007,070.39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416,008.22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1,423,078.61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ZTHY-HD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清智通慧眼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779,980.76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779,980.76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8"/>
              <w:jc w:val="center"/>
              <w:rPr>
                <w:rFonts w:ascii="Times New Roman" w:hAnsi="Times New Roman" w:cs="Times New Roman" w:eastAsia="Times New Roman" w:hint="default"/>
                <w:sz w:val="18"/>
                <w:szCs w:val="18"/>
              </w:rPr>
            </w:pPr>
            <w:r>
              <w:rPr>
                <w:rFonts w:ascii="Times New Roman"/>
                <w:sz w:val="18"/>
              </w:rPr>
              <w:t>SHARP-ZM-R</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698,489.38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698,489.38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98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RE </w:t>
            </w: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Sharp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万高清 摄像机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停车场标清一 体机项目 </w:t>
            </w:r>
            <w:r>
              <w:rPr>
                <w:rFonts w:ascii="Times New Roman" w:hAnsi="Times New Roman" w:cs="Times New Roman" w:eastAsia="Times New Roman" w:hint="default"/>
                <w:sz w:val="18"/>
                <w:szCs w:val="18"/>
              </w:rPr>
              <w:t>(ztpark)</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128,567.41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128,567.41</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5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HWZT-Vehicle</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match-V1.0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 脸匹配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115,680.70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115,680.70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TC200AP1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目支出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795,294.29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283,577.46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1,078,871.75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TC200AP2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目支出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1,039,278.77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398,789.35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1,438,068.12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TC200AT1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目支出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936,487.27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386,511.08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1,322,998.35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国土关联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4,782,613.96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4,782,613.96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国土综合监管</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5,267,413.47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5,267,413.47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数字城管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5,431,039.28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5,431,039.28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网格化社区</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4,540,016.17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4,540,016.17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31,452,691.76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38,961,629.27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23,861,021.10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12,014,969.12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34,538,330.81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4、商誉" w:id="203"/>
      <w:bookmarkEnd w:id="20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商誉账面原值"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北京汉王智通科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27,283,004.88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27,283,004.88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27,283,004.88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27,283,004.88</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5、长期待摊费用" w:id="205"/>
      <w:bookmarkEnd w:id="205"/>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6、递延所得税资产/递延所得税负债" w:id="206"/>
      <w:bookmarkEnd w:id="206"/>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36,253,203.59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3,947,334.23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19,092,081.14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2,014,634.27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3,685,130.00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16,490,625.00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2,375,812.50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1,214,544.60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3,755,454.82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216,044.02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5,072,024.40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507,202.44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6,601,060.00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660,106.00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78,910,617.99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9,735,211.27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47,969,220.96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5,469,596.79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经抵销的递延所得税负债"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45,126,895.32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11,281,723.83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50,738,924.07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12,684,731.02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45,126,895.32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11,281,723.83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50,738,924.07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12,684,731.02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以抵销后净额列示的递延所得税资产或负债"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9,735,211.27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5,469,596.79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11,281,723.83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12,684,731.02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7、短期借款" w:id="210"/>
      <w:bookmarkEnd w:id="210"/>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借款分类"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125,139,030.75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84,394,955.10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125,139,030.75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84,394,955.10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8、应付票据" w:id="212"/>
      <w:bookmarkEnd w:id="212"/>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1,378,080.00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6,819,724.28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6,819,724.28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1,378,080.00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9、应付账款" w:id="213"/>
      <w:bookmarkEnd w:id="213"/>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账款列示"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27,792,325.99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13,051,099.31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应付技术服务费及数据款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25,688,857.90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22,047,528.00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53,481,183.89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35,098,627.31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应付账款"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武汉华正空间软件技术有限公司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1,496,850.00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东方网力科技股份有限公司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长春视安科技有限公司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732,252.00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浙江大华技术股份有限公司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413,420.00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3,488,522.00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0、预收款项" w:id="216"/>
      <w:bookmarkEnd w:id="216"/>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收款项列示"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8,093,084.72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9,797,965.04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8,093,084.72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9,797,965.04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预收款项"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南京正坤科技有限公司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中咨泰克交通工程集团有限公司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238,906.84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838,906.84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1、应付职工薪酬" w:id="219"/>
      <w:bookmarkEnd w:id="219"/>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职工薪酬列示"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3,436,094.67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88,863,185.31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85,790,816.11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6,508,463.87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62,467.63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11,440,340.35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10,329,542.32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1,173,265.66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3,498,562.30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100,311,385.66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96,128,218.43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7,681,729.53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短期薪酬列示"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2,766,706.14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74,330,350.03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71,864,822.32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5,232,233.85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3,242,003.09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3,188,225.93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71,839.56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276,399.94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5,817,993.71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5,210,552.63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883,841.02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239,674.64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5,138,417.44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4,611,515.29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766,576.79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260,716.79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220,477.27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52,563.84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378,560.07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64,700.39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5,389,954.80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5,463,740.08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-56,670.98</w:t>
            </w:r>
            <w:r>
              <w:rPr>
                <w:rFonts w:ascii="Times New Roman"/>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330,318.02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330,318.02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27,493.87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63,475.15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46,902.40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3,436,094.67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88,863,185.31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85,790,816.11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6,508,463.87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设定提存计划列示"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10,719,549.03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9,692,398.37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1,046,502.89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43,115.40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720,791.32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637,143.95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126,762.77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11,440,340.35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10,329,542.32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1,173,265.66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57" w:lineRule="auto" w:before="145"/>
        <w:ind w:right="152" w:firstLine="482"/>
        <w:jc w:val="both"/>
      </w:pPr>
      <w:r>
        <w:rPr/>
        <w:t>本公司按规定参加由政府机构设立的养老保险、失业保险计划，根据该等计划，本公司 </w:t>
      </w:r>
      <w:r>
        <w:rPr>
          <w:spacing w:val="-2"/>
        </w:rPr>
        <w:t>分别按工资总额的</w:t>
      </w:r>
      <w:r>
        <w:rPr>
          <w:rFonts w:ascii="宋体" w:hAnsi="宋体" w:cs="宋体" w:eastAsia="宋体" w:hint="default"/>
          <w:spacing w:val="-2"/>
        </w:rPr>
        <w:t>20.00%</w:t>
      </w:r>
      <w:r>
        <w:rPr>
          <w:spacing w:val="-2"/>
        </w:rPr>
        <w:t>、</w:t>
      </w:r>
      <w:r>
        <w:rPr>
          <w:rFonts w:ascii="宋体" w:hAnsi="宋体" w:cs="宋体" w:eastAsia="宋体" w:hint="default"/>
          <w:spacing w:val="-2"/>
        </w:rPr>
        <w:t>1.00%</w:t>
      </w:r>
      <w:r>
        <w:rPr>
          <w:spacing w:val="-2"/>
        </w:rPr>
        <w:t>每月向该等计划缴存费用。除上述每月缴存费用外，本公司</w:t>
      </w:r>
      <w:r>
        <w:rPr>
          <w:spacing w:val="-112"/>
        </w:rPr>
        <w:t> </w:t>
      </w:r>
      <w:r>
        <w:rPr>
          <w:spacing w:val="-112"/>
        </w:rPr>
      </w:r>
      <w:r>
        <w:rPr/>
        <w:t>不再承担进一步支付义务。相应的支出于发生时计入当期损益或相关资产的成本。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2、应交税费" w:id="223"/>
      <w:bookmarkEnd w:id="22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6,570,293.15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9,405,950.13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33,561.15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9,476,201.13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9,987,557.18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164,920.42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72,648.84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450,637.51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647,513.97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331,077.77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464,035.99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13,489.23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17,010,867.09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20,624,756.49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3、其他应付款" w:id="224"/>
      <w:bookmarkEnd w:id="22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其他应付款"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4,870,163.94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2,185,500.01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628,035.36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14,227.20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26,032,218.87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5,498,199.30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28,231,946.08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其他应付款"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购房契税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房屋产权尚未办理完毕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采集器押金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427,046.40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尚未到期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1,514,946.40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4、长期应付款" w:id="227"/>
      <w:bookmarkEnd w:id="227"/>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长期应付款"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19,111,959.12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5、预计负债" w:id="229"/>
      <w:bookmarkEnd w:id="229"/>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8"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0" w:right="0"/>
              <w:jc w:val="left"/>
              <w:rPr>
                <w:rFonts w:ascii="Times New Roman" w:hAnsi="Times New Roman" w:cs="Times New Roman" w:eastAsia="Times New Roman" w:hint="default"/>
                <w:sz w:val="18"/>
                <w:szCs w:val="18"/>
              </w:rPr>
            </w:pPr>
            <w:r>
              <w:rPr>
                <w:rFonts w:ascii="Times New Roman"/>
                <w:sz w:val="18"/>
              </w:rPr>
              <w:t>3,810,000.00</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2,030,000.00</w:t>
            </w:r>
          </w:p>
        </w:tc>
        <w:tc>
          <w:tcPr>
            <w:tcW w:w="2392"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7"/>
              <w:jc w:val="left"/>
              <w:rPr>
                <w:rFonts w:ascii="宋体" w:hAnsi="宋体" w:cs="宋体" w:eastAsia="宋体" w:hint="default"/>
                <w:sz w:val="18"/>
                <w:szCs w:val="18"/>
              </w:rPr>
            </w:pPr>
            <w:r>
              <w:rPr>
                <w:rFonts w:ascii="宋体" w:hAnsi="宋体" w:cs="宋体" w:eastAsia="宋体" w:hint="default"/>
                <w:sz w:val="18"/>
                <w:szCs w:val="18"/>
              </w:rPr>
              <w:t>本公司与部分客户签订的不 可撤销的销售软件产品合同， 合同存在质保期。</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405" w:right="0"/>
              <w:jc w:val="left"/>
              <w:rPr>
                <w:rFonts w:ascii="Times New Roman" w:hAnsi="Times New Roman" w:cs="Times New Roman" w:eastAsia="Times New Roman" w:hint="default"/>
                <w:sz w:val="18"/>
                <w:szCs w:val="18"/>
              </w:rPr>
            </w:pPr>
            <w:r>
              <w:rPr>
                <w:rFonts w:ascii="Times New Roman"/>
                <w:sz w:val="18"/>
              </w:rPr>
              <w:t>3,810,000.00</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2,030,000.00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6、递延收益" w:id="230"/>
      <w:bookmarkEnd w:id="230"/>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821,877.51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2,847,622.49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1,469,500.00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821,877.51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2,847,622.49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城市数字化关键 技术研究与示范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数字社区服务信 息平台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城镇体系规划监 测关键技术研究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基于大数据技术 的城市公共服务 平台的开发和应 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91,977.51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308,022.49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基于卫星导航技 术的网格化城市 管理综合应用服 务平台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821,877.51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2,847,622.49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7、股本" w:id="231"/>
      <w:bookmarkEnd w:id="231"/>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126,000,000.00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1,142,800.00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63,000,000.00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64,142,800.00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190,142,800.00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8、资本公积" w:id="232"/>
      <w:bookmarkEnd w:id="232"/>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652,083,309.68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13,110,024.08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66,343,119.47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598,850,214.29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6,601,060.00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973,780.00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2,502,815.57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5,072,024.43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658,684,369.68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14,083,804.08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68,845,935.04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603,922,238.72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57" w:lineRule="auto" w:before="145"/>
        <w:ind w:right="148" w:firstLine="480"/>
        <w:jc w:val="both"/>
      </w:pP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日第二届董事会第十九次会议决议通过了《</w:t>
      </w:r>
      <w:r>
        <w:rPr>
          <w:rFonts w:ascii="宋体" w:hAnsi="宋体" w:cs="宋体" w:eastAsia="宋体" w:hint="default"/>
          <w:spacing w:val="-2"/>
        </w:rPr>
        <w:t>2013</w:t>
      </w:r>
      <w:r>
        <w:rPr>
          <w:spacing w:val="-2"/>
        </w:rPr>
        <w:t>年度利润分配预案》，以资</w:t>
      </w:r>
      <w:r>
        <w:rPr/>
        <w:t> 本公积向全体股东每</w:t>
      </w:r>
      <w:r>
        <w:rPr>
          <w:rFonts w:ascii="宋体" w:hAnsi="宋体" w:cs="宋体" w:eastAsia="宋体" w:hint="default"/>
        </w:rPr>
        <w:t>10</w:t>
      </w:r>
      <w:r>
        <w:rPr/>
        <w:t>股转增</w:t>
      </w:r>
      <w:r>
        <w:rPr>
          <w:rFonts w:ascii="宋体" w:hAnsi="宋体" w:cs="宋体" w:eastAsia="宋体" w:hint="default"/>
        </w:rPr>
        <w:t>5</w:t>
      </w:r>
      <w:r>
        <w:rPr/>
        <w:t>股，合计转增股本</w:t>
      </w:r>
      <w:r>
        <w:rPr>
          <w:rFonts w:ascii="宋体" w:hAnsi="宋体" w:cs="宋体" w:eastAsia="宋体" w:hint="default"/>
        </w:rPr>
        <w:t>63,000,000.00</w:t>
      </w:r>
      <w:r>
        <w:rPr/>
        <w:t>股；</w:t>
      </w:r>
      <w:r>
        <w:rPr>
          <w:rFonts w:ascii="宋体" w:hAnsi="宋体" w:cs="宋体" w:eastAsia="宋体" w:hint="default"/>
        </w:rPr>
        <w:t>2014</w:t>
      </w:r>
      <w:r>
        <w:rPr/>
        <w:t>年度股票期权确认</w:t>
      </w:r>
      <w:r>
        <w:rPr>
          <w:spacing w:val="-87"/>
        </w:rPr>
        <w:t> </w:t>
      </w:r>
      <w:r>
        <w:rPr/>
        <w:t>费用</w:t>
      </w:r>
      <w:r>
        <w:rPr>
          <w:rFonts w:ascii="宋体" w:hAnsi="宋体" w:cs="宋体" w:eastAsia="宋体" w:hint="default"/>
        </w:rPr>
        <w:t>973,780.00</w:t>
      </w:r>
      <w:r>
        <w:rPr/>
        <w:t>元，期权行权结算其他资本公积转资本溢价</w:t>
      </w:r>
      <w:r>
        <w:rPr>
          <w:rFonts w:ascii="宋体" w:hAnsi="宋体" w:cs="宋体" w:eastAsia="宋体" w:hint="default"/>
        </w:rPr>
        <w:t>2,502,815.57</w:t>
      </w:r>
      <w:r>
        <w:rPr/>
        <w:t>元，行权的股本溢</w:t>
      </w:r>
      <w:r>
        <w:rPr>
          <w:spacing w:val="-96"/>
        </w:rPr>
        <w:t> </w:t>
      </w:r>
      <w:r>
        <w:rPr>
          <w:spacing w:val="-96"/>
        </w:rPr>
      </w:r>
      <w:r>
        <w:rPr/>
        <w:t>价</w:t>
      </w:r>
      <w:r>
        <w:rPr>
          <w:rFonts w:ascii="宋体" w:hAnsi="宋体" w:cs="宋体" w:eastAsia="宋体" w:hint="default"/>
        </w:rPr>
        <w:t>10,607,208.51</w:t>
      </w:r>
      <w:r>
        <w:rPr/>
        <w:t>元；购买子公司北京汉王智通科技有限公司</w:t>
      </w:r>
      <w:r>
        <w:rPr>
          <w:rFonts w:ascii="宋体" w:hAnsi="宋体" w:cs="宋体" w:eastAsia="宋体" w:hint="default"/>
        </w:rPr>
        <w:t>20%</w:t>
      </w:r>
      <w:r>
        <w:rPr/>
        <w:t>股权溢价部分冲减资本公积</w:t>
      </w:r>
      <w:r>
        <w:rPr>
          <w:spacing w:val="-87"/>
        </w:rPr>
        <w:t> </w:t>
      </w:r>
      <w:r>
        <w:rPr>
          <w:rFonts w:ascii="宋体" w:hAnsi="宋体" w:cs="宋体" w:eastAsia="宋体" w:hint="default"/>
        </w:rPr>
        <w:t>3,343,119.47</w:t>
      </w:r>
      <w:r>
        <w:rPr/>
        <w:t>元。</w:t>
      </w:r>
    </w:p>
    <w:p>
      <w:pPr>
        <w:spacing w:line="240" w:lineRule="auto" w:before="8"/>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9、盈余公积" w:id="233"/>
      <w:bookmarkEnd w:id="233"/>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31,203,862.26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10,029,364.81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41,233,227.07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31,203,862.26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10,029,364.81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41,233,227.07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57" w:lineRule="auto" w:before="144"/>
        <w:ind w:left="154" w:right="0" w:firstLine="480"/>
        <w:jc w:val="left"/>
      </w:pPr>
      <w:r>
        <w:rPr>
          <w:spacing w:val="-3"/>
        </w:rPr>
        <w:t>根据公司法、章程的规定，本公司按净利润的</w:t>
      </w:r>
      <w:r>
        <w:rPr>
          <w:rFonts w:ascii="宋体" w:hAnsi="宋体" w:cs="宋体" w:eastAsia="宋体" w:hint="default"/>
          <w:spacing w:val="-3"/>
        </w:rPr>
        <w:t>10%</w:t>
      </w:r>
      <w:r>
        <w:rPr>
          <w:spacing w:val="-3"/>
        </w:rPr>
        <w:t>提取法定盈余公积金。法定盈余公积累</w:t>
      </w:r>
      <w:r>
        <w:rPr/>
        <w:t> 计额为本公司注册资本</w:t>
      </w:r>
      <w:r>
        <w:rPr>
          <w:rFonts w:ascii="宋体" w:hAnsi="宋体" w:cs="宋体" w:eastAsia="宋体" w:hint="default"/>
        </w:rPr>
        <w:t>50%</w:t>
      </w:r>
      <w:r>
        <w:rPr/>
        <w:t>以上的，可不再提取。</w:t>
      </w:r>
    </w:p>
    <w:p>
      <w:pPr>
        <w:pStyle w:val="BodyText"/>
        <w:spacing w:line="357" w:lineRule="auto"/>
        <w:ind w:left="154" w:right="0" w:firstLine="480"/>
        <w:jc w:val="left"/>
      </w:pPr>
      <w:r>
        <w:rPr/>
        <w:t>本公司在提取法定盈余公积金后，可提取任意盈余公积金。经批准，任意盈余公积金可 用于弥补以前年度亏损或增加股本。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0、未分配利润" w:id="234"/>
      <w:bookmarkEnd w:id="234"/>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221,827,556.50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154,117,839.58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221,827,556.50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154,117,839.58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119,057,772.04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94,035,979.70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10,029,364.81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9,526,262.78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305,655,963.73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221,827,556.50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1、营业收入和营业成本" w:id="235"/>
      <w:bookmarkEnd w:id="235"/>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545,917,338.04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303,910,169.09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406,357,113.32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246,590,562.38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169,416.28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546,086,754.32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303,910,169.09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406,357,113.32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246,590,562.38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2、营业税金及附加" w:id="236"/>
      <w:bookmarkEnd w:id="236"/>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517,217.10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333,683.53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2,442,997.51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2,535,777.07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1,743,991.39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1,811,269.32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64,339.20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4,768,545.20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4,713,179.92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3、销售费用" w:id="237"/>
      <w:bookmarkEnd w:id="237"/>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16,915,960.23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11,625,487.35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10,522,120.38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7,129,819.79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3,939,420.72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3,927,048.59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3,296,242.62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2,105,606.45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1,358,913.54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1,312,349.21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421,660.54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406,463.20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验收费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346,966.00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276,319.21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190,888.50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133,152.64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406,070.63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769,075.96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39,959,907.87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29,635,857.69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4、管理费用" w:id="238"/>
      <w:bookmarkEnd w:id="23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30,421,573.20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23,375,700.21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21,878,679.16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18,685,733.28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11,927,406.18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10,601,008.18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办公厂租物业费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4,623,804.85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2,922,867.16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4,224,106.54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3,033,222.42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2,031,687.62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1,333,696.46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973,780.00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3,456,030.00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933,769.30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328,103.04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审计评估费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853,189.44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504,300.23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193,490.77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4,563,472.40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3,545,530.83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82,935,768.92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68,186,482.35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5、财务费用" w:id="239"/>
      <w:bookmarkEnd w:id="239"/>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7,856,298.94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1,168,666.67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15,774,526.37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14,299,623.17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-1,524,547.47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98,245.84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-9,442,774.90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-13,032,710.66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6、资产减值损失" w:id="240"/>
      <w:bookmarkEnd w:id="240"/>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17,161,122.45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7,519,123.05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17,161,122.45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7,519,123.05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7、营业外收入" w:id="241"/>
      <w:bookmarkEnd w:id="241"/>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85,453.75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80,641.09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85,453.75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85,453.75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80,641.09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85,453.75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26,796,180.58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31,343,983.38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1,291,367.64</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26,881,634.33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31,424,624.47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1,376,821.39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25,504,812.94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28,875,055.38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城市数字化关键技术研究与 示范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农村人居环境调查移动端录 入软件开发与测试项目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数字社区服务信息平台项目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中关村管委会企业并购奖励 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城镇体系规划监测关键技术 研究项目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基于大数技术的城市公共管 理服务平台的开发和应用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91,977.51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北京中关村信用促进会补贴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中关村海淀园管委会海淀区 信用评级补贴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国家专利申请资助款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支付宝公司支付款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网格化城市综合管理平台产 业化项目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网络的职能化城市管 理系统及专用智能终端开发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自适应威胁管理安全防护系 统</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ATMSYS</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中国技术交易所有限公司补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26,796,180.58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31,343,983.38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8、营业外支出" w:id="242"/>
      <w:bookmarkEnd w:id="242"/>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9、所得税费用" w:id="243"/>
      <w:bookmarkEnd w:id="243"/>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所得税费用表"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12,338,080.10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8,717,808.17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-5,668,621.67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-8,065,658.82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6,669,458.43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652,149.35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133,674,897.53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13,367,489.75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-2,205,235.42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-138,773.83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118,699.78</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-3,935,225.81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-537,496.04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6,669,458.43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0、现金流量表项目" w:id="246"/>
      <w:bookmarkEnd w:id="246"/>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到的其他与经营活动有关的现金"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26,515,698.66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25,140,141.60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16,774,526.37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14,299,623.17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12,970,840.24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349,230.00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除税费返还外的其他政府补助收入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2,669,490.13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收到退回</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年度多缴纳的企业所得税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3,013,046.35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183,640.61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404,788.19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59,114,196.01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44,731,829.31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支付的其他与经营活动有关的现金"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投标保证金、押金及个人备用金等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30,344,519.03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39,847,593.16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26,032,218.87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13,372,034.65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5,592,867.30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11,455,889.68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6,037,977.94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5,311,026.71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2,101,314.86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开出保函保证金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4,748,011.25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6,670,614.37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4,636,704.85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1,419,994.02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4,144,377.83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3,412,666.95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1,863,213.77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829,762.34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3,255,669.18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3,202,281.68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105,163,665.82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69,115,072.62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支付的其他与投资活动有关的现金"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39996pt;margin-top:598.089966pt;width:151.25pt;height:40.8pt;mso-position-horizontal-relative:page;mso-position-vertical-relative:page;z-index:-743752" coordorigin="4467,11962" coordsize="3025,816">
            <v:group style="position:absolute;left:4478;top:11973;width:2;height:392" coordorigin="4478,11973" coordsize="2,392">
              <v:shape style="position:absolute;left:4478;top:11973;width:2;height:392" coordorigin="4478,11973" coordsize="0,392" path="m4478,11973l4478,12364e" filled="false" stroked="true" strokeweight="1.140pt" strokecolor="#ffffff">
                <v:path arrowok="t"/>
              </v:shape>
            </v:group>
            <v:group style="position:absolute;left:4490;top:11973;width:3002;height:392" coordorigin="4490,11973" coordsize="3002,392">
              <v:shape style="position:absolute;left:4490;top:11973;width:3002;height:392" coordorigin="4490,11973" coordsize="3002,392" path="m4490,12364l7491,12364,7491,11973,4490,11973,4490,12364xe" filled="true" fillcolor="#ffffff" stroked="false">
                <v:path arrowok="t"/>
                <v:fill type="solid"/>
              </v:shape>
            </v:group>
            <v:group style="position:absolute;left:4478;top:12375;width:2;height:392" coordorigin="4478,12375" coordsize="2,392">
              <v:shape style="position:absolute;left:4478;top:12375;width:2;height:392" coordorigin="4478,12375" coordsize="0,392" path="m4478,12375l4478,12766e" filled="false" stroked="true" strokeweight="1.140pt" strokecolor="#ffffff">
                <v:path arrowok="t"/>
              </v:shape>
            </v:group>
            <v:group style="position:absolute;left:4490;top:12375;width:3002;height:392" coordorigin="4490,12375" coordsize="3002,392">
              <v:shape style="position:absolute;left:4490;top:12375;width:3002;height:392" coordorigin="4490,12375" coordsize="3002,392" path="m4490,12766l7491,12766,7491,12375,4490,12375,4490,1276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311,256,403.63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371,256,403.63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支付的其他与筹资活动有关的现金"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支付汉王科技股份有限公司购买股权款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1、现金流量表补充资料" w:id="251"/>
      <w:bookmarkEnd w:id="251"/>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127,005,439.10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93,516,349.81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17,161,122.45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7,519,123.05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6,975,946.64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4,853,317.17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21,878,679.16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18,685,733.28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77,500.00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-84,801.26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-79,897.19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4,856,298.94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1,168,666.67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-4,265,614.48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-691,317.79</w:t>
            </w:r>
            <w:r>
              <w:rPr>
                <w:rFonts w:ascii="Times New Roman"/>
                <w:sz w:val="18"/>
              </w:rPr>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-1,403,007.19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-7,374,341.03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-5,656,262.57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10,290,612.85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-191,219,993.61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-77,239,105.53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-34,602,017.65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-37,078,948.25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-59,276,710.47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13,570,193.04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231,520,124.25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682,623,859.66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682,623,859.66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666,714,686.65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-451,103,735.41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15,909,173.01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现金和现金等价物的构成"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231,520,124.25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682,623,859.66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68,538.93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231,407,818.26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682,555,320.73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231,520,124.25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682,623,859.66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left="634" w:right="0"/>
        <w:jc w:val="left"/>
      </w:pPr>
      <w:r>
        <w:rPr/>
        <w:t>注：截至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日公司开立保函保证金</w:t>
      </w:r>
      <w:r>
        <w:rPr>
          <w:rFonts w:ascii="Times New Roman" w:hAnsi="Times New Roman" w:cs="Times New Roman" w:eastAsia="Times New Roman" w:hint="default"/>
        </w:rPr>
        <w:t>4,748,011.25</w:t>
      </w:r>
      <w:r>
        <w:rPr/>
        <w:t>元尚未到期。</w:t>
      </w:r>
    </w:p>
    <w:p>
      <w:pPr>
        <w:spacing w:line="240" w:lineRule="auto" w:before="4"/>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42、所有权或使用权受到限制的资产" w:id="254"/>
      <w:bookmarkEnd w:id="25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4,748,011.25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开出保函</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4,748,011.25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255"/>
      <w:bookmarkEnd w:id="255"/>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处置子公司" w:id="256"/>
      <w:bookmarkEnd w:id="2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3" w:right="40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其他原因的合并范围变动" w:id="257"/>
      <w:bookmarkEnd w:id="2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144"/>
        <w:ind w:left="636" w:right="0"/>
        <w:jc w:val="left"/>
      </w:pPr>
      <w:r>
        <w:rPr/>
        <w:t>本公司新设子公司克拉玛依数字政通信息科技有限责任公司，注册资本</w:t>
      </w:r>
      <w:r>
        <w:rPr>
          <w:rFonts w:ascii="宋体" w:hAnsi="宋体" w:cs="宋体" w:eastAsia="宋体" w:hint="default"/>
        </w:rPr>
        <w:t>300.00</w:t>
      </w:r>
      <w:r>
        <w:rPr/>
        <w:t>万元，已</w:t>
      </w:r>
    </w:p>
    <w:p>
      <w:pPr>
        <w:spacing w:after="0" w:line="240" w:lineRule="auto"/>
        <w:jc w:val="left"/>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0"/>
        <w:jc w:val="left"/>
      </w:pPr>
      <w:r>
        <w:rPr>
          <w:spacing w:val="-2"/>
        </w:rPr>
        <w:t>认缴出资额</w:t>
      </w:r>
      <w:r>
        <w:rPr>
          <w:rFonts w:ascii="宋体" w:hAnsi="宋体" w:cs="宋体" w:eastAsia="宋体" w:hint="default"/>
          <w:spacing w:val="-2"/>
        </w:rPr>
        <w:t>300.00</w:t>
      </w:r>
      <w:r>
        <w:rPr>
          <w:spacing w:val="-2"/>
        </w:rPr>
        <w:t>万元。注册号</w:t>
      </w:r>
      <w:r>
        <w:rPr>
          <w:rFonts w:ascii="宋体" w:hAnsi="宋体" w:cs="宋体" w:eastAsia="宋体" w:hint="default"/>
          <w:spacing w:val="-2"/>
        </w:rPr>
        <w:t>650200050026944</w:t>
      </w:r>
      <w:r>
        <w:rPr>
          <w:spacing w:val="-2"/>
        </w:rPr>
        <w:t>，注册地：新疆克拉玛依市；业务范围：信</w:t>
      </w:r>
      <w:r>
        <w:rPr>
          <w:spacing w:val="-102"/>
        </w:rPr>
        <w:t> </w:t>
      </w:r>
      <w:r>
        <w:rPr>
          <w:spacing w:val="-102"/>
        </w:rPr>
      </w:r>
      <w:r>
        <w:rPr/>
        <w:t>息技术服务、技术推广服务等。</w:t>
      </w:r>
    </w:p>
    <w:p>
      <w:pPr>
        <w:pStyle w:val="BodyText"/>
        <w:spacing w:line="357" w:lineRule="auto"/>
        <w:ind w:right="151" w:firstLine="482"/>
        <w:jc w:val="both"/>
      </w:pPr>
      <w:r>
        <w:rPr/>
        <w:t>本公司新设子公司安徽数字政通科技有限责任公司，注册资本</w:t>
      </w:r>
      <w:r>
        <w:rPr>
          <w:rFonts w:ascii="宋体" w:hAnsi="宋体" w:cs="宋体" w:eastAsia="宋体" w:hint="default"/>
        </w:rPr>
        <w:t>400.00</w:t>
      </w:r>
      <w:r>
        <w:rPr/>
        <w:t>万元，尚未缴纳出 资额。注册号</w:t>
      </w:r>
      <w:r>
        <w:rPr>
          <w:rFonts w:ascii="宋体" w:hAnsi="宋体" w:cs="宋体" w:eastAsia="宋体" w:hint="default"/>
        </w:rPr>
        <w:t>340100001009396</w:t>
      </w:r>
      <w:r>
        <w:rPr/>
        <w:t>（</w:t>
      </w:r>
      <w:r>
        <w:rPr>
          <w:rFonts w:ascii="宋体" w:hAnsi="宋体" w:cs="宋体" w:eastAsia="宋体" w:hint="default"/>
        </w:rPr>
        <w:t>1-1</w:t>
      </w:r>
      <w:r>
        <w:rPr/>
        <w:t>），注册地：合肥市；业务范围：信息技术服务、技术</w:t>
      </w:r>
      <w:r>
        <w:rPr>
          <w:spacing w:val="-88"/>
        </w:rPr>
        <w:t> </w:t>
      </w:r>
      <w:r>
        <w:rPr/>
        <w:t>推广服务等。</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258"/>
      <w:bookmarkEnd w:id="25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中的权益" w:id="259"/>
      <w:bookmarkEnd w:id="2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企业集团的构成"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北京汉王智通科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上海政通信息科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北京数字政通信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武汉智慧政通科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克拉玛依数字政 通信息科技有限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安徽数字政通科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重要的非全资子公司"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北京汉王智通科技有限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7,947,667.06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10,178,440.27</w:t>
            </w: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重要非全资子公司的主要财务信息"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北京汉 王智通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204,246,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127,643,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964.52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331,890,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439.85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199,712,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354.25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30,393,6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230,106,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037.20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132,409,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023.41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104,827,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128.93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237,236,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152.34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149,259,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242.20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12,684,7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161,943,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973.22</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北京汉王智 通科技有限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175,805,139.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26,492,223.5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26,492,223.5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-73,384,307.2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113,663,772.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-1,732,099.65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-1,732,099.65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-51,293,287.0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在子公司的所有者权益份额发生变化且仍控制子公司的交易" w:id="263"/>
      <w:bookmarkEnd w:id="2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子公司所有者权益份额发生变化的情况说明"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left="154" w:right="0" w:firstLine="482"/>
        <w:jc w:val="left"/>
      </w:pPr>
      <w:r>
        <w:rPr>
          <w:spacing w:val="6"/>
        </w:rPr>
        <w:t>本公司本年度发生的导致在子公司所有者权益发生变化但仍控制子公司的交易主要包</w:t>
      </w:r>
      <w:r>
        <w:rPr/>
        <w:t> 括：购买子公司北京汉王智通科技有限公司</w:t>
      </w:r>
      <w:r>
        <w:rPr>
          <w:rFonts w:ascii="宋体" w:hAnsi="宋体" w:cs="宋体" w:eastAsia="宋体" w:hint="default"/>
        </w:rPr>
        <w:t>20%</w:t>
      </w:r>
      <w:r>
        <w:rPr/>
        <w:t>股权（交易发生后持有该公司</w:t>
      </w:r>
      <w:r>
        <w:rPr>
          <w:rFonts w:ascii="宋体" w:hAnsi="宋体" w:cs="宋体" w:eastAsia="宋体" w:hint="default"/>
        </w:rPr>
        <w:t>90%</w:t>
      </w:r>
      <w:r>
        <w:rPr/>
        <w:t>股权）。</w:t>
      </w: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交易对于少数股东权益及归属于母公司所有者权益的影响"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5857"/>
        <w:gridCol w:w="3201"/>
      </w:tblGrid>
      <w:tr>
        <w:trPr>
          <w:trHeight w:val="355" w:hRule="exact"/>
        </w:trPr>
        <w:tc>
          <w:tcPr>
            <w:tcW w:w="585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3201"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332" w:right="0"/>
              <w:jc w:val="left"/>
              <w:rPr>
                <w:rFonts w:ascii="宋体" w:hAnsi="宋体" w:cs="宋体" w:eastAsia="宋体" w:hint="default"/>
                <w:sz w:val="21"/>
                <w:szCs w:val="21"/>
              </w:rPr>
            </w:pPr>
            <w:r>
              <w:rPr>
                <w:rFonts w:ascii="宋体" w:hAnsi="宋体" w:cs="宋体" w:eastAsia="宋体" w:hint="default"/>
                <w:sz w:val="21"/>
                <w:szCs w:val="21"/>
              </w:rPr>
              <w:t>北京汉王智通科技有限公司</w:t>
            </w:r>
          </w:p>
        </w:tc>
      </w:tr>
      <w:tr>
        <w:trPr>
          <w:trHeight w:val="352" w:hRule="exact"/>
        </w:trPr>
        <w:tc>
          <w:tcPr>
            <w:tcW w:w="585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购买成本对价</w:t>
            </w:r>
          </w:p>
        </w:tc>
        <w:tc>
          <w:tcPr>
            <w:tcW w:w="32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23,700,000.00</w:t>
            </w:r>
          </w:p>
        </w:tc>
      </w:tr>
      <w:tr>
        <w:trPr>
          <w:trHeight w:val="353" w:hRule="exact"/>
        </w:trPr>
        <w:tc>
          <w:tcPr>
            <w:tcW w:w="585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32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23,700,000.00</w:t>
            </w:r>
          </w:p>
        </w:tc>
      </w:tr>
      <w:tr>
        <w:trPr>
          <w:trHeight w:val="352" w:hRule="exact"/>
        </w:trPr>
        <w:tc>
          <w:tcPr>
            <w:tcW w:w="585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购买成本对价合计</w:t>
            </w:r>
          </w:p>
        </w:tc>
        <w:tc>
          <w:tcPr>
            <w:tcW w:w="32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23,700,000.00</w:t>
            </w:r>
          </w:p>
        </w:tc>
      </w:tr>
      <w:tr>
        <w:trPr>
          <w:trHeight w:val="352" w:hRule="exact"/>
        </w:trPr>
        <w:tc>
          <w:tcPr>
            <w:tcW w:w="585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减：按取得的股权比例计算的子公司净资产份额</w:t>
            </w:r>
          </w:p>
        </w:tc>
        <w:tc>
          <w:tcPr>
            <w:tcW w:w="32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20,356,880.53</w:t>
            </w:r>
          </w:p>
        </w:tc>
      </w:tr>
      <w:tr>
        <w:trPr>
          <w:trHeight w:val="353" w:hRule="exact"/>
        </w:trPr>
        <w:tc>
          <w:tcPr>
            <w:tcW w:w="585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3,343,119.47</w:t>
            </w:r>
          </w:p>
        </w:tc>
      </w:tr>
      <w:tr>
        <w:trPr>
          <w:trHeight w:val="352" w:hRule="exact"/>
        </w:trPr>
        <w:tc>
          <w:tcPr>
            <w:tcW w:w="585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2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3,343,119.47</w:t>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在合营安排或联营企业中的权益" w:id="266"/>
      <w:bookmarkEnd w:id="2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的合营企业或联营企业"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重要合营企业的主要财务信息"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重要联营企业的主要财务信息"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上重要的合营企业和联营企业的汇总财务信息"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690" w:lineRule="exact" w:before="56"/>
        <w:ind w:left="636" w:right="0" w:hanging="483"/>
        <w:jc w:val="left"/>
        <w:rPr>
          <w:rFonts w:ascii="宋体" w:hAnsi="宋体" w:cs="宋体" w:eastAsia="宋体" w:hint="default"/>
          <w:sz w:val="24"/>
          <w:szCs w:val="24"/>
        </w:rPr>
      </w:pPr>
      <w:bookmarkStart w:name="十、与金融工具相关的风险" w:id="271"/>
      <w:bookmarkEnd w:id="271"/>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本公司的主要金融工具包括借款、应收账款、长期应收款、应付账款、长期应付款等，</w:t>
      </w:r>
    </w:p>
    <w:p>
      <w:pPr>
        <w:pStyle w:val="BodyText"/>
        <w:spacing w:line="357" w:lineRule="auto" w:before="49"/>
        <w:ind w:right="152"/>
        <w:jc w:val="both"/>
      </w:pPr>
      <w:r>
        <w:rPr/>
        <w:t>各项金融工具的详细情况说明见本附注六相关项目。与这些金融工具有关的风险，以及本公 司为降低这些风险所采取的风险管理政策如下所述。本公司管理层对这些风险敞口进行管理</w:t>
      </w:r>
      <w:r>
        <w:rPr>
          <w:spacing w:val="-112"/>
        </w:rPr>
        <w:t> </w:t>
      </w:r>
      <w:r>
        <w:rPr>
          <w:spacing w:val="-112"/>
        </w:rPr>
      </w:r>
      <w:r>
        <w:rPr/>
        <w:t>和监控以确保将上述风险控制在限定的范围之内。</w:t>
      </w:r>
    </w:p>
    <w:p>
      <w:pPr>
        <w:pStyle w:val="BodyText"/>
        <w:spacing w:line="357" w:lineRule="auto"/>
        <w:ind w:left="636" w:right="0"/>
        <w:jc w:val="left"/>
      </w:pPr>
      <w:r>
        <w:rPr/>
        <w:t>（一）风险管理目标和政策 本公司从事风险管理的目标是在风险和收益之间取得适当的平衡，将风险对本公司经营</w:t>
      </w:r>
    </w:p>
    <w:p>
      <w:pPr>
        <w:pStyle w:val="BodyText"/>
        <w:spacing w:line="357" w:lineRule="auto"/>
        <w:ind w:left="154" w:right="159"/>
        <w:jc w:val="both"/>
      </w:pPr>
      <w:r>
        <w:rPr/>
        <w:t>业绩的负面影响降低到最低水平，使股东及其其他权益投资者的利益最大化。基于该风险管 理目标，本公司风险管理的基本策略是确定和分析本公司所面临的各种风险，建立适当的风</w:t>
      </w:r>
    </w:p>
    <w:p>
      <w:pPr>
        <w:spacing w:after="0" w:line="357" w:lineRule="auto"/>
        <w:jc w:val="both"/>
        <w:sectPr>
          <w:pgSz w:w="11910" w:h="16840"/>
          <w:pgMar w:header="747" w:footer="979" w:top="1060" w:bottom="11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0"/>
        <w:jc w:val="left"/>
      </w:pPr>
      <w:r>
        <w:rPr/>
        <w:t>险承受底线和进行风险管理，并及时可靠地对各种风险进行监督，将风险控制在限定的范围 之内。</w:t>
      </w:r>
    </w:p>
    <w:p>
      <w:pPr>
        <w:pStyle w:val="BodyText"/>
        <w:spacing w:line="240" w:lineRule="auto"/>
        <w:ind w:left="636" w:right="0"/>
        <w:jc w:val="left"/>
      </w:pPr>
      <w:r>
        <w:rPr>
          <w:rFonts w:ascii="宋体" w:hAnsi="宋体" w:cs="宋体" w:eastAsia="宋体" w:hint="default"/>
        </w:rPr>
        <w:t>1</w:t>
      </w:r>
      <w:r>
        <w:rPr/>
        <w:t>、市场风险</w:t>
      </w:r>
    </w:p>
    <w:p>
      <w:pPr>
        <w:pStyle w:val="BodyText"/>
        <w:spacing w:line="357" w:lineRule="auto" w:before="154"/>
        <w:ind w:left="636" w:right="0"/>
        <w:jc w:val="left"/>
      </w:pPr>
      <w:r>
        <w:rPr/>
        <w:t>（</w:t>
      </w:r>
      <w:r>
        <w:rPr>
          <w:rFonts w:ascii="宋体" w:hAnsi="宋体" w:cs="宋体" w:eastAsia="宋体" w:hint="default"/>
        </w:rPr>
        <w:t>1</w:t>
      </w:r>
      <w:r>
        <w:rPr/>
        <w:t>）利率风险－现金流量变动风险 本公司因利率变动引起金融工具现金流量变动的风险主要与浮动利率银行借款有关。本</w:t>
      </w:r>
    </w:p>
    <w:p>
      <w:pPr>
        <w:pStyle w:val="BodyText"/>
        <w:spacing w:line="357" w:lineRule="auto"/>
        <w:ind w:left="636" w:right="5453" w:hanging="483"/>
        <w:jc w:val="left"/>
      </w:pPr>
      <w:r>
        <w:rPr/>
        <w:t>公司的政策是保持这些借款的浮动利率。 </w:t>
      </w:r>
      <w:r>
        <w:rPr>
          <w:rFonts w:ascii="宋体" w:hAnsi="宋体" w:cs="宋体" w:eastAsia="宋体" w:hint="default"/>
        </w:rPr>
        <w:t>2</w:t>
      </w:r>
      <w:r>
        <w:rPr/>
        <w:t>、信用风险</w:t>
      </w:r>
    </w:p>
    <w:p>
      <w:pPr>
        <w:pStyle w:val="BodyText"/>
        <w:spacing w:line="357" w:lineRule="auto"/>
        <w:ind w:left="154" w:right="158" w:firstLine="482"/>
        <w:jc w:val="both"/>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日，可能引起本公司财务损失的最大信用风险敞口主要来自于合同另一方 未能履行义务而导致本公司金融资产产生的损失具体包括：合并资产负债表中已确认的金融 资产的账面金额。</w:t>
      </w:r>
    </w:p>
    <w:p>
      <w:pPr>
        <w:pStyle w:val="BodyText"/>
        <w:spacing w:line="357" w:lineRule="auto"/>
        <w:ind w:right="159" w:firstLine="482"/>
        <w:jc w:val="both"/>
      </w:pPr>
      <w:r>
        <w:rPr/>
        <w:t>为降低信用风险，本公司严控信用审批，并执行其他监控程序以确保采取必要的措施回 收过期债权。此外，本公司于每个资产负债表日审核每一单项应收款的回收情况，以确保就 无法回收的款项计提充分的坏账准备。因此，本公司管理层认为本公司所承担的信用风险已 经大为降低。</w:t>
      </w:r>
    </w:p>
    <w:p>
      <w:pPr>
        <w:pStyle w:val="BodyText"/>
        <w:spacing w:line="357" w:lineRule="auto"/>
        <w:ind w:left="636" w:right="0"/>
        <w:jc w:val="left"/>
      </w:pPr>
      <w:r>
        <w:rPr/>
        <w:t>本公司的流动资金存放在信用评级较高的银行，故流动资金的信用风险较低。 </w:t>
      </w:r>
      <w:r>
        <w:rPr>
          <w:rFonts w:ascii="宋体" w:hAnsi="宋体" w:cs="宋体" w:eastAsia="宋体" w:hint="default"/>
        </w:rPr>
        <w:t>3</w:t>
      </w:r>
      <w:r>
        <w:rPr/>
        <w:t>、流动风险 管理流动风险时，本公司保持管理层认为充分的现金及现金等价物并对其进行监控，以</w:t>
      </w:r>
    </w:p>
    <w:p>
      <w:pPr>
        <w:pStyle w:val="BodyText"/>
        <w:spacing w:line="357" w:lineRule="auto"/>
        <w:ind w:left="154" w:right="0"/>
        <w:jc w:val="left"/>
      </w:pPr>
      <w:r>
        <w:rPr/>
        <w:t>满足本公司经营需要，并降低现金流量波动的影响。本公司管理层对银行借款的使用情况进 行监控并确保遵守借款协议。</w:t>
      </w:r>
    </w:p>
    <w:p>
      <w:pPr>
        <w:spacing w:line="240" w:lineRule="auto" w:before="11"/>
        <w:rPr>
          <w:rFonts w:ascii="宋体" w:hAnsi="宋体" w:cs="宋体" w:eastAsia="宋体" w:hint="default"/>
          <w:sz w:val="19"/>
          <w:szCs w:val="19"/>
        </w:rPr>
      </w:pPr>
    </w:p>
    <w:p>
      <w:pPr>
        <w:pStyle w:val="Heading2"/>
        <w:spacing w:line="240" w:lineRule="auto"/>
        <w:ind w:left="154" w:right="0"/>
        <w:jc w:val="left"/>
        <w:rPr>
          <w:b w:val="0"/>
          <w:bCs w:val="0"/>
        </w:rPr>
      </w:pPr>
      <w:bookmarkStart w:name="十一、关联方及关联交易" w:id="272"/>
      <w:bookmarkEnd w:id="27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本企业的母公司情况" w:id="273"/>
      <w:bookmarkEnd w:id="27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Heading2"/>
        <w:spacing w:line="312" w:lineRule="exact"/>
        <w:ind w:right="155" w:firstLine="482"/>
        <w:jc w:val="both"/>
        <w:rPr>
          <w:b w:val="0"/>
          <w:bCs w:val="0"/>
        </w:rPr>
      </w:pPr>
      <w:r>
        <w:rPr>
          <w:rFonts w:ascii="Times New Roman" w:hAnsi="Times New Roman" w:cs="Times New Roman" w:eastAsia="Times New Roman" w:hint="default"/>
          <w:spacing w:val="2"/>
          <w:w w:val="95"/>
        </w:rPr>
        <w:t>1</w:t>
      </w:r>
      <w:r>
        <w:rPr>
          <w:spacing w:val="2"/>
          <w:w w:val="95"/>
        </w:rPr>
        <w:t>、本公司股东吴强华为实际控制人，持有公司</w:t>
      </w:r>
      <w:r>
        <w:rPr>
          <w:rFonts w:ascii="Times New Roman" w:hAnsi="Times New Roman" w:cs="Times New Roman" w:eastAsia="Times New Roman" w:hint="default"/>
          <w:spacing w:val="2"/>
          <w:w w:val="95"/>
        </w:rPr>
        <w:t>32.62%</w:t>
      </w:r>
      <w:r>
        <w:rPr>
          <w:spacing w:val="2"/>
          <w:w w:val="95"/>
        </w:rPr>
        <w:t>的股权，对本公司的表决权比例</w:t>
      </w:r>
      <w:r>
        <w:rPr>
          <w:w w:val="99"/>
        </w:rPr>
        <w:t> </w:t>
      </w:r>
      <w:r>
        <w:rPr/>
        <w:t>为</w:t>
      </w:r>
      <w:r>
        <w:rPr>
          <w:rFonts w:ascii="Times New Roman" w:hAnsi="Times New Roman" w:cs="Times New Roman" w:eastAsia="Times New Roman" w:hint="default"/>
        </w:rPr>
        <w:t>32.62%</w:t>
      </w:r>
      <w:r>
        <w:rPr/>
        <w:t>。</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2"/>
          <w:szCs w:val="22"/>
        </w:rPr>
      </w:pPr>
    </w:p>
    <w:p>
      <w:pPr>
        <w:spacing w:line="544" w:lineRule="auto" w:before="0"/>
        <w:ind w:left="153" w:right="4463" w:firstLine="0"/>
        <w:jc w:val="left"/>
        <w:rPr>
          <w:rFonts w:ascii="宋体" w:hAnsi="宋体" w:cs="宋体" w:eastAsia="宋体" w:hint="default"/>
          <w:sz w:val="21"/>
          <w:szCs w:val="21"/>
        </w:rPr>
      </w:pPr>
      <w:bookmarkStart w:name="2、本企业的子公司情况" w:id="274"/>
      <w:bookmarkEnd w:id="2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其他关联方情况" w:id="275"/>
      <w:bookmarkEnd w:id="27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汉王制造科技有限公司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北京汉王智远科技有限公司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河北汉王精品电子产品制造有限公司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关联交易情况" w:id="276"/>
      <w:bookmarkEnd w:id="2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购销商品、提供和接受劳务的关联交易"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汉王制造科技有限公司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3,652,835.89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5" w:right="0"/>
              <w:jc w:val="left"/>
              <w:rPr>
                <w:rFonts w:ascii="Times New Roman" w:hAnsi="Times New Roman" w:cs="Times New Roman" w:eastAsia="Times New Roman" w:hint="default"/>
                <w:sz w:val="18"/>
                <w:szCs w:val="18"/>
              </w:rPr>
            </w:pPr>
            <w:r>
              <w:rPr>
                <w:rFonts w:ascii="Times New Roman"/>
                <w:sz w:val="18"/>
              </w:rPr>
              <w:t>12,622,944.62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北京汉王智远科技有限公司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7,009,296.58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河北汉王精品电子产品制造有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1,459,994.01</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关联租赁情况"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1,240,475.32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1,861,068.19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关键管理人员报酬"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关联方应收应付款项" w:id="280"/>
      <w:bookmarkEnd w:id="2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项目"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3189"/>
        <w:gridCol w:w="3177"/>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汉王制造有限公司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48,218.97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汉王科技股份有限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60,550.00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应付项目"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1,491,573.29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汉王制造有限公司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2,141,259.27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26,023,218.87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股份支付" w:id="283"/>
      <w:bookmarkEnd w:id="283"/>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股份支付总体情况" w:id="284"/>
      <w:bookmarkEnd w:id="28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首次授予期权的行权价为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10.22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元，剩余合同期限为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1"/>
                <w:sz w:val="18"/>
                <w:szCs w:val="18"/>
              </w:rPr>
              <w:t>二</w:t>
            </w:r>
            <w:r>
              <w:rPr>
                <w:rFonts w:ascii="宋体" w:hAnsi="宋体" w:cs="宋体" w:eastAsia="宋体" w:hint="default"/>
                <w:sz w:val="18"/>
                <w:szCs w:val="18"/>
              </w:rPr>
              <w:t>次授予期权的行权价为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元，剩余合同期限为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38" w:lineRule="auto" w:before="145"/>
        <w:ind w:right="151" w:firstLine="48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日，公司召开第二届董事会第二十二次会议审议通过了《关于调整股票期权</w:t>
      </w:r>
      <w:r>
        <w:rPr/>
        <w:t> </w:t>
      </w:r>
      <w:r>
        <w:rPr>
          <w:spacing w:val="-1"/>
        </w:rPr>
        <w:t>数量及行权价格的议案》公司首次授予股票期权价格调整为</w:t>
      </w:r>
      <w:r>
        <w:rPr>
          <w:rFonts w:ascii="Times New Roman" w:hAnsi="Times New Roman" w:cs="Times New Roman" w:eastAsia="Times New Roman" w:hint="default"/>
          <w:spacing w:val="-1"/>
        </w:rPr>
        <w:t>10.22</w:t>
      </w:r>
      <w:r>
        <w:rPr>
          <w:spacing w:val="-1"/>
        </w:rPr>
        <w:t>元，预留部分的行权价格调</w:t>
      </w:r>
      <w:r>
        <w:rPr>
          <w:spacing w:val="-99"/>
        </w:rPr>
        <w:t> </w:t>
      </w:r>
      <w:r>
        <w:rPr>
          <w:spacing w:val="-99"/>
        </w:rPr>
      </w:r>
      <w:r>
        <w:rPr/>
        <w:t>整为</w:t>
      </w:r>
      <w:r>
        <w:rPr>
          <w:rFonts w:ascii="Times New Roman" w:hAnsi="Times New Roman" w:cs="Times New Roman" w:eastAsia="Times New Roman" w:hint="default"/>
        </w:rPr>
        <w:t>11.07</w:t>
      </w:r>
      <w:r>
        <w:rPr/>
        <w:t>元。经过本次调整，《股票期权激励计划》所涉股票期权数量变更为</w:t>
      </w:r>
      <w:r>
        <w:rPr>
          <w:rFonts w:ascii="Times New Roman" w:hAnsi="Times New Roman" w:cs="Times New Roman" w:eastAsia="Times New Roman" w:hint="default"/>
        </w:rPr>
        <w:t>393.75</w:t>
      </w:r>
      <w:r>
        <w:rPr/>
        <w:t>万份，</w:t>
      </w:r>
      <w:r>
        <w:rPr>
          <w:spacing w:val="-109"/>
        </w:rPr>
        <w:t> </w:t>
      </w:r>
      <w:r>
        <w:rPr>
          <w:spacing w:val="-109"/>
        </w:rPr>
      </w:r>
      <w:r>
        <w:rPr/>
        <w:t>其中首次授予股票期权的数量变更为</w:t>
      </w:r>
      <w:r>
        <w:rPr>
          <w:rFonts w:ascii="Times New Roman" w:hAnsi="Times New Roman" w:cs="Times New Roman" w:eastAsia="Times New Roman" w:hint="default"/>
        </w:rPr>
        <w:t>353.25</w:t>
      </w:r>
      <w:r>
        <w:rPr/>
        <w:t>万份，预留部分数量变更为</w:t>
      </w:r>
      <w:r>
        <w:rPr>
          <w:rFonts w:ascii="Times New Roman" w:hAnsi="Times New Roman" w:cs="Times New Roman" w:eastAsia="Times New Roman" w:hint="default"/>
        </w:rPr>
        <w:t>40.5</w:t>
      </w:r>
      <w:r>
        <w:rPr/>
        <w:t>万份。</w:t>
      </w:r>
    </w:p>
    <w:p>
      <w:pPr>
        <w:spacing w:line="240" w:lineRule="auto" w:before="11"/>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以权益结算的股份支付情况" w:id="285"/>
      <w:bookmarkEnd w:id="2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公司选择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模型来计算期权的公允价值。</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根据最新取得的可行权人数变动、业绩指标完成情况等后 续信息，修正预计可行权的股票期权数量。</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7,574,840.00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973,780.00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三、承诺及或有事项" w:id="286"/>
      <w:bookmarkEnd w:id="286"/>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承诺事项" w:id="287"/>
      <w:bookmarkEnd w:id="28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before="53"/>
        <w:ind w:left="154" w:right="0" w:firstLine="0"/>
        <w:jc w:val="left"/>
        <w:rPr>
          <w:rFonts w:ascii="宋体" w:hAnsi="宋体" w:cs="宋体" w:eastAsia="宋体" w:hint="default"/>
          <w:sz w:val="25"/>
          <w:szCs w:val="25"/>
        </w:rPr>
      </w:pPr>
      <w:r>
        <w:rPr>
          <w:rFonts w:ascii="宋体" w:hAnsi="宋体" w:cs="宋体" w:eastAsia="宋体" w:hint="default"/>
          <w:i/>
          <w:sz w:val="25"/>
          <w:szCs w:val="25"/>
        </w:rPr>
        <w:t>截至</w:t>
      </w:r>
      <w:r>
        <w:rPr>
          <w:rFonts w:ascii="Times New Roman" w:hAnsi="Times New Roman" w:cs="Times New Roman" w:eastAsia="Times New Roman" w:hint="default"/>
          <w:i/>
          <w:sz w:val="24"/>
          <w:szCs w:val="24"/>
        </w:rPr>
        <w:t>2014</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12</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31</w:t>
      </w:r>
      <w:r>
        <w:rPr>
          <w:rFonts w:ascii="宋体" w:hAnsi="宋体" w:cs="宋体" w:eastAsia="宋体" w:hint="default"/>
          <w:i/>
          <w:sz w:val="25"/>
          <w:szCs w:val="25"/>
        </w:rPr>
        <w:t>日，本公司无需要披露的重大承诺事项。</w:t>
      </w:r>
      <w:r>
        <w:rPr>
          <w:rFonts w:ascii="宋体" w:hAnsi="宋体" w:cs="宋体" w:eastAsia="宋体" w:hint="default"/>
          <w:sz w:val="25"/>
          <w:szCs w:val="25"/>
        </w:rPr>
      </w:r>
    </w:p>
    <w:p>
      <w:pPr>
        <w:spacing w:line="240" w:lineRule="auto" w:before="4"/>
        <w:rPr>
          <w:rFonts w:ascii="宋体" w:hAnsi="宋体" w:cs="宋体" w:eastAsia="宋体" w:hint="default"/>
          <w:i/>
          <w:sz w:val="23"/>
          <w:szCs w:val="23"/>
        </w:rPr>
      </w:pPr>
    </w:p>
    <w:p>
      <w:pPr>
        <w:spacing w:before="0"/>
        <w:ind w:left="153" w:right="0" w:firstLine="0"/>
        <w:jc w:val="left"/>
        <w:rPr>
          <w:rFonts w:ascii="宋体" w:hAnsi="宋体" w:cs="宋体" w:eastAsia="宋体" w:hint="default"/>
          <w:sz w:val="21"/>
          <w:szCs w:val="21"/>
        </w:rPr>
      </w:pPr>
      <w:bookmarkStart w:name="2、或有事项" w:id="288"/>
      <w:bookmarkEnd w:id="28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负债表日存在的重要或有事项"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before="0"/>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4"/>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公司没有需要披露的重要或有事项，也应予以说明"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其他" w:id="291"/>
      <w:bookmarkEnd w:id="29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p>
      <w:pPr>
        <w:pStyle w:val="BodyText"/>
        <w:spacing w:line="357" w:lineRule="auto" w:before="0"/>
        <w:ind w:right="152" w:firstLine="480"/>
        <w:jc w:val="both"/>
      </w:pPr>
      <w:r>
        <w:rPr/>
        <w:t>本公司的控股子公司北京汉王智通科技有限公司在北京银行股份有限公司中关村支行取 得综合授信</w:t>
      </w:r>
      <w:r>
        <w:rPr>
          <w:rFonts w:ascii="宋体" w:hAnsi="宋体" w:cs="宋体" w:eastAsia="宋体" w:hint="default"/>
        </w:rPr>
        <w:t>5000</w:t>
      </w:r>
      <w:r>
        <w:rPr/>
        <w:t>万元人民币，其中，流动资金贷款授信额度</w:t>
      </w:r>
      <w:r>
        <w:rPr>
          <w:rFonts w:ascii="宋体" w:hAnsi="宋体" w:cs="宋体" w:eastAsia="宋体" w:hint="default"/>
        </w:rPr>
        <w:t>3000</w:t>
      </w:r>
      <w:r>
        <w:rPr/>
        <w:t>万元，银行承兑汇票</w:t>
      </w:r>
      <w:r>
        <w:rPr>
          <w:rFonts w:ascii="宋体" w:hAnsi="宋体" w:cs="宋体" w:eastAsia="宋体" w:hint="default"/>
        </w:rPr>
        <w:t>2000</w:t>
      </w:r>
      <w:r>
        <w:rPr/>
        <w:t>万</w:t>
      </w:r>
      <w:r>
        <w:rPr>
          <w:spacing w:val="-106"/>
        </w:rPr>
        <w:t> </w:t>
      </w:r>
      <w:r>
        <w:rPr/>
        <w:t>元，本公司为该笔综合授信提供</w:t>
      </w:r>
      <w:r>
        <w:rPr>
          <w:rFonts w:ascii="宋体" w:hAnsi="宋体" w:cs="宋体" w:eastAsia="宋体" w:hint="default"/>
        </w:rPr>
        <w:t>5000</w:t>
      </w:r>
      <w:r>
        <w:rPr/>
        <w:t>万元连带责任担保。</w:t>
      </w:r>
    </w:p>
    <w:p>
      <w:pPr>
        <w:pStyle w:val="BodyText"/>
        <w:spacing w:line="357" w:lineRule="auto"/>
        <w:ind w:right="149" w:firstLine="480"/>
        <w:jc w:val="both"/>
      </w:pPr>
      <w:r>
        <w:rPr>
          <w:spacing w:val="3"/>
        </w:rPr>
        <w:t>本公司的控股子公司北京汉王智通科技有限公司在民生银行取得最高额授信</w:t>
      </w:r>
      <w:r>
        <w:rPr>
          <w:rFonts w:ascii="宋体" w:hAnsi="宋体" w:cs="宋体" w:eastAsia="宋体" w:hint="default"/>
          <w:spacing w:val="3"/>
        </w:rPr>
        <w:t>1</w:t>
      </w:r>
      <w:r>
        <w:rPr>
          <w:spacing w:val="3"/>
        </w:rPr>
        <w:t>亿元人民</w:t>
      </w:r>
      <w:r>
        <w:rPr/>
        <w:t> 币，本公司为该笔授信提供</w:t>
      </w:r>
      <w:r>
        <w:rPr>
          <w:rFonts w:ascii="宋体" w:hAnsi="宋体" w:cs="宋体" w:eastAsia="宋体" w:hint="default"/>
        </w:rPr>
        <w:t>1</w:t>
      </w:r>
      <w:r>
        <w:rPr/>
        <w:t>亿元担保。</w:t>
      </w:r>
    </w:p>
    <w:p>
      <w:pPr>
        <w:pStyle w:val="BodyText"/>
        <w:spacing w:line="357" w:lineRule="auto"/>
        <w:ind w:left="154" w:right="160" w:firstLine="480"/>
        <w:jc w:val="both"/>
      </w:pPr>
      <w:r>
        <w:rPr/>
        <w:t>本公司的控股子公司北京汉王智通科技有限公司在招商银行股份有限公司北京大运村支 行取得大额授信</w:t>
      </w:r>
      <w:r>
        <w:rPr>
          <w:rFonts w:ascii="宋体" w:hAnsi="宋体" w:cs="宋体" w:eastAsia="宋体" w:hint="default"/>
        </w:rPr>
        <w:t>2000</w:t>
      </w:r>
      <w:r>
        <w:rPr/>
        <w:t>万元，张开春及本公司为该笔授信提供</w:t>
      </w:r>
      <w:r>
        <w:rPr>
          <w:rFonts w:ascii="宋体" w:hAnsi="宋体" w:cs="宋体" w:eastAsia="宋体" w:hint="default"/>
        </w:rPr>
        <w:t>2000</w:t>
      </w:r>
      <w:r>
        <w:rPr/>
        <w:t>万元联合担保。</w:t>
      </w:r>
    </w:p>
    <w:p>
      <w:pPr>
        <w:pStyle w:val="BodyText"/>
        <w:spacing w:line="357" w:lineRule="auto"/>
        <w:ind w:right="159" w:firstLine="480"/>
        <w:jc w:val="both"/>
      </w:pPr>
      <w:r>
        <w:rPr/>
        <w:t>本公司的控股子公司北京汉王智通科技有限公司与远东国际租赁有限公司签署售后租回 协议，租赁金额</w:t>
      </w:r>
      <w:r>
        <w:rPr>
          <w:rFonts w:ascii="宋体" w:hAnsi="宋体" w:cs="宋体" w:eastAsia="宋体" w:hint="default"/>
        </w:rPr>
        <w:t>3000</w:t>
      </w:r>
      <w:r>
        <w:rPr/>
        <w:t>万元，本公司为该笔交易提供</w:t>
      </w:r>
      <w:r>
        <w:rPr>
          <w:rFonts w:ascii="宋体" w:hAnsi="宋体" w:cs="宋体" w:eastAsia="宋体" w:hint="default"/>
        </w:rPr>
        <w:t>3000</w:t>
      </w:r>
      <w:r>
        <w:rPr/>
        <w:t>万元担保。</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十四、资产负债表日后事项" w:id="292"/>
      <w:bookmarkEnd w:id="292"/>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利润分配情况" w:id="293"/>
      <w:bookmarkEnd w:id="29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19,015,745.50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19,015,745.50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母公司财务报表主要项目注释" w:id="294"/>
      <w:bookmarkEnd w:id="294"/>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 w:id="295"/>
      <w:bookmarkEnd w:id="29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270,593,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369.40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25,542,5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245,050,7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176,606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,878.68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14,875,03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161,731,84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3.78</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270,593,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369.40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25,542,5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77.10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245,050,7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92.30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176,606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,878.68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14,875,03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161,731,84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3.78</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190,626,596.88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9,531,329.85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51,148,397.50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5,114,839.75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21,639,094.91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6,491,728.47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5,141,150.18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2,570,575.09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1,020,129.93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816,103.94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270,593,369.40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25,542,577.10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9.44%</w:t>
            </w:r>
          </w:p>
        </w:tc>
      </w:tr>
    </w:tbl>
    <w:p>
      <w:pPr>
        <w:spacing w:line="357"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38"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本期计提、收回或转回的坏账准备情况"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10,667,542.20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按欠款方归集的期末余额前五吊的应收账款情况"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357" w:lineRule="auto" w:before="0"/>
        <w:ind w:right="150" w:firstLine="480"/>
        <w:jc w:val="both"/>
      </w:pPr>
      <w:r>
        <w:rPr>
          <w:spacing w:val="-2"/>
        </w:rPr>
        <w:t>本公司本年按欠款方归集的年末余额前五名应收账款汇总金额为</w:t>
      </w:r>
      <w:r>
        <w:rPr>
          <w:rFonts w:ascii="宋体" w:hAnsi="宋体" w:cs="宋体" w:eastAsia="宋体" w:hint="default"/>
          <w:spacing w:val="-2"/>
        </w:rPr>
        <w:t>45,433,214.53</w:t>
      </w:r>
      <w:r>
        <w:rPr>
          <w:spacing w:val="-2"/>
        </w:rPr>
        <w:t>元，占应</w:t>
      </w:r>
      <w:r>
        <w:rPr/>
        <w:t> </w:t>
      </w:r>
      <w:r>
        <w:rPr>
          <w:spacing w:val="21"/>
        </w:rPr>
        <w:t>收账款年</w:t>
      </w:r>
      <w:r>
        <w:rPr>
          <w:spacing w:val="-88"/>
        </w:rPr>
        <w:t> </w:t>
      </w:r>
      <w:r>
        <w:rPr>
          <w:spacing w:val="21"/>
        </w:rPr>
        <w:t>末余额合</w:t>
      </w:r>
      <w:r>
        <w:rPr>
          <w:spacing w:val="-88"/>
        </w:rPr>
        <w:t> </w:t>
      </w:r>
      <w:r>
        <w:rPr>
          <w:spacing w:val="21"/>
        </w:rPr>
        <w:t>计数的比</w:t>
      </w:r>
      <w:r>
        <w:rPr>
          <w:spacing w:val="-88"/>
        </w:rPr>
        <w:t> </w:t>
      </w:r>
      <w:r>
        <w:rPr>
          <w:spacing w:val="14"/>
        </w:rPr>
        <w:t>例为</w:t>
      </w:r>
      <w:r>
        <w:rPr>
          <w:spacing w:val="-85"/>
        </w:rPr>
        <w:t> </w:t>
      </w:r>
      <w:r>
        <w:rPr>
          <w:rFonts w:ascii="宋体" w:hAnsi="宋体" w:cs="宋体" w:eastAsia="宋体" w:hint="default"/>
        </w:rPr>
        <w:t>16.79%</w:t>
      </w:r>
      <w:r>
        <w:rPr>
          <w:rFonts w:ascii="宋体" w:hAnsi="宋体" w:cs="宋体" w:eastAsia="宋体" w:hint="default"/>
          <w:spacing w:val="-88"/>
        </w:rPr>
        <w:t> </w:t>
      </w:r>
      <w:r>
        <w:rPr/>
        <w:t>，</w:t>
      </w:r>
      <w:r>
        <w:rPr>
          <w:spacing w:val="-90"/>
        </w:rPr>
        <w:t> </w:t>
      </w:r>
      <w:r>
        <w:rPr>
          <w:spacing w:val="14"/>
        </w:rPr>
        <w:t>相应</w:t>
      </w:r>
      <w:r>
        <w:rPr>
          <w:spacing w:val="-88"/>
        </w:rPr>
        <w:t> </w:t>
      </w:r>
      <w:r>
        <w:rPr>
          <w:spacing w:val="21"/>
        </w:rPr>
        <w:t>计提的坏</w:t>
      </w:r>
      <w:r>
        <w:rPr>
          <w:spacing w:val="-88"/>
        </w:rPr>
        <w:t> </w:t>
      </w:r>
      <w:r>
        <w:rPr>
          <w:spacing w:val="21"/>
        </w:rPr>
        <w:t>账准备年</w:t>
      </w:r>
      <w:r>
        <w:rPr>
          <w:spacing w:val="-88"/>
        </w:rPr>
        <w:t> </w:t>
      </w:r>
      <w:r>
        <w:rPr>
          <w:spacing w:val="21"/>
        </w:rPr>
        <w:t>末余额汇</w:t>
      </w:r>
      <w:r>
        <w:rPr>
          <w:spacing w:val="-88"/>
        </w:rPr>
        <w:t> </w:t>
      </w:r>
      <w:r>
        <w:rPr>
          <w:spacing w:val="21"/>
        </w:rPr>
        <w:t>总金额为</w:t>
      </w:r>
      <w:r>
        <w:rPr>
          <w:spacing w:val="-118"/>
        </w:rPr>
        <w:t> </w:t>
      </w:r>
      <w:r>
        <w:rPr>
          <w:spacing w:val="-118"/>
        </w:rPr>
      </w:r>
      <w:r>
        <w:rPr>
          <w:rFonts w:ascii="宋体" w:hAnsi="宋体" w:cs="宋体" w:eastAsia="宋体" w:hint="default"/>
        </w:rPr>
        <w:t>4,820,874.81</w:t>
      </w:r>
      <w:r>
        <w:rPr/>
        <w:t>元。</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其他应收款" w:id="299"/>
      <w:bookmarkEnd w:id="29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78,943,3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78,943,39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56,280,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172.14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56,280,172.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78,943,3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93.92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78,943,39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56,280,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172.14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56,280,172.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line="340" w:lineRule="auto" w:before="42"/>
        <w:ind w:left="153" w:right="5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38" w:lineRule="auto" w:before="40"/>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1"/>
        <w:ind w:left="633" w:right="0"/>
        <w:jc w:val="left"/>
      </w:pPr>
      <w:r>
        <w:rPr/>
        <w:t>组合中，采用其他方法计提坏账准备的应收账款</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801"/>
        <w:gridCol w:w="2694"/>
        <w:gridCol w:w="1845"/>
        <w:gridCol w:w="1682"/>
      </w:tblGrid>
      <w:tr>
        <w:trPr>
          <w:trHeight w:val="355" w:hRule="exact"/>
        </w:trPr>
        <w:tc>
          <w:tcPr>
            <w:tcW w:w="2801"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222" w:type="dxa"/>
            <w:gridSpan w:val="3"/>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2" w:hRule="exact"/>
        </w:trPr>
        <w:tc>
          <w:tcPr>
            <w:tcW w:w="2801" w:type="dxa"/>
            <w:vMerge/>
            <w:tcBorders>
              <w:left w:val="single" w:sz="6" w:space="0" w:color="000000"/>
              <w:bottom w:val="single" w:sz="12" w:space="0" w:color="000000"/>
              <w:right w:val="single" w:sz="6" w:space="0" w:color="000000"/>
            </w:tcBorders>
          </w:tcPr>
          <w:p>
            <w:pP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4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53"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37,111,096.06</w:t>
            </w:r>
          </w:p>
        </w:tc>
        <w:tc>
          <w:tcPr>
            <w:tcW w:w="1845" w:type="dxa"/>
            <w:tcBorders>
              <w:top w:val="single" w:sz="12" w:space="0" w:color="000000"/>
              <w:left w:val="single" w:sz="6" w:space="0" w:color="000000"/>
              <w:bottom w:val="single" w:sz="12" w:space="0" w:color="000000"/>
              <w:right w:val="single" w:sz="6" w:space="0" w:color="000000"/>
            </w:tcBorders>
          </w:tcPr>
          <w:p>
            <w:pPr/>
          </w:p>
        </w:tc>
        <w:tc>
          <w:tcPr>
            <w:tcW w:w="16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备用金、押金及保证金组合</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41,832,297.86</w:t>
            </w:r>
          </w:p>
        </w:tc>
        <w:tc>
          <w:tcPr>
            <w:tcW w:w="1845" w:type="dxa"/>
            <w:tcBorders>
              <w:top w:val="single" w:sz="12" w:space="0" w:color="000000"/>
              <w:left w:val="single" w:sz="6" w:space="0" w:color="000000"/>
              <w:bottom w:val="single" w:sz="12" w:space="0" w:color="000000"/>
              <w:right w:val="single" w:sz="6" w:space="0" w:color="000000"/>
            </w:tcBorders>
          </w:tcPr>
          <w:p>
            <w:pPr/>
          </w:p>
        </w:tc>
        <w:tc>
          <w:tcPr>
            <w:tcW w:w="16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0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78,943,393.92</w:t>
            </w:r>
          </w:p>
        </w:tc>
        <w:tc>
          <w:tcPr>
            <w:tcW w:w="1845" w:type="dxa"/>
            <w:tcBorders>
              <w:top w:val="single" w:sz="12" w:space="0" w:color="000000"/>
              <w:left w:val="single" w:sz="6" w:space="0" w:color="000000"/>
              <w:bottom w:val="single" w:sz="12" w:space="0" w:color="000000"/>
              <w:right w:val="single" w:sz="6" w:space="0" w:color="000000"/>
            </w:tcBorders>
          </w:tcPr>
          <w:p>
            <w:pPr/>
          </w:p>
        </w:tc>
        <w:tc>
          <w:tcPr>
            <w:tcW w:w="1682"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其他应收款按款项性质分类情况"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37,111,096.06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15,398,388.32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31,052,559.73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27,505,745.69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8,445,926.63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13,376,038.13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2,333,811.50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78,943,393.92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56,280,172.14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按欠款方归集的期末余额前五吊的其他应收款情况"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北京汉王智通科技有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37,111,096.06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8,445,926.63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鄂尔多斯市东胜区信 息化委员会</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3,929,750.00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应收股权激励行权款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2,333,811.50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洛阳市城市监察管理 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2,191,927.00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54,012,511.19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涉及政府补助的应收款项"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8,445,926.63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截至本财务报告报出已 全部收到。</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8,445,926.63</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长期股权投资" w:id="304"/>
      <w:bookmarkEnd w:id="3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对子公司投资"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北京汉王智通科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上海政通信息科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武汉智慧政通科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北京数字政通信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克拉玛依数字政 通信息科技有限 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安徽数字政通科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营业收入和营业成本" w:id="306"/>
      <w:bookmarkEnd w:id="30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366,420,347.08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197,682,793.22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292,693,340.40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154,519,508.19</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169,416.28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366,589,763.36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197,682,793.22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292,693,340.40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154,519,508.19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六、补充资料" w:id="307"/>
      <w:bookmarkEnd w:id="307"/>
      <w:r>
        <w:rPr>
          <w:b w:val="0"/>
          <w:bCs w:val="0"/>
        </w:rPr>
      </w:r>
      <w:r>
        <w:rPr/>
        <w:t>十六、补充资料</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当期非经常性损益明细表" w:id="308"/>
      <w:bookmarkEnd w:id="3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84,801.26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1,291,367.64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不包含增值税退税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136,667.88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2,817.04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1,236,583.98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净资产收益率及每股收益" w:id="309"/>
      <w:bookmarkEnd w:id="3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3、境内外会计准则下会计数据差异" w:id="310"/>
      <w:bookmarkEnd w:id="3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会计政策变更相关补充资料" w:id="313"/>
      <w:bookmarkEnd w:id="31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666,714,686.65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689,294,474.03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547,524,539.13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153,805,820.12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206,278,465.62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364,451,160.39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3,901,315.97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8,237,868.25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36,739,890.15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48,910,706.03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58,480,330.14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51,379,637.45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41,089,024.60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46,745,287.17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3,236,105.13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68,426,481.29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911,000,934.37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993,010,091.38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1,099,145,666.37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32,961,018.24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72,400,585.59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44,565,921.76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84,627,100.13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83,709,393.59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28,395,592.47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1,891,807.89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101,502,987.73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82,817,254.45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84,863,102.28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11,157,706.50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31,452,691.76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34,538,330.81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27,283,004.88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27,283,004.88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27,283,004.88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232,500.00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4,778,279.00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5,469,596.79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9,735,211.27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217,683,492.34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266,502,474.14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312,762,128.42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1,128,684,426.71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1,259,512,565.52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1,411,907,794.79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84,394,955.10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125,139,030.75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1,378,080.00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6,819,724.28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41,400,062.05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35,098,627.31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53,481,183.89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5,179,440.79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9,797,965.04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8,093,084.72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5,601,541.27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3,498,562.30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7,681,729.53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11,077,440.46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20,624,756.49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17,010,867.09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62,528,907.72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28,231,946.08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5,498,199.30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125,787,392.29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183,024,892.32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223,723,819.56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19,111,959.12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2,365,900.00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1,469,500.00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2,847,622.49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20,059,072.05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12,684,731.02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11,281,723.83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22,765,972.05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16,184,231.02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37,051,305.44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148,553,364.34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199,209,123.34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260,775,125.00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190,142,800.00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697,228,339.68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658,684,369.68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603,922,238.72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21,677,599.48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31,203,862.26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41,233,227.07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154,117,839.58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221,827,556.50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305,655,963.73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957,023,778.74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1,037,715,788.44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1,140,954,229.52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23,107,283.63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22,587,653.74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10,178,440.27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980,131,062.37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1,060,303,442.18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1,151,132,669.79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1,128,684,426.71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1,259,512,565.52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1,411,907,794.79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509"/>
        <w:jc w:val="center"/>
        <w:rPr>
          <w:b w:val="0"/>
          <w:bCs w:val="0"/>
        </w:rPr>
      </w:pPr>
      <w:bookmarkStart w:name="第十节 备查文件目录" w:id="314"/>
      <w:bookmarkEnd w:id="314"/>
      <w:r>
        <w:rPr>
          <w:b w:val="0"/>
          <w:bCs w:val="0"/>
        </w:rPr>
      </w:r>
      <w:bookmarkStart w:name="_bookmark9" w:id="315"/>
      <w:bookmarkEnd w:id="315"/>
      <w:r>
        <w:rPr>
          <w:b w:val="0"/>
          <w:bCs w:val="0"/>
        </w:rPr>
      </w:r>
      <w:r>
        <w:rPr/>
        <w:t>第十节</w:t>
      </w:r>
      <w:r>
        <w:rPr>
          <w:spacing w:val="-7"/>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BodyText"/>
        <w:spacing w:line="357" w:lineRule="auto" w:before="0"/>
        <w:ind w:right="95" w:firstLine="482"/>
        <w:jc w:val="left"/>
      </w:pPr>
      <w:r>
        <w:rPr>
          <w:spacing w:val="-3"/>
        </w:rPr>
        <w:t>一、载有公司法定代表人、主管会计工作负责人、公司会计机构负责人（会计主管人员）</w:t>
      </w:r>
      <w:r>
        <w:rPr/>
        <w:t> 签名并盖章的财务报表。</w:t>
      </w:r>
    </w:p>
    <w:p>
      <w:pPr>
        <w:pStyle w:val="BodyText"/>
        <w:spacing w:line="357" w:lineRule="auto"/>
        <w:ind w:left="636" w:right="95"/>
        <w:jc w:val="left"/>
      </w:pPr>
      <w:r>
        <w:rPr/>
        <w:t>二、载有会计师事务所盖章、注册会计师签名并盖章的审计报告原件。 </w:t>
      </w:r>
      <w:r>
        <w:rPr>
          <w:spacing w:val="-3"/>
        </w:rPr>
        <w:t>三、报告期内在中国证监会指定网站上公开披露过的所有公司文件的正本及公告的原稿。</w:t>
      </w:r>
      <w:r>
        <w:rPr>
          <w:spacing w:val="-87"/>
        </w:rPr>
        <w:t> </w:t>
      </w:r>
      <w:r>
        <w:rPr>
          <w:spacing w:val="-87"/>
        </w:rPr>
      </w:r>
      <w:r>
        <w:rPr/>
        <w:t>四、经公司法定代表人签名的</w:t>
      </w:r>
      <w:r>
        <w:rPr>
          <w:rFonts w:ascii="宋体" w:hAnsi="宋体" w:cs="宋体" w:eastAsia="宋体" w:hint="default"/>
        </w:rPr>
        <w:t>2014</w:t>
      </w:r>
      <w:r>
        <w:rPr/>
        <w:t>年度报告文件原件。</w:t>
      </w:r>
    </w:p>
    <w:p>
      <w:pPr>
        <w:pStyle w:val="BodyText"/>
        <w:spacing w:line="357" w:lineRule="auto"/>
        <w:ind w:left="636" w:right="3370"/>
        <w:jc w:val="left"/>
      </w:pPr>
      <w:r>
        <w:rPr/>
        <w:t>五、其他相关资料。 六、以上备查文件的备置地点：公司董事会秘书办公室。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715" w:lineRule="auto" w:before="0"/>
        <w:ind w:left="6754" w:right="214" w:hanging="322"/>
        <w:jc w:val="left"/>
      </w:pPr>
      <w:r>
        <w:rPr/>
        <w:t>北京数字政通科技股份有限公司 法定代表人</w:t>
      </w:r>
      <w:r>
        <w:rPr>
          <w:rFonts w:ascii="宋体" w:hAnsi="宋体" w:cs="宋体" w:eastAsia="宋体" w:hint="default"/>
        </w:rPr>
        <w:t>:</w:t>
      </w:r>
      <w:r>
        <w:rPr/>
        <w:t>吴强华</w:t>
      </w:r>
    </w:p>
    <w:p>
      <w:pPr>
        <w:pStyle w:val="BodyText"/>
        <w:spacing w:line="240" w:lineRule="auto" w:before="147"/>
        <w:ind w:left="0" w:right="1349"/>
        <w:jc w:val="righ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20</w:t>
      </w:r>
      <w:r>
        <w:rPr/>
        <w:t>日</w:t>
      </w:r>
    </w:p>
    <w:sectPr>
      <w:pgSz w:w="11910" w:h="16840"/>
      <w:pgMar w:header="747" w:footer="979" w:top="1060" w:bottom="116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744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44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74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744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744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744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北京数字政通科技股份有限公司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3"/>
    </w:pPr>
    <w:rPr>
      <w:rFonts w:ascii="宋体" w:hAnsi="宋体" w:eastAsia="宋体"/>
      <w:b/>
      <w:bCs/>
      <w:sz w:val="24"/>
      <w:szCs w:val="24"/>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spacing w:before="1"/>
      <w:ind w:left="343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egova.com.cn/" TargetMode="External"/><Relationship Id="rId10" Type="http://schemas.openxmlformats.org/officeDocument/2006/relationships/hyperlink" Target="mailto:egova@egova.com.cn"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2020-05-06T18:41:03Z</dcterms:created>
  <dcterms:modified xsi:type="dcterms:W3CDTF">2020-05-06T18:41:03Z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Microsoft® Office Word 2007</vt:lpwstr>
  </property>
  <property fmtid="{D5CDD505-2E9C-101B-9397-08002B2CF9AE}" pid="4" name="LastSaved">
    <vt:filetime>2020-05-06T00:00:00Z</vt:filetime>
  </property>
</Properties>
</file>