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3405" w:lineRule="exact"/>
        <w:ind w:left="73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drawing>
          <wp:inline distT="0" distB="0" distL="0" distR="0">
            <wp:extent cx="5380990" cy="21621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380990" cy="2162175"/>
                    </a:xfrm>
                    <a:prstGeom prst="rect">
                      <a:avLst/>
                    </a:prstGeom>
                  </pic:spPr>
                </pic:pic>
              </a:graphicData>
            </a:graphic>
          </wp:inline>
        </w:drawing>
      </w:r>
      <w:r>
        <w:rPr>
          <w:rFonts w:ascii="Times New Roman" w:hAnsi="Times New Roman" w:cs="Times New Roman" w:eastAsia="Times New Roman" w:hint="default"/>
          <w:position w:val="-67"/>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北京数字政通科技股份有限公司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421" w:right="2421" w:firstLine="0"/>
        <w:jc w:val="center"/>
        <w:rPr>
          <w:rFonts w:ascii="Times New Roman" w:hAnsi="Times New Roman" w:cs="Times New Roman" w:eastAsia="Times New Roman" w:hint="default"/>
          <w:sz w:val="22"/>
          <w:szCs w:val="22"/>
        </w:rPr>
      </w:pPr>
      <w:r>
        <w:rPr>
          <w:rFonts w:ascii="Times New Roman"/>
          <w:b/>
          <w:sz w:val="22"/>
        </w:rPr>
        <w:t>2016-029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3"/>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公司负责人吴强华、主管会计工作负责人殷小敏及会计机构负责人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向华声明：保证年度报告中财务报告的真实、准确、完整。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本年度报告涉及的未来计划、发展战略等前瞻性描述不构成公司对投资者</w:t>
      </w:r>
      <w:r>
        <w:rPr>
          <w:rFonts w:ascii="宋体" w:hAnsi="宋体" w:cs="宋体" w:eastAsia="宋体" w:hint="default"/>
          <w:spacing w:val="2"/>
          <w:sz w:val="28"/>
          <w:szCs w:val="28"/>
        </w:rPr>
      </w:r>
    </w:p>
    <w:p>
      <w:pPr>
        <w:spacing w:line="352" w:lineRule="exact" w:before="0"/>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的实质承诺，敬请投资者注意风险。</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398" w:lineRule="auto" w:before="0"/>
        <w:ind w:left="152" w:right="150" w:firstLine="562"/>
        <w:jc w:val="both"/>
        <w:rPr>
          <w:rFonts w:ascii="宋体" w:hAnsi="宋体" w:cs="宋体" w:eastAsia="宋体" w:hint="default"/>
          <w:sz w:val="28"/>
          <w:szCs w:val="28"/>
        </w:rPr>
      </w:pPr>
      <w:r>
        <w:rPr>
          <w:rFonts w:ascii="宋体" w:hAnsi="宋体" w:cs="宋体" w:eastAsia="宋体" w:hint="default"/>
          <w:b/>
          <w:bCs/>
          <w:sz w:val="28"/>
          <w:szCs w:val="28"/>
        </w:rPr>
        <w:t>公司在本报告第四节</w:t>
      </w:r>
      <w:r>
        <w:rPr>
          <w:rFonts w:ascii="Times New Roman" w:hAnsi="Times New Roman" w:cs="Times New Roman" w:eastAsia="Times New Roman" w:hint="default"/>
          <w:b/>
          <w:bCs/>
          <w:sz w:val="28"/>
          <w:szCs w:val="28"/>
        </w:rPr>
        <w:t>“ </w:t>
      </w:r>
      <w:r>
        <w:rPr>
          <w:rFonts w:ascii="宋体" w:hAnsi="宋体" w:cs="宋体" w:eastAsia="宋体" w:hint="default"/>
          <w:b/>
          <w:bCs/>
          <w:sz w:val="28"/>
          <w:szCs w:val="28"/>
        </w:rPr>
        <w:t>管理层分析与讨论</w:t>
      </w:r>
      <w:r>
        <w:rPr>
          <w:rFonts w:ascii="Times New Roman" w:hAnsi="Times New Roman" w:cs="Times New Roman" w:eastAsia="Times New Roman" w:hint="default"/>
          <w:b/>
          <w:bCs/>
          <w:sz w:val="28"/>
          <w:szCs w:val="28"/>
        </w:rPr>
        <w:t>” </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sz w:val="28"/>
          <w:szCs w:val="28"/>
        </w:rPr>
        <w:t>九、公司未来发展的展望</w:t>
      </w:r>
      <w:r>
        <w:rPr>
          <w:rFonts w:ascii="Times New Roman" w:hAnsi="Times New Roman" w:cs="Times New Roman" w:eastAsia="Times New Roman" w:hint="default"/>
          <w:b/>
          <w:bCs/>
          <w:spacing w:val="-5"/>
          <w:sz w:val="28"/>
          <w:szCs w:val="28"/>
        </w:rPr>
        <w:t>”</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2"/>
          <w:sz w:val="28"/>
          <w:szCs w:val="28"/>
        </w:rPr>
        <w:t>部分，详细描述了公司经营中可能存在的风险及应对措施，敬请投资者关注相</w:t>
      </w:r>
      <w:r>
        <w:rPr>
          <w:rFonts w:ascii="宋体" w:hAnsi="宋体" w:cs="宋体" w:eastAsia="宋体" w:hint="default"/>
          <w:b/>
          <w:bCs/>
          <w:w w:val="99"/>
          <w:sz w:val="28"/>
          <w:szCs w:val="28"/>
        </w:rPr>
        <w:t> </w:t>
      </w:r>
      <w:r>
        <w:rPr>
          <w:rFonts w:ascii="宋体" w:hAnsi="宋体" w:cs="宋体" w:eastAsia="宋体" w:hint="default"/>
          <w:b/>
          <w:bCs/>
          <w:sz w:val="28"/>
          <w:szCs w:val="28"/>
        </w:rPr>
        <w:t>关内容。</w:t>
      </w:r>
      <w:r>
        <w:rPr>
          <w:rFonts w:ascii="宋体" w:hAnsi="宋体" w:cs="宋体" w:eastAsia="宋体" w:hint="default"/>
          <w:sz w:val="28"/>
          <w:szCs w:val="28"/>
        </w:rPr>
      </w:r>
    </w:p>
    <w:p>
      <w:pPr>
        <w:spacing w:before="17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382,633,710</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0.4</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7"/>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8"/>
              </w:rPr>
              <w:t> </w:t>
            </w:r>
            <w:r>
              <w:rPr/>
              <w:t>管理层讨论与分析</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8"/>
              </w:rPr>
              <w:t> </w:t>
            </w:r>
            <w:r>
              <w:rPr/>
              <w:t>重要事项</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8"/>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8"/>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8"/>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8"/>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8"/>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8"/>
              </w:rPr>
              <w:t> </w:t>
            </w:r>
            <w:r>
              <w:rPr/>
              <w:t>备查文件目录</w:t>
            </w:r>
            <w:r>
              <w:rPr>
                <w:rFonts w:ascii="Times New Roman" w:hAnsi="Times New Roman" w:cs="Times New Roman" w:eastAsia="Times New Roman" w:hint="default"/>
              </w:rPr>
              <w:tab/>
              <w:t>162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公司、本公司、数字政通、发行人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北京数字政通科技股份有限公司监事会</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数字智通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北京数字智通科技有限公司（原北京汉王智通科技有限公司）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北京数字政通智能泊车技术有限公司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上海政通信息科技有限公司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武汉智慧政通科技有限公司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安徽数字政通科技有限责任公司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克拉玛依子公司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克拉玛依数字政通信息科技有限责任公司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小爱科技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重庆小爱科技有限公司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金迪管线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保定金迪地下管线探测工程有限公司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金迪科仪</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保定金迪科学仪器有限公司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金迪科技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保定市金迪科技开发有限公司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数聚联盟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北京数聚联盟科技有限公司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政通智慧城市运营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政通智慧城市运营科技有限公司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天健源达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北京天健源达科技有限公司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53"/>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pict>
          <v:group style="position:absolute;margin-left:172.339996pt;margin-top:114.705597pt;width:361.55pt;height:19.7pt;mso-position-horizontal-relative:page;mso-position-vertical-relative:paragraph;z-index:-815512"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300075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数字政通</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5"/>
                <w:sz w:val="18"/>
              </w:rPr>
              <w:t>eGOVA </w:t>
            </w:r>
            <w:r>
              <w:rPr>
                <w:rFonts w:ascii="Times New Roman"/>
                <w:sz w:val="18"/>
              </w:rPr>
              <w:t>Co,.</w:t>
            </w:r>
            <w:r>
              <w:rPr>
                <w:rFonts w:ascii="Times New Roman"/>
                <w:spacing w:val="-11"/>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5"/>
                <w:sz w:val="18"/>
              </w:rPr>
              <w:t>eGOVA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吴强华</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号枫蓝国际中心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100082</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北京市海淀区中关村软件园 </w:t>
            </w:r>
            <w:r>
              <w:rPr>
                <w:rFonts w:ascii="Times New Roman" w:hAnsi="Times New Roman" w:cs="Times New Roman" w:eastAsia="Times New Roman" w:hint="default"/>
                <w:sz w:val="18"/>
                <w:szCs w:val="18"/>
              </w:rPr>
              <w:t>9 </w:t>
            </w:r>
            <w:r>
              <w:rPr>
                <w:rFonts w:ascii="宋体" w:hAnsi="宋体" w:cs="宋体" w:eastAsia="宋体" w:hint="default"/>
                <w:sz w:val="18"/>
                <w:szCs w:val="18"/>
              </w:rPr>
              <w:t>号楼国际软件大厦三区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www.egova.com.cn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许菲</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北京市海淀区中关村软件园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号楼国</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际软件大厦三区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北京市海淀区中关村软件园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际软件大厦三区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010-51611618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010-51611618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010-51611688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010-51611688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苗策、薛东升</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651,135,338.98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546,086,754.32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406,357,113.32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121,333,706.22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119,057,772.04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94,035,979.70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105,961,676.16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117,821,188.06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103,962,676.95</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124,505,203.13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-59,276,710.47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13,570,193.04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1,860,828,293.33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1,411,907,794.79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1,259,512,565.52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1,255,393,113.08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1,140,954,229.52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1,037,715,788.44</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54,741,699.06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131,451,408.78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116,162,859.84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348,779,371.30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6,307,086.01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29,162,625.58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6,855,221.83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79,008,772.80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6,190,446.01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29,382,591.03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6,587,973.68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63,800,665.44</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-21,489,713.17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-16,580,789.45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7,100,738.24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155,474,967.51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1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-374,810.85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84,801.26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79,897.19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18,636,807.12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1,291,367.64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2,468,928.00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-23,271,695.10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2,784,357.91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136,667.88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-5,564,541.26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105,603.32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2,817.04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-5,231,631.40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15,372,030.06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1,236,583.98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-9,926,697.25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10"/>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6"/>
        <w:jc w:val="left"/>
        <w:rPr>
          <w:b w:val="0"/>
          <w:bCs w:val="0"/>
        </w:rPr>
      </w:pPr>
      <w:r>
        <w:rPr/>
        <w:t>一、报告期内公司从事的主要业务</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left="633" w:right="96"/>
        <w:jc w:val="left"/>
      </w:pPr>
      <w:r>
        <w:rPr/>
        <w:t>（一）公司的主要业务及产品介绍 数字政通的主营业务是专业智慧城市应用软件的开发和销售，并提供技术支持和后续服</w:t>
      </w:r>
    </w:p>
    <w:p>
      <w:pPr>
        <w:pStyle w:val="BodyText"/>
        <w:spacing w:line="357" w:lineRule="auto"/>
        <w:ind w:right="96"/>
        <w:jc w:val="left"/>
      </w:pPr>
      <w:r>
        <w:rPr/>
        <w:t>务，是国内知名度较高、市场份额领先的智慧城市应用软件开发商和全面解决方案提供商之</w:t>
      </w:r>
      <w:r>
        <w:rPr>
          <w:spacing w:val="-91"/>
        </w:rPr>
        <w:t> </w:t>
      </w:r>
      <w:r>
        <w:rPr>
          <w:spacing w:val="-91"/>
        </w:rPr>
      </w:r>
      <w:r>
        <w:rPr/>
        <w:t>一。</w:t>
      </w:r>
    </w:p>
    <w:p>
      <w:pPr>
        <w:pStyle w:val="BodyText"/>
        <w:spacing w:line="357" w:lineRule="auto"/>
        <w:ind w:right="96" w:firstLine="480"/>
        <w:jc w:val="left"/>
      </w:pPr>
      <w:r>
        <w:rPr/>
        <w:t>数字政通采用统一的时空信息管理技术，将二维地图、三维模型、三维实景、视频等各 类基础信息与城市部件、实有人口、法人、房屋等行业管理信息整合到一个时空体系中，在</w:t>
      </w:r>
      <w:r>
        <w:rPr>
          <w:spacing w:val="-89"/>
        </w:rPr>
        <w:t> </w:t>
      </w:r>
      <w:r>
        <w:rPr>
          <w:spacing w:val="-89"/>
        </w:rPr>
      </w:r>
      <w:r>
        <w:rPr>
          <w:spacing w:val="-3"/>
        </w:rPr>
        <w:t>全时空体系中还原各类信息在空间、时间、权属等多个维度的关联关系，从而，为数字城管、</w:t>
      </w:r>
      <w:r>
        <w:rPr>
          <w:spacing w:val="-81"/>
        </w:rPr>
        <w:t> </w:t>
      </w:r>
      <w:r>
        <w:rPr>
          <w:spacing w:val="-81"/>
        </w:rPr>
      </w:r>
      <w:r>
        <w:rPr/>
        <w:t>智慧社区、智能交通、智慧安防等智慧城市各类应用提供全时空、一体化的城市综合公共信</w:t>
      </w:r>
      <w:r>
        <w:rPr>
          <w:spacing w:val="-91"/>
        </w:rPr>
        <w:t> </w:t>
      </w:r>
      <w:r>
        <w:rPr>
          <w:spacing w:val="-91"/>
        </w:rPr>
      </w:r>
      <w:r>
        <w:rPr/>
        <w:t>息解决方案。</w:t>
      </w:r>
    </w:p>
    <w:p>
      <w:pPr>
        <w:pStyle w:val="BodyText"/>
        <w:spacing w:line="357" w:lineRule="auto"/>
        <w:ind w:right="231" w:firstLine="480"/>
        <w:jc w:val="both"/>
      </w:pPr>
      <w:r>
        <w:rPr>
          <w:spacing w:val="-3"/>
        </w:rPr>
        <w:t>数字政通自主知识产权的智慧城市基础平台</w:t>
      </w:r>
      <w:r>
        <w:rPr>
          <w:rFonts w:ascii="宋体" w:hAnsi="宋体" w:cs="宋体" w:eastAsia="宋体" w:hint="default"/>
          <w:spacing w:val="-3"/>
        </w:rPr>
        <w:t>-</w:t>
      </w:r>
      <w:r>
        <w:rPr>
          <w:spacing w:val="-3"/>
        </w:rPr>
        <w:t>智信平台，采用“全移动”的先进理念，实</w:t>
      </w:r>
      <w:r>
        <w:rPr/>
        <w:t> </w:t>
      </w:r>
      <w:r>
        <w:rPr>
          <w:spacing w:val="-5"/>
        </w:rPr>
        <w:t>现全平台用户的移动互联，围绕各业务全过程的各个环节，实现办公模式从传统</w:t>
      </w:r>
      <w:r>
        <w:rPr>
          <w:rFonts w:ascii="宋体" w:hAnsi="宋体" w:cs="宋体" w:eastAsia="宋体" w:hint="default"/>
          <w:spacing w:val="-5"/>
        </w:rPr>
        <w:t>PC</w:t>
      </w:r>
      <w:r>
        <w:rPr>
          <w:spacing w:val="-5"/>
        </w:rPr>
        <w:t>电脑向“全</w:t>
      </w:r>
      <w:r>
        <w:rPr>
          <w:spacing w:val="-112"/>
        </w:rPr>
        <w:t> </w:t>
      </w:r>
      <w:r>
        <w:rPr>
          <w:spacing w:val="-112"/>
        </w:rPr>
      </w:r>
      <w:r>
        <w:rPr/>
        <w:t>移动”手机终端转变，实现真正意义上的“扁平化”管理。</w:t>
      </w:r>
    </w:p>
    <w:p>
      <w:pPr>
        <w:pStyle w:val="BodyText"/>
        <w:spacing w:line="357" w:lineRule="auto"/>
        <w:ind w:right="96" w:firstLine="480"/>
        <w:jc w:val="left"/>
      </w:pPr>
      <w:r>
        <w:rPr>
          <w:spacing w:val="-3"/>
        </w:rPr>
        <w:t>数字政通研发的智云平台，在智慧城市大背景下，综合运用“互联网</w:t>
      </w:r>
      <w:r>
        <w:rPr>
          <w:rFonts w:ascii="宋体" w:hAnsi="宋体" w:cs="宋体" w:eastAsia="宋体" w:hint="default"/>
          <w:spacing w:val="-3"/>
        </w:rPr>
        <w:t>+</w:t>
      </w:r>
      <w:r>
        <w:rPr>
          <w:spacing w:val="-3"/>
        </w:rPr>
        <w:t>”先进技术和“网</w:t>
      </w:r>
      <w:r>
        <w:rPr/>
        <w:t> </w:t>
      </w:r>
      <w:r>
        <w:rPr>
          <w:spacing w:val="-3"/>
        </w:rPr>
        <w:t>格化</w:t>
      </w:r>
      <w:r>
        <w:rPr>
          <w:rFonts w:ascii="宋体" w:hAnsi="宋体" w:cs="宋体" w:eastAsia="宋体" w:hint="default"/>
          <w:spacing w:val="-3"/>
        </w:rPr>
        <w:t>+</w:t>
      </w:r>
      <w:r>
        <w:rPr>
          <w:spacing w:val="-3"/>
        </w:rPr>
        <w:t>”管理模式，研发基于云架构的智慧城市网格化综合管理平台，满足智慧城市管理用户</w:t>
      </w:r>
      <w:r>
        <w:rPr>
          <w:spacing w:val="-81"/>
        </w:rPr>
        <w:t> </w:t>
      </w:r>
      <w:r>
        <w:rPr>
          <w:spacing w:val="-81"/>
        </w:rPr>
      </w:r>
      <w:r>
        <w:rPr/>
        <w:t>量和数据量的逐年增加对系统的高并发访问请求，满足不同层级用户对系统服务模式的多样</w:t>
      </w:r>
      <w:r>
        <w:rPr>
          <w:spacing w:val="-91"/>
        </w:rPr>
        <w:t> </w:t>
      </w:r>
      <w:r>
        <w:rPr>
          <w:spacing w:val="-91"/>
        </w:rPr>
      </w:r>
      <w:r>
        <w:rPr>
          <w:spacing w:val="-2"/>
        </w:rPr>
        <w:t>化需求，避免软硬件落伍、存储不够、系统故障、安全漏洞等客观原因影响平台的快速推广、</w:t>
      </w:r>
      <w:r>
        <w:rPr/>
        <w:t> 系统的运行效率，助推网格化城市管理系统的升级换代和全国推广。</w:t>
      </w:r>
    </w:p>
    <w:p>
      <w:pPr>
        <w:pStyle w:val="BodyText"/>
        <w:spacing w:line="357" w:lineRule="auto" w:before="37"/>
        <w:ind w:right="96" w:firstLine="480"/>
        <w:jc w:val="left"/>
      </w:pPr>
      <w:r>
        <w:rPr/>
        <w:t>数字政通研发的网格化环保系统，综合运用物联网感知技术和移动物联网技术，将污染 </w:t>
      </w:r>
      <w:r>
        <w:rPr>
          <w:spacing w:val="-2"/>
        </w:rPr>
        <w:t>源分布、网格化环保监管信息纳入环保网格化管理系统，对辖区内所有排污企业、生态环境、</w:t>
      </w:r>
      <w:r>
        <w:rPr/>
        <w:t> </w:t>
      </w:r>
      <w:r>
        <w:rPr>
          <w:spacing w:val="-2"/>
        </w:rPr>
        <w:t>信访案件、污染纠纷、环境安全隐患、违法建设项目信息采集与上报；建设环保专题数据库，</w:t>
      </w:r>
      <w:r>
        <w:rPr/>
        <w:t> </w:t>
      </w:r>
      <w:r>
        <w:rPr>
          <w:spacing w:val="-2"/>
        </w:rPr>
        <w:t>形成网格化环保监管体系；对网格内所有监管单位按单位性质、规模、污染物排放种类及新、</w:t>
      </w:r>
      <w:r>
        <w:rPr/>
        <w:t> 改、扩建项目、减排工程、污染集中处置设施等进行分级分类管理。基于移动终端开展网格</w:t>
      </w:r>
      <w:r>
        <w:rPr>
          <w:spacing w:val="-91"/>
        </w:rPr>
        <w:t> </w:t>
      </w:r>
      <w:r>
        <w:rPr>
          <w:spacing w:val="-91"/>
        </w:rPr>
      </w:r>
      <w:r>
        <w:rPr>
          <w:spacing w:val="-3"/>
        </w:rPr>
        <w:t>内污染源上报、环境隐患排查，全面掌握水、气、声等环境状况，对工业企业开展环保监管，</w:t>
      </w:r>
      <w:r>
        <w:rPr>
          <w:spacing w:val="-82"/>
        </w:rPr>
        <w:t> </w:t>
      </w:r>
      <w:r>
        <w:rPr>
          <w:spacing w:val="-82"/>
        </w:rPr>
      </w:r>
      <w:r>
        <w:rPr/>
        <w:t>处理投诉举报和协助开展环境事故应急处置。</w:t>
      </w:r>
    </w:p>
    <w:p>
      <w:pPr>
        <w:pStyle w:val="BodyText"/>
        <w:spacing w:line="240" w:lineRule="auto"/>
        <w:ind w:left="633" w:right="96"/>
        <w:jc w:val="left"/>
      </w:pPr>
      <w:r>
        <w:rPr/>
        <w:t>数字政通研发了集管线数据普查、数据入库管理、数据维护更新、地下管线精细化管理</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8"/>
        <w:jc w:val="both"/>
      </w:pPr>
      <w:r>
        <w:rPr/>
        <w:t>为一体的地下管线与空间综合管理平台。通过地下管网管理平台的建设，能够建立覆盖实施</w:t>
      </w:r>
      <w:r>
        <w:rPr>
          <w:spacing w:val="-91"/>
        </w:rPr>
        <w:t> </w:t>
      </w:r>
      <w:r>
        <w:rPr>
          <w:spacing w:val="-91"/>
        </w:rPr>
      </w:r>
      <w:r>
        <w:rPr/>
        <w:t>范围内地上地下全范围的城市管理模式。同时，依托地下管网数据能够建立一系列的统计分</w:t>
      </w:r>
      <w:r>
        <w:rPr>
          <w:spacing w:val="-89"/>
        </w:rPr>
        <w:t> </w:t>
      </w:r>
      <w:r>
        <w:rPr>
          <w:spacing w:val="-89"/>
        </w:rPr>
      </w:r>
      <w:r>
        <w:rPr/>
        <w:t>析工具，为各专业部门审批、应急突发状况调度以及领导的决策提供辅助支撑服务。管理内</w:t>
      </w:r>
      <w:r>
        <w:rPr>
          <w:spacing w:val="-91"/>
        </w:rPr>
        <w:t> </w:t>
      </w:r>
      <w:r>
        <w:rPr>
          <w:spacing w:val="-91"/>
        </w:rPr>
      </w:r>
      <w:r>
        <w:rPr/>
        <w:t>容将贯穿规划、建设、管理和服务的全过程，涵盖市政、自来水、燃气、电力、通信、供热</w:t>
      </w:r>
      <w:r>
        <w:rPr>
          <w:spacing w:val="-91"/>
        </w:rPr>
        <w:t> </w:t>
      </w:r>
      <w:r>
        <w:rPr>
          <w:spacing w:val="-91"/>
        </w:rPr>
      </w:r>
      <w:r>
        <w:rPr/>
        <w:t>等地下管网管理相关领域，实现具有本地化特色的地下管线与空间信息综合管理。</w:t>
      </w:r>
    </w:p>
    <w:p>
      <w:pPr>
        <w:pStyle w:val="BodyText"/>
        <w:spacing w:line="357" w:lineRule="auto"/>
        <w:ind w:right="96" w:firstLine="480"/>
        <w:jc w:val="left"/>
      </w:pPr>
      <w:r>
        <w:rPr/>
        <w:t>数字政通自主研发的网格化社会服务管理信息系统，是采用先进信息技术，借鉴网格化 </w:t>
      </w:r>
      <w:r>
        <w:rPr>
          <w:spacing w:val="-3"/>
        </w:rPr>
        <w:t>管理为理念，以社区为单元，将社区划分为若干工作网格，将一定范围内的人、地、物、事、</w:t>
      </w:r>
      <w:r>
        <w:rPr>
          <w:spacing w:val="-85"/>
        </w:rPr>
        <w:t> </w:t>
      </w:r>
      <w:r>
        <w:rPr>
          <w:spacing w:val="-85"/>
        </w:rPr>
      </w:r>
      <w:r>
        <w:rPr>
          <w:spacing w:val="-5"/>
        </w:rPr>
        <w:t>组织、服务资源、管理项目等纳入网格，明确责任主体、责任人，建立市、区、街和社区“四</w:t>
      </w:r>
      <w:r>
        <w:rPr>
          <w:spacing w:val="-117"/>
        </w:rPr>
        <w:t> </w:t>
      </w:r>
      <w:r>
        <w:rPr>
          <w:spacing w:val="-117"/>
        </w:rPr>
      </w:r>
      <w:r>
        <w:rPr>
          <w:spacing w:val="-3"/>
        </w:rPr>
        <w:t>级服务管理”平台，构建市、区、街、社区和社区工作网格“五级联动社会服务管理”模式，</w:t>
      </w:r>
      <w:r>
        <w:rPr>
          <w:spacing w:val="-80"/>
        </w:rPr>
        <w:t> </w:t>
      </w:r>
      <w:r>
        <w:rPr>
          <w:spacing w:val="-80"/>
        </w:rPr>
      </w:r>
      <w:r>
        <w:rPr/>
        <w:t>根据用户不同需求，开发设计应用系统，实现社会服务与管理目标。</w:t>
      </w:r>
    </w:p>
    <w:p>
      <w:pPr>
        <w:pStyle w:val="BodyText"/>
        <w:spacing w:line="357" w:lineRule="auto"/>
        <w:ind w:right="96" w:firstLine="480"/>
        <w:jc w:val="left"/>
      </w:pPr>
      <w:r>
        <w:rPr/>
        <w:t>数字政通以车牌识别技术为核心，综合利用无线地磁感应技术、无线组网技术，建设封 闭式停车场智能管理系统、道路停车智能收费系统，研发智能停车运营云平台，为政府、停</w:t>
      </w:r>
      <w:r>
        <w:rPr>
          <w:spacing w:val="-91"/>
        </w:rPr>
        <w:t> </w:t>
      </w:r>
      <w:r>
        <w:rPr>
          <w:spacing w:val="-91"/>
        </w:rPr>
      </w:r>
      <w:r>
        <w:rPr/>
        <w:t>车经营企业和社会公众提供停车信息服务，构建从停车场收费与管理、停车企业远程监控、</w:t>
      </w:r>
      <w:r>
        <w:rPr>
          <w:spacing w:val="-91"/>
        </w:rPr>
        <w:t> </w:t>
      </w:r>
      <w:r>
        <w:rPr>
          <w:spacing w:val="-91"/>
        </w:rPr>
      </w:r>
      <w:r>
        <w:rPr>
          <w:spacing w:val="-2"/>
        </w:rPr>
        <w:t>城市停车信息综合应用到公众停车服务的全过程、精细化、智能化的停车管理与服务新模式，</w:t>
      </w:r>
      <w:r>
        <w:rPr/>
        <w:t> 从而提升停车周转率，提高停车收入，减少人力资源投入，快速便捷地解决收费难、监管难</w:t>
      </w:r>
      <w:r>
        <w:rPr>
          <w:spacing w:val="-89"/>
        </w:rPr>
        <w:t> </w:t>
      </w:r>
      <w:r>
        <w:rPr>
          <w:spacing w:val="-89"/>
        </w:rPr>
      </w:r>
      <w:r>
        <w:rPr/>
        <w:t>的问题，既能有效缓解停车难、交通拥堵的问题，又能给车主带来便利。</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0"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年公司北京办公地点搬迁至中关村软件园，将原有西直门枫蓝办公楼整体及武</w:t>
            </w:r>
          </w:p>
          <w:p>
            <w:pPr>
              <w:pStyle w:val="TableParagraph"/>
              <w:spacing w:line="300" w:lineRule="auto" w:before="60"/>
              <w:ind w:left="16" w:right="89"/>
              <w:jc w:val="left"/>
              <w:rPr>
                <w:rFonts w:ascii="宋体" w:hAnsi="宋体" w:cs="宋体" w:eastAsia="宋体" w:hint="default"/>
                <w:sz w:val="18"/>
                <w:szCs w:val="18"/>
              </w:rPr>
            </w:pPr>
            <w:r>
              <w:rPr>
                <w:rFonts w:ascii="宋体" w:hAnsi="宋体" w:cs="宋体" w:eastAsia="宋体" w:hint="default"/>
                <w:sz w:val="18"/>
                <w:szCs w:val="18"/>
              </w:rPr>
              <w:t>汉研发中心的部分面积用于对外出租使用，年度报表中将这部分资产净值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5299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元列示于投资性房地产项目中。</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31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本年公司研发项目结转无形资产。</w:t>
            </w:r>
          </w:p>
        </w:tc>
      </w:tr>
    </w:tbl>
    <w:p>
      <w:pPr>
        <w:spacing w:line="240" w:lineRule="auto" w:before="3"/>
        <w:rPr>
          <w:rFonts w:ascii="宋体" w:hAnsi="宋体" w:cs="宋体" w:eastAsia="宋体" w:hint="default"/>
          <w:b/>
          <w:bCs/>
          <w:sz w:val="19"/>
          <w:szCs w:val="19"/>
        </w:rPr>
      </w:pPr>
    </w:p>
    <w:p>
      <w:pPr>
        <w:spacing w:before="36"/>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spacing w:line="528" w:lineRule="auto" w:before="0"/>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z w:val="24"/>
          <w:szCs w:val="24"/>
        </w:rPr>
        <w:t>公司的核心产品基于云计算和大数据技术，采用灵活的插件技术构建全移动的多业务融</w:t>
      </w:r>
    </w:p>
    <w:p>
      <w:pPr>
        <w:spacing w:after="0" w:line="528" w:lineRule="auto"/>
        <w:jc w:val="left"/>
        <w:rPr>
          <w:rFonts w:ascii="宋体" w:hAnsi="宋体" w:cs="宋体" w:eastAsia="宋体" w:hint="default"/>
          <w:sz w:val="24"/>
          <w:szCs w:val="24"/>
        </w:rPr>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96"/>
        <w:jc w:val="left"/>
      </w:pPr>
      <w:r>
        <w:rPr>
          <w:spacing w:val="-2"/>
        </w:rPr>
        <w:t>合平台，实现系统架构的即插即用，采用统一的时空信息管理技术，将二维地图、三维模型、</w:t>
      </w:r>
      <w:r>
        <w:rPr/>
        <w:t> </w:t>
      </w:r>
      <w:r>
        <w:rPr>
          <w:spacing w:val="-2"/>
        </w:rPr>
        <w:t>三维实景、视频等各类基础信息整合到一个时空体系中，为智慧城市各类业应用提供全时空、</w:t>
      </w:r>
      <w:r>
        <w:rPr/>
        <w:t> 一体化的城市综合公共信息管理平台；通过采用大数据分析、负载均衡和云存储等技术使产</w:t>
      </w:r>
      <w:r>
        <w:rPr>
          <w:spacing w:val="-91"/>
        </w:rPr>
        <w:t> </w:t>
      </w:r>
      <w:r>
        <w:rPr>
          <w:spacing w:val="-91"/>
        </w:rPr>
      </w:r>
      <w:r>
        <w:rPr/>
        <w:t>品结构更灵活；通过采用基于构建技术的开发模式，保障智慧城市项目的快速实施和高效运</w:t>
      </w:r>
      <w:r>
        <w:rPr>
          <w:spacing w:val="-91"/>
        </w:rPr>
        <w:t> </w:t>
      </w:r>
      <w:r>
        <w:rPr>
          <w:spacing w:val="-91"/>
        </w:rPr>
      </w:r>
      <w:r>
        <w:rPr/>
        <w:t>营。</w:t>
      </w:r>
    </w:p>
    <w:p>
      <w:pPr>
        <w:pStyle w:val="BodyText"/>
        <w:spacing w:line="240" w:lineRule="auto"/>
        <w:ind w:left="633" w:right="96"/>
        <w:jc w:val="left"/>
      </w:pPr>
      <w:r>
        <w:rPr/>
        <w:t>报告期内，公司取得多项软件著作权，具体如下：</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00"/>
        <w:gridCol w:w="2160"/>
        <w:gridCol w:w="2161"/>
      </w:tblGrid>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资质名称</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发证日期</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证书编号</w:t>
            </w:r>
          </w:p>
        </w:tc>
      </w:tr>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空间信息动态更新系统</w:t>
            </w:r>
            <w:r>
              <w:rPr>
                <w:rFonts w:ascii="宋体" w:hAnsi="宋体" w:cs="宋体" w:eastAsia="宋体" w:hint="default"/>
                <w:sz w:val="20"/>
                <w:szCs w:val="20"/>
              </w:rPr>
              <w:t>V1.0</w:t>
            </w:r>
            <w:r>
              <w:rPr>
                <w:rFonts w:ascii="宋体" w:hAnsi="宋体" w:cs="宋体" w:eastAsia="宋体" w:hint="default"/>
                <w:sz w:val="20"/>
                <w:szCs w:val="20"/>
              </w:rPr>
              <w:t>【简称：</w:t>
            </w:r>
            <w:r>
              <w:rPr>
                <w:rFonts w:ascii="宋体" w:hAnsi="宋体" w:cs="宋体" w:eastAsia="宋体" w:hint="default"/>
                <w:sz w:val="20"/>
                <w:szCs w:val="20"/>
              </w:rPr>
              <w:t>eGovaSIDU</w:t>
            </w:r>
            <w:r>
              <w:rPr>
                <w:rFonts w:ascii="宋体" w:hAnsi="宋体" w:cs="宋体" w:eastAsia="宋体" w:hint="default"/>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2015.1.4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2015SR000585</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eGova</w:t>
            </w:r>
            <w:r>
              <w:rPr>
                <w:rFonts w:ascii="宋体" w:hAnsi="宋体" w:cs="宋体" w:eastAsia="宋体" w:hint="default"/>
                <w:sz w:val="20"/>
                <w:szCs w:val="20"/>
              </w:rPr>
              <w:t>园林绿化动态监测系统</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sz w:val="20"/>
              </w:rPr>
              <w:t>2015.3.13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宋体" w:hAnsi="宋体" w:cs="宋体" w:eastAsia="宋体" w:hint="default"/>
                <w:sz w:val="20"/>
                <w:szCs w:val="20"/>
              </w:rPr>
            </w:pPr>
            <w:r>
              <w:rPr>
                <w:rFonts w:ascii="宋体"/>
                <w:sz w:val="20"/>
              </w:rPr>
              <w:t>2015SR044902</w:t>
            </w:r>
          </w:p>
        </w:tc>
      </w:tr>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自主全景相机标定软件</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2015.5.4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2015SR072788</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城市公共管理大数据综合应用服务系统</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sz w:val="20"/>
              </w:rPr>
              <w:t>2015.5.19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宋体" w:hAnsi="宋体" w:cs="宋体" w:eastAsia="宋体" w:hint="default"/>
                <w:sz w:val="20"/>
                <w:szCs w:val="20"/>
              </w:rPr>
            </w:pPr>
            <w:r>
              <w:rPr>
                <w:rFonts w:ascii="宋体"/>
                <w:sz w:val="20"/>
              </w:rPr>
              <w:t>2015SR085264</w:t>
            </w:r>
          </w:p>
        </w:tc>
      </w:tr>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城市管理云支撑和云服务平台</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2015.6.17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2015SR108155</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智能停车场管理系统</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sz w:val="20"/>
              </w:rPr>
              <w:t>2015.7.28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宋体" w:hAnsi="宋体" w:cs="宋体" w:eastAsia="宋体" w:hint="default"/>
                <w:sz w:val="20"/>
                <w:szCs w:val="20"/>
              </w:rPr>
            </w:pPr>
            <w:r>
              <w:rPr>
                <w:rFonts w:ascii="宋体"/>
                <w:sz w:val="20"/>
              </w:rPr>
              <w:t>2015SR145070</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智泊管家软件【简称：智泊管家】</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2015SR145276</w:t>
            </w:r>
          </w:p>
        </w:tc>
      </w:tr>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停车收费系统</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2015SR145271</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移动岗亭软件【简称：移动岗亭】</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sz w:val="20"/>
              </w:rPr>
              <w:t>2015.7.28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center"/>
              <w:rPr>
                <w:rFonts w:ascii="宋体" w:hAnsi="宋体" w:cs="宋体" w:eastAsia="宋体" w:hint="default"/>
                <w:sz w:val="20"/>
                <w:szCs w:val="20"/>
              </w:rPr>
            </w:pPr>
            <w:r>
              <w:rPr>
                <w:rFonts w:ascii="宋体"/>
                <w:sz w:val="20"/>
              </w:rPr>
              <w:t>2015SR145263</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停车企业运营云平台</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2015.7.27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2015SR144173</w:t>
            </w:r>
          </w:p>
        </w:tc>
      </w:tr>
    </w:tbl>
    <w:p>
      <w:pPr>
        <w:spacing w:after="0" w:line="240" w:lineRule="auto"/>
        <w:jc w:val="center"/>
        <w:rPr>
          <w:rFonts w:ascii="宋体" w:hAnsi="宋体" w:cs="宋体" w:eastAsia="宋体" w:hint="default"/>
          <w:sz w:val="20"/>
          <w:szCs w:val="20"/>
        </w:rPr>
        <w:sectPr>
          <w:pgSz w:w="11910" w:h="16840"/>
          <w:pgMar w:header="745"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96"/>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96" w:firstLine="482"/>
        <w:jc w:val="left"/>
      </w:pPr>
      <w:r>
        <w:rPr/>
        <w:t>报告期内，公司根据董事会制定的年度工作计划，继续努力开展市场营销、技术研发和 </w:t>
      </w:r>
      <w:r>
        <w:rPr>
          <w:spacing w:val="-5"/>
        </w:rPr>
        <w:t>精细管理等各项工作。报告期内，公司实现营业收入</w:t>
      </w:r>
      <w:r>
        <w:rPr>
          <w:rFonts w:ascii="宋体" w:hAnsi="宋体" w:cs="宋体" w:eastAsia="宋体" w:hint="default"/>
          <w:spacing w:val="-5"/>
        </w:rPr>
        <w:t>65,113.53</w:t>
      </w:r>
      <w:r>
        <w:rPr>
          <w:spacing w:val="-5"/>
        </w:rPr>
        <w:t>万元，较上年同期增长</w:t>
      </w:r>
      <w:r>
        <w:rPr>
          <w:rFonts w:ascii="宋体" w:hAnsi="宋体" w:cs="宋体" w:eastAsia="宋体" w:hint="default"/>
          <w:spacing w:val="-5"/>
        </w:rPr>
        <w:t>19.24%</w:t>
      </w:r>
      <w:r>
        <w:rPr>
          <w:spacing w:val="-5"/>
        </w:rPr>
        <w:t>；</w:t>
      </w:r>
      <w:r>
        <w:rPr>
          <w:spacing w:val="-78"/>
        </w:rPr>
        <w:t> </w:t>
      </w:r>
      <w:r>
        <w:rPr>
          <w:spacing w:val="-4"/>
        </w:rPr>
        <w:t>实现归属于上市公司股东的净利润</w:t>
      </w:r>
      <w:r>
        <w:rPr>
          <w:rFonts w:ascii="宋体" w:hAnsi="宋体" w:cs="宋体" w:eastAsia="宋体" w:hint="default"/>
          <w:spacing w:val="-4"/>
        </w:rPr>
        <w:t>12,133.37</w:t>
      </w:r>
      <w:r>
        <w:rPr>
          <w:spacing w:val="-4"/>
        </w:rPr>
        <w:t>万元，较上年同期增长</w:t>
      </w:r>
      <w:r>
        <w:rPr>
          <w:rFonts w:ascii="宋体" w:hAnsi="宋体" w:cs="宋体" w:eastAsia="宋体" w:hint="default"/>
          <w:spacing w:val="-4"/>
        </w:rPr>
        <w:t>1.91%</w:t>
      </w:r>
      <w:r>
        <w:rPr>
          <w:spacing w:val="-4"/>
        </w:rPr>
        <w:t>，新签合同额</w:t>
      </w:r>
      <w:r>
        <w:rPr>
          <w:rFonts w:ascii="宋体" w:hAnsi="宋体" w:cs="宋体" w:eastAsia="宋体" w:hint="default"/>
          <w:spacing w:val="-4"/>
        </w:rPr>
        <w:t>76,407</w:t>
      </w:r>
      <w:r>
        <w:rPr>
          <w:rFonts w:ascii="宋体" w:hAnsi="宋体" w:cs="宋体" w:eastAsia="宋体" w:hint="default"/>
          <w:spacing w:val="-118"/>
        </w:rPr>
        <w:t> </w:t>
      </w:r>
      <w:r>
        <w:rPr/>
        <w:t>万元，较上年同期增长</w:t>
      </w:r>
      <w:r>
        <w:rPr>
          <w:rFonts w:ascii="宋体" w:hAnsi="宋体" w:cs="宋体" w:eastAsia="宋体" w:hint="default"/>
        </w:rPr>
        <w:t>23%</w:t>
      </w:r>
      <w:r>
        <w:rPr/>
        <w:t>。报告期内，公司各板块业务情况如下：</w:t>
      </w:r>
    </w:p>
    <w:p>
      <w:pPr>
        <w:spacing w:line="357" w:lineRule="auto" w:before="36"/>
        <w:ind w:left="635" w:right="96"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、“网格化</w:t>
      </w:r>
      <w:r>
        <w:rPr>
          <w:rFonts w:ascii="宋体" w:hAnsi="宋体" w:cs="宋体" w:eastAsia="宋体" w:hint="default"/>
          <w:b/>
          <w:bCs/>
          <w:sz w:val="24"/>
          <w:szCs w:val="24"/>
        </w:rPr>
        <w:t>+</w:t>
      </w:r>
      <w:r>
        <w:rPr>
          <w:rFonts w:ascii="宋体" w:hAnsi="宋体" w:cs="宋体" w:eastAsia="宋体" w:hint="default"/>
          <w:b/>
          <w:bCs/>
          <w:sz w:val="24"/>
          <w:szCs w:val="24"/>
        </w:rPr>
        <w:t>”模式推动智慧城市业务持续向前</w:t>
      </w:r>
      <w:r>
        <w:rPr>
          <w:rFonts w:ascii="宋体" w:hAnsi="宋体" w:cs="宋体" w:eastAsia="宋体" w:hint="default"/>
          <w:b/>
          <w:bCs/>
          <w:w w:val="99"/>
          <w:sz w:val="24"/>
          <w:szCs w:val="24"/>
        </w:rPr>
        <w:t> </w:t>
      </w:r>
      <w:r>
        <w:rPr>
          <w:rFonts w:ascii="宋体" w:hAnsi="宋体" w:cs="宋体" w:eastAsia="宋体" w:hint="default"/>
          <w:sz w:val="24"/>
          <w:szCs w:val="24"/>
        </w:rPr>
        <w:t>报告期内，随着全国各地智慧城市的建设逐渐展开，公司的传统核心业务继续保持了快</w:t>
      </w:r>
    </w:p>
    <w:p>
      <w:pPr>
        <w:pStyle w:val="BodyText"/>
        <w:spacing w:line="357" w:lineRule="auto"/>
        <w:ind w:right="228"/>
        <w:jc w:val="both"/>
      </w:pPr>
      <w:r>
        <w:rPr/>
        <w:t>速增长的态势。在为城市客户提供智慧城市整体解决方案的过程中，针对一些地方盲目注重</w:t>
      </w:r>
      <w:r>
        <w:rPr>
          <w:spacing w:val="-91"/>
        </w:rPr>
        <w:t> </w:t>
      </w:r>
      <w:r>
        <w:rPr>
          <w:spacing w:val="-91"/>
        </w:rPr>
      </w:r>
      <w:r>
        <w:rPr>
          <w:spacing w:val="-2"/>
        </w:rPr>
        <w:t>基础设施和硬件投资，忽视应用软件和运营服务建设的情况，公司提出的“网格化</w:t>
      </w:r>
      <w:r>
        <w:rPr>
          <w:rFonts w:ascii="宋体" w:hAnsi="宋体" w:cs="宋体" w:eastAsia="宋体" w:hint="default"/>
          <w:spacing w:val="-2"/>
        </w:rPr>
        <w:t>+</w:t>
      </w:r>
      <w:r>
        <w:rPr>
          <w:spacing w:val="-2"/>
        </w:rPr>
        <w:t>”的建设</w:t>
      </w:r>
      <w:r>
        <w:rPr>
          <w:spacing w:val="-118"/>
        </w:rPr>
        <w:t> </w:t>
      </w:r>
      <w:r>
        <w:rPr>
          <w:spacing w:val="-118"/>
        </w:rPr>
      </w:r>
      <w:r>
        <w:rPr>
          <w:spacing w:val="-2"/>
        </w:rPr>
        <w:t>模式获得了市场的高度重视和肯定，新一代“网格化</w:t>
      </w:r>
      <w:r>
        <w:rPr>
          <w:rFonts w:ascii="宋体" w:hAnsi="宋体" w:cs="宋体" w:eastAsia="宋体" w:hint="default"/>
          <w:spacing w:val="-2"/>
        </w:rPr>
        <w:t>+</w:t>
      </w:r>
      <w:r>
        <w:rPr>
          <w:spacing w:val="-2"/>
        </w:rPr>
        <w:t>”智慧城市综合信息平台，是以网格化</w:t>
      </w:r>
      <w:r>
        <w:rPr>
          <w:spacing w:val="-118"/>
        </w:rPr>
        <w:t> </w:t>
      </w:r>
      <w:r>
        <w:rPr>
          <w:spacing w:val="-118"/>
        </w:rPr>
      </w:r>
      <w:r>
        <w:rPr/>
        <w:t>管理理念为核心，以云计算、移动互联网、物联网、大数据等新技术为手段，以智信平台、</w:t>
      </w:r>
      <w:r>
        <w:rPr>
          <w:spacing w:val="-91"/>
        </w:rPr>
        <w:t> </w:t>
      </w:r>
      <w:r>
        <w:rPr>
          <w:spacing w:val="-91"/>
        </w:rPr>
      </w:r>
      <w:r>
        <w:rPr/>
        <w:t>智云平台、全时空平台为基础，将精细管理的模式延伸到智慧城市的相关应用领域，如智慧</w:t>
      </w:r>
      <w:r>
        <w:rPr>
          <w:spacing w:val="-91"/>
        </w:rPr>
        <w:t> </w:t>
      </w:r>
      <w:r>
        <w:rPr>
          <w:spacing w:val="-91"/>
        </w:rPr>
      </w:r>
      <w:r>
        <w:rPr/>
        <w:t>城管、平安城市、智能交通、智慧医疗、智慧环保、智慧管网、智慧社管、综合执法、智能</w:t>
      </w:r>
      <w:r>
        <w:rPr>
          <w:spacing w:val="-91"/>
        </w:rPr>
        <w:t> </w:t>
      </w:r>
      <w:r>
        <w:rPr>
          <w:spacing w:val="-91"/>
        </w:rPr>
      </w:r>
      <w:r>
        <w:rPr/>
        <w:t>泊车等，实现智慧城市各领域由粗放式管理到精细化管理转变，由运动式管理到常态化管理</w:t>
      </w:r>
      <w:r>
        <w:rPr>
          <w:spacing w:val="-91"/>
        </w:rPr>
        <w:t> </w:t>
      </w:r>
      <w:r>
        <w:rPr>
          <w:spacing w:val="-91"/>
        </w:rPr>
      </w:r>
      <w:r>
        <w:rPr>
          <w:spacing w:val="-2"/>
        </w:rPr>
        <w:t>转变，由经验型管理到科技型管理转变，构建“网格化</w:t>
      </w:r>
      <w:r>
        <w:rPr>
          <w:rFonts w:ascii="宋体" w:hAnsi="宋体" w:cs="宋体" w:eastAsia="宋体" w:hint="default"/>
          <w:spacing w:val="-2"/>
        </w:rPr>
        <w:t>+</w:t>
      </w:r>
      <w:r>
        <w:rPr>
          <w:spacing w:val="-2"/>
        </w:rPr>
        <w:t>”智慧城市生态系统，推动城市精细</w:t>
      </w:r>
      <w:r>
        <w:rPr/>
        <w:t> 化、智慧化、现代化管理。</w:t>
      </w:r>
    </w:p>
    <w:p>
      <w:pPr>
        <w:pStyle w:val="BodyText"/>
        <w:spacing w:line="357" w:lineRule="auto"/>
        <w:ind w:right="231" w:firstLine="482"/>
        <w:jc w:val="both"/>
      </w:pPr>
      <w:r>
        <w:rPr>
          <w:spacing w:val="-3"/>
        </w:rPr>
        <w:t>报告期内，数字化城市管理业务市场份额进一步提升，新签订单同比增长</w:t>
      </w:r>
      <w:r>
        <w:rPr>
          <w:rFonts w:ascii="宋体" w:hAnsi="宋体" w:cs="宋体" w:eastAsia="宋体" w:hint="default"/>
          <w:spacing w:val="-3"/>
        </w:rPr>
        <w:t>33%</w:t>
      </w:r>
      <w:r>
        <w:rPr>
          <w:spacing w:val="-3"/>
        </w:rPr>
        <w:t>，先后中标</w:t>
      </w:r>
      <w:r>
        <w:rPr/>
        <w:t> 北京、天津、杭州、西安、贵阳、合肥等全国多个城市和地区的智慧城市管理建设项目。报</w:t>
      </w:r>
      <w:r>
        <w:rPr>
          <w:spacing w:val="-91"/>
        </w:rPr>
        <w:t> </w:t>
      </w:r>
      <w:r>
        <w:rPr>
          <w:spacing w:val="-91"/>
        </w:rPr>
      </w:r>
      <w:r>
        <w:rPr/>
        <w:t>告期内，公司中标并开展建设杭州市新一代“智能化数字城管系统”项目，该项目创新运用</w:t>
      </w:r>
      <w:r>
        <w:rPr>
          <w:spacing w:val="-88"/>
        </w:rPr>
        <w:t> </w:t>
      </w:r>
      <w:r>
        <w:rPr>
          <w:spacing w:val="-88"/>
        </w:rPr>
      </w:r>
      <w:r>
        <w:rPr/>
        <w:t>“互联网</w:t>
      </w:r>
      <w:r>
        <w:rPr>
          <w:rFonts w:ascii="宋体" w:hAnsi="宋体" w:cs="宋体" w:eastAsia="宋体" w:hint="default"/>
        </w:rPr>
        <w:t>+</w:t>
      </w:r>
      <w:r>
        <w:rPr/>
        <w:t>”先进技术和“网格化</w:t>
      </w:r>
      <w:r>
        <w:rPr>
          <w:rFonts w:ascii="宋体" w:hAnsi="宋体" w:cs="宋体" w:eastAsia="宋体" w:hint="default"/>
        </w:rPr>
        <w:t>+</w:t>
      </w:r>
      <w:r>
        <w:rPr/>
        <w:t>”管理模式，基于“阿里云”平台和“大数据”技术，以</w:t>
      </w:r>
      <w:r>
        <w:rPr>
          <w:spacing w:val="-87"/>
        </w:rPr>
        <w:t> </w:t>
      </w:r>
      <w:r>
        <w:rPr>
          <w:spacing w:val="-87"/>
        </w:rPr>
      </w:r>
      <w:r>
        <w:rPr>
          <w:spacing w:val="-2"/>
        </w:rPr>
        <w:t>“创新、协调、绿色、开放、共享”为发展理念，是杭州市保障“G20峰会”重点工程的重要</w:t>
      </w:r>
      <w:r>
        <w:rPr/>
        <w:t> 的信息化支撑平台，将国内智慧城市管理平台的技术水准和应用水平提升到全新的高度。</w:t>
      </w:r>
    </w:p>
    <w:p>
      <w:pPr>
        <w:pStyle w:val="BodyText"/>
        <w:spacing w:line="357" w:lineRule="auto"/>
        <w:ind w:right="233" w:firstLine="482"/>
        <w:jc w:val="both"/>
      </w:pPr>
      <w:r>
        <w:rPr/>
        <w:t>报告期内，公司新一代智慧城市管理系统的核心平台——智信平台已在北京、天津、湖 北、河南、河北、辽宁、内蒙、广西等十几个省市的</w:t>
      </w:r>
      <w:r>
        <w:rPr>
          <w:rFonts w:ascii="宋体" w:hAnsi="宋体" w:cs="宋体" w:eastAsia="宋体" w:hint="default"/>
        </w:rPr>
        <w:t>36</w:t>
      </w:r>
      <w:r>
        <w:rPr/>
        <w:t>个项目上落地。作为引领智慧城市建</w:t>
      </w:r>
      <w:r>
        <w:rPr>
          <w:spacing w:val="-88"/>
        </w:rPr>
        <w:t> </w:t>
      </w:r>
      <w:r>
        <w:rPr>
          <w:spacing w:val="-88"/>
        </w:rPr>
      </w:r>
      <w:r>
        <w:rPr/>
        <w:t>设进入移动互联网时代的新平台，智信平台采用“全移动”的先进理念，实现全平台用户的</w:t>
      </w:r>
      <w:r>
        <w:rPr>
          <w:spacing w:val="-89"/>
        </w:rPr>
        <w:t> </w:t>
      </w:r>
      <w:r>
        <w:rPr>
          <w:spacing w:val="-89"/>
        </w:rPr>
      </w:r>
      <w:r>
        <w:rPr/>
        <w:t>移动互联，围绕各业务全过程各个环节，实现办公模式从传统</w:t>
      </w:r>
      <w:r>
        <w:rPr>
          <w:rFonts w:ascii="宋体" w:hAnsi="宋体" w:cs="宋体" w:eastAsia="宋体" w:hint="default"/>
        </w:rPr>
        <w:t>PC</w:t>
      </w:r>
      <w:r>
        <w:rPr/>
        <w:t>电脑向“全移动”手机终端</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6"/>
        <w:jc w:val="both"/>
      </w:pPr>
      <w:r>
        <w:rPr/>
        <w:t>转变，实现真正意义上的“扁平化”管理，实现了智慧城市各应用业务在移动客户端上的便</w:t>
      </w:r>
      <w:r>
        <w:rPr>
          <w:spacing w:val="-90"/>
        </w:rPr>
        <w:t> </w:t>
      </w:r>
      <w:r>
        <w:rPr>
          <w:spacing w:val="-90"/>
        </w:rPr>
      </w:r>
      <w:r>
        <w:rPr/>
        <w:t>捷处理。其中天津、开封、宜春、亳州等</w:t>
      </w:r>
      <w:r>
        <w:rPr>
          <w:rFonts w:ascii="宋体" w:hAnsi="宋体" w:cs="宋体" w:eastAsia="宋体" w:hint="default"/>
        </w:rPr>
        <w:t>13</w:t>
      </w:r>
      <w:r>
        <w:rPr/>
        <w:t>个项目已正式投入使用并取得广泛好评，极大地</w:t>
      </w:r>
      <w:r>
        <w:rPr>
          <w:spacing w:val="-89"/>
        </w:rPr>
        <w:t> </w:t>
      </w:r>
      <w:r>
        <w:rPr>
          <w:spacing w:val="-89"/>
        </w:rPr>
      </w:r>
      <w:r>
        <w:rPr/>
        <w:t>提升了政府客户的工作效率，方便各级管理部门和负责人员随时随地掌握城市管理动态和解</w:t>
      </w:r>
      <w:r>
        <w:rPr>
          <w:spacing w:val="-91"/>
        </w:rPr>
        <w:t> </w:t>
      </w:r>
      <w:r>
        <w:rPr>
          <w:spacing w:val="-91"/>
        </w:rPr>
      </w:r>
      <w:r>
        <w:rPr/>
        <w:t>决热点问题。</w:t>
      </w:r>
    </w:p>
    <w:p>
      <w:pPr>
        <w:pStyle w:val="BodyText"/>
        <w:spacing w:line="357" w:lineRule="auto"/>
        <w:ind w:right="234" w:firstLine="482"/>
        <w:jc w:val="both"/>
      </w:pPr>
      <w:r>
        <w:rPr>
          <w:rFonts w:ascii="宋体" w:hAnsi="宋体" w:cs="宋体" w:eastAsia="宋体" w:hint="default"/>
        </w:rPr>
        <w:t>2015</w:t>
      </w:r>
      <w:r>
        <w:rPr/>
        <w:t>年是中国城市管理综合执法改革进程中重要的一年，根据中央和国务院有关文件的 指示精神，在国家住房和城乡建设部的具体指导下，数字政通积极配合全国各地城市管理部</w:t>
      </w:r>
      <w:r>
        <w:rPr>
          <w:spacing w:val="-91"/>
        </w:rPr>
        <w:t> </w:t>
      </w:r>
      <w:r>
        <w:rPr>
          <w:spacing w:val="-91"/>
        </w:rPr>
      </w:r>
      <w:r>
        <w:rPr/>
        <w:t>门，大力推进综合执法领域的信息化全面解决方案。其中，天津滨海新区作为全国综合执法</w:t>
      </w:r>
      <w:r>
        <w:rPr>
          <w:spacing w:val="-91"/>
        </w:rPr>
        <w:t> </w:t>
      </w:r>
      <w:r>
        <w:rPr>
          <w:spacing w:val="-91"/>
        </w:rPr>
      </w:r>
      <w:r>
        <w:rPr/>
        <w:t>改革的先行者，已经将执法权力下沉至街镇，实现“一支队伍管全部”的总体目标。报告期</w:t>
      </w:r>
      <w:r>
        <w:rPr>
          <w:spacing w:val="-88"/>
        </w:rPr>
        <w:t> </w:t>
      </w:r>
      <w:r>
        <w:rPr>
          <w:spacing w:val="-88"/>
        </w:rPr>
      </w:r>
      <w:r>
        <w:rPr/>
        <w:t>内，公司与天津滨海新区紧密合作，先后在全区</w:t>
      </w:r>
      <w:r>
        <w:rPr>
          <w:rFonts w:ascii="宋体" w:hAnsi="宋体" w:cs="宋体" w:eastAsia="宋体" w:hint="default"/>
        </w:rPr>
        <w:t>18</w:t>
      </w:r>
      <w:r>
        <w:rPr/>
        <w:t>个街镇建成数字化执法办案系统，实现执</w:t>
      </w:r>
      <w:r>
        <w:rPr>
          <w:spacing w:val="-89"/>
        </w:rPr>
        <w:t> </w:t>
      </w:r>
      <w:r>
        <w:rPr>
          <w:spacing w:val="-89"/>
        </w:rPr>
      </w:r>
      <w:r>
        <w:rPr/>
        <w:t>法信息实时化、法律法规编码化，全面提升了天津滨海新区的综合执法信息化水平。系统建</w:t>
      </w:r>
      <w:r>
        <w:rPr>
          <w:spacing w:val="-91"/>
        </w:rPr>
        <w:t> </w:t>
      </w:r>
      <w:r>
        <w:rPr>
          <w:spacing w:val="-91"/>
        </w:rPr>
      </w:r>
      <w:r>
        <w:rPr/>
        <w:t>成后，陆续接待全国各省市主管部门的负责同志参考、考察、交流数百次，并在中央电视台</w:t>
      </w:r>
      <w:r>
        <w:rPr>
          <w:spacing w:val="-86"/>
        </w:rPr>
        <w:t> </w:t>
      </w:r>
      <w:r>
        <w:rPr>
          <w:spacing w:val="-86"/>
        </w:rPr>
      </w:r>
      <w:r>
        <w:rPr/>
        <w:t>新闻联播等节目专题报道，为全国各地城市推动综合执法改革产生了广泛的影响和积极的促</w:t>
      </w:r>
      <w:r>
        <w:rPr>
          <w:spacing w:val="-91"/>
        </w:rPr>
        <w:t> </w:t>
      </w:r>
      <w:r>
        <w:rPr>
          <w:spacing w:val="-91"/>
        </w:rPr>
      </w:r>
      <w:r>
        <w:rPr/>
        <w:t>进作用。</w:t>
      </w:r>
      <w:r>
        <w:rPr>
          <w:rFonts w:ascii="宋体" w:hAnsi="宋体" w:cs="宋体" w:eastAsia="宋体" w:hint="default"/>
        </w:rPr>
        <w:t>2016</w:t>
      </w:r>
      <w:r>
        <w:rPr/>
        <w:t>年，滨海新区将进一步建设全区统一的行政执法监督平台，建成七大专业执法</w:t>
      </w:r>
      <w:r>
        <w:rPr>
          <w:spacing w:val="-91"/>
        </w:rPr>
        <w:t> </w:t>
      </w:r>
      <w:r>
        <w:rPr>
          <w:spacing w:val="-91"/>
        </w:rPr>
      </w:r>
      <w:r>
        <w:rPr/>
        <w:t>办案系统，从而真正实现对全区每个城市管理执法案件的事前事中事后的全程监督。数字政</w:t>
      </w:r>
      <w:r>
        <w:rPr>
          <w:spacing w:val="-91"/>
        </w:rPr>
        <w:t> </w:t>
      </w:r>
      <w:r>
        <w:rPr>
          <w:spacing w:val="-91"/>
        </w:rPr>
      </w:r>
      <w:r>
        <w:rPr/>
        <w:t>通公司将继续在全国范围内积极配合各地政府的综合执法改革进程，推进综合执法信息化平</w:t>
      </w:r>
      <w:r>
        <w:rPr>
          <w:spacing w:val="-91"/>
        </w:rPr>
        <w:t> </w:t>
      </w:r>
      <w:r>
        <w:rPr>
          <w:spacing w:val="-91"/>
        </w:rPr>
      </w:r>
      <w:r>
        <w:rPr/>
        <w:t>台的全面应用。</w:t>
      </w:r>
    </w:p>
    <w:p>
      <w:pPr>
        <w:pStyle w:val="BodyText"/>
        <w:spacing w:line="357" w:lineRule="auto"/>
        <w:ind w:right="96" w:firstLine="482"/>
        <w:jc w:val="left"/>
      </w:pPr>
      <w:r>
        <w:rPr/>
        <w:t>随着城市化进程的加快，环境保护问题日益成为各级政府特别关注的问题，中央在十八 届三中全会首次把生态文明建设提升至与经济、政治、文化、社会四大建设并列的高度，列</w:t>
      </w:r>
      <w:r>
        <w:rPr>
          <w:spacing w:val="-91"/>
        </w:rPr>
        <w:t> </w:t>
      </w:r>
      <w:r>
        <w:rPr>
          <w:spacing w:val="-91"/>
        </w:rPr>
      </w:r>
      <w:r>
        <w:rPr/>
        <w:t>为 “五位一体”的总布局之一。报告期内，公司基于“网格化</w:t>
      </w:r>
      <w:r>
        <w:rPr>
          <w:rFonts w:ascii="宋体" w:hAnsi="宋体" w:cs="宋体" w:eastAsia="宋体" w:hint="default"/>
        </w:rPr>
        <w:t>+</w:t>
      </w:r>
      <w:r>
        <w:rPr/>
        <w:t>”的管理理念，推出了全新</w:t>
      </w:r>
      <w:r>
        <w:rPr>
          <w:spacing w:val="-87"/>
        </w:rPr>
        <w:t> </w:t>
      </w:r>
      <w:r>
        <w:rPr>
          <w:spacing w:val="-87"/>
        </w:rPr>
      </w:r>
      <w:r>
        <w:rPr/>
        <w:t>的智慧环保信息化管理系统，综合运用物联网感知技术和移动物联网技术，将污染源分布、</w:t>
      </w:r>
      <w:r>
        <w:rPr>
          <w:spacing w:val="-91"/>
        </w:rPr>
        <w:t> </w:t>
      </w:r>
      <w:r>
        <w:rPr>
          <w:spacing w:val="-91"/>
        </w:rPr>
      </w:r>
      <w:r>
        <w:rPr/>
        <w:t>网格化环保监管信息纳入环保网格化管理系统，对辖区内所有排污企业、生态环境、信访案</w:t>
      </w:r>
      <w:r>
        <w:rPr>
          <w:spacing w:val="-91"/>
        </w:rPr>
        <w:t> </w:t>
      </w:r>
      <w:r>
        <w:rPr>
          <w:spacing w:val="-91"/>
        </w:rPr>
      </w:r>
      <w:r>
        <w:rPr/>
        <w:t>件、污染纠纷、环境安全隐患、违法建设项目信息采集与上报。建设环保专题数据库，形成</w:t>
      </w:r>
      <w:r>
        <w:rPr>
          <w:spacing w:val="-91"/>
        </w:rPr>
        <w:t> </w:t>
      </w:r>
      <w:r>
        <w:rPr>
          <w:spacing w:val="-91"/>
        </w:rPr>
      </w:r>
      <w:r>
        <w:rPr>
          <w:spacing w:val="-2"/>
        </w:rPr>
        <w:t>网格化环保监管体系，对网格内所有监管单位按单位性质、规模、污染物排放种类及新、改、</w:t>
      </w:r>
      <w:r>
        <w:rPr/>
        <w:t> 扩建项目、减排工程、污染集中处置设施等进行分级分类管理。基于移动终端开展网格内污</w:t>
      </w:r>
      <w:r>
        <w:rPr>
          <w:spacing w:val="-91"/>
        </w:rPr>
        <w:t> </w:t>
      </w:r>
      <w:r>
        <w:rPr>
          <w:spacing w:val="-91"/>
        </w:rPr>
      </w:r>
      <w:r>
        <w:rPr/>
        <w:t>染源上报、环境隐患排查，全面掌握水、气、声等环境状况，对工业企业开展环保监管，处</w:t>
      </w:r>
      <w:r>
        <w:rPr>
          <w:spacing w:val="-89"/>
        </w:rPr>
        <w:t> </w:t>
      </w:r>
      <w:r>
        <w:rPr>
          <w:spacing w:val="-89"/>
        </w:rPr>
      </w:r>
      <w:r>
        <w:rPr/>
        <w:t>理投诉举报和协助开展环境事故应急处置。报告期内，基于该项技术和平台，公司已经承建</w:t>
      </w:r>
      <w:r>
        <w:rPr>
          <w:spacing w:val="-91"/>
        </w:rPr>
        <w:t> </w:t>
      </w:r>
      <w:r>
        <w:rPr>
          <w:spacing w:val="-91"/>
        </w:rPr>
      </w:r>
      <w:r>
        <w:rPr/>
        <w:t>了重庆市、天津市和平区、天津市中新生态城、陕西省宝鸡市、西安市碑林区等一系列智慧</w:t>
      </w:r>
      <w:r>
        <w:rPr>
          <w:spacing w:val="-91"/>
        </w:rPr>
        <w:t> </w:t>
      </w:r>
      <w:r>
        <w:rPr>
          <w:spacing w:val="-91"/>
        </w:rPr>
      </w:r>
      <w:r>
        <w:rPr/>
        <w:t>环保信息化项目，累计合同额已达数千万元，为公司全面进军智慧环保行业奠定了重要的基</w:t>
      </w:r>
      <w:r>
        <w:rPr>
          <w:spacing w:val="-91"/>
        </w:rPr>
        <w:t> </w:t>
      </w:r>
      <w:r>
        <w:rPr>
          <w:spacing w:val="-91"/>
        </w:rPr>
      </w:r>
      <w:r>
        <w:rPr/>
        <w:t>础。</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96" w:firstLine="482"/>
        <w:jc w:val="left"/>
      </w:pPr>
      <w:r>
        <w:rPr/>
        <w:t>报告期内，公司继续为智慧城市建设提供全方位的基础城市大数据采集和测量服务，移 动测量业务已覆盖全国</w:t>
      </w:r>
      <w:r>
        <w:rPr>
          <w:rFonts w:ascii="宋体" w:hAnsi="宋体" w:cs="宋体" w:eastAsia="宋体" w:hint="default"/>
        </w:rPr>
        <w:t>200</w:t>
      </w:r>
      <w:r>
        <w:rPr/>
        <w:t>多个城市，普查面积超过</w:t>
      </w:r>
      <w:r>
        <w:rPr>
          <w:rFonts w:ascii="宋体" w:hAnsi="宋体" w:cs="宋体" w:eastAsia="宋体" w:hint="default"/>
        </w:rPr>
        <w:t>1</w:t>
      </w:r>
      <w:r>
        <w:rPr/>
        <w:t>万平方公里。合同额同比增长超</w:t>
      </w:r>
      <w:r>
        <w:rPr>
          <w:rFonts w:ascii="宋体" w:hAnsi="宋体" w:cs="宋体" w:eastAsia="宋体" w:hint="default"/>
        </w:rPr>
        <w:t>200%</w:t>
      </w:r>
      <w:r>
        <w:rPr/>
        <w:t>。</w:t>
      </w:r>
      <w:r>
        <w:rPr>
          <w:spacing w:val="-86"/>
        </w:rPr>
        <w:t> </w:t>
      </w:r>
      <w:r>
        <w:rPr/>
        <w:t>同时，公司积极研发和应用新的采集平台，实现了无人机＋车载＋人巡的多方式综合性信息</w:t>
      </w:r>
      <w:r>
        <w:rPr>
          <w:spacing w:val="-88"/>
        </w:rPr>
        <w:t> </w:t>
      </w:r>
      <w:r>
        <w:rPr>
          <w:spacing w:val="-88"/>
        </w:rPr>
      </w:r>
      <w:r>
        <w:rPr>
          <w:spacing w:val="-2"/>
        </w:rPr>
        <w:t>采集手段，提高了信息采集服务的效率与全面性。同时基于大数据技术研发了数据分析平台，</w:t>
      </w:r>
      <w:r>
        <w:rPr/>
        <w:t> 深入挖掘智慧城市领域数据的潜在价值，结合云计算技术实现了城市文明测评、环保检测、</w:t>
      </w:r>
      <w:r>
        <w:rPr>
          <w:spacing w:val="-91"/>
        </w:rPr>
        <w:t> </w:t>
      </w:r>
      <w:r>
        <w:rPr>
          <w:spacing w:val="-91"/>
        </w:rPr>
      </w:r>
      <w:r>
        <w:rPr/>
        <w:t>市场监督等行业的拓展应用，在天津、合肥、克拉玛依等市落地实施，获得用户好评。</w:t>
      </w:r>
    </w:p>
    <w:p>
      <w:pPr>
        <w:pStyle w:val="BodyText"/>
        <w:spacing w:line="357" w:lineRule="auto"/>
        <w:ind w:right="96" w:firstLine="482"/>
        <w:jc w:val="left"/>
      </w:pPr>
      <w:r>
        <w:rPr/>
        <w:t>报告期内，在平安城市管理领域，根据市场的需求和技术发展的趋势，公司控股子公司 数字智通公司推出了全新的智能警用数据分析平台——“智通云隼”，“智通云隼”是公司</w:t>
      </w:r>
      <w:r>
        <w:rPr>
          <w:spacing w:val="-87"/>
        </w:rPr>
        <w:t> </w:t>
      </w:r>
      <w:r>
        <w:rPr>
          <w:spacing w:val="-87"/>
        </w:rPr>
      </w:r>
      <w:r>
        <w:rPr/>
        <w:t>警务云智能情报分析研判系统第二代产品，该平台基于人工智能和大数据整合技术，深入结</w:t>
      </w:r>
      <w:r>
        <w:rPr>
          <w:spacing w:val="-91"/>
        </w:rPr>
        <w:t> </w:t>
      </w:r>
      <w:r>
        <w:rPr>
          <w:spacing w:val="-91"/>
        </w:rPr>
      </w:r>
      <w:r>
        <w:rPr/>
        <w:t>合全国公安机关反恐、治安、追逃等技侦实战需求，以车辆全信息二次智能识别技术和大数</w:t>
      </w:r>
      <w:r>
        <w:rPr>
          <w:spacing w:val="-91"/>
        </w:rPr>
        <w:t> </w:t>
      </w:r>
      <w:r>
        <w:rPr>
          <w:spacing w:val="-91"/>
        </w:rPr>
      </w:r>
      <w:r>
        <w:rPr/>
        <w:t>据挖掘技术为核心，是一种高度智能化的警用情报分析研判系统。系统以现有的大量道路卡</w:t>
      </w:r>
      <w:r>
        <w:rPr>
          <w:spacing w:val="-91"/>
        </w:rPr>
        <w:t> </w:t>
      </w:r>
      <w:r>
        <w:rPr>
          <w:spacing w:val="-91"/>
        </w:rPr>
      </w:r>
      <w:r>
        <w:rPr>
          <w:spacing w:val="-3"/>
        </w:rPr>
        <w:t>口、小区卡口、电子警察视频抓拍前端所生成的海量数据为基础，通过海量信息全维度识别、</w:t>
      </w:r>
      <w:r>
        <w:rPr>
          <w:spacing w:val="-81"/>
        </w:rPr>
        <w:t> </w:t>
      </w:r>
      <w:r>
        <w:rPr>
          <w:spacing w:val="-81"/>
        </w:rPr>
      </w:r>
      <w:r>
        <w:rPr>
          <w:spacing w:val="-2"/>
        </w:rPr>
        <w:t>海量数据深度挖掘、独特的警用数据研判模型为主要技术应用手段，实现嫌疑警情预知预警、</w:t>
      </w:r>
      <w:r>
        <w:rPr/>
        <w:t> 案件线索快速反查等功能，极大地提高了针对涉车违法案件的自动预知、预警、预防能力，</w:t>
      </w:r>
      <w:r>
        <w:rPr>
          <w:spacing w:val="-91"/>
        </w:rPr>
        <w:t> </w:t>
      </w:r>
      <w:r>
        <w:rPr>
          <w:spacing w:val="-91"/>
        </w:rPr>
      </w:r>
      <w:r>
        <w:rPr>
          <w:spacing w:val="-2"/>
        </w:rPr>
        <w:t>同时，系统新增了基于大数据整合监测、数据集中展示、数据运维监控、专项数据挖掘功能，</w:t>
      </w:r>
      <w:r>
        <w:rPr/>
        <w:t> 实现了对各级公安机关的大数据辅助决策和整体警情评估。报告期内，“智通云隼”系统已</w:t>
      </w:r>
      <w:r>
        <w:rPr>
          <w:spacing w:val="-87"/>
        </w:rPr>
        <w:t> </w:t>
      </w:r>
      <w:r>
        <w:rPr>
          <w:spacing w:val="-87"/>
        </w:rPr>
      </w:r>
      <w:r>
        <w:rPr/>
        <w:t>经分别在云南和山东实现了省级平台和市级平台的实战部署应用，协助公安机关破获多起重</w:t>
      </w:r>
      <w:r>
        <w:rPr>
          <w:spacing w:val="-91"/>
        </w:rPr>
        <w:t> </w:t>
      </w:r>
      <w:r>
        <w:rPr>
          <w:spacing w:val="-91"/>
        </w:rPr>
      </w:r>
      <w:r>
        <w:rPr/>
        <w:t>要重大刑事案件，真正实现了不同层级公安系统的全警种警情预测预警，未来在全国平安城</w:t>
      </w:r>
      <w:r>
        <w:rPr>
          <w:spacing w:val="-91"/>
        </w:rPr>
        <w:t> </w:t>
      </w:r>
      <w:r>
        <w:rPr>
          <w:spacing w:val="-91"/>
        </w:rPr>
      </w:r>
      <w:r>
        <w:rPr/>
        <w:t>市建设领域具有重要的应用推广价值。</w:t>
      </w:r>
    </w:p>
    <w:p>
      <w:pPr>
        <w:spacing w:line="357" w:lineRule="auto" w:before="36"/>
        <w:ind w:left="635" w:right="96"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、大力开拓智慧管网蓝海市场</w:t>
      </w:r>
      <w:r>
        <w:rPr>
          <w:rFonts w:ascii="宋体" w:hAnsi="宋体" w:cs="宋体" w:eastAsia="宋体" w:hint="default"/>
          <w:b/>
          <w:bCs/>
          <w:w w:val="99"/>
          <w:sz w:val="24"/>
          <w:szCs w:val="24"/>
        </w:rPr>
        <w:t> </w:t>
      </w:r>
      <w:r>
        <w:rPr>
          <w:rFonts w:ascii="宋体" w:hAnsi="宋体" w:cs="宋体" w:eastAsia="宋体" w:hint="default"/>
          <w:sz w:val="24"/>
          <w:szCs w:val="24"/>
        </w:rPr>
        <w:t>长期以来，中国城市地下管线的管理和运营一直处于初级阶段，随着我国城镇化进程加</w:t>
      </w:r>
    </w:p>
    <w:p>
      <w:pPr>
        <w:pStyle w:val="BodyText"/>
        <w:spacing w:line="357" w:lineRule="auto" w:before="37"/>
        <w:ind w:right="96"/>
        <w:jc w:val="left"/>
      </w:pPr>
      <w:r>
        <w:rPr/>
        <w:t>速推进，城市建设“表里不一”的情况日益显露，已经成为制约城市发展质量的重要因素。</w:t>
      </w:r>
      <w:r>
        <w:rPr>
          <w:spacing w:val="-89"/>
        </w:rPr>
        <w:t> </w:t>
      </w:r>
      <w:r>
        <w:rPr>
          <w:spacing w:val="-89"/>
        </w:rPr>
      </w:r>
      <w:r>
        <w:rPr/>
        <w:t>近年来，国务院连续发布了《关于加强城市地下管线建设管理的指导意见》、《关于加强城</w:t>
      </w:r>
      <w:r>
        <w:rPr>
          <w:spacing w:val="-91"/>
        </w:rPr>
        <w:t> </w:t>
      </w:r>
      <w:r>
        <w:rPr>
          <w:spacing w:val="-91"/>
        </w:rPr>
      </w:r>
      <w:r>
        <w:rPr/>
        <w:t>市地下管线规划管理的通知》、《关于推进城市地下综合管廊建设的指导意见》、《关于进</w:t>
      </w:r>
      <w:r>
        <w:rPr>
          <w:spacing w:val="-91"/>
        </w:rPr>
        <w:t> </w:t>
      </w:r>
      <w:r>
        <w:rPr>
          <w:spacing w:val="-91"/>
        </w:rPr>
      </w:r>
      <w:r>
        <w:rPr>
          <w:spacing w:val="-3"/>
        </w:rPr>
        <w:t>一步加强城市规划建设管理工作的若干意见》、《关于深入推进新型城镇化建设的若干意见》</w:t>
      </w:r>
      <w:r>
        <w:rPr>
          <w:spacing w:val="-80"/>
        </w:rPr>
        <w:t> </w:t>
      </w:r>
      <w:r>
        <w:rPr>
          <w:spacing w:val="-80"/>
        </w:rPr>
      </w:r>
      <w:r>
        <w:rPr>
          <w:spacing w:val="-2"/>
        </w:rPr>
        <w:t>和《关于推进海绵城市建设的指导意见》等一系列重要的文件，为中国城市地下管线的建设、</w:t>
      </w:r>
      <w:r>
        <w:rPr/>
        <w:t> 管理和运营指明了发展方向。公司通过对行业的深入研究和精准判断，从</w:t>
      </w:r>
      <w:r>
        <w:rPr>
          <w:rFonts w:ascii="宋体" w:hAnsi="宋体" w:cs="宋体" w:eastAsia="宋体" w:hint="default"/>
        </w:rPr>
        <w:t>2013</w:t>
      </w:r>
      <w:r>
        <w:rPr/>
        <w:t>年开始进军智</w:t>
      </w:r>
      <w:r>
        <w:rPr>
          <w:spacing w:val="-88"/>
        </w:rPr>
        <w:t> </w:t>
      </w:r>
      <w:r>
        <w:rPr>
          <w:spacing w:val="-88"/>
        </w:rPr>
      </w:r>
      <w:r>
        <w:rPr/>
        <w:t>慧管网信息化领域，深耕细作打造智慧管网综合信息平台。报告期内，公司在山西长治、高</w:t>
      </w:r>
      <w:r>
        <w:rPr>
          <w:spacing w:val="-91"/>
        </w:rPr>
        <w:t> </w:t>
      </w:r>
      <w:r>
        <w:rPr>
          <w:spacing w:val="-91"/>
        </w:rPr>
      </w:r>
      <w:r>
        <w:rPr/>
        <w:t>平、大同、湖北黄石、安徽桐城、安庆等地累计实施了</w:t>
      </w:r>
      <w:r>
        <w:rPr>
          <w:rFonts w:ascii="宋体" w:hAnsi="宋体" w:cs="宋体" w:eastAsia="宋体" w:hint="default"/>
        </w:rPr>
        <w:t>21</w:t>
      </w:r>
      <w:r>
        <w:rPr/>
        <w:t>个项目，进一步增强了技术实力，</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5" w:right="96" w:hanging="483"/>
        <w:jc w:val="left"/>
      </w:pPr>
      <w:r>
        <w:rPr/>
        <w:t>提升了市场份额。 报告期内，为推动公司在城市地下管线领域内挖掘新的业务成长点，完善和增加公司的</w:t>
      </w:r>
    </w:p>
    <w:p>
      <w:pPr>
        <w:pStyle w:val="BodyText"/>
        <w:spacing w:line="357" w:lineRule="auto"/>
        <w:ind w:right="149"/>
        <w:jc w:val="left"/>
      </w:pPr>
      <w:r>
        <w:rPr/>
        <w:t>产品线，提升专业技术服务能力，</w:t>
      </w:r>
      <w:r>
        <w:rPr>
          <w:rFonts w:ascii="宋体" w:hAnsi="宋体" w:cs="宋体" w:eastAsia="宋体" w:hint="default"/>
        </w:rPr>
        <w:t>2015</w:t>
      </w:r>
      <w:r>
        <w:rPr/>
        <w:t>年</w:t>
      </w:r>
      <w:r>
        <w:rPr>
          <w:rFonts w:ascii="宋体" w:hAnsi="宋体" w:cs="宋体" w:eastAsia="宋体" w:hint="default"/>
        </w:rPr>
        <w:t>12</w:t>
      </w:r>
      <w:r>
        <w:rPr/>
        <w:t>月，公司通过在北京产权交易所公开竞拍的方式</w:t>
      </w:r>
      <w:r>
        <w:rPr>
          <w:spacing w:val="-89"/>
        </w:rPr>
        <w:t> </w:t>
      </w:r>
      <w:r>
        <w:rPr>
          <w:spacing w:val="-89"/>
        </w:rPr>
      </w:r>
      <w:r>
        <w:rPr/>
        <w:t>完成对保定金迪管线和金迪科技各</w:t>
      </w:r>
      <w:r>
        <w:rPr>
          <w:rFonts w:ascii="宋体" w:hAnsi="宋体" w:cs="宋体" w:eastAsia="宋体" w:hint="default"/>
        </w:rPr>
        <w:t>40%</w:t>
      </w:r>
      <w:r>
        <w:rPr/>
        <w:t>股权的收购，并在</w:t>
      </w:r>
      <w:r>
        <w:rPr>
          <w:rFonts w:ascii="宋体" w:hAnsi="宋体" w:cs="宋体" w:eastAsia="宋体" w:hint="default"/>
        </w:rPr>
        <w:t>2016</w:t>
      </w:r>
      <w:r>
        <w:rPr/>
        <w:t>年</w:t>
      </w:r>
      <w:r>
        <w:rPr>
          <w:rFonts w:ascii="宋体" w:hAnsi="宋体" w:cs="宋体" w:eastAsia="宋体" w:hint="default"/>
        </w:rPr>
        <w:t>3</w:t>
      </w:r>
      <w:r>
        <w:rPr/>
        <w:t>月通过继续收购，最终持有</w:t>
      </w:r>
      <w:r>
        <w:rPr>
          <w:spacing w:val="-86"/>
        </w:rPr>
        <w:t> </w:t>
      </w:r>
      <w:r>
        <w:rPr>
          <w:spacing w:val="-86"/>
        </w:rPr>
      </w:r>
      <w:r>
        <w:rPr>
          <w:spacing w:val="-2"/>
        </w:rPr>
        <w:t>金迪管线、金迪科技及金迪科仪各</w:t>
      </w:r>
      <w:r>
        <w:rPr>
          <w:rFonts w:ascii="宋体" w:hAnsi="宋体" w:cs="宋体" w:eastAsia="宋体" w:hint="default"/>
          <w:spacing w:val="-2"/>
        </w:rPr>
        <w:t>75%</w:t>
      </w:r>
      <w:r>
        <w:rPr>
          <w:spacing w:val="-2"/>
        </w:rPr>
        <w:t>的股权。金迪管线是中国领先的地下管线信息化及技术</w:t>
      </w:r>
      <w:r>
        <w:rPr>
          <w:spacing w:val="-117"/>
        </w:rPr>
        <w:t> </w:t>
      </w:r>
      <w:r>
        <w:rPr>
          <w:spacing w:val="-117"/>
        </w:rPr>
      </w:r>
      <w:r>
        <w:rPr/>
        <w:t>服务提供商，根据《中国城市地下管线探测行业发展状况与前景预测分析报告</w:t>
      </w:r>
      <w:r>
        <w:rPr>
          <w:rFonts w:ascii="宋体" w:hAnsi="宋体" w:cs="宋体" w:eastAsia="宋体" w:hint="default"/>
        </w:rPr>
        <w:t>2015-2020</w:t>
      </w:r>
      <w:r>
        <w:rPr/>
        <w:t>年》 统计的数据显示，金迪管线位列中国城市地下管线探测工程十大领先企业榜首，是地下管线</w:t>
      </w:r>
      <w:r>
        <w:rPr>
          <w:spacing w:val="-91"/>
        </w:rPr>
        <w:t> </w:t>
      </w:r>
      <w:r>
        <w:rPr>
          <w:spacing w:val="-91"/>
        </w:rPr>
      </w:r>
      <w:r>
        <w:rPr/>
        <w:t>信息化领域的领军品牌，金迪管线拥有行业内最完整的工程资质及数十项专利和知识产权，</w:t>
      </w:r>
      <w:r>
        <w:rPr>
          <w:spacing w:val="-90"/>
        </w:rPr>
        <w:t> </w:t>
      </w:r>
      <w:r>
        <w:rPr>
          <w:spacing w:val="-90"/>
        </w:rPr>
      </w:r>
      <w:r>
        <w:rPr/>
        <w:t>技术创新能力、工程实施能力和市场占有率均明显领先于行业竞争对手。金迪管线及其关联</w:t>
      </w:r>
      <w:r>
        <w:rPr>
          <w:spacing w:val="-91"/>
        </w:rPr>
        <w:t> </w:t>
      </w:r>
      <w:r>
        <w:rPr>
          <w:spacing w:val="-91"/>
        </w:rPr>
      </w:r>
      <w:r>
        <w:rPr/>
        <w:t>公司所提供的先进智慧管网探测服务、专项检测解决方案及智能机器人等产品将极大满足各</w:t>
      </w:r>
      <w:r>
        <w:rPr>
          <w:spacing w:val="-91"/>
        </w:rPr>
        <w:t> </w:t>
      </w:r>
      <w:r>
        <w:rPr>
          <w:spacing w:val="-91"/>
        </w:rPr>
      </w:r>
      <w:r>
        <w:rPr/>
        <w:t>地政府行业客户在智慧管网建设领域的深层次需求。收购金迪公司的股权符合公司行业纵横</w:t>
      </w:r>
      <w:r>
        <w:rPr>
          <w:spacing w:val="-91"/>
        </w:rPr>
        <w:t> </w:t>
      </w:r>
      <w:r>
        <w:rPr>
          <w:spacing w:val="-91"/>
        </w:rPr>
      </w:r>
      <w:r>
        <w:rPr/>
        <w:t>发展、深化发展的目标，与公司现有的智慧城管、智能交通、平安城市及智慧医疗、智慧环</w:t>
      </w:r>
      <w:r>
        <w:rPr>
          <w:spacing w:val="-91"/>
        </w:rPr>
        <w:t> </w:t>
      </w:r>
      <w:r>
        <w:rPr>
          <w:spacing w:val="-91"/>
        </w:rPr>
      </w:r>
      <w:r>
        <w:rPr/>
        <w:t>保等业务有机结合，有助于在智慧城市的蓝海市场提升公司的综合竞争实力，获得更大的市</w:t>
      </w:r>
      <w:r>
        <w:rPr>
          <w:spacing w:val="-91"/>
        </w:rPr>
        <w:t> </w:t>
      </w:r>
      <w:r>
        <w:rPr>
          <w:spacing w:val="-91"/>
        </w:rPr>
      </w:r>
      <w:r>
        <w:rPr>
          <w:spacing w:val="-2"/>
        </w:rPr>
        <w:t>场价值。报告期内，金迪公司生产和经营迈上了新的台阶，员工人数合计已超过</w:t>
      </w:r>
      <w:r>
        <w:rPr>
          <w:rFonts w:ascii="宋体" w:hAnsi="宋体" w:cs="宋体" w:eastAsia="宋体" w:hint="default"/>
          <w:spacing w:val="-2"/>
        </w:rPr>
        <w:t>700</w:t>
      </w:r>
      <w:r>
        <w:rPr>
          <w:spacing w:val="-2"/>
        </w:rPr>
        <w:t>人，新签</w:t>
      </w:r>
      <w:r>
        <w:rPr>
          <w:spacing w:val="-117"/>
        </w:rPr>
        <w:t> </w:t>
      </w:r>
      <w:r>
        <w:rPr>
          <w:spacing w:val="-117"/>
        </w:rPr>
      </w:r>
      <w:r>
        <w:rPr/>
        <w:t>合同</w:t>
      </w:r>
      <w:r>
        <w:rPr>
          <w:rFonts w:ascii="宋体" w:hAnsi="宋体" w:cs="宋体" w:eastAsia="宋体" w:hint="default"/>
        </w:rPr>
        <w:t>100</w:t>
      </w:r>
      <w:r>
        <w:rPr/>
        <w:t>余个，业务覆盖全国</w:t>
      </w:r>
      <w:r>
        <w:rPr>
          <w:rFonts w:ascii="宋体" w:hAnsi="宋体" w:cs="宋体" w:eastAsia="宋体" w:hint="default"/>
        </w:rPr>
        <w:t>20</w:t>
      </w:r>
      <w:r>
        <w:rPr/>
        <w:t>多个省份，合计合同金额逾</w:t>
      </w:r>
      <w:r>
        <w:rPr>
          <w:rFonts w:ascii="宋体" w:hAnsi="宋体" w:cs="宋体" w:eastAsia="宋体" w:hint="default"/>
        </w:rPr>
        <w:t>2.6</w:t>
      </w:r>
      <w:r>
        <w:rPr/>
        <w:t>亿元，同比增速超过</w:t>
      </w:r>
      <w:r>
        <w:rPr>
          <w:rFonts w:ascii="宋体" w:hAnsi="宋体" w:cs="宋体" w:eastAsia="宋体" w:hint="default"/>
        </w:rPr>
        <w:t>50%</w:t>
      </w:r>
      <w:r>
        <w:rPr/>
        <w:t>。</w:t>
      </w:r>
    </w:p>
    <w:p>
      <w:pPr>
        <w:spacing w:line="357" w:lineRule="auto" w:before="36"/>
        <w:ind w:left="635" w:right="96"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、以智能泊车为核心打造汽车后服务生态圈</w:t>
      </w:r>
      <w:r>
        <w:rPr>
          <w:rFonts w:ascii="宋体" w:hAnsi="宋体" w:cs="宋体" w:eastAsia="宋体" w:hint="default"/>
          <w:b/>
          <w:bCs/>
          <w:w w:val="99"/>
          <w:sz w:val="24"/>
          <w:szCs w:val="24"/>
        </w:rPr>
        <w:t> </w:t>
      </w:r>
      <w:r>
        <w:rPr>
          <w:rFonts w:ascii="宋体" w:hAnsi="宋体" w:cs="宋体" w:eastAsia="宋体" w:hint="default"/>
          <w:sz w:val="24"/>
          <w:szCs w:val="24"/>
        </w:rPr>
        <w:t>报告期内，公司进一步加大在智能泊车领域的研发力度，研发了移动岗亭系统，满足出</w:t>
      </w:r>
    </w:p>
    <w:p>
      <w:pPr>
        <w:pStyle w:val="BodyText"/>
        <w:spacing w:line="357" w:lineRule="auto"/>
        <w:ind w:right="104"/>
        <w:jc w:val="left"/>
      </w:pPr>
      <w:r>
        <w:rPr/>
        <w:t>口提前收费、中央收费、移动收费的需求；新研发的出入口专用智能像机实现了多帧识别、</w:t>
      </w:r>
      <w:r>
        <w:rPr>
          <w:spacing w:val="-91"/>
        </w:rPr>
        <w:t> </w:t>
      </w:r>
      <w:r>
        <w:rPr>
          <w:spacing w:val="-91"/>
        </w:rPr>
      </w:r>
      <w:r>
        <w:rPr/>
        <w:t>智能调光、二次识别和车脸识别等多项技术创新，可实现对车辆号牌、车辆品牌、子系、年</w:t>
      </w:r>
      <w:r>
        <w:rPr>
          <w:spacing w:val="-91"/>
        </w:rPr>
        <w:t> </w:t>
      </w:r>
      <w:r>
        <w:rPr>
          <w:spacing w:val="-91"/>
        </w:rPr>
      </w:r>
      <w:r>
        <w:rPr>
          <w:spacing w:val="-5"/>
        </w:rPr>
        <w:t>款，车身颜色、制造厂商和车辆种类的精准识别；同时，以“网格化</w:t>
      </w:r>
      <w:r>
        <w:rPr>
          <w:rFonts w:ascii="宋体" w:hAnsi="宋体" w:cs="宋体" w:eastAsia="宋体" w:hint="default"/>
          <w:spacing w:val="-5"/>
        </w:rPr>
        <w:t>+</w:t>
      </w:r>
      <w:r>
        <w:rPr>
          <w:spacing w:val="-5"/>
        </w:rPr>
        <w:t>”模式研发了通通管家、</w:t>
      </w:r>
      <w:r>
        <w:rPr>
          <w:spacing w:val="-114"/>
        </w:rPr>
        <w:t> </w:t>
      </w:r>
      <w:r>
        <w:rPr>
          <w:spacing w:val="-114"/>
        </w:rPr>
      </w:r>
      <w:r>
        <w:rPr/>
        <w:t>通通商家、通通停车、路路停车等应用于</w:t>
      </w:r>
      <w:r>
        <w:rPr>
          <w:rFonts w:ascii="宋体" w:hAnsi="宋体" w:cs="宋体" w:eastAsia="宋体" w:hint="default"/>
        </w:rPr>
        <w:t>B</w:t>
      </w:r>
      <w:r>
        <w:rPr/>
        <w:t>端和</w:t>
      </w:r>
      <w:r>
        <w:rPr>
          <w:rFonts w:ascii="宋体" w:hAnsi="宋体" w:cs="宋体" w:eastAsia="宋体" w:hint="default"/>
        </w:rPr>
        <w:t>C</w:t>
      </w:r>
      <w:r>
        <w:rPr/>
        <w:t>端的应用管理系统，力求充分满足各方的管</w:t>
      </w:r>
      <w:r>
        <w:rPr>
          <w:spacing w:val="-87"/>
        </w:rPr>
        <w:t> </w:t>
      </w:r>
      <w:r>
        <w:rPr>
          <w:spacing w:val="-87"/>
        </w:rPr>
      </w:r>
      <w:r>
        <w:rPr/>
        <w:t>理和使用需求，将城市停车的预约、诱导、支付、管理、运营彻底互联网化，打造汽车后服</w:t>
      </w:r>
      <w:r>
        <w:rPr>
          <w:spacing w:val="-91"/>
        </w:rPr>
        <w:t> </w:t>
      </w:r>
      <w:r>
        <w:rPr>
          <w:spacing w:val="-91"/>
        </w:rPr>
      </w:r>
      <w:r>
        <w:rPr/>
        <w:t>务的最佳入口和运营平台，以建设智能停车场为核心构建汽车后服务生态圈，致力于为</w:t>
      </w:r>
      <w:r>
        <w:rPr>
          <w:rFonts w:ascii="宋体" w:hAnsi="宋体" w:cs="宋体" w:eastAsia="宋体" w:hint="default"/>
        </w:rPr>
        <w:t>C</w:t>
      </w:r>
      <w:r>
        <w:rPr/>
        <w:t>端客 户提供最佳的停车体验，成为汽车驾驶者的首选停车品牌。</w:t>
      </w:r>
    </w:p>
    <w:p>
      <w:pPr>
        <w:pStyle w:val="BodyText"/>
        <w:spacing w:line="357" w:lineRule="auto"/>
        <w:ind w:right="233" w:firstLine="482"/>
        <w:jc w:val="both"/>
      </w:pPr>
      <w:r>
        <w:rPr>
          <w:spacing w:val="-3"/>
        </w:rPr>
        <w:t>报告期内，公司持续加大智能泊车市场的品牌推广力度，</w:t>
      </w:r>
      <w:r>
        <w:rPr>
          <w:rFonts w:ascii="宋体" w:hAnsi="宋体" w:cs="宋体" w:eastAsia="宋体" w:hint="default"/>
          <w:spacing w:val="-3"/>
        </w:rPr>
        <w:t>2015</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25</w:t>
      </w:r>
      <w:r>
        <w:rPr>
          <w:spacing w:val="-3"/>
        </w:rPr>
        <w:t>日，数字政通作为</w:t>
      </w:r>
      <w:r>
        <w:rPr/>
        <w:t> 唯一合作伙伴参加了由中国物业管理协会主办的“2015中国物业管理行业年度盛典”，与全</w:t>
      </w:r>
      <w:r>
        <w:rPr>
          <w:spacing w:val="-90"/>
        </w:rPr>
        <w:t> </w:t>
      </w:r>
      <w:r>
        <w:rPr>
          <w:spacing w:val="-90"/>
        </w:rPr>
      </w:r>
      <w:r>
        <w:rPr/>
        <w:t>国三百家最大的物业公司高级管理人员开展面对面交流，详细介绍智慧泊车解决方案，取得</w:t>
      </w:r>
      <w:r>
        <w:rPr>
          <w:spacing w:val="-86"/>
        </w:rPr>
        <w:t> </w:t>
      </w:r>
      <w:r>
        <w:rPr>
          <w:spacing w:val="-86"/>
        </w:rPr>
      </w:r>
      <w:r>
        <w:rPr/>
        <w:t>了良好的市场效果。报告期内，公司与万科、保利、万达、彩生活、北京金隅、广东海印、</w:t>
      </w:r>
      <w:r>
        <w:rPr>
          <w:spacing w:val="-91"/>
        </w:rPr>
        <w:t> </w:t>
      </w:r>
      <w:r>
        <w:rPr>
          <w:spacing w:val="-91"/>
        </w:rPr>
      </w:r>
      <w:r>
        <w:rPr/>
        <w:t>山东诚信行、湖南好泊等多家国内领导性地产或物业公司签订合作协议，并在湖南、安徽、</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28"/>
        <w:jc w:val="both"/>
      </w:pPr>
      <w:r>
        <w:rPr/>
        <w:t>四川、云南、江苏等多个省份的重点城市开展了城市级静态智能交通解决方案的合作洽谈，</w:t>
      </w:r>
      <w:r>
        <w:rPr>
          <w:spacing w:val="-91"/>
        </w:rPr>
        <w:t> </w:t>
      </w:r>
      <w:r>
        <w:rPr>
          <w:spacing w:val="-91"/>
        </w:rPr>
      </w:r>
      <w:r>
        <w:rPr>
          <w:spacing w:val="-2"/>
        </w:rPr>
        <w:t>共同推进智能泊车和汽车后服务业务，目前业务已涵盖超过</w:t>
      </w:r>
      <w:r>
        <w:rPr>
          <w:rFonts w:ascii="宋体" w:hAnsi="宋体" w:cs="宋体" w:eastAsia="宋体" w:hint="default"/>
          <w:spacing w:val="-2"/>
        </w:rPr>
        <w:t>2500</w:t>
      </w:r>
      <w:r>
        <w:rPr>
          <w:spacing w:val="-2"/>
        </w:rPr>
        <w:t>家大型停车场，正在超过</w:t>
      </w:r>
      <w:r>
        <w:rPr>
          <w:rFonts w:ascii="宋体" w:hAnsi="宋体" w:cs="宋体" w:eastAsia="宋体" w:hint="default"/>
          <w:spacing w:val="-2"/>
        </w:rPr>
        <w:t>100</w:t>
      </w:r>
      <w:r>
        <w:rPr>
          <w:rFonts w:ascii="宋体" w:hAnsi="宋体" w:cs="宋体" w:eastAsia="宋体" w:hint="default"/>
          <w:spacing w:val="-113"/>
        </w:rPr>
        <w:t> </w:t>
      </w:r>
      <w:r>
        <w:rPr>
          <w:spacing w:val="-8"/>
        </w:rPr>
        <w:t>万</w:t>
      </w:r>
      <w:r>
        <w:rPr>
          <w:rFonts w:ascii="宋体" w:hAnsi="宋体" w:cs="宋体" w:eastAsia="宋体" w:hint="default"/>
          <w:spacing w:val="-8"/>
        </w:rPr>
        <w:t>C</w:t>
      </w:r>
      <w:r>
        <w:rPr>
          <w:spacing w:val="-8"/>
        </w:rPr>
        <w:t>端客户提供优质的智能泊车服务，报告期内，公司已经在北京、广州、长沙等地建立起“互</w:t>
      </w:r>
      <w:r>
        <w:rPr>
          <w:spacing w:val="-104"/>
        </w:rPr>
        <w:t> </w:t>
      </w:r>
      <w:r>
        <w:rPr>
          <w:spacing w:val="-104"/>
        </w:rPr>
      </w:r>
      <w:r>
        <w:rPr/>
        <w:t>联网</w:t>
      </w:r>
      <w:r>
        <w:rPr>
          <w:rFonts w:ascii="宋体" w:hAnsi="宋体" w:cs="宋体" w:eastAsia="宋体" w:hint="default"/>
        </w:rPr>
        <w:t>+</w:t>
      </w:r>
      <w:r>
        <w:rPr/>
        <w:t>”模式运营的标杆性智能泊车示范项目，未来将在全国市场大力推广应用。</w:t>
      </w:r>
    </w:p>
    <w:p>
      <w:pPr>
        <w:spacing w:line="357" w:lineRule="auto" w:before="36"/>
        <w:ind w:left="635" w:right="96"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、打造智慧医疗新平台</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报告期内，在智慧医疗方面，公司进行了一系列外延式拓展。</w:t>
      </w:r>
      <w:r>
        <w:rPr>
          <w:rFonts w:ascii="宋体" w:hAnsi="宋体" w:cs="宋体" w:eastAsia="宋体" w:hint="default"/>
          <w:spacing w:val="-3"/>
          <w:sz w:val="24"/>
          <w:szCs w:val="24"/>
        </w:rPr>
        <w:t>2015</w:t>
      </w:r>
      <w:r>
        <w:rPr>
          <w:rFonts w:ascii="宋体" w:hAnsi="宋体" w:cs="宋体" w:eastAsia="宋体" w:hint="default"/>
          <w:spacing w:val="-3"/>
          <w:sz w:val="24"/>
          <w:szCs w:val="24"/>
        </w:rPr>
        <w:t>年</w:t>
      </w:r>
      <w:r>
        <w:rPr>
          <w:rFonts w:ascii="宋体" w:hAnsi="宋体" w:cs="宋体" w:eastAsia="宋体" w:hint="default"/>
          <w:spacing w:val="-3"/>
          <w:sz w:val="24"/>
          <w:szCs w:val="24"/>
        </w:rPr>
        <w:t>8</w:t>
      </w:r>
      <w:r>
        <w:rPr>
          <w:rFonts w:ascii="宋体" w:hAnsi="宋体" w:cs="宋体" w:eastAsia="宋体" w:hint="default"/>
          <w:spacing w:val="-3"/>
          <w:sz w:val="24"/>
          <w:szCs w:val="24"/>
        </w:rPr>
        <w:t>月，公司公告拟使</w:t>
      </w:r>
    </w:p>
    <w:p>
      <w:pPr>
        <w:pStyle w:val="BodyText"/>
        <w:spacing w:line="357" w:lineRule="auto"/>
        <w:ind w:right="96"/>
        <w:jc w:val="left"/>
      </w:pPr>
      <w:r>
        <w:rPr/>
        <w:t>用超募资金</w:t>
      </w:r>
      <w:r>
        <w:rPr>
          <w:rFonts w:ascii="宋体" w:hAnsi="宋体" w:cs="宋体" w:eastAsia="宋体" w:hint="default"/>
        </w:rPr>
        <w:t>4000</w:t>
      </w:r>
      <w:r>
        <w:rPr/>
        <w:t>万元对北京天健源达科技有限公司进行增资，完成后将持有北京天健源达科</w:t>
      </w:r>
      <w:r>
        <w:rPr>
          <w:spacing w:val="-91"/>
        </w:rPr>
        <w:t> </w:t>
      </w:r>
      <w:r>
        <w:rPr>
          <w:spacing w:val="-91"/>
        </w:rPr>
      </w:r>
      <w:r>
        <w:rPr/>
        <w:t>技有限公司</w:t>
      </w:r>
      <w:r>
        <w:rPr>
          <w:rFonts w:ascii="宋体" w:hAnsi="宋体" w:cs="宋体" w:eastAsia="宋体" w:hint="default"/>
        </w:rPr>
        <w:t>8.4%</w:t>
      </w:r>
      <w:r>
        <w:rPr/>
        <w:t>股权。天健源达是国内最早从事医疗信息系统开发研制的专业化企业之一，</w:t>
      </w:r>
      <w:r>
        <w:rPr>
          <w:spacing w:val="-91"/>
        </w:rPr>
        <w:t> </w:t>
      </w:r>
      <w:r>
        <w:rPr>
          <w:spacing w:val="-91"/>
        </w:rPr>
      </w:r>
      <w:r>
        <w:rPr/>
        <w:t>至今已经为全国</w:t>
      </w:r>
      <w:r>
        <w:rPr>
          <w:rFonts w:ascii="宋体" w:hAnsi="宋体" w:cs="宋体" w:eastAsia="宋体" w:hint="default"/>
        </w:rPr>
        <w:t>1000</w:t>
      </w:r>
      <w:r>
        <w:rPr/>
        <w:t>多家医院和多个省市的区域医疗卫生信息化建设提供全面的软件产品、</w:t>
      </w:r>
      <w:r>
        <w:rPr>
          <w:spacing w:val="-91"/>
        </w:rPr>
        <w:t> </w:t>
      </w:r>
      <w:r>
        <w:rPr>
          <w:spacing w:val="-91"/>
        </w:rPr>
      </w:r>
      <w:r>
        <w:rPr>
          <w:spacing w:val="-2"/>
        </w:rPr>
        <w:t>系统整合和运营服务，公司具有强大的技术实力和业务创新能力，位居行业前列。报告期内，</w:t>
      </w:r>
      <w:r>
        <w:rPr/>
        <w:t> 公司与天健源达已经签署合资协议，共同推进河南省焦作市区域卫生信息平台建设、为民服</w:t>
      </w:r>
      <w:r>
        <w:rPr>
          <w:spacing w:val="-91"/>
        </w:rPr>
        <w:t> </w:t>
      </w:r>
      <w:r>
        <w:rPr>
          <w:spacing w:val="-91"/>
        </w:rPr>
      </w:r>
      <w:r>
        <w:rPr/>
        <w:t>务网络平台建设、指导与支持数字化医院建设及梳理与整合相关业务系统。未来，公司与天</w:t>
      </w:r>
      <w:r>
        <w:rPr>
          <w:spacing w:val="-91"/>
        </w:rPr>
        <w:t> </w:t>
      </w:r>
      <w:r>
        <w:rPr>
          <w:spacing w:val="-91"/>
        </w:rPr>
      </w:r>
      <w:r>
        <w:rPr/>
        <w:t>健源达合作，还可能在更多的地区共同开展与智慧医疗相关的业务，这对加快推动公司的智</w:t>
      </w:r>
      <w:r>
        <w:rPr>
          <w:spacing w:val="-91"/>
        </w:rPr>
        <w:t> </w:t>
      </w:r>
      <w:r>
        <w:rPr>
          <w:spacing w:val="-91"/>
        </w:rPr>
      </w:r>
      <w:r>
        <w:rPr/>
        <w:t>慧城市整体解决方案在医疗卫生领域落地具有重要的意义。</w:t>
      </w:r>
    </w:p>
    <w:p>
      <w:pPr>
        <w:pStyle w:val="BodyText"/>
        <w:spacing w:line="357" w:lineRule="auto"/>
        <w:ind w:right="112" w:firstLine="482"/>
        <w:jc w:val="left"/>
      </w:pP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月，公司投资新锐的互联网医疗服务开发商——重庆小爱科技有限公司，小爱科</w:t>
      </w:r>
      <w:r>
        <w:rPr/>
        <w:t> 技专注于移动互联网医疗领域，致力于通过移动医疗技术及智能穿戴式设备改善和管理人们</w:t>
      </w:r>
      <w:r>
        <w:rPr>
          <w:spacing w:val="-91"/>
        </w:rPr>
        <w:t> </w:t>
      </w:r>
      <w:r>
        <w:rPr>
          <w:spacing w:val="-91"/>
        </w:rPr>
      </w:r>
      <w:r>
        <w:rPr>
          <w:spacing w:val="-3"/>
        </w:rPr>
        <w:t>的医疗健康需求。公司在互联网医疗类 </w:t>
      </w:r>
      <w:r>
        <w:rPr>
          <w:rFonts w:ascii="宋体" w:hAnsi="宋体" w:cs="宋体" w:eastAsia="宋体" w:hint="default"/>
        </w:rPr>
        <w:t>APP</w:t>
      </w:r>
      <w:r>
        <w:rPr>
          <w:rFonts w:ascii="宋体" w:hAnsi="宋体" w:cs="宋体" w:eastAsia="宋体" w:hint="default"/>
          <w:spacing w:val="-17"/>
        </w:rPr>
        <w:t> </w:t>
      </w:r>
      <w:r>
        <w:rPr/>
        <w:t>开发方面保持着市场优势地位，其开发的主要医 疗应用</w:t>
      </w:r>
      <w:r>
        <w:rPr>
          <w:rFonts w:ascii="宋体" w:hAnsi="宋体" w:cs="宋体" w:eastAsia="宋体" w:hint="default"/>
        </w:rPr>
        <w:t>APP--360</w:t>
      </w:r>
      <w:r>
        <w:rPr/>
        <w:t>问医生，整合了线上数千家权威医院和优质医生资源，快速解决健康难题。</w:t>
      </w:r>
      <w:r>
        <w:rPr>
          <w:spacing w:val="-92"/>
        </w:rPr>
        <w:t> </w:t>
      </w:r>
      <w:r>
        <w:rPr>
          <w:spacing w:val="-92"/>
        </w:rPr>
      </w:r>
      <w:r>
        <w:rPr>
          <w:spacing w:val="-5"/>
        </w:rPr>
        <w:t>报告期内，小爱科技自主研发的</w:t>
      </w:r>
      <w:r>
        <w:rPr>
          <w:rFonts w:ascii="宋体" w:hAnsi="宋体" w:cs="宋体" w:eastAsia="宋体" w:hint="default"/>
          <w:spacing w:val="-5"/>
        </w:rPr>
        <w:t>aiShoes</w:t>
      </w:r>
      <w:r>
        <w:rPr>
          <w:spacing w:val="-5"/>
        </w:rPr>
        <w:t>系列智能孕妇鞋成功上线，在京东众筹首日超过百万，</w:t>
      </w:r>
      <w:r>
        <w:rPr>
          <w:spacing w:val="-96"/>
        </w:rPr>
        <w:t> </w:t>
      </w:r>
      <w:r>
        <w:rPr>
          <w:spacing w:val="-96"/>
        </w:rPr>
      </w:r>
      <w:r>
        <w:rPr/>
        <w:t>并在淘宝、京东等大型电商平台保持良好销售业绩。同时，小爱科技正在着手打造个性化医</w:t>
      </w:r>
      <w:r>
        <w:rPr>
          <w:spacing w:val="-86"/>
        </w:rPr>
        <w:t> </w:t>
      </w:r>
      <w:r>
        <w:rPr>
          <w:spacing w:val="-86"/>
        </w:rPr>
      </w:r>
      <w:r>
        <w:rPr/>
        <w:t>疗产品，报告期内推出了针对帕金森综合症</w:t>
      </w:r>
      <w:r>
        <w:rPr>
          <w:rFonts w:ascii="宋体" w:hAnsi="宋体" w:cs="宋体" w:eastAsia="宋体" w:hint="default"/>
        </w:rPr>
        <w:t>(PD)</w:t>
      </w:r>
      <w:r>
        <w:rPr/>
        <w:t>群体辅助治疗产品——</w:t>
      </w:r>
      <w:r>
        <w:rPr>
          <w:rFonts w:ascii="宋体" w:hAnsi="宋体" w:cs="宋体" w:eastAsia="宋体" w:hint="default"/>
        </w:rPr>
        <w:t>PD</w:t>
      </w:r>
      <w:r>
        <w:rPr/>
        <w:t>智能辅助治疗鞋，</w:t>
      </w:r>
      <w:r>
        <w:rPr>
          <w:spacing w:val="-88"/>
        </w:rPr>
        <w:t> </w:t>
      </w:r>
      <w:r>
        <w:rPr>
          <w:spacing w:val="-88"/>
        </w:rPr>
      </w:r>
      <w:r>
        <w:rPr/>
        <w:t>由首都医科大学宣武医院神经内科帕金森病研究院专家教授提供权威支持，为帕金森症患者</w:t>
      </w:r>
      <w:r>
        <w:rPr>
          <w:spacing w:val="-91"/>
        </w:rPr>
        <w:t> </w:t>
      </w:r>
      <w:r>
        <w:rPr>
          <w:spacing w:val="-91"/>
        </w:rPr>
      </w:r>
      <w:r>
        <w:rPr/>
        <w:t>提供了基于互联网技术的智能个性化医疗服务。</w:t>
      </w:r>
    </w:p>
    <w:p>
      <w:pPr>
        <w:pStyle w:val="BodyText"/>
        <w:spacing w:line="357" w:lineRule="auto"/>
        <w:ind w:right="238" w:firstLine="482"/>
        <w:jc w:val="both"/>
      </w:pPr>
      <w:r>
        <w:rPr/>
        <w:t>通过上述深入合作，公司将获得可靠的医疗信息系统开发、区域医疗建设、移动医疗技 术及智能穿戴式设备等方面的技术资源，迅速进入到市场规模广阔的智慧医疗市场。天健源</w:t>
      </w:r>
      <w:r>
        <w:rPr>
          <w:spacing w:val="-89"/>
        </w:rPr>
        <w:t> </w:t>
      </w:r>
      <w:r>
        <w:rPr>
          <w:spacing w:val="-89"/>
        </w:rPr>
      </w:r>
      <w:r>
        <w:rPr/>
        <w:t>达与小爱科技也可借助公司与全国各地政府部门业已建立的良好合作关系及本地化服务团队</w:t>
      </w:r>
      <w:r>
        <w:rPr>
          <w:spacing w:val="-91"/>
        </w:rPr>
        <w:t> </w:t>
      </w:r>
      <w:r>
        <w:rPr>
          <w:spacing w:val="-91"/>
        </w:rPr>
      </w:r>
      <w:r>
        <w:rPr/>
        <w:t>的优势，对其产品的销售网络进行优化重组并形成协同与互补，分享智慧医疗行业快速成长</w:t>
      </w:r>
      <w:r>
        <w:rPr>
          <w:spacing w:val="-91"/>
        </w:rPr>
        <w:t> </w:t>
      </w:r>
      <w:r>
        <w:rPr>
          <w:spacing w:val="-91"/>
        </w:rPr>
      </w:r>
      <w:r>
        <w:rPr/>
        <w:t>的收益。</w:t>
      </w:r>
    </w:p>
    <w:p>
      <w:pPr>
        <w:spacing w:after="0" w:line="357" w:lineRule="auto"/>
        <w:jc w:val="both"/>
        <w:sectPr>
          <w:pgSz w:w="11910" w:h="16840"/>
          <w:pgMar w:header="745" w:footer="979" w:top="1060" w:bottom="1160" w:left="980" w:right="90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7"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651,135,338.98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546,086,754.32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智慧城市管理领域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634,602,702.31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532,636,113.26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97.54%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国土资源管理与城 市规划领域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16,532,636.67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13,450,641.06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310,741,259.22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299,575,781.12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170,352,480.52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151,169,783.92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170,041,599.24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95,341,189.28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351,730,297.50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307,942,898.55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299,405,041.48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238,143,855.77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智慧城市管理领 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634,602,702.31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388,656,294.42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国土资源管理与 城市规划领域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16,532,636.67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5,679,660.39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310,741,259.22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103,970,526.75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170,352,480.52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136,029,122.17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170,041,599.24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154,336,305.89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351,730,297.50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223,349,874.85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299,405,041.48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170,986,079.96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103,970,526.75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119,989,863.67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136,029,122.17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104,830,245.96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154,336,305.89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79,090,059.46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357" w:lineRule="auto" w:before="132"/>
        <w:ind w:right="152" w:firstLine="482"/>
        <w:jc w:val="both"/>
      </w:pPr>
      <w:r>
        <w:rPr>
          <w:spacing w:val="-3"/>
        </w:rPr>
        <w:t>报告期内，公司合并范围新增</w:t>
      </w:r>
      <w:r>
        <w:rPr>
          <w:rFonts w:ascii="宋体" w:hAnsi="宋体" w:cs="宋体" w:eastAsia="宋体" w:hint="default"/>
          <w:spacing w:val="-3"/>
        </w:rPr>
        <w:t>2</w:t>
      </w:r>
      <w:r>
        <w:rPr>
          <w:spacing w:val="-3"/>
        </w:rPr>
        <w:t>家公司政通智慧城市运营科技有限公司和北京数聚联盟科</w:t>
      </w:r>
      <w:r>
        <w:rPr/>
        <w:t> 技有限公司，具体情况如下：</w:t>
      </w:r>
    </w:p>
    <w:p>
      <w:pPr>
        <w:pStyle w:val="BodyText"/>
        <w:spacing w:line="357" w:lineRule="auto"/>
        <w:ind w:right="151" w:firstLine="482"/>
        <w:jc w:val="both"/>
      </w:pPr>
      <w:r>
        <w:rPr>
          <w:rFonts w:ascii="宋体" w:hAnsi="宋体" w:cs="宋体" w:eastAsia="宋体" w:hint="default"/>
          <w:spacing w:val="-3"/>
        </w:rPr>
        <w:t>1</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5</w:t>
      </w:r>
      <w:r>
        <w:rPr>
          <w:spacing w:val="-3"/>
        </w:rPr>
        <w:t>日，公司召开第二届董事会第二十九次会议审议通过了《关于对外投资设</w:t>
      </w:r>
      <w:r>
        <w:rPr/>
        <w:t> 立控股子公司暨关联交易的议案》，北京数字政通科技股份有限公司与吴强华先生拟共同出</w:t>
      </w:r>
      <w:r>
        <w:rPr>
          <w:spacing w:val="-86"/>
        </w:rPr>
        <w:t> </w:t>
      </w:r>
      <w:r>
        <w:rPr>
          <w:spacing w:val="-86"/>
        </w:rPr>
      </w:r>
      <w:r>
        <w:rPr>
          <w:spacing w:val="-2"/>
        </w:rPr>
        <w:t>资在天津市设立政通智慧城市运营科技有限公司，新设公司注册资本为人民币</w:t>
      </w:r>
      <w:r>
        <w:rPr>
          <w:rFonts w:ascii="宋体" w:hAnsi="宋体" w:cs="宋体" w:eastAsia="宋体" w:hint="default"/>
          <w:spacing w:val="-2"/>
        </w:rPr>
        <w:t>5,000</w:t>
      </w:r>
      <w:r>
        <w:rPr>
          <w:spacing w:val="-2"/>
        </w:rPr>
        <w:t>万元，公</w:t>
      </w:r>
      <w:r>
        <w:rPr>
          <w:spacing w:val="-114"/>
        </w:rPr>
        <w:t> </w:t>
      </w:r>
      <w:r>
        <w:rPr>
          <w:spacing w:val="-114"/>
        </w:rPr>
      </w:r>
      <w:r>
        <w:rPr/>
        <w:t>司以货币出资</w:t>
      </w:r>
      <w:r>
        <w:rPr>
          <w:rFonts w:ascii="宋体" w:hAnsi="宋体" w:cs="宋体" w:eastAsia="宋体" w:hint="default"/>
        </w:rPr>
        <w:t>4,500</w:t>
      </w:r>
      <w:r>
        <w:rPr/>
        <w:t>万元，占注册资本的</w:t>
      </w:r>
      <w:r>
        <w:rPr>
          <w:rFonts w:ascii="宋体" w:hAnsi="宋体" w:cs="宋体" w:eastAsia="宋体" w:hint="default"/>
        </w:rPr>
        <w:t>90%</w:t>
      </w:r>
      <w:r>
        <w:rPr/>
        <w:t>。</w:t>
      </w:r>
    </w:p>
    <w:p>
      <w:pPr>
        <w:pStyle w:val="BodyText"/>
        <w:spacing w:line="240" w:lineRule="auto"/>
        <w:ind w:left="635" w:right="0"/>
        <w:jc w:val="left"/>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28</w:t>
      </w:r>
      <w:r>
        <w:rPr/>
        <w:t>日，公司召开第二届董事会第三十四次会议，审议通过《关于增资控股</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152"/>
        <w:jc w:val="both"/>
      </w:pPr>
      <w:r>
        <w:rPr/>
        <w:t>北京数聚联盟科技有限公司暨关联交易的议案》。为进一步开展智慧城市大数据运营服务业</w:t>
      </w:r>
      <w:r>
        <w:rPr>
          <w:spacing w:val="-91"/>
        </w:rPr>
        <w:t> </w:t>
      </w:r>
      <w:r>
        <w:rPr>
          <w:spacing w:val="-91"/>
        </w:rPr>
      </w:r>
      <w:r>
        <w:rPr/>
        <w:t>务，公司与吴强华先生、肖彤先生签署《北京数聚联盟科技有限公司增资协议》，北京数聚</w:t>
      </w:r>
      <w:r>
        <w:rPr>
          <w:spacing w:val="-91"/>
        </w:rPr>
        <w:t> </w:t>
      </w:r>
      <w:r>
        <w:rPr>
          <w:spacing w:val="-91"/>
        </w:rPr>
      </w:r>
      <w:r>
        <w:rPr/>
        <w:t>联盟科技有限公司拟新增注册资本人民币 </w:t>
      </w:r>
      <w:r>
        <w:rPr>
          <w:rFonts w:ascii="宋体" w:hAnsi="宋体" w:cs="宋体" w:eastAsia="宋体" w:hint="default"/>
        </w:rPr>
        <w:t>950</w:t>
      </w:r>
      <w:r>
        <w:rPr>
          <w:rFonts w:ascii="宋体" w:hAnsi="宋体" w:cs="宋体" w:eastAsia="宋体" w:hint="default"/>
          <w:spacing w:val="19"/>
        </w:rPr>
        <w:t> </w:t>
      </w:r>
      <w:r>
        <w:rPr>
          <w:spacing w:val="-5"/>
        </w:rPr>
        <w:t>万元，由北京数字政通科技股份有限公司、吴</w:t>
      </w:r>
    </w:p>
    <w:p>
      <w:pPr>
        <w:pStyle w:val="BodyText"/>
        <w:spacing w:line="357" w:lineRule="auto"/>
        <w:ind w:right="136"/>
        <w:jc w:val="left"/>
      </w:pPr>
      <w:r>
        <w:rPr>
          <w:spacing w:val="-6"/>
        </w:rPr>
        <w:t>强华先生、肖彤先生以现金的方式进行认购，北京数字政通科技股份有限公司认购人民币</w:t>
      </w:r>
      <w:r>
        <w:rPr>
          <w:spacing w:val="32"/>
        </w:rPr>
        <w:t> </w:t>
      </w:r>
      <w:r>
        <w:rPr>
          <w:rFonts w:ascii="宋体" w:hAnsi="宋体" w:cs="宋体" w:eastAsia="宋体" w:hint="default"/>
        </w:rPr>
        <w:t>650 </w:t>
      </w:r>
      <w:r>
        <w:rPr/>
        <w:t>万元持有数聚联盟 </w:t>
      </w:r>
      <w:r>
        <w:rPr>
          <w:rFonts w:ascii="宋体" w:hAnsi="宋体" w:cs="宋体" w:eastAsia="宋体" w:hint="default"/>
        </w:rPr>
        <w:t>65%</w:t>
      </w:r>
      <w:r>
        <w:rPr/>
        <w:t>的股权并成为其控股股东。</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96,510,928.15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1"/>
        <w:gridCol w:w="3314"/>
        <w:gridCol w:w="2321"/>
        <w:gridCol w:w="3145"/>
      </w:tblGrid>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中国电信股份有限公司保山分公司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52,951,133.02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天津市滨海新区人民政府办公室</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19,294,461.49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w:t>
            </w:r>
          </w:p>
        </w:tc>
      </w:tr>
      <w:tr>
        <w:trPr>
          <w:trHeight w:val="161" w:hRule="exact"/>
        </w:trPr>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4" w:type="dxa"/>
            <w:vMerge w:val="restart"/>
            <w:tcBorders>
              <w:top w:val="single" w:sz="4" w:space="0" w:color="000000"/>
              <w:left w:val="single" w:sz="10" w:space="0" w:color="D2D2D2"/>
              <w:right w:val="single" w:sz="4" w:space="0" w:color="000000"/>
            </w:tcBorders>
          </w:tcPr>
          <w:p>
            <w:pPr>
              <w:pStyle w:val="TableParagraph"/>
              <w:spacing w:line="316" w:lineRule="auto" w:before="49"/>
              <w:ind w:left="27" w:right="27"/>
              <w:jc w:val="left"/>
              <w:rPr>
                <w:rFonts w:ascii="宋体" w:hAnsi="宋体" w:cs="宋体" w:eastAsia="宋体" w:hint="default"/>
                <w:sz w:val="18"/>
                <w:szCs w:val="18"/>
              </w:rPr>
            </w:pPr>
            <w:r>
              <w:rPr>
                <w:rFonts w:ascii="宋体" w:hAnsi="宋体" w:cs="宋体" w:eastAsia="宋体" w:hint="default"/>
                <w:sz w:val="18"/>
                <w:szCs w:val="18"/>
              </w:rPr>
              <w:t>烟台市公安局经济技术开发区分局交通警 察大队</w:t>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5" w:right="0"/>
              <w:jc w:val="left"/>
              <w:rPr>
                <w:rFonts w:ascii="Times New Roman" w:hAnsi="Times New Roman" w:cs="Times New Roman" w:eastAsia="Times New Roman" w:hint="default"/>
                <w:sz w:val="18"/>
                <w:szCs w:val="18"/>
              </w:rPr>
            </w:pPr>
            <w:r>
              <w:rPr>
                <w:rFonts w:ascii="Times New Roman"/>
                <w:sz w:val="18"/>
              </w:rPr>
              <w:t>12,166,642.56</w:t>
            </w:r>
          </w:p>
        </w:tc>
        <w:tc>
          <w:tcPr>
            <w:tcW w:w="31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w:t>
            </w:r>
          </w:p>
        </w:tc>
      </w:tr>
      <w:tr>
        <w:trPr>
          <w:trHeight w:val="391" w:hRule="exact"/>
        </w:trPr>
        <w:tc>
          <w:tcPr>
            <w:tcW w:w="7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14" w:type="dxa"/>
            <w:vMerge/>
            <w:tcBorders>
              <w:left w:val="single" w:sz="10" w:space="0" w:color="D2D2D2"/>
              <w:right w:val="single" w:sz="4" w:space="0" w:color="000000"/>
            </w:tcBorders>
          </w:tcPr>
          <w:p>
            <w:pPr/>
          </w:p>
        </w:tc>
        <w:tc>
          <w:tcPr>
            <w:tcW w:w="2321" w:type="dxa"/>
            <w:vMerge/>
            <w:tcBorders>
              <w:left w:val="single" w:sz="4" w:space="0" w:color="000000"/>
              <w:right w:val="single" w:sz="4" w:space="0" w:color="000000"/>
            </w:tcBorders>
          </w:tcPr>
          <w:p>
            <w:pPr/>
          </w:p>
        </w:tc>
        <w:tc>
          <w:tcPr>
            <w:tcW w:w="3145" w:type="dxa"/>
            <w:vMerge/>
            <w:tcBorders>
              <w:left w:val="single" w:sz="4" w:space="0" w:color="000000"/>
              <w:right w:val="single" w:sz="4" w:space="0" w:color="000000"/>
            </w:tcBorders>
          </w:tcPr>
          <w:p>
            <w:pPr/>
          </w:p>
        </w:tc>
      </w:tr>
      <w:tr>
        <w:trPr>
          <w:trHeight w:val="161" w:hRule="exact"/>
        </w:trPr>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314" w:type="dxa"/>
            <w:vMerge/>
            <w:tcBorders>
              <w:left w:val="single" w:sz="10" w:space="0" w:color="D2D2D2"/>
              <w:bottom w:val="single" w:sz="4" w:space="0" w:color="000000"/>
              <w:right w:val="single" w:sz="4" w:space="0" w:color="000000"/>
            </w:tcBorders>
          </w:tcPr>
          <w:p>
            <w:pPr/>
          </w:p>
        </w:tc>
        <w:tc>
          <w:tcPr>
            <w:tcW w:w="2321" w:type="dxa"/>
            <w:vMerge/>
            <w:tcBorders>
              <w:left w:val="single" w:sz="4" w:space="0" w:color="000000"/>
              <w:bottom w:val="single" w:sz="4" w:space="0" w:color="000000"/>
              <w:right w:val="single" w:sz="4" w:space="0" w:color="000000"/>
            </w:tcBorders>
          </w:tcPr>
          <w:p>
            <w:pPr/>
          </w:p>
        </w:tc>
        <w:tc>
          <w:tcPr>
            <w:tcW w:w="3145" w:type="dxa"/>
            <w:vMerge/>
            <w:tcBorders>
              <w:left w:val="single" w:sz="4" w:space="0" w:color="000000"/>
              <w:bottom w:val="single" w:sz="4" w:space="0" w:color="000000"/>
              <w:right w:val="single" w:sz="4" w:space="0" w:color="000000"/>
            </w:tcBorders>
          </w:tcPr>
          <w:p>
            <w:pP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合肥市城市管理局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12,098,691.08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联通系统集成有限公司河南省分公司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9,744,742.79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96,510,928.15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30,868,983.39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汉王制造有限公司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9,754,716.33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昆明善德永益科技开发有限公司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6,475,829.06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昆明亚雄科技有限公司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5,413,529.91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河南晨马科技有限公司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5,122,343.99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浙江大华技术股份有限公司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4,102,564.10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30,868,983.39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49,830,328.58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39,959,907.87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24.70%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公司人员增加，致使薪酬、差旅费、 办公费增加所致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101,109,279.68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82,935,768.92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21.91%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公司人员增加、研发费用增加、无形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资产摊销增加和本期新增租赁办公 楼租赁费增加所致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-9,978,268.87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-9,442,774.90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2" w:right="0"/>
              <w:jc w:val="left"/>
              <w:rPr>
                <w:rFonts w:ascii="Times New Roman" w:hAnsi="Times New Roman" w:cs="Times New Roman" w:eastAsia="Times New Roman" w:hint="default"/>
                <w:sz w:val="18"/>
                <w:szCs w:val="18"/>
              </w:rPr>
            </w:pPr>
            <w:r>
              <w:rPr>
                <w:rFonts w:ascii="Times New Roman"/>
                <w:sz w:val="18"/>
              </w:rPr>
              <w:t>-5.67%</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分期收款项目的未确认，导致融资收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48" w:firstLine="482"/>
        <w:jc w:val="both"/>
      </w:pPr>
      <w:r>
        <w:rPr>
          <w:rFonts w:ascii="宋体" w:hAnsi="宋体" w:cs="宋体" w:eastAsia="宋体" w:hint="default"/>
        </w:rPr>
        <w:t>2015</w:t>
      </w:r>
      <w:r>
        <w:rPr/>
        <w:t>年，公司为了进一步增强核心技术与产品的竞争能力，继续加强了研发投入，</w:t>
      </w:r>
      <w:r>
        <w:rPr>
          <w:rFonts w:ascii="宋体" w:hAnsi="宋体" w:cs="宋体" w:eastAsia="宋体" w:hint="default"/>
        </w:rPr>
        <w:t>2015 </w:t>
      </w:r>
      <w:r>
        <w:rPr/>
        <w:t>年研发费用总额为</w:t>
      </w:r>
      <w:r>
        <w:rPr>
          <w:rFonts w:ascii="宋体" w:hAnsi="宋体" w:cs="宋体" w:eastAsia="宋体" w:hint="default"/>
        </w:rPr>
        <w:t>57,268,941.05</w:t>
      </w:r>
      <w:r>
        <w:rPr/>
        <w:t>元，其中研发费用资本化金额合计为</w:t>
      </w:r>
      <w:r>
        <w:rPr>
          <w:rFonts w:ascii="宋体" w:hAnsi="宋体" w:cs="宋体" w:eastAsia="宋体" w:hint="default"/>
        </w:rPr>
        <w:t>24,716,985.56</w:t>
      </w:r>
      <w:r>
        <w:rPr/>
        <w:t>元，费</w:t>
      </w:r>
      <w:r>
        <w:rPr>
          <w:spacing w:val="-84"/>
        </w:rPr>
        <w:t> </w:t>
      </w:r>
      <w:r>
        <w:rPr/>
        <w:t>用化金额合计为</w:t>
      </w:r>
      <w:r>
        <w:rPr>
          <w:rFonts w:ascii="宋体" w:hAnsi="宋体" w:cs="宋体" w:eastAsia="宋体" w:hint="default"/>
        </w:rPr>
        <w:t>32,551,955.49</w:t>
      </w:r>
      <w:r>
        <w:rPr/>
        <w:t>元，研发投入占销售收入比例为</w:t>
      </w:r>
      <w:r>
        <w:rPr>
          <w:rFonts w:ascii="宋体" w:hAnsi="宋体" w:cs="宋体" w:eastAsia="宋体" w:hint="default"/>
        </w:rPr>
        <w:t>8.80%</w:t>
      </w:r>
      <w:r>
        <w:rPr/>
        <w:t>。</w:t>
      </w:r>
      <w:r>
        <w:rPr>
          <w:rFonts w:ascii="宋体" w:hAnsi="宋体" w:cs="宋体" w:eastAsia="宋体" w:hint="default"/>
        </w:rPr>
        <w:t>2016</w:t>
      </w:r>
      <w:r>
        <w:rPr/>
        <w:t>年，公司将进一</w:t>
      </w:r>
      <w:r>
        <w:rPr>
          <w:spacing w:val="-85"/>
        </w:rPr>
        <w:t> </w:t>
      </w:r>
      <w:r>
        <w:rPr>
          <w:spacing w:val="-85"/>
        </w:rPr>
      </w:r>
      <w:r>
        <w:rPr>
          <w:spacing w:val="3"/>
        </w:rPr>
        <w:t>步加大在移动互联、物联网、大数据、云计算等技术领域上继续加大研发投入。报告期内</w:t>
      </w:r>
      <w:r>
        <w:rPr>
          <w:rFonts w:ascii="宋体" w:hAnsi="宋体" w:cs="宋体" w:eastAsia="宋体" w:hint="default"/>
          <w:spacing w:val="3"/>
        </w:rPr>
        <w:t>,</w:t>
      </w:r>
      <w:r>
        <w:rPr>
          <w:rFonts w:ascii="宋体" w:hAnsi="宋体" w:cs="宋体" w:eastAsia="宋体" w:hint="default"/>
          <w:spacing w:val="-96"/>
        </w:rPr>
        <w:t> </w:t>
      </w:r>
      <w:r>
        <w:rPr/>
        <w:t>公司取得了多项软件著作权，具体如下：</w:t>
      </w:r>
    </w:p>
    <w:tbl>
      <w:tblPr>
        <w:tblW w:w="0" w:type="auto"/>
        <w:jc w:val="left"/>
        <w:tblInd w:w="148" w:type="dxa"/>
        <w:tblLayout w:type="fixed"/>
        <w:tblCellMar>
          <w:top w:w="0" w:type="dxa"/>
          <w:left w:w="0" w:type="dxa"/>
          <w:bottom w:w="0" w:type="dxa"/>
          <w:right w:w="0" w:type="dxa"/>
        </w:tblCellMar>
        <w:tblLook w:val="01E0"/>
      </w:tblPr>
      <w:tblGrid>
        <w:gridCol w:w="4700"/>
        <w:gridCol w:w="2160"/>
        <w:gridCol w:w="2161"/>
      </w:tblGrid>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hAnsi="宋体" w:cs="宋体" w:eastAsia="宋体" w:hint="default"/>
                <w:sz w:val="20"/>
                <w:szCs w:val="20"/>
              </w:rPr>
              <w:t>资质名称</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发证日期</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证书编号</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空间信息动态更新系统</w:t>
            </w:r>
            <w:r>
              <w:rPr>
                <w:rFonts w:ascii="宋体" w:hAnsi="宋体" w:cs="宋体" w:eastAsia="宋体" w:hint="default"/>
                <w:sz w:val="20"/>
                <w:szCs w:val="20"/>
              </w:rPr>
              <w:t>V1.0</w:t>
            </w:r>
            <w:r>
              <w:rPr>
                <w:rFonts w:ascii="宋体" w:hAnsi="宋体" w:cs="宋体" w:eastAsia="宋体" w:hint="default"/>
                <w:sz w:val="20"/>
                <w:szCs w:val="20"/>
              </w:rPr>
              <w:t>【简称：</w:t>
            </w:r>
            <w:r>
              <w:rPr>
                <w:rFonts w:ascii="宋体" w:hAnsi="宋体" w:cs="宋体" w:eastAsia="宋体" w:hint="default"/>
                <w:sz w:val="20"/>
                <w:szCs w:val="20"/>
              </w:rPr>
              <w:t>eGovaSIDU</w:t>
            </w:r>
            <w:r>
              <w:rPr>
                <w:rFonts w:ascii="宋体" w:hAnsi="宋体" w:cs="宋体" w:eastAsia="宋体" w:hint="default"/>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2015.1.4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2015SR000585</w:t>
            </w:r>
          </w:p>
        </w:tc>
      </w:tr>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7" w:right="0"/>
              <w:jc w:val="left"/>
              <w:rPr>
                <w:rFonts w:ascii="宋体" w:hAnsi="宋体" w:cs="宋体" w:eastAsia="宋体" w:hint="default"/>
                <w:sz w:val="20"/>
                <w:szCs w:val="20"/>
              </w:rPr>
            </w:pPr>
            <w:r>
              <w:rPr>
                <w:rFonts w:ascii="宋体" w:hAnsi="宋体" w:cs="宋体" w:eastAsia="宋体" w:hint="default"/>
                <w:sz w:val="20"/>
                <w:szCs w:val="20"/>
              </w:rPr>
              <w:t>eGova</w:t>
            </w:r>
            <w:r>
              <w:rPr>
                <w:rFonts w:ascii="宋体" w:hAnsi="宋体" w:cs="宋体" w:eastAsia="宋体" w:hint="default"/>
                <w:sz w:val="20"/>
                <w:szCs w:val="20"/>
              </w:rPr>
              <w:t>园林绿化动态监测系统</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sz w:val="20"/>
              </w:rPr>
              <w:t>2015.3.13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 w:right="0"/>
              <w:jc w:val="center"/>
              <w:rPr>
                <w:rFonts w:ascii="宋体" w:hAnsi="宋体" w:cs="宋体" w:eastAsia="宋体" w:hint="default"/>
                <w:sz w:val="20"/>
                <w:szCs w:val="20"/>
              </w:rPr>
            </w:pPr>
            <w:r>
              <w:rPr>
                <w:rFonts w:ascii="宋体"/>
                <w:sz w:val="20"/>
              </w:rPr>
              <w:t>2015SR044902</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自主全景相机标定软件</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2015.5.4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2015SR072788</w:t>
            </w:r>
          </w:p>
        </w:tc>
      </w:tr>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7" w:right="0"/>
              <w:jc w:val="left"/>
              <w:rPr>
                <w:rFonts w:ascii="宋体" w:hAnsi="宋体" w:cs="宋体" w:eastAsia="宋体" w:hint="default"/>
                <w:sz w:val="20"/>
                <w:szCs w:val="20"/>
              </w:rPr>
            </w:pPr>
            <w:r>
              <w:rPr>
                <w:rFonts w:ascii="宋体" w:hAnsi="宋体" w:cs="宋体" w:eastAsia="宋体" w:hint="default"/>
                <w:sz w:val="20"/>
                <w:szCs w:val="20"/>
              </w:rPr>
              <w:t>城市公共管理大数据综合应用服务系统</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sz w:val="20"/>
              </w:rPr>
              <w:t>2015.5.19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 w:right="0"/>
              <w:jc w:val="center"/>
              <w:rPr>
                <w:rFonts w:ascii="宋体" w:hAnsi="宋体" w:cs="宋体" w:eastAsia="宋体" w:hint="default"/>
                <w:sz w:val="20"/>
                <w:szCs w:val="20"/>
              </w:rPr>
            </w:pPr>
            <w:r>
              <w:rPr>
                <w:rFonts w:ascii="宋体"/>
                <w:sz w:val="20"/>
              </w:rPr>
              <w:t>2015SR085264</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城市管理云支撑和云服务平台</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2015.6.17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2015SR108155</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7" w:right="0"/>
              <w:jc w:val="left"/>
              <w:rPr>
                <w:rFonts w:ascii="宋体" w:hAnsi="宋体" w:cs="宋体" w:eastAsia="宋体" w:hint="default"/>
                <w:sz w:val="20"/>
                <w:szCs w:val="20"/>
              </w:rPr>
            </w:pPr>
            <w:r>
              <w:rPr>
                <w:rFonts w:ascii="宋体" w:hAnsi="宋体" w:cs="宋体" w:eastAsia="宋体" w:hint="default"/>
                <w:sz w:val="20"/>
                <w:szCs w:val="20"/>
              </w:rPr>
              <w:t>智能停车场管理系统</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sz w:val="20"/>
              </w:rPr>
              <w:t>2015.7.28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 w:right="0"/>
              <w:jc w:val="center"/>
              <w:rPr>
                <w:rFonts w:ascii="宋体" w:hAnsi="宋体" w:cs="宋体" w:eastAsia="宋体" w:hint="default"/>
                <w:sz w:val="20"/>
                <w:szCs w:val="20"/>
              </w:rPr>
            </w:pPr>
            <w:r>
              <w:rPr>
                <w:rFonts w:ascii="宋体"/>
                <w:sz w:val="20"/>
              </w:rPr>
              <w:t>2015SR145070</w:t>
            </w:r>
          </w:p>
        </w:tc>
      </w:tr>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7" w:right="0"/>
              <w:jc w:val="left"/>
              <w:rPr>
                <w:rFonts w:ascii="宋体" w:hAnsi="宋体" w:cs="宋体" w:eastAsia="宋体" w:hint="default"/>
                <w:sz w:val="20"/>
                <w:szCs w:val="20"/>
              </w:rPr>
            </w:pPr>
            <w:r>
              <w:rPr>
                <w:rFonts w:ascii="宋体" w:hAnsi="宋体" w:cs="宋体" w:eastAsia="宋体" w:hint="default"/>
                <w:sz w:val="20"/>
                <w:szCs w:val="20"/>
              </w:rPr>
              <w:t>智泊管家软件【简称：智泊管家】</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sz w:val="20"/>
              </w:rPr>
              <w:t>2015.7.28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 w:right="0"/>
              <w:jc w:val="center"/>
              <w:rPr>
                <w:rFonts w:ascii="宋体" w:hAnsi="宋体" w:cs="宋体" w:eastAsia="宋体" w:hint="default"/>
                <w:sz w:val="20"/>
                <w:szCs w:val="20"/>
              </w:rPr>
            </w:pPr>
            <w:r>
              <w:rPr>
                <w:rFonts w:ascii="宋体"/>
                <w:sz w:val="20"/>
              </w:rPr>
              <w:t>2015SR145276</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停车收费系统</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2015SR145271</w:t>
            </w:r>
          </w:p>
        </w:tc>
      </w:tr>
      <w:tr>
        <w:trPr>
          <w:trHeight w:val="346"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7" w:right="0"/>
              <w:jc w:val="left"/>
              <w:rPr>
                <w:rFonts w:ascii="宋体" w:hAnsi="宋体" w:cs="宋体" w:eastAsia="宋体" w:hint="default"/>
                <w:sz w:val="20"/>
                <w:szCs w:val="20"/>
              </w:rPr>
            </w:pPr>
            <w:r>
              <w:rPr>
                <w:rFonts w:ascii="宋体" w:hAnsi="宋体" w:cs="宋体" w:eastAsia="宋体" w:hint="default"/>
                <w:sz w:val="20"/>
                <w:szCs w:val="20"/>
              </w:rPr>
              <w:t>移动岗亭软件【简称：移动岗亭】</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sz w:val="20"/>
              </w:rPr>
              <w:t>2015.7.28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 w:right="0"/>
              <w:jc w:val="center"/>
              <w:rPr>
                <w:rFonts w:ascii="宋体" w:hAnsi="宋体" w:cs="宋体" w:eastAsia="宋体" w:hint="default"/>
                <w:sz w:val="20"/>
                <w:szCs w:val="20"/>
              </w:rPr>
            </w:pPr>
            <w:r>
              <w:rPr>
                <w:rFonts w:ascii="宋体"/>
                <w:sz w:val="20"/>
              </w:rPr>
              <w:t>2015SR145263</w:t>
            </w:r>
          </w:p>
        </w:tc>
      </w:tr>
      <w:tr>
        <w:trPr>
          <w:trHeight w:val="348" w:hRule="exact"/>
        </w:trPr>
        <w:tc>
          <w:tcPr>
            <w:tcW w:w="47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停车企业运营云平台</w:t>
            </w:r>
            <w:r>
              <w:rPr>
                <w:rFonts w:ascii="宋体" w:hAnsi="宋体" w:cs="宋体" w:eastAsia="宋体" w:hint="default"/>
                <w:sz w:val="20"/>
                <w:szCs w:val="20"/>
              </w:rPr>
              <w:t>V1.0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sz w:val="20"/>
              </w:rPr>
              <w:t>2015.7.27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sz w:val="20"/>
              </w:rPr>
              <w:t>2015SR144173</w:t>
            </w:r>
          </w:p>
        </w:tc>
      </w:tr>
    </w:tbl>
    <w:p>
      <w:pPr>
        <w:spacing w:line="240" w:lineRule="auto" w:before="13"/>
        <w:rPr>
          <w:rFonts w:ascii="宋体" w:hAnsi="宋体" w:cs="宋体" w:eastAsia="宋体" w:hint="default"/>
          <w:sz w:val="23"/>
          <w:szCs w:val="23"/>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28.76%</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57,268,941.05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57,368,233.35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43,670,685.47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24,716,985.56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26,946,660.15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20,294,985.26</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46.47%</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21.58%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707,034,895.49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453,101,923.73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582,529,692.36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512,378,634.20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124,505,203.13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-59,276,710.47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374,536,876.70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394,149.34%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344,613,327.13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402,437,957.77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29,923,549.57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-402,342,957.77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351,684,367.24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174,666,197.00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162,296,155.24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164,150,264.17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189,388,212.00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10,515,932.83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1,700.96%</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343,816,964.70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-451,103,735.41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38" w:firstLine="480"/>
        <w:jc w:val="left"/>
      </w:pPr>
      <w:r>
        <w:rPr>
          <w:spacing w:val="-2"/>
        </w:rPr>
        <w:t>经营活动产生的现金流量净额同比增加</w:t>
      </w:r>
      <w:r>
        <w:rPr>
          <w:rFonts w:ascii="宋体" w:hAnsi="宋体" w:cs="宋体" w:eastAsia="宋体" w:hint="default"/>
          <w:spacing w:val="-2"/>
        </w:rPr>
        <w:t>310.04%</w:t>
      </w:r>
      <w:r>
        <w:rPr>
          <w:spacing w:val="-2"/>
        </w:rPr>
        <w:t>，主要是报告期内销售商品收到的现金增</w:t>
      </w:r>
      <w:r>
        <w:rPr/>
        <w:t> 加和增值税税费返还增加所致；</w:t>
      </w:r>
    </w:p>
    <w:p>
      <w:pPr>
        <w:pStyle w:val="BodyText"/>
        <w:spacing w:line="357" w:lineRule="auto"/>
        <w:ind w:right="142" w:firstLine="480"/>
        <w:jc w:val="left"/>
      </w:pPr>
      <w:r>
        <w:rPr>
          <w:spacing w:val="-2"/>
        </w:rPr>
        <w:t>投资活动现金流入小计同比增加</w:t>
      </w:r>
      <w:r>
        <w:rPr>
          <w:rFonts w:ascii="宋体" w:hAnsi="宋体" w:cs="宋体" w:eastAsia="宋体" w:hint="default"/>
          <w:spacing w:val="-2"/>
        </w:rPr>
        <w:t>394,149.34%</w:t>
      </w:r>
      <w:r>
        <w:rPr>
          <w:spacing w:val="-2"/>
        </w:rPr>
        <w:t>，主要是报告期内定期存款转为活期存款和</w:t>
      </w:r>
      <w:r>
        <w:rPr/>
        <w:t> 理财产品到期转回所致；</w:t>
      </w:r>
    </w:p>
    <w:p>
      <w:pPr>
        <w:pStyle w:val="BodyText"/>
        <w:spacing w:line="357" w:lineRule="auto"/>
        <w:ind w:left="633" w:right="139"/>
        <w:jc w:val="left"/>
      </w:pPr>
      <w:r>
        <w:rPr/>
        <w:t>筹资活动现金流入小计同比增加</w:t>
      </w:r>
      <w:r>
        <w:rPr>
          <w:rFonts w:ascii="宋体" w:hAnsi="宋体" w:cs="宋体" w:eastAsia="宋体" w:hint="default"/>
        </w:rPr>
        <w:t>101.35%</w:t>
      </w:r>
      <w:r>
        <w:rPr/>
        <w:t>，主要是报告期内借款增加所致； </w:t>
      </w:r>
      <w:r>
        <w:rPr>
          <w:spacing w:val="-2"/>
        </w:rPr>
        <w:t>筹资活动产生的现金流量净额同比增加</w:t>
      </w:r>
      <w:r>
        <w:rPr>
          <w:rFonts w:ascii="宋体" w:hAnsi="宋体" w:cs="宋体" w:eastAsia="宋体" w:hint="default"/>
          <w:spacing w:val="-2"/>
        </w:rPr>
        <w:t>1,700.96%</w:t>
      </w:r>
      <w:r>
        <w:rPr>
          <w:spacing w:val="-2"/>
        </w:rPr>
        <w:t>，主要是本年贷款增加，尚未到期归还</w:t>
      </w:r>
    </w:p>
    <w:p>
      <w:pPr>
        <w:spacing w:after="0" w:line="357"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153"/>
        <w:jc w:val="left"/>
      </w:pPr>
      <w:r>
        <w:rPr/>
        <w:t>所致；</w:t>
      </w:r>
    </w:p>
    <w:p>
      <w:pPr>
        <w:pStyle w:val="BodyText"/>
        <w:spacing w:line="357" w:lineRule="auto" w:before="154"/>
        <w:ind w:right="138" w:firstLine="480"/>
        <w:jc w:val="left"/>
      </w:pPr>
      <w:r>
        <w:rPr>
          <w:spacing w:val="-2"/>
        </w:rPr>
        <w:t>现金及现金等价物净增加额同比增加</w:t>
      </w:r>
      <w:r>
        <w:rPr>
          <w:rFonts w:ascii="宋体" w:hAnsi="宋体" w:cs="宋体" w:eastAsia="宋体" w:hint="default"/>
          <w:spacing w:val="-2"/>
        </w:rPr>
        <w:t>176.22%</w:t>
      </w:r>
      <w:r>
        <w:rPr>
          <w:spacing w:val="-2"/>
        </w:rPr>
        <w:t>，主要是本年销售商品收回款项增加，税费</w:t>
      </w:r>
      <w:r>
        <w:rPr/>
        <w:t> 返还增加，上年定期存款到期计入现金及现金等价物。</w:t>
      </w:r>
    </w:p>
    <w:p>
      <w:pPr>
        <w:spacing w:before="46"/>
        <w:ind w:left="152" w:right="15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149,369.87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理财产品投资和股权投资损 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18,636,807.12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政府补助及固定资产处置</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375,689.54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583,794,508.7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31.37%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547,524,539.13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38.78%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-7.41%</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488,407,779.6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26.25%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364,451,160.39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25.81%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0.44%</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47,173,400.55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46,745,287.17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52,993,094.99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16.48%</w:t>
            </w:r>
          </w:p>
        </w:tc>
        <w:tc>
          <w:tcPr>
            <w:tcW w:w="1195"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16.48%</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28,969,072.22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83,709,393.59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145,105,044.9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7.80%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125,139,030.75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8.86%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-1.06%</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8"/>
        <w:gridCol w:w="1218"/>
        <w:gridCol w:w="1210"/>
        <w:gridCol w:w="1212"/>
        <w:gridCol w:w="1208"/>
        <w:gridCol w:w="1218"/>
        <w:gridCol w:w="1213"/>
        <w:gridCol w:w="1075"/>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1"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61"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0" w:right="54"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22"/>
              <w:jc w:val="right"/>
              <w:rPr>
                <w:rFonts w:ascii="宋体" w:hAnsi="宋体" w:cs="宋体" w:eastAsia="宋体" w:hint="default"/>
                <w:sz w:val="18"/>
                <w:szCs w:val="18"/>
              </w:rPr>
            </w:pPr>
            <w:r>
              <w:rPr>
                <w:rFonts w:ascii="宋体" w:hAnsi="宋体" w:cs="宋体" w:eastAsia="宋体" w:hint="default"/>
                <w:sz w:val="18"/>
                <w:szCs w:val="18"/>
              </w:rPr>
              <w:t>项目</w:t>
            </w: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0"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3,000,000.00</w:t>
            </w:r>
          </w:p>
        </w:tc>
      </w:tr>
      <w:tr>
        <w:trPr>
          <w:trHeight w:val="40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3,000,000.00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400,500,000.00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6,750.00%</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027"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政通智 慧城市 运营科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105"/>
              <w:jc w:val="both"/>
              <w:rPr>
                <w:rFonts w:ascii="宋体" w:hAnsi="宋体" w:cs="宋体" w:eastAsia="宋体" w:hint="default"/>
                <w:sz w:val="18"/>
                <w:szCs w:val="18"/>
              </w:rPr>
            </w:pPr>
            <w:r>
              <w:rPr>
                <w:rFonts w:ascii="宋体" w:hAnsi="宋体" w:cs="宋体" w:eastAsia="宋体" w:hint="default"/>
                <w:sz w:val="18"/>
                <w:szCs w:val="18"/>
              </w:rPr>
              <w:t>智慧城 市运营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吴强华</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软件和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0" w:lineRule="auto"/>
              <w:ind w:left="26" w:right="44"/>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重庆小 爱科技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left"/>
              <w:rPr>
                <w:rFonts w:ascii="宋体" w:hAnsi="宋体" w:cs="宋体" w:eastAsia="宋体" w:hint="default"/>
                <w:sz w:val="18"/>
                <w:szCs w:val="18"/>
              </w:rPr>
            </w:pPr>
            <w:r>
              <w:rPr>
                <w:rFonts w:ascii="宋体" w:hAnsi="宋体" w:cs="宋体" w:eastAsia="宋体" w:hint="default"/>
                <w:sz w:val="18"/>
                <w:szCs w:val="18"/>
              </w:rPr>
              <w:t>互联网 医疗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龙汝 倩、吴 克忠等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软件和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44"/>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北京数 聚联盟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left"/>
              <w:rPr>
                <w:rFonts w:ascii="宋体" w:hAnsi="宋体" w:cs="宋体" w:eastAsia="宋体" w:hint="default"/>
                <w:sz w:val="18"/>
                <w:szCs w:val="18"/>
              </w:rPr>
            </w:pPr>
            <w:r>
              <w:rPr>
                <w:rFonts w:ascii="宋体" w:hAnsi="宋体" w:cs="宋体" w:eastAsia="宋体" w:hint="default"/>
                <w:sz w:val="18"/>
                <w:szCs w:val="18"/>
              </w:rPr>
              <w:t>大数据 服务商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3"/>
              <w:ind w:left="223"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吴强 华、肖 彤等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软件和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-1,835,8</w:t>
            </w:r>
          </w:p>
          <w:p>
            <w:pPr>
              <w:pStyle w:val="TableParagraph"/>
              <w:spacing w:line="240" w:lineRule="auto" w:before="103"/>
              <w:ind w:left="224" w:right="0"/>
              <w:jc w:val="center"/>
              <w:rPr>
                <w:rFonts w:ascii="Times New Roman" w:hAnsi="Times New Roman" w:cs="Times New Roman" w:eastAsia="Times New Roman" w:hint="default"/>
                <w:sz w:val="18"/>
                <w:szCs w:val="18"/>
              </w:rPr>
            </w:pPr>
            <w:r>
              <w:rPr>
                <w:rFonts w:ascii="Times New Roman"/>
                <w:sz w:val="18"/>
              </w:rPr>
              <w:t>13.04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6" w:right="44"/>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bl>
    <w:p>
      <w:pPr>
        <w:spacing w:after="0" w:line="36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北京天 健源达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105"/>
              <w:jc w:val="left"/>
              <w:rPr>
                <w:rFonts w:ascii="宋体" w:hAnsi="宋体" w:cs="宋体" w:eastAsia="宋体" w:hint="default"/>
                <w:sz w:val="18"/>
                <w:szCs w:val="18"/>
              </w:rPr>
            </w:pPr>
            <w:r>
              <w:rPr>
                <w:rFonts w:ascii="宋体" w:hAnsi="宋体" w:cs="宋体" w:eastAsia="宋体" w:hint="default"/>
                <w:sz w:val="18"/>
                <w:szCs w:val="18"/>
              </w:rPr>
              <w:t>智慧医 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吴强 华、姜 跃滨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7"/>
              <w:jc w:val="left"/>
              <w:rPr>
                <w:rFonts w:ascii="宋体" w:hAnsi="宋体" w:cs="宋体" w:eastAsia="宋体" w:hint="default"/>
                <w:sz w:val="18"/>
                <w:szCs w:val="18"/>
              </w:rPr>
            </w:pPr>
            <w:r>
              <w:rPr>
                <w:rFonts w:ascii="宋体" w:hAnsi="宋体" w:cs="宋体" w:eastAsia="宋体" w:hint="default"/>
                <w:sz w:val="18"/>
                <w:szCs w:val="18"/>
              </w:rPr>
              <w:t>软件和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44"/>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r>
        <w:trPr>
          <w:trHeight w:val="321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保定金 迪地下 管线探 测工程 有限公 司、保 定市金 迪科技 开发有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26" w:right="105"/>
              <w:jc w:val="left"/>
              <w:rPr>
                <w:rFonts w:ascii="宋体" w:hAnsi="宋体" w:cs="宋体" w:eastAsia="宋体" w:hint="default"/>
                <w:sz w:val="18"/>
                <w:szCs w:val="18"/>
              </w:rPr>
            </w:pPr>
            <w:r>
              <w:rPr>
                <w:rFonts w:ascii="宋体" w:hAnsi="宋体" w:cs="宋体" w:eastAsia="宋体" w:hint="default"/>
                <w:sz w:val="18"/>
                <w:szCs w:val="18"/>
              </w:rPr>
              <w:t>地下管 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306,000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23" w:right="10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08"/>
              <w:jc w:val="both"/>
              <w:rPr>
                <w:rFonts w:ascii="宋体" w:hAnsi="宋体" w:cs="宋体" w:eastAsia="宋体" w:hint="default"/>
                <w:sz w:val="18"/>
                <w:szCs w:val="18"/>
              </w:rPr>
            </w:pPr>
            <w:r>
              <w:rPr>
                <w:rFonts w:ascii="宋体" w:hAnsi="宋体" w:cs="宋体" w:eastAsia="宋体" w:hint="default"/>
                <w:sz w:val="18"/>
                <w:szCs w:val="18"/>
              </w:rPr>
              <w:t>中国冶 金地质 总局地 球物理 勘查院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23" w:right="107"/>
              <w:jc w:val="left"/>
              <w:rPr>
                <w:rFonts w:ascii="宋体" w:hAnsi="宋体" w:cs="宋体" w:eastAsia="宋体" w:hint="default"/>
                <w:sz w:val="18"/>
                <w:szCs w:val="18"/>
              </w:rPr>
            </w:pPr>
            <w:r>
              <w:rPr>
                <w:rFonts w:ascii="宋体" w:hAnsi="宋体" w:cs="宋体" w:eastAsia="宋体" w:hint="default"/>
                <w:sz w:val="18"/>
                <w:szCs w:val="18"/>
              </w:rPr>
              <w:t>软件和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60" w:lineRule="auto"/>
              <w:ind w:left="26" w:right="44"/>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w:t>
            </w:r>
            <w:r>
              <w:rPr>
                <w:rFonts w:ascii="Times New Roman"/>
                <w:sz w:val="18"/>
              </w:rPr>
              <w:t> fo.com. cn</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400,500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-1,831,0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85.15</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10,310.15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56,514.87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22,616.47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10,310.15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56,514.87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22,616.47</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11"/>
        <w:rPr>
          <w:rFonts w:ascii="宋体" w:hAnsi="宋体" w:cs="宋体" w:eastAsia="宋体" w:hint="default"/>
          <w:sz w:val="28"/>
          <w:szCs w:val="28"/>
        </w:rPr>
      </w:pPr>
    </w:p>
    <w:p>
      <w:pPr>
        <w:spacing w:line="1027" w:lineRule="exact"/>
        <w:ind w:left="152" w:right="0" w:firstLine="0"/>
        <w:rPr>
          <w:rFonts w:ascii="宋体" w:hAnsi="宋体" w:cs="宋体" w:eastAsia="宋体" w:hint="default"/>
          <w:sz w:val="20"/>
          <w:szCs w:val="20"/>
        </w:rPr>
      </w:pPr>
      <w:r>
        <w:rPr>
          <w:rFonts w:ascii="宋体" w:hAnsi="宋体" w:cs="宋体" w:eastAsia="宋体" w:hint="default"/>
          <w:position w:val="-20"/>
          <w:sz w:val="20"/>
          <w:szCs w:val="20"/>
        </w:rPr>
        <w:pict>
          <v:shape style="width:478.3pt;height:51.4pt;mso-position-horizontal-relative:char;mso-position-vertical-relative:line" type="#_x0000_t202" filled="false" stroked="true" strokeweight=".48004pt" strokecolor="#000000">
            <w10:anchorlock/>
            <v:textbox inset="0,0,0,0">
              <w:txbxContent>
                <w:p>
                  <w:pPr>
                    <w:spacing w:before="49"/>
                    <w:ind w:left="23" w:right="0" w:firstLine="0"/>
                    <w:jc w:val="left"/>
                    <w:rPr>
                      <w:rFonts w:ascii="宋体" w:hAnsi="宋体" w:cs="宋体" w:eastAsia="宋体" w:hint="default"/>
                      <w:sz w:val="18"/>
                      <w:szCs w:val="18"/>
                    </w:rPr>
                  </w:pPr>
                  <w:r>
                    <w:rPr>
                      <w:rFonts w:ascii="宋体" w:hAnsi="宋体" w:cs="宋体" w:eastAsia="宋体" w:hint="default"/>
                      <w:sz w:val="18"/>
                      <w:szCs w:val="18"/>
                    </w:rPr>
                    <w:t>公司上市募集资金总额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万元，根据中瑞岳华会计师事务所出具的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中瑞岳华验字【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的验资报告，</w:t>
                  </w:r>
                </w:p>
                <w:p>
                  <w:pPr>
                    <w:spacing w:before="63"/>
                    <w:ind w:left="23" w:right="0" w:firstLine="0"/>
                    <w:jc w:val="left"/>
                    <w:rPr>
                      <w:rFonts w:ascii="宋体" w:hAnsi="宋体" w:cs="宋体" w:eastAsia="宋体" w:hint="default"/>
                      <w:sz w:val="18"/>
                      <w:szCs w:val="18"/>
                    </w:rPr>
                  </w:pPr>
                  <w:r>
                    <w:rPr>
                      <w:rFonts w:ascii="宋体" w:hAnsi="宋体" w:cs="宋体" w:eastAsia="宋体" w:hint="default"/>
                      <w:sz w:val="18"/>
                      <w:szCs w:val="18"/>
                    </w:rPr>
                    <w:t>在扣除全部承销及保荐等费用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4,452.00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万元和其他发行费用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892.70 </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万元后，实际募集资金净额为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70,255.30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万元，超募资</w:t>
                  </w:r>
                </w:p>
                <w:p>
                  <w:pPr>
                    <w:spacing w:before="63"/>
                    <w:ind w:left="23" w:right="0" w:firstLine="0"/>
                    <w:jc w:val="left"/>
                    <w:rPr>
                      <w:rFonts w:ascii="宋体" w:hAnsi="宋体" w:cs="宋体" w:eastAsia="宋体" w:hint="default"/>
                      <w:sz w:val="18"/>
                      <w:szCs w:val="18"/>
                    </w:rPr>
                  </w:pPr>
                  <w:r>
                    <w:rPr>
                      <w:rFonts w:ascii="宋体" w:hAnsi="宋体" w:cs="宋体" w:eastAsia="宋体" w:hint="default"/>
                      <w:sz w:val="18"/>
                      <w:szCs w:val="18"/>
                    </w:rPr>
                    <w:t>金 </w:t>
                  </w:r>
                  <w:r>
                    <w:rPr>
                      <w:rFonts w:ascii="Times New Roman" w:hAnsi="Times New Roman" w:cs="Times New Roman" w:eastAsia="Times New Roman" w:hint="default"/>
                      <w:sz w:val="18"/>
                      <w:szCs w:val="18"/>
                    </w:rPr>
                    <w:t>566,973,000.00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20"/>
          <w:sz w:val="20"/>
          <w:szCs w:val="20"/>
        </w:rPr>
      </w:r>
    </w:p>
    <w:p>
      <w:pPr>
        <w:spacing w:line="240" w:lineRule="auto" w:before="8"/>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2"/>
        <w:gridCol w:w="737"/>
        <w:gridCol w:w="723"/>
        <w:gridCol w:w="716"/>
        <w:gridCol w:w="717"/>
        <w:gridCol w:w="702"/>
        <w:gridCol w:w="734"/>
        <w:gridCol w:w="718"/>
        <w:gridCol w:w="718"/>
        <w:gridCol w:w="720"/>
        <w:gridCol w:w="718"/>
        <w:gridCol w:w="710"/>
      </w:tblGrid>
      <w:tr>
        <w:trPr>
          <w:trHeight w:val="1649"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70"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2"/>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0" w:right="8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数字城 管系统项目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3,980.59</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3,980.59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2,648.15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21,766.0</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、数字社区管理与 服务系统项目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2,828.01</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2,828.01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2,252.97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4,208.91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、专业网格化系统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2,228.74</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2,228.74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2,026.62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3,693.02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、金土工程</w:t>
            </w:r>
            <w:r>
              <w:rPr>
                <w:rFonts w:ascii="Times New Roman" w:hAnsi="Times New Roman" w:cs="Times New Roman" w:eastAsia="Times New Roman" w:hint="default"/>
                <w:sz w:val="18"/>
                <w:szCs w:val="18"/>
              </w:rPr>
              <w:t>“</w:t>
            </w:r>
            <w:r>
              <w:rPr>
                <w:rFonts w:ascii="宋体" w:hAnsi="宋体" w:cs="宋体" w:eastAsia="宋体" w:hint="default"/>
                <w:sz w:val="18"/>
                <w:szCs w:val="18"/>
              </w:rPr>
              <w:t>一张 图</w:t>
            </w:r>
            <w:r>
              <w:rPr>
                <w:rFonts w:ascii="Times New Roman" w:hAnsi="Times New Roman" w:cs="Times New Roman" w:eastAsia="Times New Roman" w:hint="default"/>
                <w:sz w:val="18"/>
                <w:szCs w:val="18"/>
              </w:rPr>
              <w:t>”</w:t>
            </w:r>
            <w:r>
              <w:rPr>
                <w:rFonts w:ascii="宋体" w:hAnsi="宋体" w:cs="宋体" w:eastAsia="宋体" w:hint="default"/>
                <w:sz w:val="18"/>
                <w:szCs w:val="18"/>
              </w:rPr>
              <w:t>监管系统研发项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3,090.44</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3,090.44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2,723.86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结余募投项目资金 补充流动资金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3,221.15</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3,221.15</w:t>
            </w:r>
          </w:p>
        </w:tc>
        <w:tc>
          <w:tcPr>
            <w:tcW w:w="73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15,000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15,348.9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w:t>
            </w:r>
          </w:p>
        </w:tc>
        <w:tc>
          <w:tcPr>
            <w:tcW w:w="717" w:type="dxa"/>
            <w:vMerge w:val="restart"/>
            <w:tcBorders>
              <w:top w:val="single" w:sz="4" w:space="0" w:color="000000"/>
              <w:left w:val="single" w:sz="4" w:space="0" w:color="000000"/>
              <w:right w:val="single" w:sz="4" w:space="0" w:color="000000"/>
            </w:tcBorders>
          </w:tcPr>
          <w:p>
            <w:pPr/>
          </w:p>
        </w:tc>
        <w:tc>
          <w:tcPr>
            <w:tcW w:w="702" w:type="dxa"/>
            <w:vMerge w:val="restart"/>
            <w:tcBorders>
              <w:top w:val="single" w:sz="4" w:space="0" w:color="000000"/>
              <w:left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15,348.9</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7,681.74</w:t>
            </w:r>
          </w:p>
        </w:tc>
        <w:tc>
          <w:tcPr>
            <w:tcW w:w="720" w:type="dxa"/>
            <w:vMerge w:val="restart"/>
            <w:tcBorders>
              <w:top w:val="single" w:sz="4" w:space="0" w:color="000000"/>
              <w:left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32,391.8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10" w:space="0" w:color="D2D2D2"/>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20"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10" w:space="0" w:color="D2D2D2"/>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Ladybug3 </w:t>
            </w:r>
            <w:r>
              <w:rPr>
                <w:rFonts w:ascii="宋体" w:hAnsi="宋体" w:cs="宋体" w:eastAsia="宋体" w:hint="default"/>
                <w:sz w:val="18"/>
                <w:szCs w:val="18"/>
              </w:rPr>
              <w:t>的车 载激光扫描系统研 </w:t>
            </w:r>
            <w:r>
              <w:rPr>
                <w:rFonts w:ascii="宋体" w:hAnsi="宋体" w:cs="宋体" w:eastAsia="宋体" w:hint="default"/>
                <w:spacing w:val="-3"/>
                <w:sz w:val="18"/>
                <w:szCs w:val="18"/>
              </w:rPr>
              <w:t>制、集成和应用项目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4,627.72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4,627.72</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4,398.4</w:t>
            </w:r>
          </w:p>
          <w:p>
            <w:pPr>
              <w:pStyle w:val="TableParagraph"/>
              <w:spacing w:line="240" w:lineRule="auto" w:before="105"/>
              <w:ind w:right="57"/>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95.05%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973.95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3,198.31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武汉研发中心项目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4,464.69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4,464.69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110.15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4,077.5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77"/>
              <w:jc w:val="left"/>
              <w:rPr>
                <w:rFonts w:ascii="宋体" w:hAnsi="宋体" w:cs="宋体" w:eastAsia="宋体" w:hint="default"/>
                <w:sz w:val="18"/>
                <w:szCs w:val="18"/>
              </w:rPr>
            </w:pPr>
            <w:r>
              <w:rPr>
                <w:rFonts w:ascii="宋体" w:hAnsi="宋体" w:cs="宋体" w:eastAsia="宋体" w:hint="default"/>
                <w:sz w:val="18"/>
                <w:szCs w:val="18"/>
              </w:rPr>
              <w:t>收购北京汉王智通 科技有限公司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10,690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10,690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637.89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4,214.34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52"/>
        <w:gridCol w:w="737"/>
        <w:gridCol w:w="721"/>
        <w:gridCol w:w="715"/>
        <w:gridCol w:w="718"/>
        <w:gridCol w:w="667"/>
        <w:gridCol w:w="768"/>
        <w:gridCol w:w="718"/>
        <w:gridCol w:w="718"/>
        <w:gridCol w:w="721"/>
        <w:gridCol w:w="718"/>
        <w:gridCol w:w="713"/>
      </w:tblGrid>
      <w:tr>
        <w:trPr>
          <w:trHeight w:val="10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设立全资子公司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增资北京天健源达 科技有限公司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支付国有股权竞拍 并购款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20,000</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20,000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20,000</w:t>
            </w:r>
          </w:p>
        </w:tc>
        <w:tc>
          <w:tcPr>
            <w:tcW w:w="768"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2" w:type="dxa"/>
            <w:vMerge/>
            <w:tcBorders>
              <w:left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68"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63,532.4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67" w:type="dxa"/>
            <w:vMerge w:val="restart"/>
            <w:tcBorders>
              <w:top w:val="single" w:sz="4" w:space="0" w:color="000000"/>
              <w:left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41,165.</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94</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1,611.84</w:t>
            </w:r>
          </w:p>
        </w:tc>
        <w:tc>
          <w:tcPr>
            <w:tcW w:w="721"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7,412.65</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10"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21"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10"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78,532.4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79,131.3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10,310.1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667" w:type="dxa"/>
            <w:vMerge w:val="restart"/>
            <w:tcBorders>
              <w:top w:val="single" w:sz="4" w:space="0" w:color="000000"/>
              <w:left w:val="single" w:sz="4" w:space="0" w:color="000000"/>
              <w:right w:val="single" w:sz="10"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56,514.</w:t>
            </w:r>
          </w:p>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87</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9,293.58</w:t>
            </w:r>
          </w:p>
        </w:tc>
        <w:tc>
          <w:tcPr>
            <w:tcW w:w="721" w:type="dxa"/>
            <w:vMerge w:val="restart"/>
            <w:tcBorders>
              <w:top w:val="single" w:sz="4" w:space="0" w:color="000000"/>
              <w:left w:val="single" w:sz="4" w:space="0" w:color="000000"/>
              <w:right w:val="single" w:sz="10" w:space="0" w:color="D2D2D2"/>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39,804.4</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10"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21"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10"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21"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338" w:lineRule="auto" w:before="49"/>
              <w:ind w:left="16" w:right="45"/>
              <w:jc w:val="left"/>
              <w:rPr>
                <w:rFonts w:ascii="宋体" w:hAnsi="宋体" w:cs="宋体" w:eastAsia="宋体" w:hint="default"/>
                <w:sz w:val="18"/>
                <w:szCs w:val="18"/>
              </w:rPr>
            </w:pPr>
            <w:r>
              <w:rPr>
                <w:rFonts w:ascii="宋体" w:hAnsi="宋体" w:cs="宋体" w:eastAsia="宋体" w:hint="default"/>
                <w:sz w:val="18"/>
                <w:szCs w:val="18"/>
              </w:rPr>
              <w:t>超募资金项目中：</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年武汉研发中心项目已完成房屋建设及入住验收，尚有部分尾款未付； </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、根据协议约定，增资北京天健源达科技有限公司的事项需要天健源达从外商独资企业变更为内资 企业，因变更手续涉及多个部门，流程较为繁琐，预计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日前可完成增资；</w:t>
            </w:r>
          </w:p>
          <w:p>
            <w:pPr>
              <w:pStyle w:val="TableParagraph"/>
              <w:spacing w:line="240" w:lineRule="auto" w:before="2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、支付国有股权竞拍并购款已于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年一季度完成。</w:t>
            </w:r>
          </w:p>
        </w:tc>
      </w:tr>
      <w:tr>
        <w:trPr>
          <w:trHeight w:val="1015"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10" w:space="0" w:color="D2D2D2"/>
              <w:right w:val="single" w:sz="4" w:space="0" w:color="000000"/>
            </w:tcBorders>
          </w:tcPr>
          <w:p>
            <w:pPr/>
          </w:p>
        </w:tc>
      </w:tr>
      <w:tr>
        <w:trPr>
          <w:trHeight w:val="221"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10" w:space="0" w:color="D2D2D2"/>
              <w:bottom w:val="single" w:sz="4" w:space="0" w:color="000000"/>
              <w:right w:val="single" w:sz="4" w:space="0" w:color="000000"/>
            </w:tcBorders>
          </w:tcPr>
          <w:p>
            <w:pPr/>
          </w:p>
        </w:tc>
      </w:tr>
      <w:tr>
        <w:trPr>
          <w:trHeight w:val="716"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52"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93" w:hRule="exact"/>
        </w:trPr>
        <w:tc>
          <w:tcPr>
            <w:tcW w:w="1652"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、公司首次公开发行所募得超募资金为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566,973,000.00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元人民币。</w:t>
            </w:r>
          </w:p>
          <w:p>
            <w:pPr>
              <w:pStyle w:val="TableParagraph"/>
              <w:spacing w:line="300" w:lineRule="auto" w:before="101"/>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日，公司第一届董事会第十四次会议审议通过了《关于使用超募资金建设基于 </w:t>
            </w:r>
            <w:r>
              <w:rPr>
                <w:rFonts w:ascii="Times New Roman" w:hAnsi="Times New Roman" w:cs="Times New Roman" w:eastAsia="Times New Roman" w:hint="default"/>
                <w:spacing w:val="-1"/>
                <w:sz w:val="18"/>
                <w:szCs w:val="18"/>
              </w:rPr>
              <w:t>Ladybug3</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的车载激光扫描系统研制、集成和应用项目的议案》，公司使用</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4,627.72</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万元超募资金建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设基于</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Ladybug3</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的车载激光扫描系统研制、集成和应用项目，在未来两年内生产</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台基于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Ladybug3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的车载激光扫描系统和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台便携式激光扫描系统。截止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日，该项目已投入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4,398.44 </w:t>
            </w:r>
            <w:r>
              <w:rPr>
                <w:rFonts w:ascii="宋体" w:hAnsi="宋体" w:cs="宋体" w:eastAsia="宋体" w:hint="default"/>
                <w:sz w:val="18"/>
                <w:szCs w:val="18"/>
              </w:rPr>
              <w:t>万元。</w:t>
            </w:r>
          </w:p>
          <w:p>
            <w:pPr>
              <w:pStyle w:val="TableParagraph"/>
              <w:spacing w:line="240" w:lineRule="auto" w:before="7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日，公司第一届董事会第二十一次会议审议通过《关于利用部分超募资金投资设</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立武汉研发中心的议案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拟使用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w:t>
            </w:r>
            <w:r>
              <w:rPr>
                <w:rFonts w:ascii="宋体" w:hAnsi="宋体" w:cs="宋体" w:eastAsia="宋体" w:hint="default"/>
                <w:spacing w:val="-3"/>
                <w:sz w:val="18"/>
                <w:szCs w:val="18"/>
              </w:rPr>
              <w:t>金</w:t>
            </w:r>
            <w:r>
              <w:rPr>
                <w:rFonts w:ascii="宋体" w:hAnsi="宋体" w:cs="宋体" w:eastAsia="宋体" w:hint="default"/>
                <w:sz w:val="18"/>
                <w:szCs w:val="18"/>
              </w:rPr>
              <w:t>在湖北省武汉市东湖高新区光谷金融港</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内投资设立武汉研发中心。截止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日，该项目已投入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16"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月审议通过了使用部分超募资金永久性补充流动资金的议案，使用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万元超募资金</w:t>
            </w:r>
          </w:p>
          <w:p>
            <w:pPr>
              <w:pStyle w:val="TableParagraph"/>
              <w:spacing w:line="300" w:lineRule="auto" w:before="63"/>
              <w:ind w:left="16" w:right="41"/>
              <w:jc w:val="left"/>
              <w:rPr>
                <w:rFonts w:ascii="宋体" w:hAnsi="宋体" w:cs="宋体" w:eastAsia="宋体" w:hint="default"/>
                <w:sz w:val="18"/>
                <w:szCs w:val="18"/>
              </w:rPr>
            </w:pPr>
            <w:r>
              <w:rPr>
                <w:rFonts w:ascii="宋体" w:hAnsi="宋体" w:cs="宋体" w:eastAsia="宋体" w:hint="default"/>
                <w:sz w:val="18"/>
                <w:szCs w:val="18"/>
              </w:rPr>
              <w:t>永久补充流动资金，有利于缓解流动资金的需求压力，提升募集资金使用效率。公司已于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 成该次超募资金补充流动资金。</w:t>
            </w:r>
          </w:p>
          <w:p>
            <w:pPr>
              <w:pStyle w:val="TableParagraph"/>
              <w:spacing w:line="300" w:lineRule="auto" w:before="72"/>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日，公司第二届董事会第五次会议审议通过《关于使用部分超募资金设立全资子 </w:t>
            </w:r>
            <w:r>
              <w:rPr>
                <w:rFonts w:ascii="宋体" w:hAnsi="宋体" w:cs="宋体" w:eastAsia="宋体" w:hint="default"/>
                <w:spacing w:val="-3"/>
                <w:sz w:val="18"/>
                <w:szCs w:val="18"/>
              </w:rPr>
              <w:t>公司的议案》。为了进一步充分利用公司的技术和市场优势，提高超募资金的使用效率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及为了更好地</w:t>
            </w:r>
            <w:r>
              <w:rPr>
                <w:rFonts w:ascii="宋体" w:hAnsi="宋体" w:cs="宋体" w:eastAsia="宋体" w:hint="default"/>
                <w:spacing w:val="-64"/>
                <w:sz w:val="18"/>
                <w:szCs w:val="18"/>
              </w:rPr>
              <w:t> </w:t>
            </w:r>
            <w:r>
              <w:rPr>
                <w:rFonts w:ascii="宋体" w:hAnsi="宋体" w:cs="宋体" w:eastAsia="宋体" w:hint="default"/>
                <w:spacing w:val="-3"/>
                <w:sz w:val="18"/>
                <w:szCs w:val="18"/>
              </w:rPr>
              <w:t>开展公司各项业务和取得与之对应的业务资质，公司使用超募资金投资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万元设立北京数字政通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信息技术有限公司，公司已完成子公司的工商登记工作。</w:t>
            </w:r>
          </w:p>
          <w:p>
            <w:pPr>
              <w:pStyle w:val="TableParagraph"/>
              <w:spacing w:line="307" w:lineRule="auto" w:before="72"/>
              <w:ind w:left="16"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年第三次临时股东大会审议通过使用超募资金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10,440 </w:t>
            </w:r>
            <w:r>
              <w:rPr>
                <w:rFonts w:ascii="宋体" w:hAnsi="宋体" w:cs="宋体" w:eastAsia="宋体" w:hint="default"/>
                <w:sz w:val="18"/>
                <w:szCs w:val="18"/>
              </w:rPr>
              <w:t>万元收购汉王科 技股份有限公司全资子公司北京汉王智通科技有限公司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90%</w:t>
            </w:r>
            <w:r>
              <w:rPr>
                <w:rFonts w:ascii="宋体" w:hAnsi="宋体" w:cs="宋体" w:eastAsia="宋体" w:hint="default"/>
                <w:spacing w:val="-4"/>
                <w:sz w:val="18"/>
                <w:szCs w:val="18"/>
              </w:rPr>
              <w:t>的股权，此次收购是为了加强公司在智慧</w:t>
            </w:r>
            <w:r>
              <w:rPr>
                <w:rFonts w:ascii="宋体" w:hAnsi="宋体" w:cs="宋体" w:eastAsia="宋体" w:hint="default"/>
                <w:sz w:val="18"/>
                <w:szCs w:val="18"/>
              </w:rPr>
              <w:t> </w:t>
            </w:r>
            <w:r>
              <w:rPr>
                <w:rFonts w:ascii="宋体" w:hAnsi="宋体" w:cs="宋体" w:eastAsia="宋体" w:hint="default"/>
                <w:spacing w:val="-2"/>
                <w:sz w:val="18"/>
                <w:szCs w:val="18"/>
              </w:rPr>
              <w:t>城市顶层设计领域的技术实力，并在智能交通和平安城市领域内挖掘新的业务成长点，完善和增加公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司的产品线，提升专业技术服务能力。同时可以与公司现有数字化城市管理、创新社会管理等业务有</w:t>
            </w:r>
          </w:p>
        </w:tc>
      </w:tr>
      <w:tr>
        <w:trPr>
          <w:trHeight w:val="706"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vMerge/>
            <w:tcBorders>
              <w:left w:val="single" w:sz="10" w:space="0" w:color="D2D2D2"/>
              <w:right w:val="single" w:sz="4" w:space="0" w:color="000000"/>
            </w:tcBorders>
          </w:tcPr>
          <w:p>
            <w:pPr/>
          </w:p>
        </w:tc>
      </w:tr>
      <w:tr>
        <w:trPr>
          <w:trHeight w:val="3094"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8.85pt;height:655.9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4539"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8"/>
                          <w:jc w:val="both"/>
                          <w:rPr>
                            <w:rFonts w:ascii="宋体" w:hAnsi="宋体" w:cs="宋体" w:eastAsia="宋体" w:hint="default"/>
                            <w:sz w:val="18"/>
                            <w:szCs w:val="18"/>
                          </w:rPr>
                        </w:pPr>
                        <w:r>
                          <w:rPr>
                            <w:rFonts w:ascii="宋体" w:hAnsi="宋体" w:cs="宋体" w:eastAsia="宋体" w:hint="default"/>
                            <w:spacing w:val="-2"/>
                            <w:sz w:val="18"/>
                            <w:szCs w:val="18"/>
                          </w:rPr>
                          <w:t>机结合，为公司已有的二百多家城市客户提供更多的产品和服务，在智慧城市的蓝海市场提升公司的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综合竞争实力，获得更大的市场价值，为股东奉献更多的回报。截止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日，公司已完 成对其收购。</w:t>
                        </w:r>
                      </w:p>
                      <w:p>
                        <w:pPr>
                          <w:pStyle w:val="TableParagraph"/>
                          <w:spacing w:line="240" w:lineRule="auto" w:before="6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日，公司召开第二届董事会第三十四次会议审议通过《关于使用部分超募资金永</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久性补充流动资金的议案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使</w:t>
                        </w:r>
                        <w:r>
                          <w:rPr>
                            <w:rFonts w:ascii="宋体" w:hAnsi="宋体" w:cs="宋体" w:eastAsia="宋体" w:hint="default"/>
                            <w:sz w:val="18"/>
                            <w:szCs w:val="18"/>
                          </w:rPr>
                          <w:t>用超募资金人民币</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pacing w:val="-3"/>
                            <w:sz w:val="18"/>
                            <w:szCs w:val="18"/>
                          </w:rPr>
                          <w:t>万</w:t>
                        </w:r>
                        <w:r>
                          <w:rPr>
                            <w:rFonts w:ascii="宋体" w:hAnsi="宋体" w:cs="宋体" w:eastAsia="宋体" w:hint="default"/>
                            <w:sz w:val="18"/>
                            <w:szCs w:val="18"/>
                          </w:rPr>
                          <w:t>元永久性补充流动资金。公司已于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年完成该次超募资金补充流动资金。</w:t>
                        </w:r>
                      </w:p>
                      <w:p>
                        <w:pPr>
                          <w:pStyle w:val="TableParagraph"/>
                          <w:spacing w:line="309" w:lineRule="auto" w:before="115"/>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日，公司召开第二届董事会第三十五次会议审议通过了《关于使用节余募集资金 </w:t>
                        </w:r>
                        <w:r>
                          <w:rPr>
                            <w:rFonts w:ascii="宋体" w:hAnsi="宋体" w:cs="宋体" w:eastAsia="宋体" w:hint="default"/>
                            <w:spacing w:val="-3"/>
                            <w:sz w:val="18"/>
                            <w:szCs w:val="18"/>
                          </w:rPr>
                          <w:t>增资北京天健源达科技有限公司暨关联交易的议案》，北京天健源达科技有限公司拟从外商独资企业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变更为内资企业或中外合资企业，变更完毕后，拟增资人民币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万元，由北京数字政通科技股 </w:t>
                        </w:r>
                        <w:r>
                          <w:rPr>
                            <w:rFonts w:ascii="宋体" w:hAnsi="宋体" w:cs="宋体" w:eastAsia="宋体" w:hint="default"/>
                            <w:spacing w:val="-2"/>
                            <w:sz w:val="18"/>
                            <w:szCs w:val="18"/>
                          </w:rPr>
                          <w:t>份有限公司及其他第三方以现金的方式进行认购，北京数字政通科技股份有限公司拟使用募集资金认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购其中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万元，目前相关手续仍在办理中。</w:t>
                        </w:r>
                      </w:p>
                      <w:p>
                        <w:pPr>
                          <w:pStyle w:val="TableParagraph"/>
                          <w:spacing w:line="240" w:lineRule="auto" w:before="4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日，公司召开第三届董事会第六次会议审议通过了《关于使用节余超募资金支付</w:t>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spacing w:val="-6"/>
                            <w:sz w:val="18"/>
                            <w:szCs w:val="18"/>
                          </w:rPr>
                          <w:t>国有股权竞拍并购款》，公司拟使用超募资金</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18,000</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万元支付竞拍保定金迪地下管线探测工程有限公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司和保定市金迪科技开发有限公司各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股权产生的部分并购款。并购款已于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年完成支付。</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日，公司四项承诺募投项目均已达到预定可使用状态。截止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4" w:lineRule="auto" w:before="63"/>
                          <w:ind w:left="24" w:right="17"/>
                          <w:jc w:val="left"/>
                          <w:rPr>
                            <w:rFonts w:ascii="宋体" w:hAnsi="宋体" w:cs="宋体" w:eastAsia="宋体" w:hint="default"/>
                            <w:sz w:val="18"/>
                            <w:szCs w:val="18"/>
                          </w:rPr>
                        </w:pPr>
                        <w:r>
                          <w:rPr>
                            <w:rFonts w:ascii="宋体" w:hAnsi="宋体" w:cs="宋体" w:eastAsia="宋体" w:hint="default"/>
                            <w:spacing w:val="-3"/>
                            <w:sz w:val="18"/>
                            <w:szCs w:val="18"/>
                          </w:rPr>
                          <w:t>募集资金结余（含募集资金专户利息）共计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3,176.69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万元。出现结余的主要原因是募投项目建设过程 </w:t>
                        </w:r>
                        <w:r>
                          <w:rPr>
                            <w:rFonts w:ascii="宋体" w:hAnsi="宋体" w:cs="宋体" w:eastAsia="宋体" w:hint="default"/>
                            <w:spacing w:val="-4"/>
                            <w:sz w:val="18"/>
                            <w:szCs w:val="18"/>
                          </w:rPr>
                          <w:t>中，公司充分结合现有的设备配置与自身的技术优势和经验，对募投项目的研发和生产环节进行优化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使得研发测试和生产设备的固定资产投入较计划投入大幅减少，减少了项目总开支。同时，在项目建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设过程中，公司坚持谨慎、节约的原则，对市场进行充分调研，在保证项目质量的前提下，对部分设</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备进行集中采购，降低设备采购成本。</w:t>
                        </w:r>
                      </w:p>
                    </w:tc>
                  </w:tr>
                  <w:tr>
                    <w:trPr>
                      <w:trHeight w:val="713"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5"/>
          <w:szCs w:val="15"/>
        </w:rPr>
      </w:pPr>
    </w:p>
    <w:p>
      <w:pPr>
        <w:spacing w:before="0"/>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1"/>
        <w:rPr>
          <w:rFonts w:ascii="宋体" w:hAnsi="宋体" w:cs="宋体" w:eastAsia="宋体" w:hint="default"/>
          <w:sz w:val="22"/>
          <w:szCs w:val="22"/>
        </w:rPr>
      </w:pPr>
    </w:p>
    <w:p>
      <w:pPr>
        <w:spacing w:before="90"/>
        <w:ind w:left="0" w:right="16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6"/>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r>
        <w:rPr/>
        <w:pict>
          <v:shape style="position:absolute;margin-left:170.660004pt;margin-top:664.299988pt;width:102.9pt;height:38.050pt;mso-position-horizontal-relative:page;mso-position-vertical-relative:page;z-index:-815416"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研发、转让、</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4"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76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上海政通信 息科技有限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计算机软件 领域内的技 术开发、技 术咨询、技 术服务、技 术转让，图 文设计、制 作，商务信 息咨询（除 </w:t>
            </w:r>
            <w:r>
              <w:rPr>
                <w:rFonts w:ascii="宋体" w:hAnsi="宋体" w:cs="宋体" w:eastAsia="宋体" w:hint="default"/>
                <w:spacing w:val="-16"/>
                <w:sz w:val="18"/>
                <w:szCs w:val="18"/>
              </w:rPr>
              <w:t>经纪），计算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机软硬件销 售，从事货 物进出口及 技术的进出 口业务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2,000,000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7" w:right="0"/>
              <w:jc w:val="center"/>
              <w:rPr>
                <w:rFonts w:ascii="Times New Roman" w:hAnsi="Times New Roman" w:cs="Times New Roman" w:eastAsia="Times New Roman" w:hint="default"/>
                <w:sz w:val="18"/>
                <w:szCs w:val="18"/>
              </w:rPr>
            </w:pPr>
            <w:r>
              <w:rPr>
                <w:rFonts w:ascii="Times New Roman"/>
                <w:sz w:val="18"/>
              </w:rPr>
              <w:t>2,037,399.66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3" w:right="0"/>
              <w:jc w:val="center"/>
              <w:rPr>
                <w:rFonts w:ascii="Times New Roman" w:hAnsi="Times New Roman" w:cs="Times New Roman" w:eastAsia="Times New Roman" w:hint="default"/>
                <w:sz w:val="18"/>
                <w:szCs w:val="18"/>
              </w:rPr>
            </w:pPr>
            <w:r>
              <w:rPr>
                <w:rFonts w:ascii="Times New Roman"/>
                <w:sz w:val="18"/>
              </w:rPr>
              <w:t>2,036,048.82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5,403.37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6"/>
              <w:jc w:val="right"/>
              <w:rPr>
                <w:rFonts w:ascii="Times New Roman" w:hAnsi="Times New Roman" w:cs="Times New Roman" w:eastAsia="Times New Roman" w:hint="default"/>
                <w:sz w:val="18"/>
                <w:szCs w:val="18"/>
              </w:rPr>
            </w:pPr>
            <w:r>
              <w:rPr>
                <w:rFonts w:ascii="Times New Roman"/>
                <w:w w:val="95"/>
                <w:sz w:val="18"/>
              </w:rPr>
              <w:t>4,052.53</w:t>
            </w:r>
          </w:p>
        </w:tc>
      </w:tr>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武汉智慧政 通科技有限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计算机软件</w:t>
            </w: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24" w:right="110"/>
              <w:jc w:val="both"/>
              <w:rPr>
                <w:rFonts w:ascii="宋体" w:hAnsi="宋体" w:cs="宋体" w:eastAsia="宋体" w:hint="default"/>
                <w:sz w:val="18"/>
                <w:szCs w:val="18"/>
              </w:rPr>
            </w:pPr>
            <w:r>
              <w:rPr>
                <w:rFonts w:ascii="宋体" w:hAnsi="宋体" w:cs="宋体" w:eastAsia="宋体" w:hint="default"/>
                <w:sz w:val="18"/>
                <w:szCs w:val="18"/>
              </w:rPr>
              <w:t>技术咨询服 务；图文设 计、制作； 商务信息咨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760" w:lineRule="exact"/>
              <w:ind w:right="-53"/>
              <w:jc w:val="left"/>
              <w:rPr>
                <w:rFonts w:ascii="宋体" w:hAnsi="宋体" w:cs="宋体" w:eastAsia="宋体" w:hint="default"/>
                <w:sz w:val="20"/>
                <w:szCs w:val="20"/>
              </w:rPr>
            </w:pPr>
            <w:r>
              <w:rPr>
                <w:rFonts w:ascii="宋体" w:hAnsi="宋体" w:cs="宋体" w:eastAsia="宋体" w:hint="default"/>
                <w:position w:val="-14"/>
                <w:sz w:val="20"/>
                <w:szCs w:val="20"/>
              </w:rPr>
              <w:pict>
                <v:group style="width:51.85pt;height:38.050pt;mso-position-horizontal-relative:char;mso-position-vertical-relative:line" coordorigin="0,0" coordsize="1037,761">
                  <v:group style="position:absolute;left:0;top:0;width:1037;height:761" coordorigin="0,0" coordsize="1037,761">
                    <v:shape style="position:absolute;left:0;top:0;width:1037;height:761" coordorigin="0,0" coordsize="1037,761" path="m0,761l1037,761,1037,0,0,0,0,761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10,055,328.5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10,000,360.3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-1,417.35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pacing w:val="-1"/>
                <w:sz w:val="18"/>
              </w:rPr>
              <w:t>-1,417.35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0"/>
              <w:jc w:val="left"/>
              <w:rPr>
                <w:rFonts w:ascii="宋体" w:hAnsi="宋体" w:cs="宋体" w:eastAsia="宋体" w:hint="default"/>
                <w:sz w:val="18"/>
                <w:szCs w:val="18"/>
              </w:rPr>
            </w:pPr>
            <w:r>
              <w:rPr>
                <w:rFonts w:ascii="宋体" w:hAnsi="宋体" w:cs="宋体" w:eastAsia="宋体" w:hint="default"/>
                <w:sz w:val="18"/>
                <w:szCs w:val="18"/>
              </w:rPr>
              <w:t>询；货物及 技术进出口</w:t>
            </w:r>
          </w:p>
          <w:p>
            <w:pPr>
              <w:pStyle w:val="TableParagraph"/>
              <w:spacing w:line="316"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（不含国家 禁止或限制 进出口的货 </w:t>
            </w:r>
            <w:r>
              <w:rPr>
                <w:rFonts w:ascii="宋体" w:hAnsi="宋体" w:cs="宋体" w:eastAsia="宋体" w:hint="default"/>
                <w:spacing w:val="-16"/>
                <w:sz w:val="18"/>
                <w:szCs w:val="18"/>
              </w:rPr>
              <w:t>物及技术）；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计算机软件 硬件销售。</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北京数字政 通智能泊车 技术有限公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计算机软件 研发、技术 转让、技术 咨询、技术 服务；计算 机系统集 成；电脑图 文设计、制 作；经济信 息咨询（需 行政许可项 </w:t>
            </w:r>
            <w:r>
              <w:rPr>
                <w:rFonts w:ascii="宋体" w:hAnsi="宋体" w:cs="宋体" w:eastAsia="宋体" w:hint="default"/>
                <w:spacing w:val="-16"/>
                <w:sz w:val="18"/>
                <w:szCs w:val="18"/>
              </w:rPr>
              <w:t>目除外）；投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资及投资管 理；货物进 出口、技术 进出口、代 理进出口。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20,000,000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19,992,991.7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spacing w:val="-1"/>
                <w:sz w:val="18"/>
              </w:rPr>
              <w:t>19,992,991.7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-1,304.11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6"/>
              <w:jc w:val="right"/>
              <w:rPr>
                <w:rFonts w:ascii="Times New Roman" w:hAnsi="Times New Roman" w:cs="Times New Roman" w:eastAsia="Times New Roman" w:hint="default"/>
                <w:sz w:val="18"/>
                <w:szCs w:val="18"/>
              </w:rPr>
            </w:pPr>
            <w:r>
              <w:rPr>
                <w:rFonts w:ascii="Times New Roman"/>
                <w:spacing w:val="-1"/>
                <w:sz w:val="18"/>
              </w:rPr>
              <w:t>-1,304.11</w:t>
            </w:r>
          </w:p>
        </w:tc>
      </w:tr>
      <w:tr>
        <w:trPr>
          <w:trHeight w:val="352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北京数字智 通科技有限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高速公路领 域的收费系 统、称重系 统、超速布 控系统及安 防领域的城 市卡口监控 系统、电子 警察系统、 停车场车辆 管理系统。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398,790,788.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75,026,892.2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174,280,190.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-334,919.09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7,087,661.13</w:t>
            </w:r>
          </w:p>
        </w:tc>
      </w:tr>
      <w:tr>
        <w:trPr>
          <w:trHeight w:val="223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克拉玛依数 字政通信息 科技有限公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信息技术服 务，技术推 广服务；社 会经济咨 询；计算机 系统服务； 货物与技术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5,444,146.54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3,175,071.67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6,937,774.65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-854,647.86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-76,744.81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0.660004pt;margin-top:72.475983pt;width:102.9pt;height:95.7pt;mso-position-horizontal-relative:page;mso-position-vertical-relative:page;z-index:-815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品，计算机，</w:t>
                  </w:r>
                </w:p>
              </w:txbxContent>
            </v:textbox>
            <w10:wrap type="none"/>
          </v:shape>
        </w:pict>
      </w:r>
      <w:r>
        <w:rPr/>
        <w:pict>
          <v:shape style="position:absolute;margin-left:170.660004pt;margin-top:281.809998pt;width:102.9pt;height:93.6pt;mso-position-horizontal-relative:page;mso-position-vertical-relative:page;z-index:-815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品，计算机，</w:t>
                  </w:r>
                </w:p>
              </w:txbxContent>
            </v:textbox>
            <w10:wrap type="none"/>
          </v:shape>
        </w:pict>
      </w:r>
      <w:r>
        <w:rPr/>
        <w:pict>
          <v:shape style="position:absolute;margin-left:170.660004pt;margin-top:375.889984pt;width:102.9pt;height:186.3pt;mso-position-horizontal-relative:page;mso-position-vertical-relative:page;z-index:-815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推广、转让、</w:t>
                  </w:r>
                </w:p>
              </w:txbxContent>
            </v:textbox>
            <w10:wrap type="none"/>
          </v:shape>
        </w:pict>
      </w:r>
      <w:r>
        <w:rPr/>
        <w:pict>
          <v:group style="position:absolute;margin-left:221.690002pt;margin-top:281.809998pt;width:51.85pt;height:280.350pt;mso-position-horizontal-relative:page;mso-position-vertical-relative:page;z-index:-815296" coordorigin="4434,5636" coordsize="1037,5607">
            <v:group style="position:absolute;left:4434;top:5636;width:1037;height:1872" coordorigin="4434,5636" coordsize="1037,1872">
              <v:shape style="position:absolute;left:4434;top:5636;width:1037;height:1872" coordorigin="4434,5636" coordsize="1037,1872" path="m4434,7508l5471,7508,5471,5636,4434,5636,4434,7508xe" filled="true" fillcolor="#ffffff" stroked="false">
                <v:path arrowok="t"/>
                <v:fill type="solid"/>
              </v:shape>
            </v:group>
            <v:group style="position:absolute;left:4434;top:7518;width:1037;height:3726" coordorigin="4434,7518" coordsize="1037,3726">
              <v:shape style="position:absolute;left:4434;top:7518;width:1037;height:3726" coordorigin="4434,7518" coordsize="1037,3726" path="m4434,11243l5471,11243,5471,7518,4434,7518,4434,1124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的进出口业</w:t>
            </w:r>
          </w:p>
        </w:tc>
        <w:tc>
          <w:tcPr>
            <w:tcW w:w="1044" w:type="dxa"/>
            <w:vMerge w:val="restart"/>
            <w:tcBorders>
              <w:top w:val="single" w:sz="4" w:space="0" w:color="000000"/>
              <w:left w:val="single" w:sz="4" w:space="0" w:color="000000"/>
              <w:right w:val="single" w:sz="4" w:space="0" w:color="000000"/>
            </w:tcBorders>
          </w:tcPr>
          <w:p>
            <w:pPr>
              <w:pStyle w:val="TableParagraph"/>
              <w:spacing w:line="1913"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51.85pt;height:95.7pt;mso-position-horizontal-relative:char;mso-position-vertical-relative:line" coordorigin="0,0" coordsize="1037,1914">
                  <v:group style="position:absolute;left:0;top:0;width:1037;height:1914" coordorigin="0,0" coordsize="1037,1914">
                    <v:shape style="position:absolute;left:0;top:0;width:1037;height:1914" coordorigin="0,0" coordsize="1037,1914" path="m0,1913l1037,1913,1037,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务；通讯设</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备，电子产</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软件及辅助</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设备销售。</w:t>
            </w: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务，技术推</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广服务；社</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会经济咨</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询；计算机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安徽数字政</w:t>
            </w: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系统服务；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通科技有限</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货物与技术</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4,000,000</w:t>
            </w: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的进出口业</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务；通讯设</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备，电子产</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软件及辅助</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设备销售。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512"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468"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技术咨询、</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销售自行开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发的产品；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计算机系统</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服务；数据</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处理；基础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应用软件服</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4" w:right="118"/>
              <w:jc w:val="both"/>
              <w:rPr>
                <w:rFonts w:ascii="宋体" w:hAnsi="宋体" w:cs="宋体" w:eastAsia="宋体" w:hint="default"/>
                <w:sz w:val="18"/>
                <w:szCs w:val="18"/>
              </w:rPr>
            </w:pPr>
            <w:r>
              <w:rPr>
                <w:rFonts w:ascii="宋体" w:hAnsi="宋体" w:cs="宋体" w:eastAsia="宋体" w:hint="default"/>
                <w:sz w:val="18"/>
                <w:szCs w:val="18"/>
              </w:rPr>
              <w:t>北京数聚联 盟科技有限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4" w:right="110"/>
              <w:jc w:val="both"/>
              <w:rPr>
                <w:rFonts w:ascii="宋体" w:hAnsi="宋体" w:cs="宋体" w:eastAsia="宋体" w:hint="default"/>
                <w:sz w:val="18"/>
                <w:szCs w:val="18"/>
              </w:rPr>
            </w:pPr>
            <w:r>
              <w:rPr>
                <w:rFonts w:ascii="宋体" w:hAnsi="宋体" w:cs="宋体" w:eastAsia="宋体" w:hint="default"/>
                <w:sz w:val="18"/>
                <w:szCs w:val="18"/>
              </w:rPr>
              <w:t>务；软件开 发、软件咨 询；产品设</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9" w:right="0"/>
              <w:jc w:val="left"/>
              <w:rPr>
                <w:rFonts w:ascii="Times New Roman" w:hAnsi="Times New Roman" w:cs="Times New Roman" w:eastAsia="Times New Roman" w:hint="default"/>
                <w:sz w:val="18"/>
                <w:szCs w:val="18"/>
              </w:rPr>
            </w:pPr>
            <w:r>
              <w:rPr>
                <w:rFonts w:ascii="Times New Roman"/>
                <w:sz w:val="18"/>
              </w:rPr>
              <w:t>1,796,681.49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7" w:right="0"/>
              <w:jc w:val="left"/>
              <w:rPr>
                <w:rFonts w:ascii="Times New Roman" w:hAnsi="Times New Roman" w:cs="Times New Roman" w:eastAsia="Times New Roman" w:hint="default"/>
                <w:sz w:val="18"/>
                <w:szCs w:val="18"/>
              </w:rPr>
            </w:pPr>
            <w:r>
              <w:rPr>
                <w:rFonts w:ascii="Times New Roman"/>
                <w:sz w:val="18"/>
              </w:rPr>
              <w:t>1,175,672.24</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81" w:right="0"/>
              <w:jc w:val="left"/>
              <w:rPr>
                <w:rFonts w:ascii="Times New Roman" w:hAnsi="Times New Roman" w:cs="Times New Roman" w:eastAsia="Times New Roman" w:hint="default"/>
                <w:sz w:val="18"/>
                <w:szCs w:val="18"/>
              </w:rPr>
            </w:pPr>
            <w:r>
              <w:rPr>
                <w:rFonts w:ascii="Times New Roman"/>
                <w:sz w:val="18"/>
              </w:rPr>
              <w:t>7,398.39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-2,824,327.7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-2,824,327.7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计、模型设</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计、包装装</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潢设计、工</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艺美术设</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计、电脑动</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画设计；设</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计、制作、</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代理、发布</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广告；市场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调查；企业</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管理咨询；</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0"/>
              <w:jc w:val="left"/>
              <w:rPr>
                <w:rFonts w:ascii="宋体" w:hAnsi="宋体" w:cs="宋体" w:eastAsia="宋体" w:hint="default"/>
                <w:sz w:val="18"/>
                <w:szCs w:val="18"/>
              </w:rPr>
            </w:pPr>
            <w:r>
              <w:rPr>
                <w:rFonts w:ascii="宋体" w:hAnsi="宋体" w:cs="宋体" w:eastAsia="宋体" w:hint="default"/>
                <w:sz w:val="18"/>
                <w:szCs w:val="18"/>
              </w:rPr>
              <w:t>组织文化艺 术交流活 动；文艺创 作；承办展 览展示活 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政通智慧城 市运营科技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基础软件服 务、应用软 件服务、技 术开发、技 术转让、技 术服务、技 术咨询、技 术推广；产 品设计；计 算机系统服 务；数据处 理；信息采 集服务、信 息处理服 务；服务外 包、管理外 包；呼叫中 心服务外 包；城市管 理咨询；数 据挖掘；人 员培训；委 托管理；地 理信息采集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31,040,996.6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8"/>
                <w:szCs w:val="18"/>
              </w:rPr>
            </w:pPr>
            <w:r>
              <w:rPr>
                <w:rFonts w:ascii="Times New Roman"/>
                <w:spacing w:val="-1"/>
                <w:sz w:val="18"/>
              </w:rPr>
              <w:t>21,005,253.2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28,718,574.2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82" w:right="0"/>
              <w:jc w:val="left"/>
              <w:rPr>
                <w:rFonts w:ascii="Times New Roman" w:hAnsi="Times New Roman" w:cs="Times New Roman" w:eastAsia="Times New Roman" w:hint="default"/>
                <w:sz w:val="18"/>
                <w:szCs w:val="18"/>
              </w:rPr>
            </w:pPr>
            <w:r>
              <w:rPr>
                <w:rFonts w:ascii="Times New Roman"/>
                <w:sz w:val="18"/>
              </w:rPr>
              <w:t>7,194.59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86" w:right="0"/>
              <w:jc w:val="left"/>
              <w:rPr>
                <w:rFonts w:ascii="Times New Roman" w:hAnsi="Times New Roman" w:cs="Times New Roman" w:eastAsia="Times New Roman" w:hint="default"/>
                <w:sz w:val="18"/>
                <w:szCs w:val="18"/>
              </w:rPr>
            </w:pPr>
            <w:r>
              <w:rPr>
                <w:rFonts w:ascii="Times New Roman"/>
                <w:sz w:val="18"/>
              </w:rPr>
              <w:t>5,253.21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44"/>
        <w:ind w:left="0" w:right="156" w:firstLine="0"/>
        <w:jc w:val="right"/>
        <w:rPr>
          <w:rFonts w:ascii="宋体" w:hAnsi="宋体" w:cs="宋体" w:eastAsia="宋体" w:hint="default"/>
          <w:sz w:val="18"/>
          <w:szCs w:val="18"/>
        </w:rPr>
      </w:pPr>
      <w:r>
        <w:rPr/>
        <w:pict>
          <v:shape style="position:absolute;margin-left:56.400002pt;margin-top:-75.428253pt;width:479.3pt;height:165.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290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政通智慧城市运营科技有限公司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公司第二届董事会第二十九次会议审议 通过了《关于对外投资设立控股子公司 暨关联交易的议案》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公司与吴强华先生 拟共同出资在天津市设立政通智慧城市 运营科技有限公司，新设公司注册资本 为人民币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万元，公司以货币出资</w:t>
                        </w:r>
                      </w:p>
                      <w:p>
                        <w:pPr>
                          <w:pStyle w:val="TableParagraph"/>
                          <w:spacing w:line="240" w:lineRule="auto" w:before="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4,500  </w:t>
                        </w:r>
                        <w:r>
                          <w:rPr>
                            <w:rFonts w:ascii="宋体" w:hAnsi="宋体" w:cs="宋体" w:eastAsia="宋体" w:hint="default"/>
                            <w:sz w:val="18"/>
                            <w:szCs w:val="18"/>
                          </w:rPr>
                          <w:t>万元，占注册资本的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；吴强</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华先生以货币出资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万元，占注册资</w:t>
                        </w:r>
                        <w:r>
                          <w:rPr>
                            <w:rFonts w:ascii="宋体" w:hAnsi="宋体" w:cs="宋体" w:eastAsia="宋体" w:hint="default"/>
                            <w:sz w:val="18"/>
                            <w:szCs w:val="18"/>
                          </w:rPr>
                          <w:t> 本的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此次拟设立控股子公司，旨在进一步发 展智慧城市运营服务业务，致力于为城 市提供更加专业、高效、多元化的服务 符合公司的战略定位，将有利于增强公 司的综合竞争力，获得更多的市场机会 为投资者奉献更多的回报。</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14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北京数聚联盟科技有限公司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公司第二届董事会第三十四次会议审议 通过了《关于增资控股北京数聚联盟科 技有限公司暨关联交易的议案》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北京数 聚联盟科技有限公司拟新增注册资本人 民币 </w:t>
            </w:r>
            <w:r>
              <w:rPr>
                <w:rFonts w:ascii="Times New Roman" w:hAnsi="Times New Roman" w:cs="Times New Roman" w:eastAsia="Times New Roman" w:hint="default"/>
                <w:sz w:val="18"/>
                <w:szCs w:val="18"/>
              </w:rPr>
              <w:t>950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万元，由北京数字政通科技股 份有限公司、吴强华先生、肖彤先生以 现金的方式进行认购，其中，北京数字 政通科技股份有限公司认购人民币 </w:t>
            </w:r>
            <w:r>
              <w:rPr>
                <w:rFonts w:ascii="Times New Roman" w:hAnsi="Times New Roman" w:cs="Times New Roman" w:eastAsia="Times New Roman" w:hint="default"/>
                <w:sz w:val="18"/>
                <w:szCs w:val="18"/>
              </w:rPr>
              <w:t>650 </w:t>
            </w:r>
            <w:r>
              <w:rPr>
                <w:rFonts w:ascii="宋体" w:hAnsi="宋体" w:cs="宋体" w:eastAsia="宋体" w:hint="default"/>
                <w:sz w:val="18"/>
                <w:szCs w:val="18"/>
              </w:rPr>
              <w:t>万元，在本次增资经工商变更登记后， 北京数聚联盟科技有限公司的注册资本 将增至人民币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万元北京数字政通</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科技股份有限公司将持有数聚联盟</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65%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的股权并成为其控股股东</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2" w:lineRule="auto"/>
              <w:ind w:left="23" w:right="50"/>
              <w:jc w:val="both"/>
              <w:rPr>
                <w:rFonts w:ascii="宋体" w:hAnsi="宋体" w:cs="宋体" w:eastAsia="宋体" w:hint="default"/>
                <w:sz w:val="18"/>
                <w:szCs w:val="18"/>
              </w:rPr>
            </w:pPr>
            <w:r>
              <w:rPr>
                <w:rFonts w:ascii="宋体" w:hAnsi="宋体" w:cs="宋体" w:eastAsia="宋体" w:hint="default"/>
                <w:sz w:val="18"/>
                <w:szCs w:val="18"/>
              </w:rPr>
              <w:t>加强公司在智慧城市领域的大数据应用 能力</w:t>
            </w:r>
            <w:r>
              <w:rPr>
                <w:rFonts w:ascii="Times New Roman" w:hAnsi="Times New Roman" w:cs="Times New Roman" w:eastAsia="Times New Roman" w:hint="default"/>
                <w:sz w:val="18"/>
                <w:szCs w:val="18"/>
              </w:rPr>
              <w:t>,</w:t>
            </w:r>
            <w:r>
              <w:rPr>
                <w:rFonts w:ascii="宋体" w:hAnsi="宋体" w:cs="宋体" w:eastAsia="宋体" w:hint="default"/>
                <w:sz w:val="18"/>
                <w:szCs w:val="18"/>
              </w:rPr>
              <w:t>为政府和企业提供精准的大数据服 务平台，使政府和企业的决策更高效， 使人民的生活更美好。</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BodyText"/>
        <w:spacing w:line="357" w:lineRule="auto" w:before="145"/>
        <w:ind w:left="635" w:right="146"/>
        <w:jc w:val="left"/>
        <w:rPr>
          <w:rFonts w:ascii="宋体" w:hAnsi="宋体" w:cs="宋体" w:eastAsia="宋体" w:hint="default"/>
        </w:rPr>
      </w:pPr>
      <w:r>
        <w:rPr>
          <w:rFonts w:ascii="宋体" w:hAnsi="宋体" w:cs="宋体" w:eastAsia="宋体" w:hint="default"/>
        </w:rPr>
        <w:t>1</w:t>
      </w:r>
      <w:r>
        <w:rPr/>
        <w:t>、上海政通信息科技有限公司 </w:t>
      </w:r>
      <w:r>
        <w:rPr>
          <w:spacing w:val="-5"/>
        </w:rPr>
        <w:t>上海政通信息科技有限公司为公司全资子公司，该公司成立于</w:t>
      </w:r>
      <w:r>
        <w:rPr>
          <w:rFonts w:ascii="宋体" w:hAnsi="宋体" w:cs="宋体" w:eastAsia="宋体" w:hint="default"/>
          <w:spacing w:val="-5"/>
        </w:rPr>
        <w:t>2007</w:t>
      </w:r>
      <w:r>
        <w:rPr>
          <w:spacing w:val="-5"/>
        </w:rPr>
        <w:t>年</w:t>
      </w:r>
      <w:r>
        <w:rPr>
          <w:rFonts w:ascii="宋体" w:hAnsi="宋体" w:cs="宋体" w:eastAsia="宋体" w:hint="default"/>
          <w:spacing w:val="-5"/>
        </w:rPr>
        <w:t>6</w:t>
      </w:r>
      <w:r>
        <w:rPr>
          <w:spacing w:val="-5"/>
        </w:rPr>
        <w:t>月，注册资本为</w:t>
      </w:r>
      <w:r>
        <w:rPr>
          <w:rFonts w:ascii="宋体" w:hAnsi="宋体" w:cs="宋体" w:eastAsia="宋体" w:hint="default"/>
          <w:spacing w:val="-5"/>
        </w:rPr>
        <w:t>200</w:t>
      </w:r>
    </w:p>
    <w:p>
      <w:pPr>
        <w:pStyle w:val="BodyText"/>
        <w:spacing w:line="357" w:lineRule="auto"/>
        <w:ind w:right="159"/>
        <w:jc w:val="both"/>
      </w:pPr>
      <w:r>
        <w:rPr/>
        <w:t>万元人民币。上海政通信息科技有限公司的经营范围为计算机软件领域内的技术开发、技术</w:t>
      </w:r>
      <w:r>
        <w:rPr>
          <w:spacing w:val="-91"/>
        </w:rPr>
        <w:t> </w:t>
      </w:r>
      <w:r>
        <w:rPr>
          <w:spacing w:val="-91"/>
        </w:rPr>
      </w:r>
      <w:r>
        <w:rPr/>
        <w:t>咨询、技术服务、技术转让，图文设计、制作，商务信息咨询（除经纪），计算机软硬件销</w:t>
      </w:r>
      <w:r>
        <w:rPr>
          <w:spacing w:val="-91"/>
        </w:rPr>
        <w:t> </w:t>
      </w:r>
      <w:r>
        <w:rPr>
          <w:spacing w:val="-91"/>
        </w:rPr>
      </w:r>
      <w:r>
        <w:rPr/>
        <w:t>售，从事货物进出口及技术的进出口业务（涉及行政许可的，凭许可经营）。</w:t>
      </w:r>
    </w:p>
    <w:p>
      <w:pPr>
        <w:pStyle w:val="BodyText"/>
        <w:spacing w:line="357" w:lineRule="auto"/>
        <w:ind w:left="635" w:right="0"/>
        <w:jc w:val="left"/>
      </w:pPr>
      <w:r>
        <w:rPr>
          <w:rFonts w:ascii="宋体" w:hAnsi="宋体" w:cs="宋体" w:eastAsia="宋体" w:hint="default"/>
        </w:rPr>
        <w:t>2</w:t>
      </w:r>
      <w:r>
        <w:rPr/>
        <w:t>、武汉智慧政通科技有限公司 </w:t>
      </w:r>
      <w:r>
        <w:rPr>
          <w:spacing w:val="3"/>
        </w:rPr>
        <w:t>武汉智慧政通科技有限公司为公司全资子公司，该公司成立于</w:t>
      </w:r>
      <w:r>
        <w:rPr>
          <w:rFonts w:ascii="宋体" w:hAnsi="宋体" w:cs="宋体" w:eastAsia="宋体" w:hint="default"/>
          <w:spacing w:val="3"/>
        </w:rPr>
        <w:t>2012</w:t>
      </w:r>
      <w:r>
        <w:rPr>
          <w:spacing w:val="3"/>
        </w:rPr>
        <w:t>年</w:t>
      </w:r>
      <w:r>
        <w:rPr>
          <w:rFonts w:ascii="宋体" w:hAnsi="宋体" w:cs="宋体" w:eastAsia="宋体" w:hint="default"/>
          <w:spacing w:val="3"/>
        </w:rPr>
        <w:t>8</w:t>
      </w:r>
      <w:r>
        <w:rPr>
          <w:spacing w:val="3"/>
        </w:rPr>
        <w:t>月，注册资本为</w:t>
      </w:r>
      <w:r>
        <w:rPr/>
      </w:r>
    </w:p>
    <w:p>
      <w:pPr>
        <w:pStyle w:val="BodyText"/>
        <w:spacing w:line="357" w:lineRule="auto"/>
        <w:ind w:right="151"/>
        <w:jc w:val="both"/>
      </w:pPr>
      <w:r>
        <w:rPr>
          <w:rFonts w:ascii="宋体" w:hAnsi="宋体" w:cs="宋体" w:eastAsia="宋体" w:hint="default"/>
          <w:spacing w:val="-2"/>
        </w:rPr>
        <w:t>1,000</w:t>
      </w:r>
      <w:r>
        <w:rPr>
          <w:spacing w:val="-2"/>
        </w:rPr>
        <w:t>万元人民币。武汉智慧政通科技有限公司的经营范围为计算机软件研发、转让、技术咨</w:t>
      </w:r>
      <w:r>
        <w:rPr>
          <w:spacing w:val="-118"/>
        </w:rPr>
        <w:t> </w:t>
      </w:r>
      <w:r>
        <w:rPr>
          <w:spacing w:val="-118"/>
        </w:rPr>
      </w:r>
      <w:r>
        <w:rPr/>
        <w:t>询服务；图文设计、制作；商务信息咨询；货物及技术进出口（不含国家禁止或限制进出口</w:t>
      </w:r>
      <w:r>
        <w:rPr>
          <w:spacing w:val="-91"/>
        </w:rPr>
        <w:t> </w:t>
      </w:r>
      <w:r>
        <w:rPr>
          <w:spacing w:val="-91"/>
        </w:rPr>
      </w:r>
      <w:r>
        <w:rPr/>
        <w:t>的货物及技术）；计算机软件硬件销售。</w:t>
      </w:r>
    </w:p>
    <w:p>
      <w:pPr>
        <w:pStyle w:val="BodyText"/>
        <w:spacing w:line="357" w:lineRule="auto"/>
        <w:ind w:left="635" w:right="0"/>
        <w:jc w:val="left"/>
      </w:pPr>
      <w:r>
        <w:rPr>
          <w:rFonts w:ascii="宋体" w:hAnsi="宋体" w:cs="宋体" w:eastAsia="宋体" w:hint="default"/>
        </w:rPr>
        <w:t>3</w:t>
      </w:r>
      <w:r>
        <w:rPr/>
        <w:t>、北京数字政通信息技术有限公司 北京数字政通信息技术有限公司为公司全资子公司，该公司成立于</w:t>
      </w:r>
      <w:r>
        <w:rPr>
          <w:rFonts w:ascii="宋体" w:hAnsi="宋体" w:cs="宋体" w:eastAsia="宋体" w:hint="default"/>
        </w:rPr>
        <w:t>2012</w:t>
      </w:r>
      <w:r>
        <w:rPr/>
        <w:t>年</w:t>
      </w:r>
      <w:r>
        <w:rPr>
          <w:rFonts w:ascii="宋体" w:hAnsi="宋体" w:cs="宋体" w:eastAsia="宋体" w:hint="default"/>
        </w:rPr>
        <w:t>11</w:t>
      </w:r>
      <w:r>
        <w:rPr/>
        <w:t>月，注册资</w:t>
      </w:r>
    </w:p>
    <w:p>
      <w:pPr>
        <w:pStyle w:val="BodyText"/>
        <w:spacing w:line="357" w:lineRule="auto"/>
        <w:ind w:right="152"/>
        <w:jc w:val="both"/>
      </w:pPr>
      <w:r>
        <w:rPr>
          <w:spacing w:val="-2"/>
        </w:rPr>
        <w:t>本为</w:t>
      </w:r>
      <w:r>
        <w:rPr>
          <w:rFonts w:ascii="宋体" w:hAnsi="宋体" w:cs="宋体" w:eastAsia="宋体" w:hint="default"/>
          <w:spacing w:val="-2"/>
        </w:rPr>
        <w:t>2,000</w:t>
      </w:r>
      <w:r>
        <w:rPr>
          <w:spacing w:val="-2"/>
        </w:rPr>
        <w:t>万元人民币。北京数字政通信息技术有限公司的经营范围为计算机软件研发、技术</w:t>
      </w:r>
      <w:r>
        <w:rPr>
          <w:spacing w:val="-117"/>
        </w:rPr>
        <w:t> </w:t>
      </w:r>
      <w:r>
        <w:rPr>
          <w:spacing w:val="-117"/>
        </w:rPr>
      </w:r>
      <w:r>
        <w:rPr/>
        <w:t>转让、技术咨询、技术服务；计算机系统集成；电脑图文设计、制作；经济信息咨询（需行</w:t>
      </w:r>
      <w:r>
        <w:rPr>
          <w:spacing w:val="-91"/>
        </w:rPr>
        <w:t> </w:t>
      </w:r>
      <w:r>
        <w:rPr>
          <w:spacing w:val="-91"/>
        </w:rPr>
      </w:r>
      <w:r>
        <w:rPr/>
        <w:t>政许可项目除外）；投资及投资管理；货物进出口、技术进出口、代理进出口。</w:t>
      </w:r>
    </w:p>
    <w:p>
      <w:pPr>
        <w:pStyle w:val="BodyText"/>
        <w:spacing w:line="357" w:lineRule="auto"/>
        <w:ind w:left="635" w:right="0"/>
        <w:jc w:val="left"/>
        <w:rPr>
          <w:rFonts w:ascii="宋体" w:hAnsi="宋体" w:cs="宋体" w:eastAsia="宋体" w:hint="default"/>
        </w:rPr>
      </w:pPr>
      <w:r>
        <w:rPr>
          <w:rFonts w:ascii="宋体" w:hAnsi="宋体" w:cs="宋体" w:eastAsia="宋体" w:hint="default"/>
        </w:rPr>
        <w:t>4</w:t>
      </w:r>
      <w:r>
        <w:rPr/>
        <w:t>、北京数字智通科技有限公司 </w:t>
      </w:r>
      <w:r>
        <w:rPr>
          <w:spacing w:val="3"/>
        </w:rPr>
        <w:t>北京数字智通科技有限公司为公司控股公司，公司持有其</w:t>
      </w:r>
      <w:r>
        <w:rPr>
          <w:rFonts w:ascii="宋体" w:hAnsi="宋体" w:cs="宋体" w:eastAsia="宋体" w:hint="default"/>
          <w:spacing w:val="3"/>
        </w:rPr>
        <w:t>90%</w:t>
      </w:r>
      <w:r>
        <w:rPr>
          <w:spacing w:val="3"/>
        </w:rPr>
        <w:t>股权，该公司成立于</w:t>
      </w:r>
      <w:r>
        <w:rPr>
          <w:rFonts w:ascii="宋体" w:hAnsi="宋体" w:cs="宋体" w:eastAsia="宋体" w:hint="default"/>
          <w:spacing w:val="3"/>
        </w:rPr>
        <w:t>2010</w:t>
      </w:r>
    </w:p>
    <w:p>
      <w:pPr>
        <w:pStyle w:val="BodyText"/>
        <w:spacing w:line="357" w:lineRule="auto"/>
        <w:ind w:right="150"/>
        <w:jc w:val="both"/>
      </w:pPr>
      <w:r>
        <w:rPr>
          <w:spacing w:val="-2"/>
        </w:rPr>
        <w:t>年</w:t>
      </w:r>
      <w:r>
        <w:rPr>
          <w:rFonts w:ascii="宋体" w:hAnsi="宋体" w:cs="宋体" w:eastAsia="宋体" w:hint="default"/>
          <w:spacing w:val="-2"/>
        </w:rPr>
        <w:t>11</w:t>
      </w:r>
      <w:r>
        <w:rPr>
          <w:spacing w:val="-2"/>
        </w:rPr>
        <w:t>月，注册资本为</w:t>
      </w:r>
      <w:r>
        <w:rPr>
          <w:rFonts w:ascii="宋体" w:hAnsi="宋体" w:cs="宋体" w:eastAsia="宋体" w:hint="default"/>
          <w:spacing w:val="-2"/>
        </w:rPr>
        <w:t>4,000</w:t>
      </w:r>
      <w:r>
        <w:rPr>
          <w:spacing w:val="-2"/>
        </w:rPr>
        <w:t>万元人民币。主营业务为高速公路领域的收费系统、称重系统、超</w:t>
      </w:r>
      <w:r>
        <w:rPr>
          <w:spacing w:val="-115"/>
        </w:rPr>
        <w:t> </w:t>
      </w:r>
      <w:r>
        <w:rPr>
          <w:spacing w:val="-115"/>
        </w:rPr>
      </w:r>
      <w:r>
        <w:rPr/>
        <w:t>速布控系统及安防领域的城市卡口监控系统、电子警察系统、停车场车辆管理系统。</w:t>
      </w:r>
    </w:p>
    <w:p>
      <w:pPr>
        <w:pStyle w:val="BodyText"/>
        <w:spacing w:line="240" w:lineRule="auto"/>
        <w:ind w:left="635" w:right="153"/>
        <w:jc w:val="left"/>
      </w:pPr>
      <w:r>
        <w:rPr>
          <w:rFonts w:ascii="宋体" w:hAnsi="宋体" w:cs="宋体" w:eastAsia="宋体" w:hint="default"/>
        </w:rPr>
        <w:t>5</w:t>
      </w:r>
      <w:r>
        <w:rPr/>
        <w:t>、克拉玛依数字政通信息科技有限公司</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233" w:firstLine="482"/>
        <w:jc w:val="both"/>
      </w:pPr>
      <w:r>
        <w:rPr/>
        <w:t>克拉玛依数字政通信息科技有限公司为公司全资子公司，该公司于</w:t>
      </w:r>
      <w:r>
        <w:rPr>
          <w:rFonts w:ascii="宋体" w:hAnsi="宋体" w:cs="宋体" w:eastAsia="宋体" w:hint="default"/>
        </w:rPr>
        <w:t>2014</w:t>
      </w:r>
      <w:r>
        <w:rPr/>
        <w:t>年</w:t>
      </w:r>
      <w:r>
        <w:rPr>
          <w:rFonts w:ascii="宋体" w:hAnsi="宋体" w:cs="宋体" w:eastAsia="宋体" w:hint="default"/>
        </w:rPr>
        <w:t>11</w:t>
      </w:r>
      <w:r>
        <w:rPr/>
        <w:t>月完成工商 </w:t>
      </w:r>
      <w:r>
        <w:rPr>
          <w:spacing w:val="-3"/>
        </w:rPr>
        <w:t>执照登记，注册资本</w:t>
      </w:r>
      <w:r>
        <w:rPr>
          <w:rFonts w:ascii="宋体" w:hAnsi="宋体" w:cs="宋体" w:eastAsia="宋体" w:hint="default"/>
          <w:spacing w:val="-3"/>
        </w:rPr>
        <w:t>300</w:t>
      </w:r>
      <w:r>
        <w:rPr>
          <w:spacing w:val="-3"/>
        </w:rPr>
        <w:t>万元。主营业务为信息技术服务，技术推广服务；社会经济咨询；计</w:t>
      </w:r>
      <w:r>
        <w:rPr>
          <w:spacing w:val="-79"/>
        </w:rPr>
        <w:t> </w:t>
      </w:r>
      <w:r>
        <w:rPr>
          <w:spacing w:val="-79"/>
        </w:rPr>
      </w:r>
      <w:r>
        <w:rPr/>
        <w:t>算机系统服务；货物与技术的进出口业务；通讯设备，电子产品，计算机，软件及辅助设备</w:t>
      </w:r>
      <w:r>
        <w:rPr>
          <w:spacing w:val="-88"/>
        </w:rPr>
        <w:t> </w:t>
      </w:r>
      <w:r>
        <w:rPr>
          <w:spacing w:val="-88"/>
        </w:rPr>
      </w:r>
      <w:r>
        <w:rPr/>
        <w:t>销售。</w:t>
      </w:r>
    </w:p>
    <w:p>
      <w:pPr>
        <w:pStyle w:val="BodyText"/>
        <w:spacing w:line="357" w:lineRule="auto"/>
        <w:ind w:left="635" w:right="96"/>
        <w:jc w:val="left"/>
      </w:pPr>
      <w:r>
        <w:rPr>
          <w:rFonts w:ascii="宋体" w:hAnsi="宋体" w:cs="宋体" w:eastAsia="宋体" w:hint="default"/>
        </w:rPr>
        <w:t>6</w:t>
      </w:r>
      <w:r>
        <w:rPr/>
        <w:t>、安徽数字政通科技有限责任公司 </w:t>
      </w:r>
      <w:r>
        <w:rPr>
          <w:spacing w:val="-3"/>
        </w:rPr>
        <w:t>安徽数字政通科技有限责任公司为公司全资子公司，该公司于</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月完成工商执照登</w:t>
      </w:r>
    </w:p>
    <w:p>
      <w:pPr>
        <w:pStyle w:val="BodyText"/>
        <w:spacing w:line="357" w:lineRule="auto"/>
        <w:ind w:right="96"/>
        <w:jc w:val="left"/>
      </w:pPr>
      <w:r>
        <w:rPr>
          <w:spacing w:val="-3"/>
        </w:rPr>
        <w:t>记，注册资本</w:t>
      </w:r>
      <w:r>
        <w:rPr>
          <w:rFonts w:ascii="宋体" w:hAnsi="宋体" w:cs="宋体" w:eastAsia="宋体" w:hint="default"/>
          <w:spacing w:val="-3"/>
        </w:rPr>
        <w:t>400</w:t>
      </w:r>
      <w:r>
        <w:rPr>
          <w:spacing w:val="-3"/>
        </w:rPr>
        <w:t>万元。主营业务为信息技术服务，技术推广服务；社会经济咨询；计算机系</w:t>
      </w:r>
      <w:r>
        <w:rPr>
          <w:spacing w:val="-79"/>
        </w:rPr>
        <w:t> </w:t>
      </w:r>
      <w:r>
        <w:rPr>
          <w:spacing w:val="-79"/>
        </w:rPr>
      </w:r>
      <w:r>
        <w:rPr/>
        <w:t>统服务；货物与技术的进出口业务；通讯设备，电子产品，计算机，软件及辅助设备销售。</w:t>
      </w:r>
    </w:p>
    <w:p>
      <w:pPr>
        <w:pStyle w:val="BodyText"/>
        <w:spacing w:line="357" w:lineRule="auto"/>
        <w:ind w:left="635" w:right="96"/>
        <w:jc w:val="left"/>
      </w:pPr>
      <w:r>
        <w:rPr>
          <w:rFonts w:ascii="宋体" w:hAnsi="宋体" w:cs="宋体" w:eastAsia="宋体" w:hint="default"/>
        </w:rPr>
        <w:t>7</w:t>
      </w:r>
      <w:r>
        <w:rPr/>
        <w:t>、政通智慧城市运营科技有限公司 </w:t>
      </w:r>
      <w:r>
        <w:rPr>
          <w:spacing w:val="-3"/>
        </w:rPr>
        <w:t>政通智慧城市运营科技有限公司为公司控股子公司，注册资本为人民币</w:t>
      </w:r>
      <w:r>
        <w:rPr>
          <w:rFonts w:ascii="宋体" w:hAnsi="宋体" w:cs="宋体" w:eastAsia="宋体" w:hint="default"/>
          <w:spacing w:val="-3"/>
        </w:rPr>
        <w:t>5,000</w:t>
      </w:r>
      <w:r>
        <w:rPr>
          <w:spacing w:val="-3"/>
        </w:rPr>
        <w:t>万元，公司</w:t>
      </w:r>
    </w:p>
    <w:p>
      <w:pPr>
        <w:pStyle w:val="BodyText"/>
        <w:spacing w:line="357" w:lineRule="auto"/>
        <w:ind w:right="96"/>
        <w:jc w:val="left"/>
      </w:pPr>
      <w:r>
        <w:rPr/>
        <w:t>以货币出资</w:t>
      </w:r>
      <w:r>
        <w:rPr>
          <w:rFonts w:ascii="宋体" w:hAnsi="宋体" w:cs="宋体" w:eastAsia="宋体" w:hint="default"/>
        </w:rPr>
        <w:t>4,500</w:t>
      </w:r>
      <w:r>
        <w:rPr/>
        <w:t>万元，占注册资本的</w:t>
      </w:r>
      <w:r>
        <w:rPr>
          <w:rFonts w:ascii="宋体" w:hAnsi="宋体" w:cs="宋体" w:eastAsia="宋体" w:hint="default"/>
        </w:rPr>
        <w:t>90%</w:t>
      </w:r>
      <w:r>
        <w:rPr/>
        <w:t>。主要业务为基础软件服务、应用软件服务、技术</w:t>
      </w:r>
      <w:r>
        <w:rPr>
          <w:spacing w:val="-87"/>
        </w:rPr>
        <w:t> </w:t>
      </w:r>
      <w:r>
        <w:rPr>
          <w:spacing w:val="-87"/>
        </w:rPr>
      </w:r>
      <w:r>
        <w:rPr>
          <w:spacing w:val="-3"/>
        </w:rPr>
        <w:t>开发、技术转让、技术服务、技术咨询、技术推广；产品设计；计算机系统服务；数据处理；</w:t>
      </w:r>
      <w:r>
        <w:rPr>
          <w:spacing w:val="-81"/>
        </w:rPr>
        <w:t> </w:t>
      </w:r>
      <w:r>
        <w:rPr>
          <w:spacing w:val="-81"/>
        </w:rPr>
      </w:r>
      <w:r>
        <w:rPr/>
        <w:t>信息采集服务、信息处理服务；服务外包、管理外包；呼叫中心服务外包；城市管理咨询；</w:t>
      </w:r>
      <w:r>
        <w:rPr>
          <w:spacing w:val="-91"/>
        </w:rPr>
        <w:t> </w:t>
      </w:r>
      <w:r>
        <w:rPr>
          <w:spacing w:val="-91"/>
        </w:rPr>
      </w:r>
      <w:r>
        <w:rPr/>
        <w:t>数据挖掘；人员培训；委托管理；地理信息采集服务。</w:t>
      </w:r>
    </w:p>
    <w:p>
      <w:pPr>
        <w:pStyle w:val="BodyText"/>
        <w:spacing w:line="357" w:lineRule="auto"/>
        <w:ind w:left="635" w:right="96"/>
        <w:jc w:val="left"/>
      </w:pPr>
      <w:r>
        <w:rPr>
          <w:rFonts w:ascii="宋体" w:hAnsi="宋体" w:cs="宋体" w:eastAsia="宋体" w:hint="default"/>
        </w:rPr>
        <w:t>8</w:t>
      </w:r>
      <w:r>
        <w:rPr/>
        <w:t>、北京数聚联盟科技有限公司 </w:t>
      </w:r>
      <w:r>
        <w:rPr>
          <w:spacing w:val="-3"/>
        </w:rPr>
        <w:t>北京数聚联盟科技有限公司为公司控股子公司，</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日，公司召开第二届董事会</w:t>
      </w:r>
    </w:p>
    <w:p>
      <w:pPr>
        <w:pStyle w:val="BodyText"/>
        <w:spacing w:line="357" w:lineRule="auto"/>
        <w:ind w:right="96"/>
        <w:jc w:val="left"/>
      </w:pPr>
      <w:r>
        <w:rPr>
          <w:spacing w:val="-2"/>
        </w:rPr>
        <w:t>第三十四次会议，审议通过《关于增资控股北京数聚联盟科技有限公司暨关联交易的议案》。</w:t>
      </w:r>
      <w:r>
        <w:rPr/>
        <w:t> </w:t>
      </w:r>
      <w:r>
        <w:rPr>
          <w:spacing w:val="-3"/>
        </w:rPr>
        <w:t>公司持有其</w:t>
      </w:r>
      <w:r>
        <w:rPr>
          <w:rFonts w:ascii="宋体" w:hAnsi="宋体" w:cs="宋体" w:eastAsia="宋体" w:hint="default"/>
          <w:spacing w:val="-3"/>
        </w:rPr>
        <w:t>65%</w:t>
      </w:r>
      <w:r>
        <w:rPr>
          <w:spacing w:val="-3"/>
        </w:rPr>
        <w:t>的股份。主营业务为技术开发、推广、转让、技术咨询、技术服务；销售自行</w:t>
      </w:r>
      <w:r>
        <w:rPr>
          <w:spacing w:val="-80"/>
        </w:rPr>
        <w:t> </w:t>
      </w:r>
      <w:r>
        <w:rPr>
          <w:spacing w:val="-80"/>
        </w:rPr>
      </w:r>
      <w:r>
        <w:rPr/>
        <w:t>开发的产品；计算机系统服务；数据处理；基础软件服务、应用软件服务；软件开发、软件</w:t>
      </w:r>
      <w:r>
        <w:rPr>
          <w:spacing w:val="-91"/>
        </w:rPr>
        <w:t> </w:t>
      </w:r>
      <w:r>
        <w:rPr>
          <w:spacing w:val="-91"/>
        </w:rPr>
      </w:r>
      <w:r>
        <w:rPr/>
        <w:t>咨询；产品设计、模型设计、包装装潢设计、工艺美术设计、电脑动画设计；设计、制作、</w:t>
      </w:r>
      <w:r>
        <w:rPr>
          <w:spacing w:val="-91"/>
        </w:rPr>
        <w:t> </w:t>
      </w:r>
      <w:r>
        <w:rPr>
          <w:spacing w:val="-91"/>
        </w:rPr>
      </w:r>
      <w:r>
        <w:rPr/>
        <w:t>代理、发布广告；市场调查；企业管理咨询；组织文化艺术交流活动；文艺创作；承办展览</w:t>
      </w:r>
      <w:r>
        <w:rPr>
          <w:spacing w:val="-91"/>
        </w:rPr>
        <w:t> </w:t>
      </w:r>
      <w:r>
        <w:rPr>
          <w:spacing w:val="-91"/>
        </w:rPr>
      </w:r>
      <w:r>
        <w:rPr/>
        <w:t>展示活动。</w:t>
      </w:r>
    </w:p>
    <w:p>
      <w:pPr>
        <w:pStyle w:val="BodyText"/>
        <w:spacing w:line="357" w:lineRule="auto"/>
        <w:ind w:left="635" w:right="96"/>
        <w:jc w:val="left"/>
      </w:pPr>
      <w:r>
        <w:rPr>
          <w:rFonts w:ascii="宋体" w:hAnsi="宋体" w:cs="宋体" w:eastAsia="宋体" w:hint="default"/>
        </w:rPr>
        <w:t>9</w:t>
      </w:r>
      <w:r>
        <w:rPr/>
        <w:t>、山东信通智能泊车管理技术有限公司 北京数字政通科技股份有限公司与山东省诚信行物业管理有限公司、济南君熙网络科技</w:t>
      </w:r>
    </w:p>
    <w:p>
      <w:pPr>
        <w:pStyle w:val="BodyText"/>
        <w:spacing w:line="357" w:lineRule="auto"/>
        <w:ind w:right="231"/>
        <w:jc w:val="both"/>
      </w:pPr>
      <w:r>
        <w:rPr/>
        <w:t>有限公司签署了关于共同出资成立新公司的《合作协议》，诚信行、数字政通、济南君熙拟</w:t>
      </w:r>
      <w:r>
        <w:rPr>
          <w:spacing w:val="-91"/>
        </w:rPr>
        <w:t> </w:t>
      </w:r>
      <w:r>
        <w:rPr>
          <w:spacing w:val="-91"/>
        </w:rPr>
      </w:r>
      <w:r>
        <w:rPr>
          <w:spacing w:val="-2"/>
        </w:rPr>
        <w:t>共同出资在济南设立“山东信通智能泊车管理技术有限公司”，公司注册资本</w:t>
      </w:r>
      <w:r>
        <w:rPr>
          <w:rFonts w:ascii="宋体" w:hAnsi="宋体" w:cs="宋体" w:eastAsia="宋体" w:hint="default"/>
          <w:spacing w:val="-2"/>
        </w:rPr>
        <w:t>1,000</w:t>
      </w:r>
      <w:r>
        <w:rPr>
          <w:spacing w:val="-2"/>
        </w:rPr>
        <w:t>万元，经</w:t>
      </w:r>
      <w:r>
        <w:rPr>
          <w:spacing w:val="-115"/>
        </w:rPr>
        <w:t> </w:t>
      </w:r>
      <w:r>
        <w:rPr>
          <w:spacing w:val="-115"/>
        </w:rPr>
      </w:r>
      <w:r>
        <w:rPr/>
        <w:t>营范围为智能停车技术开发服务；停车场管理。公司已于</w:t>
      </w:r>
      <w:r>
        <w:rPr>
          <w:rFonts w:ascii="宋体" w:hAnsi="宋体" w:cs="宋体" w:eastAsia="宋体" w:hint="default"/>
        </w:rPr>
        <w:t>2015</w:t>
      </w:r>
      <w:r>
        <w:rPr/>
        <w:t>年</w:t>
      </w:r>
      <w:r>
        <w:rPr>
          <w:rFonts w:ascii="宋体" w:hAnsi="宋体" w:cs="宋体" w:eastAsia="宋体" w:hint="default"/>
        </w:rPr>
        <w:t>4</w:t>
      </w:r>
      <w:r>
        <w:rPr/>
        <w:t>月注册完成。</w:t>
      </w:r>
    </w:p>
    <w:p>
      <w:pPr>
        <w:pStyle w:val="BodyText"/>
        <w:spacing w:line="240" w:lineRule="auto"/>
        <w:ind w:left="635" w:right="96"/>
        <w:jc w:val="left"/>
      </w:pPr>
      <w:r>
        <w:rPr>
          <w:rFonts w:ascii="宋体" w:hAnsi="宋体" w:cs="宋体" w:eastAsia="宋体" w:hint="default"/>
        </w:rPr>
        <w:t>10</w:t>
      </w:r>
      <w:r>
        <w:rPr/>
        <w:t>、焦作市市民健康促进服务有限责任公司</w:t>
      </w:r>
    </w:p>
    <w:p>
      <w:pPr>
        <w:pStyle w:val="BodyText"/>
        <w:spacing w:line="240" w:lineRule="auto" w:before="154"/>
        <w:ind w:left="635" w:right="96"/>
        <w:jc w:val="left"/>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26</w:t>
      </w:r>
      <w:r>
        <w:rPr/>
        <w:t>日，公司与北京天健源达科技有限公司签署了关于共同出资成立新公司的</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11"/>
        <w:jc w:val="both"/>
      </w:pPr>
      <w:r>
        <w:rPr/>
        <w:t>《合作协议》，公司与天健源达共同出资在河南省焦作市设立“焦作市市民健康促进服务有</w:t>
      </w:r>
      <w:r>
        <w:rPr>
          <w:spacing w:val="-88"/>
        </w:rPr>
        <w:t> </w:t>
      </w:r>
      <w:r>
        <w:rPr>
          <w:spacing w:val="-88"/>
        </w:rPr>
      </w:r>
      <w:r>
        <w:rPr/>
        <w:t>限责任公司”。主营业务为居民健康咨询服务；互联网信息服务；软件开发和信息技术咨询</w:t>
      </w:r>
      <w:r>
        <w:rPr>
          <w:spacing w:val="-91"/>
        </w:rPr>
        <w:t> </w:t>
      </w:r>
      <w:r>
        <w:rPr>
          <w:spacing w:val="-91"/>
        </w:rPr>
      </w:r>
      <w:r>
        <w:rPr/>
        <w:t>服务；数据处理服务；信息技术推广、科技中介服务；开发计算机软硬件；承接计算机网络</w:t>
      </w:r>
      <w:r>
        <w:rPr>
          <w:spacing w:val="-91"/>
        </w:rPr>
        <w:t> </w:t>
      </w:r>
      <w:r>
        <w:rPr>
          <w:spacing w:val="-91"/>
        </w:rPr>
      </w:r>
      <w:r>
        <w:rPr/>
        <w:t>工程；提供自产产品的安装、调试、维修、技术培训、技术转让、技术服务；销售：计算机</w:t>
      </w:r>
      <w:r>
        <w:rPr>
          <w:spacing w:val="-88"/>
        </w:rPr>
        <w:t> </w:t>
      </w:r>
      <w:r>
        <w:rPr>
          <w:spacing w:val="-88"/>
        </w:rPr>
      </w:r>
      <w:r>
        <w:rPr>
          <w:spacing w:val="-5"/>
        </w:rPr>
        <w:t>软硬件、办公用品；进出口贸易。注册资本为</w:t>
      </w:r>
      <w:r>
        <w:rPr>
          <w:rFonts w:ascii="宋体" w:hAnsi="宋体" w:cs="宋体" w:eastAsia="宋体" w:hint="default"/>
          <w:spacing w:val="-5"/>
        </w:rPr>
        <w:t>1000</w:t>
      </w:r>
      <w:r>
        <w:rPr>
          <w:spacing w:val="-5"/>
        </w:rPr>
        <w:t>万元人民币，公司已于</w:t>
      </w:r>
      <w:r>
        <w:rPr>
          <w:rFonts w:ascii="宋体" w:hAnsi="宋体" w:cs="宋体" w:eastAsia="宋体" w:hint="default"/>
          <w:spacing w:val="-5"/>
        </w:rPr>
        <w:t>2016</w:t>
      </w:r>
      <w:r>
        <w:rPr>
          <w:spacing w:val="-5"/>
        </w:rPr>
        <w:t>年</w:t>
      </w:r>
      <w:r>
        <w:rPr>
          <w:rFonts w:ascii="宋体" w:hAnsi="宋体" w:cs="宋体" w:eastAsia="宋体" w:hint="default"/>
          <w:spacing w:val="-5"/>
        </w:rPr>
        <w:t>2</w:t>
      </w:r>
      <w:r>
        <w:rPr>
          <w:spacing w:val="-5"/>
        </w:rPr>
        <w:t>月注册完成。</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11"/>
        <w:rPr>
          <w:rFonts w:ascii="宋体" w:hAnsi="宋体" w:cs="宋体" w:eastAsia="宋体" w:hint="default"/>
          <w:b/>
          <w:bCs/>
          <w:sz w:val="28"/>
          <w:szCs w:val="28"/>
        </w:rPr>
      </w:pPr>
    </w:p>
    <w:p>
      <w:pPr>
        <w:spacing w:line="357" w:lineRule="auto" w:before="0"/>
        <w:ind w:left="635" w:right="6371" w:firstLine="0"/>
        <w:jc w:val="left"/>
        <w:rPr>
          <w:rFonts w:ascii="宋体" w:hAnsi="宋体" w:cs="宋体" w:eastAsia="宋体" w:hint="default"/>
          <w:sz w:val="24"/>
          <w:szCs w:val="24"/>
        </w:rPr>
      </w:pPr>
      <w:r>
        <w:rPr>
          <w:rFonts w:ascii="宋体" w:hAnsi="宋体" w:cs="宋体" w:eastAsia="宋体" w:hint="default"/>
          <w:b/>
          <w:bCs/>
          <w:sz w:val="24"/>
          <w:szCs w:val="24"/>
        </w:rPr>
        <w:t>（一）公司未来发展展望</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、公司面临的行业发展趋势 智慧城市</w:t>
      </w:r>
    </w:p>
    <w:p>
      <w:pPr>
        <w:pStyle w:val="BodyText"/>
        <w:spacing w:line="357" w:lineRule="auto"/>
        <w:ind w:right="134" w:firstLine="482"/>
        <w:jc w:val="left"/>
      </w:pPr>
      <w:r>
        <w:rPr/>
        <w:t>中共中央、国务院印发《国家新型城镇化规划（</w:t>
      </w:r>
      <w:r>
        <w:rPr>
          <w:rFonts w:ascii="宋体" w:hAnsi="宋体" w:cs="宋体" w:eastAsia="宋体" w:hint="default"/>
        </w:rPr>
        <w:t>2014</w:t>
      </w:r>
      <w:r>
        <w:rPr/>
        <w:t>－</w:t>
      </w:r>
      <w:r>
        <w:rPr>
          <w:rFonts w:ascii="宋体" w:hAnsi="宋体" w:cs="宋体" w:eastAsia="宋体" w:hint="default"/>
        </w:rPr>
        <w:t>2020</w:t>
      </w:r>
      <w:r>
        <w:rPr/>
        <w:t>年）》将智慧城市列为我国 推进新型城市建设的三大目标之一，提出到</w:t>
      </w:r>
      <w:r>
        <w:rPr>
          <w:rFonts w:ascii="宋体" w:hAnsi="宋体" w:cs="宋体" w:eastAsia="宋体" w:hint="default"/>
        </w:rPr>
        <w:t>2020</w:t>
      </w:r>
      <w:r>
        <w:rPr/>
        <w:t>年，建成一批特色鲜明的智慧城市。强调城</w:t>
      </w:r>
      <w:r>
        <w:rPr>
          <w:spacing w:val="-89"/>
        </w:rPr>
        <w:t> </w:t>
      </w:r>
      <w:r>
        <w:rPr>
          <w:spacing w:val="-89"/>
        </w:rPr>
      </w:r>
      <w:r>
        <w:rPr/>
        <w:t>市治理结构以网格化管理、社会化服务为方向，健全基层综合服务管理平台，及时反映和协</w:t>
      </w:r>
      <w:r>
        <w:rPr>
          <w:spacing w:val="-91"/>
        </w:rPr>
        <w:t> </w:t>
      </w:r>
      <w:r>
        <w:rPr>
          <w:spacing w:val="-91"/>
        </w:rPr>
      </w:r>
      <w:r>
        <w:rPr/>
        <w:t>调人民群众各方面各层次利益诉求。“十三五”规划建议明确提出，“十三五”我国将支持</w:t>
      </w:r>
      <w:r>
        <w:rPr>
          <w:spacing w:val="-88"/>
        </w:rPr>
        <w:t> </w:t>
      </w:r>
      <w:r>
        <w:rPr>
          <w:spacing w:val="-88"/>
        </w:rPr>
      </w:r>
      <w:r>
        <w:rPr/>
        <w:t>绿色城市、智慧城市、森林城市建设和城际基础设施互联互通。业内认为，这意味着在“十</w:t>
      </w:r>
      <w:r>
        <w:rPr>
          <w:spacing w:val="-86"/>
        </w:rPr>
        <w:t> </w:t>
      </w:r>
      <w:r>
        <w:rPr>
          <w:spacing w:val="-86"/>
        </w:rPr>
      </w:r>
      <w:r>
        <w:rPr>
          <w:spacing w:val="-2"/>
        </w:rPr>
        <w:t>三五”期间，中国将进入智慧城市</w:t>
      </w:r>
      <w:r>
        <w:rPr>
          <w:rFonts w:ascii="宋体" w:hAnsi="宋体" w:cs="宋体" w:eastAsia="宋体" w:hint="default"/>
          <w:spacing w:val="-2"/>
        </w:rPr>
        <w:t>2.0</w:t>
      </w:r>
      <w:r>
        <w:rPr>
          <w:spacing w:val="-2"/>
        </w:rPr>
        <w:t>时代。住建部、科技部等在全国推进了三个批次、共计</w:t>
      </w:r>
      <w:r>
        <w:rPr>
          <w:spacing w:val="-118"/>
        </w:rPr>
        <w:t> </w:t>
      </w:r>
      <w:r>
        <w:rPr>
          <w:spacing w:val="-118"/>
        </w:rPr>
      </w:r>
      <w:r>
        <w:rPr>
          <w:spacing w:val="-2"/>
        </w:rPr>
        <w:t>约</w:t>
      </w:r>
      <w:r>
        <w:rPr>
          <w:rFonts w:ascii="宋体" w:hAnsi="宋体" w:cs="宋体" w:eastAsia="宋体" w:hint="default"/>
          <w:spacing w:val="-2"/>
        </w:rPr>
        <w:t>277</w:t>
      </w:r>
      <w:r>
        <w:rPr>
          <w:spacing w:val="-2"/>
        </w:rPr>
        <w:t>个智慧城市</w:t>
      </w:r>
      <w:r>
        <w:rPr>
          <w:rFonts w:ascii="宋体" w:hAnsi="宋体" w:cs="宋体" w:eastAsia="宋体" w:hint="default"/>
          <w:spacing w:val="-2"/>
        </w:rPr>
        <w:t>(</w:t>
      </w:r>
      <w:r>
        <w:rPr>
          <w:spacing w:val="-2"/>
        </w:rPr>
        <w:t>区、县、镇</w:t>
      </w:r>
      <w:r>
        <w:rPr>
          <w:rFonts w:ascii="宋体" w:hAnsi="宋体" w:cs="宋体" w:eastAsia="宋体" w:hint="default"/>
          <w:spacing w:val="-2"/>
        </w:rPr>
        <w:t>)</w:t>
      </w:r>
      <w:r>
        <w:rPr>
          <w:spacing w:val="-2"/>
        </w:rPr>
        <w:t>试点工作。随着政策红利的释放，以及市场的需求，我国智慧</w:t>
      </w:r>
      <w:r>
        <w:rPr/>
        <w:t> 城市将迎来新一轮快速发展的机遇，未来我国智慧城市建设市场规模估计有</w:t>
      </w:r>
      <w:r>
        <w:rPr>
          <w:rFonts w:ascii="宋体" w:hAnsi="宋体" w:cs="宋体" w:eastAsia="宋体" w:hint="default"/>
        </w:rPr>
        <w:t>4</w:t>
      </w:r>
      <w:r>
        <w:rPr/>
        <w:t>万亿元人民币， 其潜力将在“十三五”集中释放。</w:t>
      </w:r>
    </w:p>
    <w:p>
      <w:pPr>
        <w:pStyle w:val="BodyText"/>
        <w:spacing w:line="357" w:lineRule="auto" w:before="37"/>
        <w:ind w:right="234" w:firstLine="482"/>
        <w:jc w:val="both"/>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30</w:t>
      </w:r>
      <w:r>
        <w:rPr/>
        <w:t>日，中共中央和国务院发布《关于深入推进城市执法体制改革改进城市管 理工作的指导意见》。根据部署，积极推进城市管理数字化、精细化、智慧化，到</w:t>
      </w:r>
      <w:r>
        <w:rPr>
          <w:rFonts w:ascii="宋体" w:hAnsi="宋体" w:cs="宋体" w:eastAsia="宋体" w:hint="default"/>
        </w:rPr>
        <w:t>2017</w:t>
      </w:r>
      <w:r>
        <w:rPr/>
        <w:t>年底</w:t>
      </w:r>
      <w:r>
        <w:rPr>
          <w:spacing w:val="-88"/>
        </w:rPr>
        <w:t> </w:t>
      </w:r>
      <w:r>
        <w:rPr/>
        <w:t>所有市、县都要整合形成数字化城市管理平台。到</w:t>
      </w:r>
      <w:r>
        <w:rPr>
          <w:rFonts w:ascii="宋体" w:hAnsi="宋体" w:cs="宋体" w:eastAsia="宋体" w:hint="default"/>
        </w:rPr>
        <w:t>2020</w:t>
      </w:r>
      <w:r>
        <w:rPr/>
        <w:t>年，城市管理法律法规和标准体系基</w:t>
      </w:r>
      <w:r>
        <w:rPr>
          <w:spacing w:val="-88"/>
        </w:rPr>
        <w:t> </w:t>
      </w:r>
      <w:r>
        <w:rPr>
          <w:spacing w:val="-88"/>
        </w:rPr>
      </w:r>
      <w:r>
        <w:rPr/>
        <w:t>本完善，智慧城市建设渐入佳境，新型城市管理被政府提上日程。</w:t>
      </w:r>
    </w:p>
    <w:p>
      <w:pPr>
        <w:pStyle w:val="BodyText"/>
        <w:spacing w:line="357" w:lineRule="auto"/>
        <w:ind w:right="229" w:firstLine="482"/>
        <w:jc w:val="both"/>
      </w:pPr>
      <w:r>
        <w:rPr>
          <w:rFonts w:ascii="宋体" w:hAnsi="宋体" w:cs="宋体" w:eastAsia="宋体" w:hint="default"/>
          <w:spacing w:val="-3"/>
        </w:rPr>
        <w:t>2016</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w:t>
      </w:r>
      <w:r>
        <w:rPr>
          <w:spacing w:val="-3"/>
        </w:rPr>
        <w:t>日，住房和城乡建设部部长陈政高在贯彻落实《中共中央</w:t>
      </w:r>
      <w:r>
        <w:rPr>
          <w:spacing w:val="14"/>
        </w:rPr>
        <w:t> </w:t>
      </w:r>
      <w:r>
        <w:rPr/>
        <w:t>国务院关于深入推</w:t>
      </w:r>
      <w:r>
        <w:rPr/>
        <w:t> 进城市执法体制改革改进城市管理工作的指导意见》精神电视电话会议上的讲话中提到在部</w:t>
      </w:r>
      <w:r>
        <w:rPr>
          <w:spacing w:val="-91"/>
        </w:rPr>
        <w:t> </w:t>
      </w:r>
      <w:r>
        <w:rPr>
          <w:spacing w:val="-91"/>
        </w:rPr>
      </w:r>
      <w:r>
        <w:rPr/>
        <w:t>省层面设置城市管理主管部门，做好顶层设计，为发展提供正确指引。市县层面推进城市管</w:t>
      </w:r>
      <w:r>
        <w:rPr>
          <w:spacing w:val="-91"/>
        </w:rPr>
        <w:t> </w:t>
      </w:r>
      <w:r>
        <w:rPr>
          <w:spacing w:val="-91"/>
        </w:rPr>
      </w:r>
      <w:r>
        <w:rPr/>
        <w:t>理领域大部门制改革，实现管理执法机构综合设置，确保</w:t>
      </w:r>
      <w:r>
        <w:rPr>
          <w:rFonts w:ascii="宋体" w:hAnsi="宋体" w:cs="宋体" w:eastAsia="宋体" w:hint="default"/>
        </w:rPr>
        <w:t>2017</w:t>
      </w:r>
      <w:r>
        <w:rPr/>
        <w:t>年年底前所有市、县都要整合</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5" w:right="1214" w:hanging="483"/>
        <w:jc w:val="left"/>
      </w:pPr>
      <w:r>
        <w:rPr/>
        <w:t>形成数字化城市管理平台。已建成运行的，要加快数字化城市管理向智慧化升级。 智能泊车</w:t>
      </w:r>
    </w:p>
    <w:p>
      <w:pPr>
        <w:pStyle w:val="BodyText"/>
        <w:spacing w:line="357" w:lineRule="auto"/>
        <w:ind w:right="96" w:firstLine="482"/>
        <w:jc w:val="left"/>
      </w:pPr>
      <w:r>
        <w:rPr/>
        <w:t>随着城镇化的快速发展，居民生活水平不断提升，在国内私家车迅速增长的情形下，一 </w:t>
      </w:r>
      <w:r>
        <w:rPr>
          <w:spacing w:val="-2"/>
        </w:rPr>
        <w:t>些大城市面临“车多位少”的困境，迫使很多车主直接停在道路上，这一方面影响交通畅通，</w:t>
      </w:r>
      <w:r>
        <w:rPr/>
        <w:t> 带来安全隐患；另一方面也不利于车辆的管理，车辆容易被破坏或者偷到，给车主带来财产</w:t>
      </w:r>
      <w:r>
        <w:rPr>
          <w:spacing w:val="-91"/>
        </w:rPr>
        <w:t> </w:t>
      </w:r>
      <w:r>
        <w:rPr>
          <w:spacing w:val="-91"/>
        </w:rPr>
      </w:r>
      <w:r>
        <w:rPr/>
        <w:t>损失。另一方面，大量的经营性停车场却存在长期空置的问题，近五成停车泊位并没有得到</w:t>
      </w:r>
      <w:r>
        <w:rPr>
          <w:spacing w:val="-91"/>
        </w:rPr>
        <w:t> </w:t>
      </w:r>
      <w:r>
        <w:rPr>
          <w:spacing w:val="-91"/>
        </w:rPr>
      </w:r>
      <w:r>
        <w:rPr/>
        <w:t>合理利用。另外随着城市停车场规模也日益大型化，加之服务车辆繁多，人工管理的效率和</w:t>
      </w:r>
      <w:r>
        <w:rPr>
          <w:spacing w:val="-88"/>
        </w:rPr>
        <w:t> </w:t>
      </w:r>
      <w:r>
        <w:rPr>
          <w:spacing w:val="-88"/>
        </w:rPr>
      </w:r>
      <w:r>
        <w:rPr/>
        <w:t>可靠性难以满足其在管理上提出的要求。与此同时，可以有效解决泊位资源重组的智慧停车</w:t>
      </w:r>
      <w:r>
        <w:rPr>
          <w:spacing w:val="-91"/>
        </w:rPr>
        <w:t> </w:t>
      </w:r>
      <w:r>
        <w:rPr>
          <w:spacing w:val="-91"/>
        </w:rPr>
      </w:r>
      <w:r>
        <w:rPr/>
        <w:t>场整体覆盖率不足十分之一。数据机构发布的首个《中国城市智慧停车指数报告》显示，北</w:t>
      </w:r>
      <w:r>
        <w:rPr>
          <w:spacing w:val="-91"/>
        </w:rPr>
        <w:t> </w:t>
      </w:r>
      <w:r>
        <w:rPr>
          <w:spacing w:val="-91"/>
        </w:rPr>
      </w:r>
      <w:r>
        <w:rPr/>
        <w:t>上广深四城市停车位平均缺口率达</w:t>
      </w:r>
      <w:r>
        <w:rPr>
          <w:rFonts w:ascii="宋体" w:hAnsi="宋体" w:cs="宋体" w:eastAsia="宋体" w:hint="default"/>
        </w:rPr>
        <w:t>76.3%</w:t>
      </w:r>
      <w:r>
        <w:rPr/>
        <w:t>，北京只有三成多车辆有固定正规车位，深圳则不到 两成。而与此同时，停车场泊位平均空置率却高达</w:t>
      </w:r>
      <w:r>
        <w:rPr>
          <w:rFonts w:ascii="宋体" w:hAnsi="宋体" w:cs="宋体" w:eastAsia="宋体" w:hint="default"/>
        </w:rPr>
        <w:t>44.6%</w:t>
      </w:r>
      <w:r>
        <w:rPr/>
        <w:t>、可有效重组车位资源的智慧停车场 覆盖率不足一成。</w:t>
      </w:r>
    </w:p>
    <w:p>
      <w:pPr>
        <w:pStyle w:val="BodyText"/>
        <w:spacing w:line="357" w:lineRule="auto"/>
        <w:ind w:right="96" w:firstLine="482"/>
        <w:jc w:val="left"/>
      </w:pP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w:t>
      </w:r>
      <w:r>
        <w:rPr/>
        <w:t>日，发改委联合交通运输部、财政部、国土部、住建部、公安部、银监会等 七部委发布《关于加强城市停车设施建设的指导意见》。其中第十四条明确推动停车智能化</w:t>
      </w:r>
      <w:r>
        <w:rPr>
          <w:spacing w:val="-88"/>
        </w:rPr>
        <w:t> </w:t>
      </w:r>
      <w:r>
        <w:rPr>
          <w:spacing w:val="-88"/>
        </w:rPr>
      </w:r>
      <w:r>
        <w:rPr>
          <w:spacing w:val="-2"/>
        </w:rPr>
        <w:t>信息化。要求各地加快对城市停车资源状况摸底调查，建立停车基础数据库，实时更新数据，</w:t>
      </w:r>
      <w:r>
        <w:rPr/>
        <w:t> 并对外开放共享；促进咪表停车系统、智能停车诱导系统、自动识别车牌系统等高新技术的</w:t>
      </w:r>
      <w:r>
        <w:rPr>
          <w:spacing w:val="-91"/>
        </w:rPr>
        <w:t> </w:t>
      </w:r>
      <w:r>
        <w:rPr>
          <w:spacing w:val="-91"/>
        </w:rPr>
      </w:r>
      <w:r>
        <w:rPr/>
        <w:t>开发与应用；加强不同停车管理信息系统的互联互通、信息共享，促进停车与互联网融合发</w:t>
      </w:r>
      <w:r>
        <w:rPr>
          <w:spacing w:val="-91"/>
        </w:rPr>
        <w:t> </w:t>
      </w:r>
      <w:r>
        <w:rPr>
          <w:spacing w:val="-91"/>
        </w:rPr>
      </w:r>
      <w:r>
        <w:rPr/>
        <w:t>展，支持移动终端互联网停车应用的开发与推广，鼓励出行前进行停车查询、预订车位，实</w:t>
      </w:r>
      <w:r>
        <w:rPr>
          <w:spacing w:val="-91"/>
        </w:rPr>
        <w:t> </w:t>
      </w:r>
      <w:r>
        <w:rPr>
          <w:spacing w:val="-91"/>
        </w:rPr>
      </w:r>
      <w:r>
        <w:rPr/>
        <w:t>现自动计费支付等功能，提高停车资源利用效率，减少因寻找停车泊位诱发的交通需求。在</w:t>
      </w:r>
      <w:r>
        <w:rPr>
          <w:spacing w:val="-91"/>
        </w:rPr>
        <w:t> </w:t>
      </w:r>
      <w:r>
        <w:rPr>
          <w:spacing w:val="-91"/>
        </w:rPr>
      </w:r>
      <w:r>
        <w:rPr/>
        <w:t>市场的需求及政策的推进下，我国智能泊车系统市场规模有望迎来爆发式的增长。</w:t>
      </w:r>
    </w:p>
    <w:p>
      <w:pPr>
        <w:pStyle w:val="BodyText"/>
        <w:spacing w:line="357" w:lineRule="auto"/>
        <w:ind w:left="635" w:right="96"/>
        <w:jc w:val="left"/>
      </w:pPr>
      <w:r>
        <w:rPr/>
        <w:t>地下管网 近年来，随着城市化进程的快速发展，城市人口的增加，我国城市地下管线的建设规模</w:t>
      </w:r>
    </w:p>
    <w:p>
      <w:pPr>
        <w:pStyle w:val="BodyText"/>
        <w:spacing w:line="357" w:lineRule="auto"/>
        <w:ind w:right="239"/>
        <w:jc w:val="both"/>
      </w:pPr>
      <w:r>
        <w:rPr/>
        <w:t>不断扩大。相对应的城市地下管线建设长度的快速增加，但是管理水平不高等问题凸出，一</w:t>
      </w:r>
      <w:r>
        <w:rPr>
          <w:spacing w:val="-91"/>
        </w:rPr>
        <w:t> </w:t>
      </w:r>
      <w:r>
        <w:rPr>
          <w:spacing w:val="-91"/>
        </w:rPr>
      </w:r>
      <w:r>
        <w:rPr/>
        <w:t>些城市相继发生内涝、管线泄漏爆炸、路面塌陷等事件，严重影响了人民群众生命财产安全</w:t>
      </w:r>
      <w:r>
        <w:rPr>
          <w:spacing w:val="-91"/>
        </w:rPr>
        <w:t> </w:t>
      </w:r>
      <w:r>
        <w:rPr>
          <w:spacing w:val="-91"/>
        </w:rPr>
      </w:r>
      <w:r>
        <w:rPr/>
        <w:t>和城市运行秩序。</w:t>
      </w:r>
    </w:p>
    <w:p>
      <w:pPr>
        <w:pStyle w:val="BodyText"/>
        <w:spacing w:line="357" w:lineRule="auto"/>
        <w:ind w:right="132" w:firstLine="482"/>
        <w:jc w:val="left"/>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14</w:t>
      </w:r>
      <w:r>
        <w:rPr/>
        <w:t>日，国务院办公厅印发了《关于加强城市地下管线建设管理的指导意见》， 文件强调，城市地下管线是保障城市运行的重要基础设施和“生命线”。为此，国家制定了</w:t>
      </w:r>
      <w:r>
        <w:rPr>
          <w:spacing w:val="-88"/>
        </w:rPr>
        <w:t> </w:t>
      </w:r>
      <w:r>
        <w:rPr>
          <w:spacing w:val="-88"/>
        </w:rPr>
      </w:r>
      <w:r>
        <w:rPr/>
        <w:t>相应的目标任务和时间表，计划用</w:t>
      </w:r>
      <w:r>
        <w:rPr>
          <w:rFonts w:ascii="宋体" w:hAnsi="宋体" w:cs="宋体" w:eastAsia="宋体" w:hint="default"/>
        </w:rPr>
        <w:t>10</w:t>
      </w:r>
      <w:r>
        <w:rPr/>
        <w:t>年左右时间建成较完善的城市地下管线体系，使建设管</w:t>
      </w:r>
      <w:r>
        <w:rPr>
          <w:spacing w:val="-89"/>
        </w:rPr>
        <w:t> </w:t>
      </w:r>
      <w:r>
        <w:rPr>
          <w:spacing w:val="-89"/>
        </w:rPr>
      </w:r>
      <w:r>
        <w:rPr/>
        <w:t>理水平能够适应经济社会发展需要，应急防灾能力大幅提升。</w:t>
      </w:r>
      <w:r>
        <w:rPr>
          <w:rFonts w:ascii="宋体" w:hAnsi="宋体" w:cs="宋体" w:eastAsia="宋体" w:hint="default"/>
        </w:rPr>
        <w:t>2015</w:t>
      </w:r>
      <w:r>
        <w:rPr/>
        <w:t>年以来，国务院陆续发布</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9"/>
        <w:jc w:val="both"/>
      </w:pPr>
      <w:r>
        <w:rPr/>
        <w:t>了《关于加强城市地下管线规划管理的通知》、《关于推进城市地下综合管廊建设的指导意</w:t>
      </w:r>
      <w:r>
        <w:rPr>
          <w:spacing w:val="-91"/>
        </w:rPr>
        <w:t> </w:t>
      </w:r>
      <w:r>
        <w:rPr>
          <w:spacing w:val="-91"/>
        </w:rPr>
      </w:r>
      <w:r>
        <w:rPr/>
        <w:t>见》、《关于进一步加强城市规划建设管理工作的若干意见》、《关于深入推进新型城镇化</w:t>
      </w:r>
      <w:r>
        <w:rPr>
          <w:spacing w:val="-91"/>
        </w:rPr>
        <w:t> </w:t>
      </w:r>
      <w:r>
        <w:rPr>
          <w:spacing w:val="-91"/>
        </w:rPr>
      </w:r>
      <w:r>
        <w:rPr/>
        <w:t>建设的若干意见》和《关于推进海绵城市建设的指导意见》等一系列重要的文件，为中国城</w:t>
      </w:r>
      <w:r>
        <w:rPr>
          <w:spacing w:val="-91"/>
        </w:rPr>
        <w:t> </w:t>
      </w:r>
      <w:r>
        <w:rPr>
          <w:spacing w:val="-91"/>
        </w:rPr>
      </w:r>
      <w:r>
        <w:rPr/>
        <w:t>市地下管线的建设、管理和运营指明了发展方向。</w:t>
      </w:r>
    </w:p>
    <w:p>
      <w:pPr>
        <w:pStyle w:val="BodyText"/>
        <w:spacing w:line="240" w:lineRule="auto"/>
        <w:ind w:left="635" w:right="96"/>
        <w:jc w:val="left"/>
      </w:pPr>
      <w:r>
        <w:rPr>
          <w:rFonts w:ascii="宋体" w:hAnsi="宋体" w:cs="宋体" w:eastAsia="宋体" w:hint="default"/>
        </w:rPr>
        <w:t>2</w:t>
      </w:r>
      <w:r>
        <w:rPr/>
        <w:t>、公司</w:t>
      </w:r>
      <w:r>
        <w:rPr>
          <w:rFonts w:ascii="宋体" w:hAnsi="宋体" w:cs="宋体" w:eastAsia="宋体" w:hint="default"/>
        </w:rPr>
        <w:t>2016</w:t>
      </w:r>
      <w:r>
        <w:rPr/>
        <w:t>年度发展计划</w:t>
      </w:r>
    </w:p>
    <w:p>
      <w:pPr>
        <w:pStyle w:val="BodyText"/>
        <w:spacing w:line="357" w:lineRule="auto" w:before="154"/>
        <w:ind w:right="104" w:firstLine="482"/>
        <w:jc w:val="left"/>
      </w:pPr>
      <w:r>
        <w:rPr>
          <w:rFonts w:ascii="宋体" w:hAnsi="宋体" w:cs="宋体" w:eastAsia="宋体" w:hint="default"/>
          <w:spacing w:val="-3"/>
        </w:rPr>
        <w:t>2016</w:t>
      </w:r>
      <w:r>
        <w:rPr>
          <w:spacing w:val="-3"/>
        </w:rPr>
        <w:t>年，公司将基于“网格化</w:t>
      </w:r>
      <w:r>
        <w:rPr>
          <w:rFonts w:ascii="宋体" w:hAnsi="宋体" w:cs="宋体" w:eastAsia="宋体" w:hint="default"/>
          <w:spacing w:val="-3"/>
        </w:rPr>
        <w:t>+</w:t>
      </w:r>
      <w:r>
        <w:rPr>
          <w:spacing w:val="-3"/>
        </w:rPr>
        <w:t>”和“互联网</w:t>
      </w:r>
      <w:r>
        <w:rPr>
          <w:rFonts w:ascii="宋体" w:hAnsi="宋体" w:cs="宋体" w:eastAsia="宋体" w:hint="default"/>
          <w:spacing w:val="-3"/>
        </w:rPr>
        <w:t>+</w:t>
      </w:r>
      <w:r>
        <w:rPr>
          <w:spacing w:val="-3"/>
        </w:rPr>
        <w:t>”理念，构建“网格化</w:t>
      </w:r>
      <w:r>
        <w:rPr>
          <w:rFonts w:ascii="宋体" w:hAnsi="宋体" w:cs="宋体" w:eastAsia="宋体" w:hint="default"/>
          <w:spacing w:val="-3"/>
        </w:rPr>
        <w:t>+</w:t>
      </w:r>
      <w:r>
        <w:rPr>
          <w:spacing w:val="-3"/>
        </w:rPr>
        <w:t>”智慧城市综合信</w:t>
      </w:r>
      <w:r>
        <w:rPr/>
        <w:t> 息平台，为上下级系统间和多专业信息系统间信息交换和应用集成奠定基础。基于公司自主</w:t>
      </w:r>
      <w:r>
        <w:rPr>
          <w:spacing w:val="-89"/>
        </w:rPr>
        <w:t> </w:t>
      </w:r>
      <w:r>
        <w:rPr>
          <w:spacing w:val="-89"/>
        </w:rPr>
      </w:r>
      <w:r>
        <w:rPr/>
        <w:t>知识产权的新一代</w:t>
      </w:r>
      <w:r>
        <w:rPr>
          <w:rFonts w:ascii="宋体" w:hAnsi="宋体" w:cs="宋体" w:eastAsia="宋体" w:hint="default"/>
        </w:rPr>
        <w:t>GIS</w:t>
      </w:r>
      <w:r>
        <w:rPr/>
        <w:t>平台“eGovaIMS”实现</w:t>
      </w:r>
      <w:r>
        <w:rPr>
          <w:rFonts w:ascii="宋体" w:hAnsi="宋体" w:cs="宋体" w:eastAsia="宋体" w:hint="default"/>
        </w:rPr>
        <w:t>GIS</w:t>
      </w:r>
      <w:r>
        <w:rPr/>
        <w:t>深化应用。公司将不断完善业务发展布局，</w:t>
      </w:r>
      <w:r>
        <w:rPr>
          <w:spacing w:val="-88"/>
        </w:rPr>
        <w:t> </w:t>
      </w:r>
      <w:r>
        <w:rPr>
          <w:spacing w:val="-88"/>
        </w:rPr>
      </w:r>
      <w:r>
        <w:rPr/>
        <w:t>在数字化城市管理领域精耕细作，通过拓宽客户广度和产品深度进一步提高市场占有率。不</w:t>
      </w:r>
      <w:r>
        <w:rPr>
          <w:spacing w:val="-91"/>
        </w:rPr>
        <w:t> </w:t>
      </w:r>
      <w:r>
        <w:rPr>
          <w:spacing w:val="-91"/>
        </w:rPr>
      </w:r>
      <w:r>
        <w:rPr>
          <w:spacing w:val="-3"/>
        </w:rPr>
        <w:t>断推进和扩展工地管理、违章建筑、渣土管理、环卫管理、文明监测、污水处理、灾害管理、</w:t>
      </w:r>
      <w:r>
        <w:rPr>
          <w:spacing w:val="-82"/>
        </w:rPr>
        <w:t> </w:t>
      </w:r>
      <w:r>
        <w:rPr>
          <w:spacing w:val="-82"/>
        </w:rPr>
      </w:r>
      <w:r>
        <w:rPr/>
        <w:t>食品药品监督、公共安全监督、校园安全、农村治理等近</w:t>
      </w:r>
      <w:r>
        <w:rPr>
          <w:rFonts w:ascii="宋体" w:hAnsi="宋体" w:cs="宋体" w:eastAsia="宋体" w:hint="default"/>
        </w:rPr>
        <w:t>30</w:t>
      </w:r>
      <w:r>
        <w:rPr/>
        <w:t>项专业领域子系统。全面提升数</w:t>
      </w:r>
      <w:r>
        <w:rPr>
          <w:spacing w:val="-88"/>
        </w:rPr>
        <w:t> </w:t>
      </w:r>
      <w:r>
        <w:rPr>
          <w:spacing w:val="-88"/>
        </w:rPr>
      </w:r>
      <w:r>
        <w:rPr>
          <w:spacing w:val="-5"/>
        </w:rPr>
        <w:t>字化城市管理系统的运行效率，解决性能、存储、故障、安全等方面的问题。配合“网格化</w:t>
      </w:r>
      <w:r>
        <w:rPr>
          <w:rFonts w:ascii="宋体" w:hAnsi="宋体" w:cs="宋体" w:eastAsia="宋体" w:hint="default"/>
          <w:spacing w:val="-5"/>
        </w:rPr>
        <w:t>+</w:t>
      </w:r>
      <w:r>
        <w:rPr>
          <w:spacing w:val="-5"/>
        </w:rPr>
        <w:t>”</w:t>
      </w:r>
      <w:r>
        <w:rPr>
          <w:spacing w:val="-113"/>
        </w:rPr>
        <w:t> </w:t>
      </w:r>
      <w:r>
        <w:rPr/>
        <w:t>智慧城市综合信息平台的研发，建立全国智慧城市销售和技术服务网络，适应我国智慧城市</w:t>
      </w:r>
      <w:r>
        <w:rPr>
          <w:spacing w:val="-88"/>
        </w:rPr>
        <w:t> </w:t>
      </w:r>
      <w:r>
        <w:rPr>
          <w:spacing w:val="-88"/>
        </w:rPr>
      </w:r>
      <w:r>
        <w:rPr/>
        <w:t>深化推广需求。</w:t>
      </w:r>
    </w:p>
    <w:p>
      <w:pPr>
        <w:pStyle w:val="BodyText"/>
        <w:spacing w:line="357" w:lineRule="auto"/>
        <w:ind w:right="230" w:firstLine="482"/>
        <w:jc w:val="both"/>
      </w:pPr>
      <w:r>
        <w:rPr/>
        <w:t>在智慧城市运营服务方面，公司希望将运营服务业务从“被动信息采集”发展到“主动 信息服务”，借助云平台，加强公司在智慧城市领域的大数据应用能力，以智能众包的模式</w:t>
      </w:r>
      <w:r>
        <w:rPr>
          <w:spacing w:val="-91"/>
        </w:rPr>
        <w:t> </w:t>
      </w:r>
      <w:r>
        <w:rPr>
          <w:spacing w:val="-91"/>
        </w:rPr>
      </w:r>
      <w:r>
        <w:rPr/>
        <w:t>解决智慧城市应用中的城市管理、社区服务、智能交通、智慧医疗、智慧环保、文明测评、</w:t>
      </w:r>
      <w:r>
        <w:rPr>
          <w:spacing w:val="-91"/>
        </w:rPr>
        <w:t> </w:t>
      </w:r>
      <w:r>
        <w:rPr>
          <w:spacing w:val="-91"/>
        </w:rPr>
      </w:r>
      <w:r>
        <w:rPr/>
        <w:t>商业调查等领域的精准数据采集和分析问题，打造公开透明、互动沟通、开放创新、平台服</w:t>
      </w:r>
      <w:r>
        <w:rPr>
          <w:spacing w:val="-91"/>
        </w:rPr>
        <w:t> </w:t>
      </w:r>
      <w:r>
        <w:rPr>
          <w:spacing w:val="-91"/>
        </w:rPr>
      </w:r>
      <w:r>
        <w:rPr>
          <w:spacing w:val="-2"/>
        </w:rPr>
        <w:t>务的政府</w:t>
      </w:r>
      <w:r>
        <w:rPr>
          <w:rFonts w:ascii="宋体" w:hAnsi="宋体" w:cs="宋体" w:eastAsia="宋体" w:hint="default"/>
          <w:spacing w:val="-2"/>
        </w:rPr>
        <w:t>2.0</w:t>
      </w:r>
      <w:r>
        <w:rPr>
          <w:spacing w:val="-2"/>
        </w:rPr>
        <w:t>可视化电子政务平台，并提供消费者行为分析、客户满意度调查、广告精准投放</w:t>
      </w:r>
      <w:r>
        <w:rPr>
          <w:spacing w:val="-117"/>
        </w:rPr>
        <w:t> </w:t>
      </w:r>
      <w:r>
        <w:rPr>
          <w:spacing w:val="-117"/>
        </w:rPr>
      </w:r>
      <w:r>
        <w:rPr/>
        <w:t>等具有清晰商业价值的增值大数据应用服务。为政府和企业提供精准的大数据服务平台，使</w:t>
      </w:r>
      <w:r>
        <w:rPr>
          <w:spacing w:val="-87"/>
        </w:rPr>
        <w:t> </w:t>
      </w:r>
      <w:r>
        <w:rPr>
          <w:spacing w:val="-87"/>
        </w:rPr>
      </w:r>
      <w:r>
        <w:rPr/>
        <w:t>政府和企业的决策更高效。</w:t>
      </w:r>
    </w:p>
    <w:p>
      <w:pPr>
        <w:pStyle w:val="BodyText"/>
        <w:spacing w:line="357" w:lineRule="auto" w:before="37"/>
        <w:ind w:right="229" w:firstLine="482"/>
        <w:jc w:val="both"/>
      </w:pPr>
      <w:r>
        <w:rPr/>
        <w:t>在智慧医疗方面，公司将继续加强与天健源达和小爱科技的深度合作，共同开展区域医 疗信息化的建设和运营服务，包括建立全市卫生一体化信息网络，打通医院间的信息孤岛，</w:t>
      </w:r>
      <w:r>
        <w:rPr>
          <w:spacing w:val="-91"/>
        </w:rPr>
        <w:t> </w:t>
      </w:r>
      <w:r>
        <w:rPr>
          <w:spacing w:val="-91"/>
        </w:rPr>
      </w:r>
      <w:r>
        <w:rPr>
          <w:spacing w:val="-2"/>
        </w:rPr>
        <w:t>整合全市人口、电子病历、健康档案及医疗资源数据库，推出面向</w:t>
      </w:r>
      <w:r>
        <w:rPr>
          <w:rFonts w:ascii="宋体" w:hAnsi="宋体" w:cs="宋体" w:eastAsia="宋体" w:hint="default"/>
          <w:spacing w:val="-2"/>
        </w:rPr>
        <w:t>C</w:t>
      </w:r>
      <w:r>
        <w:rPr>
          <w:spacing w:val="-2"/>
        </w:rPr>
        <w:t>端的居民医疗健康云服务</w:t>
      </w:r>
      <w:r>
        <w:rPr>
          <w:spacing w:val="-118"/>
        </w:rPr>
        <w:t> </w:t>
      </w:r>
      <w:r>
        <w:rPr/>
        <w:t>平台，并适时开展一系列个性化的、基于智能医疗技术的增值运营服务。</w:t>
      </w:r>
    </w:p>
    <w:p>
      <w:pPr>
        <w:pStyle w:val="BodyText"/>
        <w:spacing w:line="357" w:lineRule="auto"/>
        <w:ind w:right="238" w:firstLine="482"/>
        <w:jc w:val="both"/>
      </w:pPr>
      <w:r>
        <w:rPr/>
        <w:t>在智能泊车领域，公司将加大力度拓展市场，充分发挥自身的技术优势，开展智能泊车 各项服务业务。继续与城市管理部门、停车场经营企业和物业公司合作，实现优势互补、强</w:t>
      </w:r>
      <w:r>
        <w:rPr>
          <w:spacing w:val="-91"/>
        </w:rPr>
        <w:t> </w:t>
      </w:r>
      <w:r>
        <w:rPr>
          <w:spacing w:val="-91"/>
        </w:rPr>
      </w:r>
      <w:r>
        <w:rPr/>
        <w:t>强联合、相互促进、共同提升，大力开展智能泊车业务及相关的数据增值服务，探索城市网</w:t>
      </w:r>
      <w:r>
        <w:rPr>
          <w:spacing w:val="-91"/>
        </w:rPr>
        <w:t> </w:t>
      </w:r>
      <w:r>
        <w:rPr>
          <w:spacing w:val="-91"/>
        </w:rPr>
      </w:r>
      <w:r>
        <w:rPr/>
        <w:t>格化智能泊车管理的新模式，进一步增强公司智能泊车业务的市场领导地位。</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04" w:firstLine="482"/>
        <w:jc w:val="left"/>
      </w:pPr>
      <w:r>
        <w:rPr/>
        <w:t>外延式扩张一直是公司的发展战略，公司希望通过战略合作、资源整合和投资并购等方 式，完善现有产业链，实现智慧城市的多层次发展，打造智慧城市大平台。公司重点关注智</w:t>
      </w:r>
      <w:r>
        <w:rPr>
          <w:spacing w:val="-91"/>
        </w:rPr>
        <w:t> </w:t>
      </w:r>
      <w:r>
        <w:rPr>
          <w:spacing w:val="-91"/>
        </w:rPr>
      </w:r>
      <w:r>
        <w:rPr/>
        <w:t>慧城市领域内信息化渗透率较高的行业，如智慧医疗、智慧社区、智慧环保等领域，公司希</w:t>
      </w:r>
      <w:r>
        <w:rPr>
          <w:spacing w:val="-91"/>
        </w:rPr>
        <w:t> </w:t>
      </w:r>
      <w:r>
        <w:rPr>
          <w:spacing w:val="-91"/>
        </w:rPr>
      </w:r>
      <w:r>
        <w:rPr/>
        <w:t>望通过充分运用资本的力量加快建立智慧城市的多行业融合应用体系，整合各种优势资源，</w:t>
      </w:r>
      <w:r>
        <w:rPr>
          <w:spacing w:val="-91"/>
        </w:rPr>
        <w:t> </w:t>
      </w:r>
      <w:r>
        <w:rPr>
          <w:spacing w:val="-91"/>
        </w:rPr>
      </w:r>
      <w:r>
        <w:rPr>
          <w:spacing w:val="-5"/>
        </w:rPr>
        <w:t>探索以“互联网</w:t>
      </w:r>
      <w:r>
        <w:rPr>
          <w:rFonts w:ascii="宋体" w:hAnsi="宋体" w:cs="宋体" w:eastAsia="宋体" w:hint="default"/>
          <w:spacing w:val="-5"/>
        </w:rPr>
        <w:t>+</w:t>
      </w:r>
      <w:r>
        <w:rPr>
          <w:spacing w:val="-5"/>
        </w:rPr>
        <w:t>”的模式推动智慧城市生态圈的发展，打通智慧城市建设过程中的信息孤岛，</w:t>
      </w:r>
      <w:r>
        <w:rPr>
          <w:spacing w:val="-112"/>
        </w:rPr>
        <w:t> </w:t>
      </w:r>
      <w:r>
        <w:rPr>
          <w:spacing w:val="-112"/>
        </w:rPr>
      </w:r>
      <w:r>
        <w:rPr/>
        <w:t>在为城市管理者和城市居民提供高质量的公共服务的同时积极探索提供增值服务的渠道和模</w:t>
      </w:r>
      <w:r>
        <w:rPr>
          <w:spacing w:val="-91"/>
        </w:rPr>
        <w:t> </w:t>
      </w:r>
      <w:r>
        <w:rPr>
          <w:spacing w:val="-91"/>
        </w:rPr>
      </w:r>
      <w:r>
        <w:rPr/>
        <w:t>式，形成产业共赢的格局，促进公司更好更快的发展。</w:t>
      </w:r>
    </w:p>
    <w:p>
      <w:pPr>
        <w:pStyle w:val="BodyText"/>
        <w:spacing w:line="357" w:lineRule="auto" w:before="37"/>
        <w:ind w:right="228" w:firstLine="482"/>
        <w:jc w:val="both"/>
      </w:pPr>
      <w:r>
        <w:rPr>
          <w:spacing w:val="-3"/>
        </w:rPr>
        <w:t>公司的管理体系将更加关注效率和创新。在提升运营效率方面，公司将逐步形成“销售</w:t>
      </w:r>
      <w:r>
        <w:rPr>
          <w:rFonts w:ascii="宋体" w:hAnsi="宋体" w:cs="宋体" w:eastAsia="宋体" w:hint="default"/>
          <w:spacing w:val="-3"/>
        </w:rPr>
        <w:t>+</w:t>
      </w:r>
      <w:r>
        <w:rPr>
          <w:rFonts w:ascii="宋体" w:hAnsi="宋体" w:cs="宋体" w:eastAsia="宋体" w:hint="default"/>
        </w:rPr>
        <w:t> </w:t>
      </w:r>
      <w:r>
        <w:rPr>
          <w:spacing w:val="-3"/>
        </w:rPr>
        <w:t>工程</w:t>
      </w:r>
      <w:r>
        <w:rPr>
          <w:rFonts w:ascii="宋体" w:hAnsi="宋体" w:cs="宋体" w:eastAsia="宋体" w:hint="default"/>
          <w:spacing w:val="-3"/>
        </w:rPr>
        <w:t>+</w:t>
      </w:r>
      <w:r>
        <w:rPr>
          <w:spacing w:val="-3"/>
        </w:rPr>
        <w:t>研发”的一体化管理体系，形成责权利更加清晰的技术研发和项目支持模式，加大费用</w:t>
      </w:r>
      <w:r>
        <w:rPr>
          <w:spacing w:val="-80"/>
        </w:rPr>
        <w:t> </w:t>
      </w:r>
      <w:r>
        <w:rPr>
          <w:spacing w:val="-80"/>
        </w:rPr>
      </w:r>
      <w:r>
        <w:rPr/>
        <w:t>管控和成本控制措施的执行力度，通过更加精细化的项目管控提升业务的盈利水平，同时，</w:t>
      </w:r>
      <w:r>
        <w:rPr>
          <w:spacing w:val="-91"/>
        </w:rPr>
        <w:t> </w:t>
      </w:r>
      <w:r>
        <w:rPr>
          <w:spacing w:val="-91"/>
        </w:rPr>
      </w:r>
      <w:r>
        <w:rPr/>
        <w:t>公司支持各业务单元建立专门的新业务推广队伍和体系，既能保障传统业务稳健增长，又能</w:t>
      </w:r>
      <w:r>
        <w:rPr>
          <w:spacing w:val="-91"/>
        </w:rPr>
        <w:t> </w:t>
      </w:r>
      <w:r>
        <w:rPr>
          <w:spacing w:val="-91"/>
        </w:rPr>
      </w:r>
      <w:r>
        <w:rPr/>
        <w:t>有效推进新业务的快速发展。在鼓励创新方面，公司将为推动新业务和新模式的发展设立一</w:t>
      </w:r>
      <w:r>
        <w:rPr>
          <w:spacing w:val="-89"/>
        </w:rPr>
        <w:t> </w:t>
      </w:r>
      <w:r>
        <w:rPr>
          <w:spacing w:val="-89"/>
        </w:rPr>
      </w:r>
      <w:r>
        <w:rPr/>
        <w:t>系列新的奖励政策，支持和鼓励团队解放思想、积极探索、不怕失败，以互联网的思维拥抱</w:t>
      </w:r>
      <w:r>
        <w:rPr>
          <w:spacing w:val="-91"/>
        </w:rPr>
        <w:t> </w:t>
      </w:r>
      <w:r>
        <w:rPr>
          <w:spacing w:val="-91"/>
        </w:rPr>
      </w:r>
      <w:r>
        <w:rPr/>
        <w:t>新事物，主动承担创新任务，勇敢面对新的挑战。</w:t>
      </w:r>
    </w:p>
    <w:p>
      <w:pPr>
        <w:spacing w:line="357" w:lineRule="auto" w:before="36"/>
        <w:ind w:left="635" w:right="5998" w:firstLine="0"/>
        <w:jc w:val="left"/>
        <w:rPr>
          <w:rFonts w:ascii="宋体" w:hAnsi="宋体" w:cs="宋体" w:eastAsia="宋体" w:hint="default"/>
          <w:sz w:val="24"/>
          <w:szCs w:val="24"/>
        </w:rPr>
      </w:pPr>
      <w:r>
        <w:rPr>
          <w:rFonts w:ascii="宋体" w:hAnsi="宋体" w:cs="宋体" w:eastAsia="宋体" w:hint="default"/>
          <w:b/>
          <w:bCs/>
          <w:sz w:val="24"/>
          <w:szCs w:val="24"/>
        </w:rPr>
        <w:t>（二）公司发展面对的主要风险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、依赖政府采购风险</w:t>
      </w:r>
    </w:p>
    <w:p>
      <w:pPr>
        <w:pStyle w:val="BodyText"/>
        <w:spacing w:line="357" w:lineRule="auto"/>
        <w:ind w:right="96" w:firstLine="482"/>
        <w:jc w:val="left"/>
      </w:pPr>
      <w:r>
        <w:rPr>
          <w:spacing w:val="-3"/>
        </w:rPr>
        <w:t>公司产品主要是各级政府（部、省、市、区、县政府）的数字化城市管理平台以及国土、</w:t>
      </w:r>
      <w:r>
        <w:rPr/>
        <w:t> </w:t>
      </w:r>
      <w:r>
        <w:rPr>
          <w:spacing w:val="-3"/>
        </w:rPr>
        <w:t>规划等政府主管部门的专用管理信息系统。客户定位于各级政府（部、省、市、区、县政府）</w:t>
      </w:r>
      <w:r>
        <w:rPr>
          <w:spacing w:val="-85"/>
        </w:rPr>
        <w:t> </w:t>
      </w:r>
      <w:r>
        <w:rPr>
          <w:spacing w:val="-85"/>
        </w:rPr>
      </w:r>
      <w:r>
        <w:rPr>
          <w:spacing w:val="-3"/>
        </w:rPr>
        <w:t>部门，虽然街道、乡镇、城市各个专业部门（如执法、污水、供水、园林、海塘、公路等）、</w:t>
      </w:r>
      <w:r>
        <w:rPr>
          <w:spacing w:val="-87"/>
        </w:rPr>
        <w:t> </w:t>
      </w:r>
      <w:r>
        <w:rPr>
          <w:spacing w:val="-87"/>
        </w:rPr>
      </w:r>
      <w:r>
        <w:rPr/>
        <w:t>大型企业也是公司的目标用户群，但目前公司销售收入主要来源于政府采购，项目均通过各</w:t>
      </w:r>
      <w:r>
        <w:rPr>
          <w:spacing w:val="-88"/>
        </w:rPr>
        <w:t> </w:t>
      </w:r>
      <w:r>
        <w:rPr>
          <w:spacing w:val="-88"/>
        </w:rPr>
      </w:r>
      <w:r>
        <w:rPr/>
        <w:t>级政府招投标过程获得。面对尚不明朗的宏观经济形势，地方政府和行业主管部门可能存在</w:t>
      </w:r>
      <w:r>
        <w:rPr>
          <w:spacing w:val="-91"/>
        </w:rPr>
        <w:t> </w:t>
      </w:r>
      <w:r>
        <w:rPr>
          <w:spacing w:val="-91"/>
        </w:rPr>
      </w:r>
      <w:r>
        <w:rPr/>
        <w:t>财政紧缩、推迟或减少对电子政务系统的投入，未来将会对公司的经营产生一定影响。</w:t>
      </w:r>
    </w:p>
    <w:p>
      <w:pPr>
        <w:pStyle w:val="BodyText"/>
        <w:spacing w:line="357" w:lineRule="auto"/>
        <w:ind w:left="635" w:right="96"/>
        <w:jc w:val="left"/>
      </w:pPr>
      <w:r>
        <w:rPr>
          <w:rFonts w:ascii="宋体" w:hAnsi="宋体" w:cs="宋体" w:eastAsia="宋体" w:hint="default"/>
        </w:rPr>
        <w:t>2</w:t>
      </w:r>
      <w:r>
        <w:rPr/>
        <w:t>、市场竞争加剧的风险 </w:t>
      </w:r>
      <w:r>
        <w:rPr>
          <w:spacing w:val="-3"/>
        </w:rPr>
        <w:t>公司在传统数字城市管理领域有着较强的市场竞争力，但随着智慧城市建设的高速发展，</w:t>
      </w:r>
    </w:p>
    <w:p>
      <w:pPr>
        <w:pStyle w:val="BodyText"/>
        <w:spacing w:line="357" w:lineRule="auto"/>
        <w:ind w:right="235"/>
        <w:jc w:val="both"/>
      </w:pPr>
      <w:r>
        <w:rPr/>
        <w:t>数字政通的业务也在不断延伸，将不可避免的与更多规模和实力更强的行业公司进行竞争，</w:t>
      </w:r>
      <w:r>
        <w:rPr>
          <w:spacing w:val="-91"/>
        </w:rPr>
        <w:t> </w:t>
      </w:r>
      <w:r>
        <w:rPr>
          <w:spacing w:val="-91"/>
        </w:rPr>
      </w:r>
      <w:r>
        <w:rPr/>
        <w:t>市场竞争呈逐步加剧的态势，如果公司在发展过程中不能持续保持技术领先优势以及不断提</w:t>
      </w:r>
      <w:r>
        <w:rPr>
          <w:spacing w:val="-91"/>
        </w:rPr>
        <w:t> </w:t>
      </w:r>
      <w:r>
        <w:rPr>
          <w:spacing w:val="-91"/>
        </w:rPr>
      </w:r>
      <w:r>
        <w:rPr/>
        <w:t>升市场营销和本地化服务能力，将有可能面临市场份额下滑，技术、服务能力被竞争对手超</w:t>
      </w:r>
      <w:r>
        <w:rPr>
          <w:spacing w:val="-88"/>
        </w:rPr>
        <w:t> </w:t>
      </w:r>
      <w:r>
        <w:rPr>
          <w:spacing w:val="-88"/>
        </w:rPr>
      </w:r>
      <w:r>
        <w:rPr/>
        <w:t>越的风险，同时可能会导致毛利率下降的风险。</w:t>
      </w:r>
    </w:p>
    <w:p>
      <w:pPr>
        <w:pStyle w:val="BodyText"/>
        <w:spacing w:line="240" w:lineRule="auto"/>
        <w:ind w:left="635" w:right="96"/>
        <w:jc w:val="left"/>
      </w:pPr>
      <w:r>
        <w:rPr>
          <w:rFonts w:ascii="宋体" w:hAnsi="宋体" w:cs="宋体" w:eastAsia="宋体" w:hint="default"/>
        </w:rPr>
        <w:t>3</w:t>
      </w:r>
      <w:r>
        <w:rPr/>
        <w:t>、核心技术人员流失风险</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8" w:firstLine="482"/>
        <w:jc w:val="both"/>
      </w:pPr>
      <w:r>
        <w:rPr/>
        <w:t>软件行业属于智力密集型行业，核心技术人员对公司的产品创新、持续发展起着关键的 作用，核心技术人员的稳定对公司的发展具有重要影响。经过多年发展，公司现已拥有一支</w:t>
      </w:r>
      <w:r>
        <w:rPr>
          <w:spacing w:val="-91"/>
        </w:rPr>
        <w:t> </w:t>
      </w:r>
      <w:r>
        <w:rPr>
          <w:spacing w:val="-91"/>
        </w:rPr>
      </w:r>
      <w:r>
        <w:rPr/>
        <w:t>高素质的技术人员队伍，为了吸引和稳定现有核心技术团队，公司已建立完善的知识管理体</w:t>
      </w:r>
      <w:r>
        <w:rPr>
          <w:spacing w:val="-91"/>
        </w:rPr>
        <w:t> </w:t>
      </w:r>
      <w:r>
        <w:rPr>
          <w:spacing w:val="-91"/>
        </w:rPr>
      </w:r>
      <w:r>
        <w:rPr/>
        <w:t>系，采取了一系列吸引和稳定核心技术人员的措施，包括实施股权激励计划，提高核心技术</w:t>
      </w:r>
      <w:r>
        <w:rPr>
          <w:spacing w:val="-91"/>
        </w:rPr>
        <w:t> </w:t>
      </w:r>
      <w:r>
        <w:rPr>
          <w:spacing w:val="-91"/>
        </w:rPr>
      </w:r>
      <w:r>
        <w:rPr/>
        <w:t>人员福利待遇、增加培训机会、创造良好的工作和文化氛围等，努力维护技术团队的稳定发</w:t>
      </w:r>
      <w:r>
        <w:rPr>
          <w:spacing w:val="-91"/>
        </w:rPr>
        <w:t> </w:t>
      </w:r>
      <w:r>
        <w:rPr>
          <w:spacing w:val="-91"/>
        </w:rPr>
      </w:r>
      <w:r>
        <w:rPr/>
        <w:t>展，但考虑到软件行业技术变革速度快、人员流动率偏高的特点，未来如果公司的核心技术</w:t>
      </w:r>
      <w:r>
        <w:rPr>
          <w:spacing w:val="-90"/>
        </w:rPr>
        <w:t> </w:t>
      </w:r>
      <w:r>
        <w:rPr>
          <w:spacing w:val="-90"/>
        </w:rPr>
      </w:r>
      <w:r>
        <w:rPr/>
        <w:t>团队流失率过高，将不利于公司各项经营目标的实现，对公司未来发展将产生不利影响。</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153"/>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05"/>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6"/>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96" w:firstLine="482"/>
        <w:jc w:val="left"/>
      </w:pPr>
      <w:r>
        <w:rPr>
          <w:spacing w:val="-3"/>
        </w:rPr>
        <w:t>报告期内，公司严格按照《公司章程》相关利润分配政策和审议程序实施利润分配方案，</w:t>
      </w:r>
      <w:r>
        <w:rPr/>
        <w:t> </w:t>
      </w:r>
      <w:r>
        <w:rPr>
          <w:spacing w:val="-2"/>
        </w:rPr>
        <w:t>分红标准和分红比例明确清晰，相关的决策程序和机制完备。公司利润分配方案经由董事会、</w:t>
      </w:r>
      <w:r>
        <w:rPr/>
        <w:t> 监事会审议过后提交股东大会审议，并由独立董事发表独立意见，审议通过后在规定时间内</w:t>
      </w:r>
      <w:r>
        <w:rPr>
          <w:spacing w:val="-91"/>
        </w:rPr>
        <w:t> </w:t>
      </w:r>
      <w:r>
        <w:rPr>
          <w:spacing w:val="-91"/>
        </w:rPr>
      </w:r>
      <w:r>
        <w:rPr/>
        <w:t>进行实施，切实保证了全体股东的利益。</w:t>
      </w:r>
    </w:p>
    <w:p>
      <w:pPr>
        <w:pStyle w:val="BodyText"/>
        <w:spacing w:line="240" w:lineRule="auto"/>
        <w:ind w:left="635" w:right="96"/>
        <w:jc w:val="left"/>
      </w:pPr>
      <w:r>
        <w:rPr>
          <w:rFonts w:ascii="宋体" w:hAnsi="宋体" w:cs="宋体" w:eastAsia="宋体" w:hint="default"/>
          <w:spacing w:val="-3"/>
        </w:rPr>
        <w:t>2015</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20</w:t>
      </w:r>
      <w:r>
        <w:rPr>
          <w:spacing w:val="-3"/>
        </w:rPr>
        <w:t>日，公司召开第二届董事会三十次会议，审议分配方案如下：公司以总股本</w:t>
      </w:r>
    </w:p>
    <w:p>
      <w:pPr>
        <w:pStyle w:val="BodyText"/>
        <w:spacing w:line="240" w:lineRule="auto" w:before="154"/>
        <w:ind w:right="96"/>
        <w:jc w:val="left"/>
      </w:pPr>
      <w:r>
        <w:rPr>
          <w:rFonts w:ascii="宋体" w:hAnsi="宋体" w:cs="宋体" w:eastAsia="宋体" w:hint="default"/>
          <w:spacing w:val="5"/>
        </w:rPr>
        <w:t>190,157,455</w:t>
      </w:r>
      <w:r>
        <w:rPr>
          <w:spacing w:val="5"/>
        </w:rPr>
        <w:t>股为基数，向全体股东每</w:t>
      </w:r>
      <w:r>
        <w:rPr>
          <w:rFonts w:ascii="宋体" w:hAnsi="宋体" w:cs="宋体" w:eastAsia="宋体" w:hint="default"/>
          <w:spacing w:val="5"/>
        </w:rPr>
        <w:t>10</w:t>
      </w:r>
      <w:r>
        <w:rPr>
          <w:spacing w:val="5"/>
        </w:rPr>
        <w:t>股派发现金红利</w:t>
      </w:r>
      <w:r>
        <w:rPr>
          <w:rFonts w:ascii="宋体" w:hAnsi="宋体" w:cs="宋体" w:eastAsia="宋体" w:hint="default"/>
          <w:spacing w:val="5"/>
        </w:rPr>
        <w:t>1</w:t>
      </w:r>
      <w:r>
        <w:rPr>
          <w:spacing w:val="5"/>
        </w:rPr>
        <w:t>元（含税），共计派发现金红利</w:t>
      </w:r>
    </w:p>
    <w:p>
      <w:pPr>
        <w:pStyle w:val="BodyText"/>
        <w:spacing w:line="357" w:lineRule="auto" w:before="154"/>
        <w:ind w:right="96"/>
        <w:jc w:val="left"/>
      </w:pPr>
      <w:r>
        <w:rPr>
          <w:rFonts w:ascii="宋体" w:hAnsi="宋体" w:cs="宋体" w:eastAsia="宋体" w:hint="default"/>
        </w:rPr>
        <w:t>19,015,745.5</w:t>
      </w:r>
      <w:r>
        <w:rPr/>
        <w:t>元，剩余未分配利润结转以后年度分配。同时以资本公积向全体股东每</w:t>
      </w:r>
      <w:r>
        <w:rPr>
          <w:rFonts w:ascii="宋体" w:hAnsi="宋体" w:cs="宋体" w:eastAsia="宋体" w:hint="default"/>
        </w:rPr>
        <w:t>10</w:t>
      </w:r>
      <w:r>
        <w:rPr/>
        <w:t>股转</w:t>
      </w:r>
      <w:r>
        <w:rPr>
          <w:spacing w:val="-87"/>
        </w:rPr>
        <w:t> </w:t>
      </w:r>
      <w:r>
        <w:rPr/>
        <w:t>增</w:t>
      </w:r>
      <w:r>
        <w:rPr>
          <w:rFonts w:ascii="宋体" w:hAnsi="宋体" w:cs="宋体" w:eastAsia="宋体" w:hint="default"/>
        </w:rPr>
        <w:t>10</w:t>
      </w:r>
      <w:r>
        <w:rPr/>
        <w:t>股，合计转增股本</w:t>
      </w:r>
      <w:r>
        <w:rPr>
          <w:rFonts w:ascii="宋体" w:hAnsi="宋体" w:cs="宋体" w:eastAsia="宋体" w:hint="default"/>
        </w:rPr>
        <w:t>190,157,455</w:t>
      </w:r>
      <w:r>
        <w:rPr/>
        <w:t>股。转增股本后公司总股本变更为</w:t>
      </w:r>
      <w:r>
        <w:rPr>
          <w:rFonts w:ascii="宋体" w:hAnsi="宋体" w:cs="宋体" w:eastAsia="宋体" w:hint="default"/>
        </w:rPr>
        <w:t>380,314,910</w:t>
      </w:r>
      <w:r>
        <w:rPr/>
        <w:t>股。</w:t>
      </w:r>
    </w:p>
    <w:p>
      <w:pPr>
        <w:pStyle w:val="BodyText"/>
        <w:spacing w:line="357" w:lineRule="auto"/>
        <w:ind w:right="96" w:firstLine="482"/>
        <w:jc w:val="left"/>
      </w:pPr>
      <w:r>
        <w:rPr>
          <w:rFonts w:ascii="宋体" w:hAnsi="宋体" w:cs="宋体" w:eastAsia="宋体" w:hint="default"/>
          <w:spacing w:val="-10"/>
        </w:rPr>
        <w:t>2015</w:t>
      </w:r>
      <w:r>
        <w:rPr>
          <w:spacing w:val="-10"/>
        </w:rPr>
        <w:t>年</w:t>
      </w:r>
      <w:r>
        <w:rPr>
          <w:rFonts w:ascii="宋体" w:hAnsi="宋体" w:cs="宋体" w:eastAsia="宋体" w:hint="default"/>
          <w:spacing w:val="-10"/>
        </w:rPr>
        <w:t>5</w:t>
      </w:r>
      <w:r>
        <w:rPr>
          <w:spacing w:val="-10"/>
        </w:rPr>
        <w:t>月</w:t>
      </w:r>
      <w:r>
        <w:rPr>
          <w:rFonts w:ascii="宋体" w:hAnsi="宋体" w:cs="宋体" w:eastAsia="宋体" w:hint="default"/>
          <w:spacing w:val="-10"/>
        </w:rPr>
        <w:t>12</w:t>
      </w:r>
      <w:r>
        <w:rPr>
          <w:spacing w:val="-10"/>
        </w:rPr>
        <w:t>日，公司召开</w:t>
      </w:r>
      <w:r>
        <w:rPr>
          <w:rFonts w:ascii="宋体" w:hAnsi="宋体" w:cs="宋体" w:eastAsia="宋体" w:hint="default"/>
          <w:spacing w:val="-10"/>
        </w:rPr>
        <w:t>2014</w:t>
      </w:r>
      <w:r>
        <w:rPr>
          <w:spacing w:val="-10"/>
        </w:rPr>
        <w:t>年度股东大会，审议通过了《公司</w:t>
      </w:r>
      <w:r>
        <w:rPr>
          <w:rFonts w:ascii="宋体" w:hAnsi="宋体" w:cs="宋体" w:eastAsia="宋体" w:hint="default"/>
          <w:spacing w:val="-10"/>
        </w:rPr>
        <w:t>2014</w:t>
      </w:r>
      <w:r>
        <w:rPr>
          <w:spacing w:val="-10"/>
        </w:rPr>
        <w:t>年度利润分配预案》，</w:t>
      </w:r>
      <w:r>
        <w:rPr/>
        <w:t> 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日进行了本次权益分派股权登记，</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25</w:t>
      </w:r>
      <w:r>
        <w:rPr/>
        <w:t>日分红实施完成。</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3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382,633,710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15,305,348.40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395,911,324.02</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公司拟以总股本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为基数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派</w:t>
            </w:r>
            <w:r>
              <w:rPr>
                <w:rFonts w:ascii="宋体" w:hAnsi="宋体" w:cs="宋体" w:eastAsia="宋体" w:hint="default"/>
                <w:sz w:val="18"/>
                <w:szCs w:val="18"/>
              </w:rPr>
              <w:t>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共计派发现金红利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元，剩余未分配利润结转以后年度分配。本年度不进行资本公积金转增股本。</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357" w:lineRule="auto" w:before="132"/>
        <w:ind w:right="150" w:firstLine="482"/>
        <w:jc w:val="both"/>
      </w:pP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20</w:t>
      </w:r>
      <w:r>
        <w:rPr/>
        <w:t>日，公司召开第二届董事会第十九次会议，审议分配预案如下：公司以 总股本</w:t>
      </w:r>
      <w:r>
        <w:rPr>
          <w:rFonts w:ascii="宋体" w:hAnsi="宋体" w:cs="宋体" w:eastAsia="宋体" w:hint="default"/>
        </w:rPr>
        <w:t>126,000,000</w:t>
      </w:r>
      <w:r>
        <w:rPr/>
        <w:t>股为基数，向全体股东每</w:t>
      </w:r>
      <w:r>
        <w:rPr>
          <w:rFonts w:ascii="宋体" w:hAnsi="宋体" w:cs="宋体" w:eastAsia="宋体" w:hint="default"/>
        </w:rPr>
        <w:t>10</w:t>
      </w:r>
      <w:r>
        <w:rPr/>
        <w:t>股派发现金红利</w:t>
      </w:r>
      <w:r>
        <w:rPr>
          <w:rFonts w:ascii="宋体" w:hAnsi="宋体" w:cs="宋体" w:eastAsia="宋体" w:hint="default"/>
        </w:rPr>
        <w:t>2</w:t>
      </w:r>
      <w:r>
        <w:rPr/>
        <w:t>元（含税），共计派发现金</w:t>
      </w:r>
      <w:r>
        <w:rPr>
          <w:spacing w:val="-84"/>
        </w:rPr>
        <w:t> </w:t>
      </w:r>
      <w:r>
        <w:rPr>
          <w:spacing w:val="-84"/>
        </w:rPr>
      </w:r>
      <w:r>
        <w:rPr/>
        <w:t>红利</w:t>
      </w:r>
      <w:r>
        <w:rPr>
          <w:rFonts w:ascii="宋体" w:hAnsi="宋体" w:cs="宋体" w:eastAsia="宋体" w:hint="default"/>
        </w:rPr>
        <w:t>25,200,000</w:t>
      </w:r>
      <w:r>
        <w:rPr/>
        <w:t>元，剩余未分配利润结转以后年度分配。同时以资本公积向全体股东每</w:t>
      </w:r>
      <w:r>
        <w:rPr>
          <w:rFonts w:ascii="宋体" w:hAnsi="宋体" w:cs="宋体" w:eastAsia="宋体" w:hint="default"/>
        </w:rPr>
        <w:t>10</w:t>
      </w:r>
      <w:r>
        <w:rPr/>
        <w:t>股</w:t>
      </w:r>
      <w:r>
        <w:rPr>
          <w:spacing w:val="-84"/>
        </w:rPr>
        <w:t> </w:t>
      </w:r>
      <w:r>
        <w:rPr/>
        <w:t>转增</w:t>
      </w:r>
      <w:r>
        <w:rPr>
          <w:rFonts w:ascii="宋体" w:hAnsi="宋体" w:cs="宋体" w:eastAsia="宋体" w:hint="default"/>
        </w:rPr>
        <w:t>5</w:t>
      </w:r>
      <w:r>
        <w:rPr/>
        <w:t>股，合计转增股本</w:t>
      </w:r>
      <w:r>
        <w:rPr>
          <w:rFonts w:ascii="宋体" w:hAnsi="宋体" w:cs="宋体" w:eastAsia="宋体" w:hint="default"/>
        </w:rPr>
        <w:t>63,000,000</w:t>
      </w:r>
      <w:r>
        <w:rPr/>
        <w:t>股。转增股本后公司总股本变更为</w:t>
      </w:r>
      <w:r>
        <w:rPr>
          <w:rFonts w:ascii="宋体" w:hAnsi="宋体" w:cs="宋体" w:eastAsia="宋体" w:hint="default"/>
        </w:rPr>
        <w:t>189,000,000</w:t>
      </w:r>
      <w:r>
        <w:rPr/>
        <w:t>股。</w:t>
      </w:r>
    </w:p>
    <w:p>
      <w:pPr>
        <w:pStyle w:val="BodyText"/>
        <w:spacing w:line="357" w:lineRule="auto"/>
        <w:ind w:right="151" w:firstLine="482"/>
        <w:jc w:val="both"/>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20</w:t>
      </w:r>
      <w:r>
        <w:rPr/>
        <w:t>日，公司召开第二届董事会三十次会议，审议分配预案如下：公司以总 股本</w:t>
      </w:r>
      <w:r>
        <w:rPr>
          <w:rFonts w:ascii="宋体" w:hAnsi="宋体" w:cs="宋体" w:eastAsia="宋体" w:hint="default"/>
        </w:rPr>
        <w:t>190,157,455</w:t>
      </w:r>
      <w:r>
        <w:rPr/>
        <w:t>股为基数，向全体股东每</w:t>
      </w:r>
      <w:r>
        <w:rPr>
          <w:rFonts w:ascii="宋体" w:hAnsi="宋体" w:cs="宋体" w:eastAsia="宋体" w:hint="default"/>
        </w:rPr>
        <w:t>10</w:t>
      </w:r>
      <w:r>
        <w:rPr/>
        <w:t>股派发现金红利</w:t>
      </w:r>
      <w:r>
        <w:rPr>
          <w:rFonts w:ascii="宋体" w:hAnsi="宋体" w:cs="宋体" w:eastAsia="宋体" w:hint="default"/>
        </w:rPr>
        <w:t>1</w:t>
      </w:r>
      <w:r>
        <w:rPr/>
        <w:t>元（含税），共计派发现金红</w:t>
      </w:r>
      <w:r>
        <w:rPr>
          <w:spacing w:val="-85"/>
        </w:rPr>
        <w:t> </w:t>
      </w:r>
      <w:r>
        <w:rPr>
          <w:spacing w:val="-85"/>
        </w:rPr>
      </w:r>
      <w:r>
        <w:rPr/>
        <w:t>利</w:t>
      </w:r>
      <w:r>
        <w:rPr>
          <w:rFonts w:ascii="宋体" w:hAnsi="宋体" w:cs="宋体" w:eastAsia="宋体" w:hint="default"/>
        </w:rPr>
        <w:t>19,015,745.5</w:t>
      </w:r>
      <w:r>
        <w:rPr/>
        <w:t>元，剩余未分配利润结转以后年度分配。同时以资本公积向全体股东每</w:t>
      </w:r>
      <w:r>
        <w:rPr>
          <w:rFonts w:ascii="宋体" w:hAnsi="宋体" w:cs="宋体" w:eastAsia="宋体" w:hint="default"/>
        </w:rPr>
        <w:t>10</w:t>
      </w:r>
      <w:r>
        <w:rPr/>
        <w:t>股</w:t>
      </w:r>
      <w:r>
        <w:rPr>
          <w:spacing w:val="-87"/>
        </w:rPr>
        <w:t> </w:t>
      </w:r>
      <w:r>
        <w:rPr/>
        <w:t>转增</w:t>
      </w:r>
      <w:r>
        <w:rPr>
          <w:rFonts w:ascii="宋体" w:hAnsi="宋体" w:cs="宋体" w:eastAsia="宋体" w:hint="default"/>
        </w:rPr>
        <w:t>10</w:t>
      </w:r>
      <w:r>
        <w:rPr/>
        <w:t>股，合计转增股本</w:t>
      </w:r>
      <w:r>
        <w:rPr>
          <w:rFonts w:ascii="宋体" w:hAnsi="宋体" w:cs="宋体" w:eastAsia="宋体" w:hint="default"/>
        </w:rPr>
        <w:t>190,157,455</w:t>
      </w:r>
      <w:r>
        <w:rPr/>
        <w:t>股。转增股本后公司总股本变更为</w:t>
      </w:r>
      <w:r>
        <w:rPr>
          <w:rFonts w:ascii="宋体" w:hAnsi="宋体" w:cs="宋体" w:eastAsia="宋体" w:hint="default"/>
        </w:rPr>
        <w:t>380,314,910</w:t>
      </w:r>
      <w:r>
        <w:rPr/>
        <w:t>股。</w:t>
      </w:r>
    </w:p>
    <w:p>
      <w:pPr>
        <w:pStyle w:val="BodyText"/>
        <w:spacing w:line="357" w:lineRule="auto"/>
        <w:ind w:right="151" w:firstLine="482"/>
        <w:jc w:val="both"/>
      </w:pPr>
      <w:r>
        <w:rPr>
          <w:rFonts w:ascii="宋体" w:hAnsi="宋体" w:cs="宋体" w:eastAsia="宋体" w:hint="default"/>
          <w:spacing w:val="-2"/>
        </w:rPr>
        <w:t>3</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日，公司召开第三届董事会第十一次会议</w:t>
      </w:r>
      <w:r>
        <w:rPr>
          <w:rFonts w:ascii="宋体" w:hAnsi="宋体" w:cs="宋体" w:eastAsia="宋体" w:hint="default"/>
          <w:spacing w:val="-2"/>
        </w:rPr>
        <w:t>,</w:t>
      </w:r>
      <w:r>
        <w:rPr>
          <w:spacing w:val="-2"/>
        </w:rPr>
        <w:t>审议通过了</w:t>
      </w:r>
      <w:r>
        <w:rPr>
          <w:rFonts w:ascii="宋体" w:hAnsi="宋体" w:cs="宋体" w:eastAsia="宋体" w:hint="default"/>
          <w:spacing w:val="-2"/>
        </w:rPr>
        <w:t>2015</w:t>
      </w:r>
      <w:r>
        <w:rPr>
          <w:spacing w:val="-2"/>
        </w:rPr>
        <w:t>年度利润分配</w:t>
      </w:r>
      <w:r>
        <w:rPr/>
        <w:t> 方案</w:t>
      </w:r>
      <w:r>
        <w:rPr>
          <w:rFonts w:ascii="宋体" w:hAnsi="宋体" w:cs="宋体" w:eastAsia="宋体" w:hint="default"/>
        </w:rPr>
        <w:t>:</w:t>
      </w:r>
      <w:r>
        <w:rPr/>
        <w:t>以公司现有总股本</w:t>
      </w:r>
      <w:r>
        <w:rPr>
          <w:rFonts w:ascii="宋体" w:hAnsi="宋体" w:cs="宋体" w:eastAsia="宋体" w:hint="default"/>
        </w:rPr>
        <w:t>382,633,710</w:t>
      </w:r>
      <w:r>
        <w:rPr/>
        <w:t>股为基数，每</w:t>
      </w:r>
      <w:r>
        <w:rPr>
          <w:rFonts w:ascii="宋体" w:hAnsi="宋体" w:cs="宋体" w:eastAsia="宋体" w:hint="default"/>
        </w:rPr>
        <w:t>10</w:t>
      </w:r>
      <w:r>
        <w:rPr/>
        <w:t>股派</w:t>
      </w:r>
      <w:r>
        <w:rPr>
          <w:rFonts w:ascii="宋体" w:hAnsi="宋体" w:cs="宋体" w:eastAsia="宋体" w:hint="default"/>
        </w:rPr>
        <w:t>0.4</w:t>
      </w:r>
      <w:r>
        <w:rPr/>
        <w:t>元人民币现金（含税</w:t>
      </w:r>
      <w:r>
        <w:rPr>
          <w:rFonts w:ascii="宋体" w:hAnsi="宋体" w:cs="宋体" w:eastAsia="宋体" w:hint="default"/>
        </w:rPr>
        <w:t>)</w:t>
      </w:r>
      <w:r>
        <w:rPr/>
        <w:t>，共计派</w:t>
      </w:r>
      <w:r>
        <w:rPr>
          <w:spacing w:val="-88"/>
        </w:rPr>
        <w:t> </w:t>
      </w:r>
      <w:r>
        <w:rPr>
          <w:spacing w:val="-88"/>
        </w:rPr>
      </w:r>
      <w:r>
        <w:rPr/>
        <w:t>发现金红利</w:t>
      </w:r>
      <w:r>
        <w:rPr>
          <w:rFonts w:ascii="宋体" w:hAnsi="宋体" w:cs="宋体" w:eastAsia="宋体" w:hint="default"/>
        </w:rPr>
        <w:t>15,305,348.40</w:t>
      </w:r>
      <w:r>
        <w:rPr/>
        <w:t>元（含税</w:t>
      </w:r>
      <w:r>
        <w:rPr>
          <w:rFonts w:ascii="宋体" w:hAnsi="宋体" w:cs="宋体" w:eastAsia="宋体" w:hint="default"/>
        </w:rPr>
        <w:t>)</w:t>
      </w:r>
      <w:r>
        <w:rPr/>
        <w:t>。</w:t>
      </w:r>
    </w:p>
    <w:p>
      <w:pPr>
        <w:spacing w:line="240" w:lineRule="auto" w:before="13"/>
        <w:rPr>
          <w:rFonts w:ascii="宋体" w:hAnsi="宋体" w:cs="宋体" w:eastAsia="宋体" w:hint="default"/>
          <w:sz w:val="23"/>
          <w:szCs w:val="23"/>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15,305,348.40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121,333,706.22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19,015,745.50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119,057,772.04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94,035,979.70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r>
        <w:rPr/>
        <w:pict>
          <v:shape style="position:absolute;margin-left:361.48999pt;margin-top:519.070007pt;width:61.95pt;height:240.9pt;mso-position-horizontal-relative:page;mso-position-vertical-relative:page;z-index:-8152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519.070007pt;width:55.8pt;height:240.9pt;mso-position-horizontal-relative:page;mso-position-vertical-relative:page;z-index:-815224" coordorigin="7353,10381" coordsize="1116,4818">
            <v:shape style="position:absolute;left:7353;top:10381;width:1116;height:4818" coordorigin="7353,10381" coordsize="1116,4818" path="m7353,15199l8469,15199,8469,10381,7353,10381,7353,15199xe" filled="true" fillcolor="#ffffff" stroked="false">
              <v:path arrowok="t"/>
              <v:fill type="solid"/>
            </v:shape>
            <w10:wrap type="none"/>
          </v:group>
        </w:pict>
      </w:r>
    </w:p>
    <w:p>
      <w:pPr>
        <w:pStyle w:val="Heading2"/>
        <w:spacing w:line="240" w:lineRule="auto" w:before="26"/>
        <w:ind w:right="15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spacing w:line="256" w:lineRule="auto"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979"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16" w:right="187"/>
              <w:jc w:val="both"/>
              <w:rPr>
                <w:rFonts w:ascii="宋体" w:hAnsi="宋体" w:cs="宋体" w:eastAsia="宋体" w:hint="default"/>
                <w:sz w:val="18"/>
                <w:szCs w:val="18"/>
              </w:rPr>
            </w:pPr>
            <w:r>
              <w:rPr>
                <w:rFonts w:ascii="宋体" w:hAnsi="宋体" w:cs="宋体" w:eastAsia="宋体" w:hint="default"/>
                <w:sz w:val="18"/>
                <w:szCs w:val="18"/>
              </w:rPr>
              <w:t>本公司董事 长及实际控 制人吴强华</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6"/>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内，不转让、 抵押、质押或 在该股份上 设定任何其 他形式的限 制或他项权 利，不委托他 人管理本人 本次发行前 已持有的公 司股份，也不 由公司回购 该部分股份； 本人在任职 期间每年转 让的股份不 得超过本人 所持有公司 股份总数的 百分之二十 五；本人离职 后半年内，不 转让本人所 持有的公司 股份。严格遵 守《公司法》</w:t>
            </w:r>
          </w:p>
          <w:p>
            <w:pPr>
              <w:pStyle w:val="TableParagraph"/>
              <w:spacing w:line="319" w:lineRule="auto" w:before="19"/>
              <w:ind w:left="23" w:right="22"/>
              <w:jc w:val="left"/>
              <w:rPr>
                <w:rFonts w:ascii="宋体" w:hAnsi="宋体" w:cs="宋体" w:eastAsia="宋体" w:hint="default"/>
                <w:sz w:val="18"/>
                <w:szCs w:val="18"/>
              </w:rPr>
            </w:pPr>
            <w:r>
              <w:rPr>
                <w:rFonts w:ascii="宋体" w:hAnsi="宋体" w:cs="宋体" w:eastAsia="宋体" w:hint="default"/>
                <w:sz w:val="18"/>
                <w:szCs w:val="18"/>
              </w:rPr>
              <w:t>《公司章 </w:t>
            </w:r>
            <w:r>
              <w:rPr>
                <w:rFonts w:ascii="宋体" w:hAnsi="宋体" w:cs="宋体" w:eastAsia="宋体" w:hint="default"/>
                <w:spacing w:val="-28"/>
                <w:sz w:val="18"/>
                <w:szCs w:val="18"/>
              </w:rPr>
              <w:t>程》、《关联交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易制度》、《股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东大会议事</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自公司股票 上市之日起 三十六个月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正常履行，未</w:t>
            </w:r>
            <w:r>
              <w:rPr>
                <w:rFonts w:ascii="宋体" w:hAnsi="宋体" w:cs="宋体" w:eastAsia="宋体" w:hint="default"/>
                <w:sz w:val="18"/>
                <w:szCs w:val="18"/>
              </w:rPr>
              <w:t> 出现任何违 反该承诺的 情况</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979"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03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pacing w:val="-28"/>
                <w:sz w:val="18"/>
                <w:szCs w:val="18"/>
              </w:rPr>
              <w:t>规则》、《董事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会议事规则》 等规定，避免</w:t>
            </w:r>
            <w:r>
              <w:rPr>
                <w:rFonts w:ascii="宋体" w:hAnsi="宋体" w:cs="宋体" w:eastAsia="宋体" w:hint="default"/>
                <w:sz w:val="18"/>
                <w:szCs w:val="18"/>
              </w:rPr>
              <w:t> 和减少关联 交易，自觉维 护发行人及 全体股东的 利益，将不利 用本人在发 行人中的股 东地位在关 联交易中谋 取不正当利 益。如发行人 必须与本人 控制的企业 进行关联交 易，均严格履 行相关法律 程序，遵照市 场公平交易 的原则进行， 将促使交易 的价格、相关 协议条款和 交易条件公 平合理，不会 要求发行人 给予与第三 人的条件相 比更优惠的 条件。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07"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副董事长、持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东许欣</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内，不转让、 抵押、质押或 在该股份上 设定任何其 他形式的限 制或他项权 利，不委托他 人管理本人 本次发行前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自公司股票 上市之日起 三十六个月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正常履行，未</w:t>
            </w:r>
            <w:r>
              <w:rPr>
                <w:rFonts w:ascii="宋体" w:hAnsi="宋体" w:cs="宋体" w:eastAsia="宋体" w:hint="default"/>
                <w:sz w:val="18"/>
                <w:szCs w:val="18"/>
              </w:rPr>
              <w:t> 出现任何违 反该承诺的 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04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已持有的公 司股份，也不 由公司回购 该部分股份； 本人在任职 期间每年转 让的股份不 得超过本人 所持有公司 股份总数的 百分之二十 五；本人离职 后半年内，不 转让本人所 持有的公司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数字政通承 诺不为激励 对象依股票 期权激励计 划获取有关 权益提供贷 款以及其他 任何形式的 </w:t>
            </w:r>
            <w:r>
              <w:rPr>
                <w:rFonts w:ascii="宋体" w:hAnsi="宋体" w:cs="宋体" w:eastAsia="宋体" w:hint="default"/>
                <w:spacing w:val="-2"/>
                <w:sz w:val="18"/>
                <w:szCs w:val="18"/>
              </w:rPr>
              <w:t>财务资助，包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括为其贷款 提供担保。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公司首次股 权激励计划 有效期间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9"/>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末，公司遵守</w:t>
            </w:r>
            <w:r>
              <w:rPr>
                <w:rFonts w:ascii="宋体" w:hAnsi="宋体" w:cs="宋体" w:eastAsia="宋体" w:hint="default"/>
                <w:sz w:val="18"/>
                <w:szCs w:val="18"/>
              </w:rPr>
              <w:t> 了所做的承 诺</w:t>
            </w:r>
          </w:p>
        </w:tc>
      </w:tr>
      <w:tr>
        <w:trPr>
          <w:trHeight w:val="258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数字政通承 诺持股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上的主要股 东或实际控 制人及其配 </w:t>
            </w:r>
            <w:r>
              <w:rPr>
                <w:rFonts w:ascii="宋体" w:hAnsi="宋体" w:cs="宋体" w:eastAsia="宋体" w:hint="default"/>
                <w:spacing w:val="-2"/>
                <w:sz w:val="18"/>
                <w:szCs w:val="18"/>
              </w:rPr>
              <w:t>偶、直系亲属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均未参与本 激励计划。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z w:val="18"/>
                <w:szCs w:val="18"/>
              </w:rPr>
              <w:t>公司首次股 权激励计划 有效期间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末，公司遵守</w:t>
            </w:r>
            <w:r>
              <w:rPr>
                <w:rFonts w:ascii="宋体" w:hAnsi="宋体" w:cs="宋体" w:eastAsia="宋体" w:hint="default"/>
                <w:sz w:val="18"/>
                <w:szCs w:val="18"/>
              </w:rPr>
              <w:t> 了所做的承 诺</w:t>
            </w:r>
          </w:p>
        </w:tc>
      </w:tr>
      <w:tr>
        <w:trPr>
          <w:trHeight w:val="254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公司实际控 制人吴强华 及部分董事、 </w:t>
            </w:r>
            <w:r>
              <w:rPr>
                <w:rFonts w:ascii="宋体" w:hAnsi="宋体" w:cs="宋体" w:eastAsia="宋体" w:hint="default"/>
                <w:spacing w:val="-3"/>
                <w:sz w:val="18"/>
                <w:szCs w:val="18"/>
              </w:rPr>
              <w:t>监事、高级管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公司实际控 制人吴强华 及部分董事、 监事、高级管 理人员拟计 划在股市非 理性下跌的 情况下，在公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自承诺之日 起十二个月 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末，公司遵守</w:t>
            </w:r>
            <w:r>
              <w:rPr>
                <w:rFonts w:ascii="宋体" w:hAnsi="宋体" w:cs="宋体" w:eastAsia="宋体" w:hint="default"/>
                <w:sz w:val="18"/>
                <w:szCs w:val="18"/>
              </w:rPr>
              <w:t> 了所做的承 诺</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35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司复牌后十 二个月内通 过二级市场 </w:t>
            </w:r>
            <w:r>
              <w:rPr>
                <w:rFonts w:ascii="宋体" w:hAnsi="宋体" w:cs="宋体" w:eastAsia="宋体" w:hint="default"/>
                <w:spacing w:val="-2"/>
                <w:sz w:val="18"/>
                <w:szCs w:val="18"/>
              </w:rPr>
              <w:t>买入、定向资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产管理、参与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公司股权激 励计划或参 与公司定向 增发等方式 增持公司股 份以维护公 司股价的稳 </w:t>
            </w:r>
            <w:r>
              <w:rPr>
                <w:rFonts w:ascii="宋体" w:hAnsi="宋体" w:cs="宋体" w:eastAsia="宋体" w:hint="default"/>
                <w:spacing w:val="-2"/>
                <w:sz w:val="18"/>
                <w:szCs w:val="18"/>
              </w:rPr>
              <w:t>定，增持金额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不低于本公 告前六个月 内减持金额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259" w:lineRule="auto"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9"/>
        <w:rPr>
          <w:rFonts w:ascii="宋体" w:hAnsi="宋体" w:cs="宋体" w:eastAsia="宋体" w:hint="default"/>
          <w:sz w:val="19"/>
          <w:szCs w:val="19"/>
        </w:rPr>
      </w:pPr>
    </w:p>
    <w:p>
      <w:pPr>
        <w:pStyle w:val="Heading2"/>
        <w:spacing w:line="240" w:lineRule="auto"/>
        <w:ind w:right="15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52" w:firstLine="482"/>
        <w:jc w:val="both"/>
      </w:pPr>
      <w:r>
        <w:rPr>
          <w:spacing w:val="-3"/>
        </w:rPr>
        <w:t>报告期内，公司合并范围新增</w:t>
      </w:r>
      <w:r>
        <w:rPr>
          <w:rFonts w:ascii="宋体" w:hAnsi="宋体" w:cs="宋体" w:eastAsia="宋体" w:hint="default"/>
          <w:spacing w:val="-3"/>
        </w:rPr>
        <w:t>2</w:t>
      </w:r>
      <w:r>
        <w:rPr>
          <w:spacing w:val="-3"/>
        </w:rPr>
        <w:t>家公司政通智慧城市运营科技有限公司和北京数聚联盟科</w:t>
      </w:r>
      <w:r>
        <w:rPr/>
        <w:t> 技有限公司，具体情况如下：</w:t>
      </w:r>
    </w:p>
    <w:p>
      <w:pPr>
        <w:pStyle w:val="BodyText"/>
        <w:spacing w:line="357" w:lineRule="auto"/>
        <w:ind w:right="151" w:firstLine="482"/>
        <w:jc w:val="both"/>
      </w:pPr>
      <w:r>
        <w:rPr>
          <w:rFonts w:ascii="宋体" w:hAnsi="宋体" w:cs="宋体" w:eastAsia="宋体" w:hint="default"/>
          <w:spacing w:val="-3"/>
        </w:rPr>
        <w:t>1</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5</w:t>
      </w:r>
      <w:r>
        <w:rPr>
          <w:spacing w:val="-3"/>
        </w:rPr>
        <w:t>日，北京数字政通科技股份有限公司与吴强华先生拟共同出资在天津市设</w:t>
      </w:r>
      <w:r>
        <w:rPr/>
        <w:t> </w:t>
      </w:r>
      <w:r>
        <w:rPr>
          <w:spacing w:val="-2"/>
        </w:rPr>
        <w:t>立政通智慧城市运营科技有限公司，新设公司注册资本为人民币</w:t>
      </w:r>
      <w:r>
        <w:rPr>
          <w:rFonts w:ascii="宋体" w:hAnsi="宋体" w:cs="宋体" w:eastAsia="宋体" w:hint="default"/>
          <w:spacing w:val="-2"/>
        </w:rPr>
        <w:t>5,000</w:t>
      </w:r>
      <w:r>
        <w:rPr>
          <w:spacing w:val="-2"/>
        </w:rPr>
        <w:t>万元，公司以货币出资</w:t>
      </w:r>
      <w:r>
        <w:rPr>
          <w:spacing w:val="-115"/>
        </w:rPr>
        <w:t> </w:t>
      </w:r>
      <w:r>
        <w:rPr>
          <w:spacing w:val="-115"/>
        </w:rPr>
      </w:r>
      <w:r>
        <w:rPr>
          <w:rFonts w:ascii="宋体" w:hAnsi="宋体" w:cs="宋体" w:eastAsia="宋体" w:hint="default"/>
        </w:rPr>
        <w:t>4,500</w:t>
      </w:r>
      <w:r>
        <w:rPr/>
        <w:t>万元，占注册资本的</w:t>
      </w:r>
      <w:r>
        <w:rPr>
          <w:rFonts w:ascii="宋体" w:hAnsi="宋体" w:cs="宋体" w:eastAsia="宋体" w:hint="default"/>
        </w:rPr>
        <w:t>90%</w:t>
      </w:r>
      <w:r>
        <w:rPr/>
        <w:t>。</w:t>
      </w:r>
    </w:p>
    <w:p>
      <w:pPr>
        <w:pStyle w:val="BodyText"/>
        <w:spacing w:line="357" w:lineRule="auto" w:before="37"/>
        <w:ind w:right="152" w:firstLine="482"/>
        <w:jc w:val="both"/>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28</w:t>
      </w:r>
      <w:r>
        <w:rPr/>
        <w:t>日，公司召开第二届董事会第三十四次会议，审议通过《关于增资控股 北京数聚联盟科技有限公司暨关联交易的议案》。为进一步开展智慧城市大数据运营服务业</w:t>
      </w:r>
      <w:r>
        <w:rPr>
          <w:spacing w:val="-91"/>
        </w:rPr>
        <w:t> </w:t>
      </w:r>
      <w:r>
        <w:rPr>
          <w:spacing w:val="-91"/>
        </w:rPr>
      </w:r>
      <w:r>
        <w:rPr/>
        <w:t>务，公司与吴强华先生、肖彤先生签署《北京数聚联盟科技有限公司增资协议》，北京数聚</w:t>
      </w:r>
      <w:r>
        <w:rPr>
          <w:spacing w:val="-91"/>
        </w:rPr>
        <w:t> </w:t>
      </w:r>
      <w:r>
        <w:rPr>
          <w:spacing w:val="-91"/>
        </w:rPr>
      </w:r>
      <w:r>
        <w:rPr/>
        <w:t>联盟科技有限公司拟新增注册资本人民币 </w:t>
      </w:r>
      <w:r>
        <w:rPr>
          <w:rFonts w:ascii="宋体" w:hAnsi="宋体" w:cs="宋体" w:eastAsia="宋体" w:hint="default"/>
        </w:rPr>
        <w:t>950</w:t>
      </w:r>
      <w:r>
        <w:rPr>
          <w:rFonts w:ascii="宋体" w:hAnsi="宋体" w:cs="宋体" w:eastAsia="宋体" w:hint="default"/>
          <w:spacing w:val="19"/>
        </w:rPr>
        <w:t> </w:t>
      </w:r>
      <w:r>
        <w:rPr>
          <w:spacing w:val="-5"/>
        </w:rPr>
        <w:t>万元，由北京数字政通科技股份有限公司、吴</w:t>
      </w:r>
    </w:p>
    <w:p>
      <w:pPr>
        <w:pStyle w:val="BodyText"/>
        <w:spacing w:line="357" w:lineRule="auto"/>
        <w:ind w:right="136"/>
        <w:jc w:val="left"/>
      </w:pPr>
      <w:r>
        <w:rPr>
          <w:spacing w:val="-6"/>
        </w:rPr>
        <w:t>强华先生、肖彤先生以现金的方式进行认购，北京数字政通科技股份有限公司认购人民币</w:t>
      </w:r>
      <w:r>
        <w:rPr>
          <w:spacing w:val="32"/>
        </w:rPr>
        <w:t> </w:t>
      </w:r>
      <w:r>
        <w:rPr>
          <w:rFonts w:ascii="宋体" w:hAnsi="宋体" w:cs="宋体" w:eastAsia="宋体" w:hint="default"/>
        </w:rPr>
        <w:t>650 </w:t>
      </w:r>
      <w:r>
        <w:rPr/>
        <w:t>万元持有数聚联盟 </w:t>
      </w:r>
      <w:r>
        <w:rPr>
          <w:rFonts w:ascii="宋体" w:hAnsi="宋体" w:cs="宋体" w:eastAsia="宋体" w:hint="default"/>
        </w:rPr>
        <w:t>65%</w:t>
      </w:r>
      <w:r>
        <w:rPr/>
        <w:t>的股权并成为其控股股东。</w:t>
      </w:r>
    </w:p>
    <w:p>
      <w:pPr>
        <w:spacing w:line="240" w:lineRule="auto" w:before="11"/>
        <w:rPr>
          <w:rFonts w:ascii="宋体" w:hAnsi="宋体" w:cs="宋体" w:eastAsia="宋体" w:hint="default"/>
          <w:sz w:val="19"/>
          <w:szCs w:val="19"/>
        </w:rPr>
      </w:pPr>
    </w:p>
    <w:p>
      <w:pPr>
        <w:pStyle w:val="Heading2"/>
        <w:spacing w:line="240" w:lineRule="auto"/>
        <w:ind w:right="153"/>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苗策、薛东升</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51" w:firstLine="482"/>
        <w:jc w:val="both"/>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28</w:t>
      </w:r>
      <w:r>
        <w:rPr/>
        <w:t>日，公司召开第二届董事会第三十四次会议审议通过了《关于调整股票 期权数量及行权价格的议案》，公司首次授予股票期权的行权价格调整为</w:t>
      </w:r>
      <w:r>
        <w:rPr>
          <w:rFonts w:ascii="宋体" w:hAnsi="宋体" w:cs="宋体" w:eastAsia="宋体" w:hint="default"/>
        </w:rPr>
        <w:t>5.06</w:t>
      </w:r>
      <w:r>
        <w:rPr/>
        <w:t>元，预留部分</w:t>
      </w:r>
      <w:r>
        <w:rPr>
          <w:spacing w:val="-88"/>
        </w:rPr>
        <w:t> </w:t>
      </w:r>
      <w:r>
        <w:rPr>
          <w:spacing w:val="-88"/>
        </w:rPr>
      </w:r>
      <w:r>
        <w:rPr/>
        <w:t>的行权价格调整为</w:t>
      </w:r>
      <w:r>
        <w:rPr>
          <w:rFonts w:ascii="宋体" w:hAnsi="宋体" w:cs="宋体" w:eastAsia="宋体" w:hint="default"/>
        </w:rPr>
        <w:t>5.49</w:t>
      </w:r>
      <w:r>
        <w:rPr/>
        <w:t>元。经过本次调整，《股票期权激励计划》所涉股票期权数量变更为</w:t>
      </w:r>
      <w:r>
        <w:rPr>
          <w:spacing w:val="-87"/>
        </w:rPr>
        <w:t> </w:t>
      </w:r>
      <w:r>
        <w:rPr>
          <w:spacing w:val="-87"/>
        </w:rPr>
      </w:r>
      <w:r>
        <w:rPr>
          <w:rFonts w:ascii="宋体" w:hAnsi="宋体" w:cs="宋体" w:eastAsia="宋体" w:hint="default"/>
        </w:rPr>
        <w:t>783</w:t>
      </w:r>
      <w:r>
        <w:rPr/>
        <w:t>万份，其中首次授予股票期权的期权数量变更为</w:t>
      </w:r>
      <w:r>
        <w:rPr>
          <w:rFonts w:ascii="宋体" w:hAnsi="宋体" w:cs="宋体" w:eastAsia="宋体" w:hint="default"/>
        </w:rPr>
        <w:t>706.5</w:t>
      </w:r>
      <w:r>
        <w:rPr/>
        <w:t>万份，预留期权数量变更为</w:t>
      </w:r>
      <w:r>
        <w:rPr>
          <w:rFonts w:ascii="宋体" w:hAnsi="宋体" w:cs="宋体" w:eastAsia="宋体" w:hint="default"/>
        </w:rPr>
        <w:t>76.5</w:t>
      </w:r>
      <w:r>
        <w:rPr/>
        <w:t>万</w:t>
      </w:r>
      <w:r>
        <w:rPr>
          <w:spacing w:val="-85"/>
        </w:rPr>
        <w:t> </w:t>
      </w:r>
      <w:r>
        <w:rPr/>
        <w:t>份。公司首期股票期权激励计划首次授予股票期权的</w:t>
      </w:r>
      <w:r>
        <w:rPr>
          <w:rFonts w:ascii="宋体" w:hAnsi="宋体" w:cs="宋体" w:eastAsia="宋体" w:hint="default"/>
        </w:rPr>
        <w:t>28</w:t>
      </w:r>
      <w:r>
        <w:rPr/>
        <w:t>名激励对象（调整后）在第二个行权</w:t>
      </w:r>
      <w:r>
        <w:rPr>
          <w:spacing w:val="-88"/>
        </w:rPr>
        <w:t> </w:t>
      </w:r>
      <w:r>
        <w:rPr>
          <w:spacing w:val="-88"/>
        </w:rPr>
      </w:r>
      <w:r>
        <w:rPr/>
        <w:t>期内可行权其所持股票期权的</w:t>
      </w:r>
      <w:r>
        <w:rPr>
          <w:rFonts w:ascii="宋体" w:hAnsi="宋体" w:cs="宋体" w:eastAsia="宋体" w:hint="default"/>
        </w:rPr>
        <w:t>30%</w:t>
      </w:r>
      <w:r>
        <w:rPr/>
        <w:t>，共计 </w:t>
      </w:r>
      <w:r>
        <w:rPr>
          <w:rFonts w:ascii="宋体" w:hAnsi="宋体" w:cs="宋体" w:eastAsia="宋体" w:hint="default"/>
        </w:rPr>
        <w:t>211.95</w:t>
      </w:r>
      <w:r>
        <w:rPr>
          <w:rFonts w:ascii="宋体" w:hAnsi="宋体" w:cs="宋体" w:eastAsia="宋体" w:hint="default"/>
          <w:spacing w:val="1"/>
        </w:rPr>
        <w:t> </w:t>
      </w:r>
      <w:r>
        <w:rPr/>
        <w:t>万份股票期权。</w:t>
      </w:r>
    </w:p>
    <w:p>
      <w:pPr>
        <w:pStyle w:val="BodyText"/>
        <w:spacing w:line="357" w:lineRule="auto"/>
        <w:ind w:right="151" w:firstLine="482"/>
        <w:jc w:val="both"/>
      </w:pP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日，公司召开第三届董事会第五次会议审议通过了《关于首期股票期权</w:t>
      </w:r>
      <w:r>
        <w:rPr/>
        <w:t> 激励计划预留股票期权第二个行权期可行权》的议案，同意以定向发行公司股票的方式给予</w:t>
      </w:r>
      <w:r>
        <w:rPr>
          <w:spacing w:val="-91"/>
        </w:rPr>
        <w:t> </w:t>
      </w:r>
      <w:r>
        <w:rPr>
          <w:spacing w:val="-91"/>
        </w:rPr>
      </w:r>
      <w:r>
        <w:rPr>
          <w:rFonts w:ascii="宋体" w:hAnsi="宋体" w:cs="宋体" w:eastAsia="宋体" w:hint="default"/>
          <w:spacing w:val="-2"/>
        </w:rPr>
        <w:t>17</w:t>
      </w:r>
      <w:r>
        <w:rPr>
          <w:spacing w:val="-2"/>
        </w:rPr>
        <w:t>名激励对象第二个行权期可行权股票期权共</w:t>
      </w:r>
      <w:r>
        <w:rPr>
          <w:rFonts w:ascii="宋体" w:hAnsi="宋体" w:cs="宋体" w:eastAsia="宋体" w:hint="default"/>
          <w:spacing w:val="-2"/>
        </w:rPr>
        <w:t>22.95</w:t>
      </w:r>
      <w:r>
        <w:rPr>
          <w:spacing w:val="-2"/>
        </w:rPr>
        <w:t>万份，行权价格为</w:t>
      </w:r>
      <w:r>
        <w:rPr>
          <w:rFonts w:ascii="宋体" w:hAnsi="宋体" w:cs="宋体" w:eastAsia="宋体" w:hint="default"/>
          <w:spacing w:val="-2"/>
        </w:rPr>
        <w:t>5.49</w:t>
      </w:r>
      <w:r>
        <w:rPr>
          <w:spacing w:val="-2"/>
        </w:rPr>
        <w:t>元。同日，公司第</w:t>
      </w:r>
      <w:r>
        <w:rPr>
          <w:spacing w:val="-112"/>
        </w:rPr>
        <w:t> </w:t>
      </w:r>
      <w:r>
        <w:rPr>
          <w:spacing w:val="-112"/>
        </w:rPr>
      </w:r>
      <w:r>
        <w:rPr/>
        <w:t>三届监事会第四次会议审议通过了《关于首期股票期权激励计划预留股票期权第二个行权期</w:t>
      </w:r>
      <w:r>
        <w:rPr>
          <w:spacing w:val="-91"/>
        </w:rPr>
        <w:t> </w:t>
      </w:r>
      <w:r>
        <w:rPr>
          <w:spacing w:val="-91"/>
        </w:rPr>
      </w:r>
      <w:r>
        <w:rPr/>
        <w:t>可行权》的议案，监事会对上述议案进行了核查。</w:t>
      </w:r>
    </w:p>
    <w:p>
      <w:pPr>
        <w:pStyle w:val="BodyText"/>
        <w:spacing w:line="357" w:lineRule="auto"/>
        <w:ind w:right="158" w:firstLine="482"/>
        <w:jc w:val="both"/>
      </w:pP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w:t>
      </w:r>
      <w:r>
        <w:rPr/>
        <w:t>日召开的第三届董事会第六次会议审议通过了《关于公司股票期权激励 计划部分股票期权注销》的议案，根据《股票期权激励计划（草案修订稿）》及相关规定，</w:t>
      </w:r>
      <w:r>
        <w:rPr>
          <w:spacing w:val="-91"/>
        </w:rPr>
        <w:t> </w:t>
      </w:r>
      <w:r>
        <w:rPr>
          <w:spacing w:val="-91"/>
        </w:rPr>
      </w:r>
      <w:r>
        <w:rPr/>
        <w:t>公司注销股票期权数</w:t>
      </w:r>
      <w:r>
        <w:rPr>
          <w:rFonts w:ascii="宋体" w:hAnsi="宋体" w:cs="宋体" w:eastAsia="宋体" w:hint="default"/>
        </w:rPr>
        <w:t>1,290</w:t>
      </w:r>
      <w:r>
        <w:rPr/>
        <w:t>份。</w:t>
      </w:r>
    </w:p>
    <w:p>
      <w:pPr>
        <w:pStyle w:val="BodyText"/>
        <w:spacing w:line="240" w:lineRule="auto"/>
        <w:ind w:left="635" w:right="153"/>
        <w:jc w:val="left"/>
      </w:pPr>
      <w:r>
        <w:rPr/>
        <w:t>以上内容详情参见公司在中国证监会指定创业板信息披露网站上披露的公告。</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6"/>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8"/>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如下所示</w:t>
      </w:r>
    </w:p>
    <w:p>
      <w:pPr>
        <w:spacing w:before="41"/>
        <w:ind w:left="152" w:right="153"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关于对外投资设立控股子公司暨关联交易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关于增资重庆小爱科技有限公司暨关联交 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关于增资控股北京数聚联盟科技有限公司 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关于使用节余募集资金增资北京天健源达 科技有限公司暨关联交易的公告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关于投资设立焦作市市民健康促进服务有 限责任公司暨关联交易的公告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北京数字智通科技有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北京数字智通科技有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北京数字智通科技有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北京数字智通科技有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0"/>
        <w:gridCol w:w="913"/>
        <w:gridCol w:w="935"/>
        <w:gridCol w:w="1307"/>
        <w:gridCol w:w="1040"/>
        <w:gridCol w:w="1042"/>
        <w:gridCol w:w="1060"/>
        <w:gridCol w:w="784"/>
        <w:gridCol w:w="784"/>
      </w:tblGrid>
      <w:tr>
        <w:trPr>
          <w:trHeight w:val="713"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4"/>
              <w:jc w:val="left"/>
              <w:rPr>
                <w:rFonts w:ascii="宋体" w:hAnsi="宋体" w:cs="宋体" w:eastAsia="宋体" w:hint="default"/>
                <w:sz w:val="18"/>
                <w:szCs w:val="18"/>
              </w:rPr>
            </w:pPr>
            <w:r>
              <w:rPr>
                <w:rFonts w:ascii="宋体" w:hAnsi="宋体" w:cs="宋体" w:eastAsia="宋体" w:hint="default"/>
                <w:sz w:val="18"/>
                <w:szCs w:val="18"/>
              </w:rPr>
              <w:t>北京数字智通科技有 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3,700</w:t>
            </w:r>
          </w:p>
        </w:tc>
        <w:tc>
          <w:tcPr>
            <w:tcW w:w="1307"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8" w:right="9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23,700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5"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23,700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3"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9"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60"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vMerge/>
            <w:tcBorders>
              <w:left w:val="single" w:sz="4" w:space="0" w:color="000000"/>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0"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3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23,700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23,700</w:t>
            </w:r>
          </w:p>
        </w:tc>
        <w:tc>
          <w:tcPr>
            <w:tcW w:w="20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w:t>
            </w:r>
          </w:p>
        </w:tc>
      </w:tr>
      <w:tr>
        <w:trPr>
          <w:trHeight w:val="408" w:hRule="exact"/>
        </w:trPr>
        <w:tc>
          <w:tcPr>
            <w:tcW w:w="48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1"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十九、社会责任情况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5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35.48%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182,250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1,026,202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66,251,95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34.96%</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35.48%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182,250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1,026,202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66,251,95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34.96%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35.48%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182,250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1,026,202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66,251,95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34.96%</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122,667,7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64.51%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2,010,805</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125,113,9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126,098,5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65.04%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122,667,7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64.51%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2,010,805</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125,113,9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126,098,5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65.04%</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190,142,8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2,193,055</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190,157,4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192,350,5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382,493,3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49" w:firstLine="482"/>
        <w:jc w:val="both"/>
      </w:pPr>
      <w:r>
        <w:rPr>
          <w:rFonts w:ascii="宋体" w:hAnsi="宋体" w:cs="宋体" w:eastAsia="宋体" w:hint="default"/>
        </w:rPr>
        <w:t>1</w:t>
      </w:r>
      <w:r>
        <w:rPr/>
        <w:t>、报告期内，公司实施</w:t>
      </w:r>
      <w:r>
        <w:rPr>
          <w:rFonts w:ascii="宋体" w:hAnsi="宋体" w:cs="宋体" w:eastAsia="宋体" w:hint="default"/>
        </w:rPr>
        <w:t>2014</w:t>
      </w:r>
      <w:r>
        <w:rPr/>
        <w:t>年度利润分配方案：公司以总股本</w:t>
      </w:r>
      <w:r>
        <w:rPr>
          <w:rFonts w:ascii="宋体" w:hAnsi="宋体" w:cs="宋体" w:eastAsia="宋体" w:hint="default"/>
        </w:rPr>
        <w:t>190,157,455</w:t>
      </w:r>
      <w:r>
        <w:rPr/>
        <w:t>股为基数， </w:t>
      </w:r>
      <w:r>
        <w:rPr>
          <w:spacing w:val="-2"/>
        </w:rPr>
        <w:t>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w:t>
      </w:r>
      <w:r>
        <w:rPr>
          <w:spacing w:val="-2"/>
        </w:rPr>
        <w:t>元（含税），共计派发现金红利</w:t>
      </w:r>
      <w:r>
        <w:rPr>
          <w:rFonts w:ascii="宋体" w:hAnsi="宋体" w:cs="宋体" w:eastAsia="宋体" w:hint="default"/>
          <w:spacing w:val="-2"/>
        </w:rPr>
        <w:t>19,015,745.5</w:t>
      </w:r>
      <w:r>
        <w:rPr>
          <w:spacing w:val="-2"/>
        </w:rPr>
        <w:t>元，剩余未分</w:t>
      </w:r>
      <w:r>
        <w:rPr>
          <w:spacing w:val="-106"/>
        </w:rPr>
        <w:t> </w:t>
      </w:r>
      <w:r>
        <w:rPr>
          <w:spacing w:val="-106"/>
        </w:rPr>
      </w:r>
      <w:r>
        <w:rPr>
          <w:spacing w:val="12"/>
        </w:rPr>
        <w:t>配利润结转以后年度分配。同时以资本公积向全体股东每</w:t>
      </w:r>
      <w:r>
        <w:rPr>
          <w:rFonts w:ascii="宋体" w:hAnsi="宋体" w:cs="宋体" w:eastAsia="宋体" w:hint="default"/>
          <w:spacing w:val="12"/>
        </w:rPr>
        <w:t>10</w:t>
      </w:r>
      <w:r>
        <w:rPr>
          <w:spacing w:val="12"/>
        </w:rPr>
        <w:t>股转增</w:t>
      </w:r>
      <w:r>
        <w:rPr>
          <w:rFonts w:ascii="宋体" w:hAnsi="宋体" w:cs="宋体" w:eastAsia="宋体" w:hint="default"/>
          <w:spacing w:val="12"/>
        </w:rPr>
        <w:t>10</w:t>
      </w:r>
      <w:r>
        <w:rPr>
          <w:spacing w:val="12"/>
        </w:rPr>
        <w:t>股，合计转增股本</w:t>
      </w:r>
      <w:r>
        <w:rPr>
          <w:spacing w:val="-95"/>
        </w:rPr>
        <w:t> </w:t>
      </w:r>
      <w:r>
        <w:rPr>
          <w:spacing w:val="-95"/>
        </w:rPr>
      </w:r>
      <w:r>
        <w:rPr>
          <w:rFonts w:ascii="宋体" w:hAnsi="宋体" w:cs="宋体" w:eastAsia="宋体" w:hint="default"/>
        </w:rPr>
        <w:t>190,157,455</w:t>
      </w:r>
      <w:r>
        <w:rPr/>
        <w:t>股。转增股本后公司总股本变更为</w:t>
      </w:r>
      <w:r>
        <w:rPr>
          <w:rFonts w:ascii="宋体" w:hAnsi="宋体" w:cs="宋体" w:eastAsia="宋体" w:hint="default"/>
        </w:rPr>
        <w:t>380,314,910</w:t>
      </w:r>
      <w:r>
        <w:rPr/>
        <w:t>股。</w:t>
      </w:r>
    </w:p>
    <w:p>
      <w:pPr>
        <w:pStyle w:val="BodyText"/>
        <w:spacing w:line="357" w:lineRule="auto"/>
        <w:ind w:right="152" w:firstLine="482"/>
        <w:jc w:val="both"/>
      </w:pPr>
      <w:r>
        <w:rPr>
          <w:rFonts w:ascii="宋体" w:hAnsi="宋体" w:cs="宋体" w:eastAsia="宋体" w:hint="default"/>
          <w:spacing w:val="-3"/>
        </w:rPr>
        <w:t>2</w:t>
      </w:r>
      <w:r>
        <w:rPr>
          <w:spacing w:val="-3"/>
        </w:rPr>
        <w:t>、因报告期内公司首期股票期权激励计划首次授予和预留部分股权激励对象行权，公司</w:t>
      </w:r>
      <w:r>
        <w:rPr/>
        <w:t> 总股本增加</w:t>
      </w:r>
      <w:r>
        <w:rPr>
          <w:rFonts w:ascii="宋体" w:hAnsi="宋体" w:cs="宋体" w:eastAsia="宋体" w:hint="default"/>
        </w:rPr>
        <w:t>2,193,055</w:t>
      </w:r>
      <w:r>
        <w:rPr/>
        <w:t>股。</w:t>
      </w:r>
    </w:p>
    <w:p>
      <w:pPr>
        <w:pStyle w:val="BodyText"/>
        <w:spacing w:line="240" w:lineRule="auto"/>
        <w:ind w:left="635" w:right="0"/>
        <w:jc w:val="left"/>
        <w:rPr>
          <w:rFonts w:ascii="宋体" w:hAnsi="宋体" w:cs="宋体" w:eastAsia="宋体" w:hint="default"/>
        </w:rPr>
      </w:pPr>
      <w:r>
        <w:rPr>
          <w:rFonts w:ascii="宋体" w:hAnsi="宋体" w:cs="宋体" w:eastAsia="宋体" w:hint="default"/>
        </w:rPr>
        <w:t>3</w:t>
      </w:r>
      <w:r>
        <w:rPr>
          <w:spacing w:val="-111"/>
        </w:rPr>
        <w:t>、</w:t>
      </w:r>
      <w:r>
        <w:rPr/>
        <w:t>当期高管解</w:t>
      </w:r>
      <w:r>
        <w:rPr>
          <w:spacing w:val="-1"/>
        </w:rPr>
        <w:t>锁</w:t>
      </w:r>
      <w:r>
        <w:rPr>
          <w:rFonts w:ascii="宋体" w:hAnsi="宋体" w:cs="宋体" w:eastAsia="宋体" w:hint="default"/>
        </w:rPr>
        <w:t>2,431,574</w:t>
      </w:r>
      <w:r>
        <w:rPr/>
        <w:t>股</w:t>
      </w:r>
      <w:r>
        <w:rPr>
          <w:spacing w:val="-111"/>
        </w:rPr>
        <w:t>。</w:t>
      </w:r>
      <w:r>
        <w:rPr>
          <w:rFonts w:ascii="宋体" w:hAnsi="宋体" w:cs="宋体" w:eastAsia="宋体" w:hint="default"/>
        </w:rPr>
        <w:t>2015</w:t>
      </w:r>
      <w:r>
        <w:rPr/>
        <w:t>年</w:t>
      </w:r>
      <w:r>
        <w:rPr>
          <w:rFonts w:ascii="宋体" w:hAnsi="宋体" w:cs="宋体" w:eastAsia="宋体" w:hint="default"/>
        </w:rPr>
        <w:t>9</w:t>
      </w:r>
      <w:r>
        <w:rPr/>
        <w:t>月</w:t>
      </w:r>
      <w:r>
        <w:rPr>
          <w:spacing w:val="-111"/>
        </w:rPr>
        <w:t>，</w:t>
      </w:r>
      <w:r>
        <w:rPr/>
        <w:t>公司董事会换届</w:t>
      </w:r>
      <w:r>
        <w:rPr>
          <w:spacing w:val="-111"/>
        </w:rPr>
        <w:t>，</w:t>
      </w:r>
      <w:r>
        <w:rPr/>
        <w:t>董事离职锁定增</w:t>
      </w:r>
      <w:r>
        <w:rPr>
          <w:spacing w:val="1"/>
        </w:rPr>
        <w:t>加</w:t>
      </w:r>
      <w:r>
        <w:rPr>
          <w:rFonts w:ascii="宋体" w:hAnsi="宋体" w:cs="宋体" w:eastAsia="宋体" w:hint="default"/>
        </w:rPr>
        <w:t>3,457,776</w:t>
      </w:r>
    </w:p>
    <w:p>
      <w:pPr>
        <w:spacing w:line="240" w:lineRule="auto" w:before="10"/>
        <w:rPr>
          <w:rFonts w:ascii="宋体" w:hAnsi="宋体" w:cs="宋体" w:eastAsia="宋体" w:hint="default"/>
          <w:sz w:val="9"/>
          <w:szCs w:val="9"/>
        </w:rPr>
      </w:pPr>
    </w:p>
    <w:p>
      <w:pPr>
        <w:pStyle w:val="BodyText"/>
        <w:spacing w:line="240" w:lineRule="auto" w:before="26"/>
        <w:ind w:right="153"/>
        <w:jc w:val="left"/>
      </w:pPr>
      <w:r>
        <w:rPr/>
        <w:t>股。</w:t>
      </w:r>
    </w:p>
    <w:p>
      <w:pPr>
        <w:spacing w:before="164"/>
        <w:ind w:left="152" w:right="15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133" w:firstLine="482"/>
        <w:jc w:val="left"/>
      </w:pPr>
      <w:r>
        <w:rPr>
          <w:rFonts w:ascii="宋体" w:hAnsi="宋体" w:cs="宋体" w:eastAsia="宋体" w:hint="default"/>
        </w:rPr>
        <w:t>1</w:t>
      </w:r>
      <w:r>
        <w:rPr/>
        <w:t>，公司以总股本</w:t>
      </w:r>
      <w:r>
        <w:rPr>
          <w:rFonts w:ascii="宋体" w:hAnsi="宋体" w:cs="宋体" w:eastAsia="宋体" w:hint="default"/>
        </w:rPr>
        <w:t>190,157,455</w:t>
      </w:r>
      <w:r>
        <w:rPr/>
        <w:t>股为基数，以资本公积金向全体股东每</w:t>
      </w:r>
      <w:r>
        <w:rPr>
          <w:rFonts w:ascii="宋体" w:hAnsi="宋体" w:cs="宋体" w:eastAsia="宋体" w:hint="default"/>
        </w:rPr>
        <w:t>10 </w:t>
      </w:r>
      <w:r>
        <w:rPr/>
        <w:t>股转增 </w:t>
      </w:r>
      <w:r>
        <w:rPr>
          <w:rFonts w:ascii="宋体" w:hAnsi="宋体" w:cs="宋体" w:eastAsia="宋体" w:hint="default"/>
        </w:rPr>
        <w:t>10</w:t>
      </w:r>
      <w:r>
        <w:rPr>
          <w:rFonts w:ascii="宋体" w:hAnsi="宋体" w:cs="宋体" w:eastAsia="宋体" w:hint="default"/>
          <w:spacing w:val="-1"/>
        </w:rPr>
        <w:t> </w:t>
      </w:r>
      <w:r>
        <w:rPr/>
        <w:t>股， </w:t>
      </w:r>
      <w:r>
        <w:rPr>
          <w:spacing w:val="-2"/>
        </w:rPr>
        <w:t>转增后公司总股本为</w:t>
      </w:r>
      <w:r>
        <w:rPr>
          <w:rFonts w:ascii="宋体" w:hAnsi="宋体" w:cs="宋体" w:eastAsia="宋体" w:hint="default"/>
          <w:spacing w:val="-2"/>
        </w:rPr>
        <w:t>380,314,910</w:t>
      </w:r>
      <w:r>
        <w:rPr>
          <w:spacing w:val="-2"/>
        </w:rPr>
        <w:t>股。本次资本公积金转增股本事项已经公司</w:t>
      </w:r>
      <w:r>
        <w:rPr>
          <w:rFonts w:ascii="宋体" w:hAnsi="宋体" w:cs="宋体" w:eastAsia="宋体" w:hint="default"/>
          <w:spacing w:val="-2"/>
        </w:rPr>
        <w:t>2014</w:t>
      </w:r>
      <w:r>
        <w:rPr>
          <w:spacing w:val="-2"/>
        </w:rPr>
        <w:t>年度股东大</w:t>
      </w:r>
      <w:r>
        <w:rPr>
          <w:spacing w:val="-105"/>
        </w:rPr>
        <w:t> </w:t>
      </w:r>
      <w:r>
        <w:rPr/>
        <w:t>会批准，并于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25</w:t>
      </w:r>
      <w:r>
        <w:rPr/>
        <w:t>日实施完毕，相关工商变更手续已经办理完毕。</w:t>
      </w:r>
    </w:p>
    <w:p>
      <w:pPr>
        <w:pStyle w:val="BodyText"/>
        <w:spacing w:line="357" w:lineRule="auto"/>
        <w:ind w:right="98" w:firstLine="482"/>
        <w:jc w:val="left"/>
      </w:pPr>
      <w:r>
        <w:rPr>
          <w:rFonts w:ascii="宋体" w:hAnsi="宋体" w:cs="宋体" w:eastAsia="宋体" w:hint="default"/>
          <w:spacing w:val="-2"/>
        </w:rPr>
        <w:t>2</w:t>
      </w:r>
      <w:r>
        <w:rPr>
          <w:spacing w:val="-2"/>
        </w:rPr>
        <w:t>、北京数字政通科技股份有限公司于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日召开第二届董事会第三十四次会议，</w:t>
      </w:r>
      <w:r>
        <w:rPr/>
        <w:t> 审议通过了《关于首期股票期权激励计划首次授予第二个行权期可行权的议案》，并于</w:t>
      </w:r>
      <w:r>
        <w:rPr>
          <w:rFonts w:ascii="宋体" w:hAnsi="宋体" w:cs="宋体" w:eastAsia="宋体" w:hint="default"/>
        </w:rPr>
        <w:t>2015</w:t>
      </w:r>
      <w:r>
        <w:rPr>
          <w:rFonts w:ascii="宋体" w:hAnsi="宋体" w:cs="宋体" w:eastAsia="宋体" w:hint="default"/>
          <w:spacing w:val="-88"/>
        </w:rPr>
        <w:t> </w:t>
      </w:r>
      <w:r>
        <w:rPr/>
        <w:t>年</w:t>
      </w:r>
      <w:r>
        <w:rPr>
          <w:rFonts w:ascii="宋体" w:hAnsi="宋体" w:cs="宋体" w:eastAsia="宋体" w:hint="default"/>
        </w:rPr>
        <w:t>6</w:t>
      </w:r>
      <w:r>
        <w:rPr/>
        <w:t>月</w:t>
      </w:r>
      <w:r>
        <w:rPr>
          <w:rFonts w:ascii="宋体" w:hAnsi="宋体" w:cs="宋体" w:eastAsia="宋体" w:hint="default"/>
        </w:rPr>
        <w:t>16</w:t>
      </w:r>
      <w:r>
        <w:rPr/>
        <w:t>日公告了《关于股票期权激励计划首次授予期权第二个行权期采用自主行权模式的提 示性公告》。</w:t>
      </w:r>
    </w:p>
    <w:p>
      <w:pPr>
        <w:pStyle w:val="BodyText"/>
        <w:spacing w:line="357" w:lineRule="auto" w:before="37"/>
        <w:ind w:right="231" w:firstLine="482"/>
        <w:jc w:val="both"/>
      </w:pPr>
      <w:r>
        <w:rPr>
          <w:rFonts w:ascii="宋体" w:hAnsi="宋体" w:cs="宋体" w:eastAsia="宋体" w:hint="default"/>
          <w:spacing w:val="-2"/>
        </w:rPr>
        <w:t>3</w:t>
      </w:r>
      <w:r>
        <w:rPr>
          <w:spacing w:val="-2"/>
        </w:rPr>
        <w:t>、北京数字政通科技股份有限公司于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日召开第三届董事会第五次会议，审</w:t>
      </w:r>
      <w:r>
        <w:rPr/>
        <w:t> </w:t>
      </w:r>
      <w:r>
        <w:rPr>
          <w:spacing w:val="-5"/>
        </w:rPr>
        <w:t>议通过了《关于首期股票期权激励计划预留股票期权第二个行权期可行权的议案》，并于</w:t>
      </w:r>
      <w:r>
        <w:rPr>
          <w:rFonts w:ascii="宋体" w:hAnsi="宋体" w:cs="宋体" w:eastAsia="宋体" w:hint="default"/>
          <w:spacing w:val="-5"/>
        </w:rPr>
        <w:t>2015</w:t>
      </w:r>
      <w:r>
        <w:rPr>
          <w:rFonts w:ascii="宋体" w:hAnsi="宋体" w:cs="宋体" w:eastAsia="宋体" w:hint="default"/>
          <w:spacing w:val="-107"/>
        </w:rPr>
        <w:t> </w:t>
      </w:r>
      <w:r>
        <w:rPr/>
        <w:t>年</w:t>
      </w:r>
      <w:r>
        <w:rPr>
          <w:rFonts w:ascii="宋体" w:hAnsi="宋体" w:cs="宋体" w:eastAsia="宋体" w:hint="default"/>
        </w:rPr>
        <w:t>12</w:t>
      </w:r>
      <w:r>
        <w:rPr/>
        <w:t>月</w:t>
      </w:r>
      <w:r>
        <w:rPr>
          <w:rFonts w:ascii="宋体" w:hAnsi="宋体" w:cs="宋体" w:eastAsia="宋体" w:hint="default"/>
        </w:rPr>
        <w:t>10</w:t>
      </w:r>
      <w:r>
        <w:rPr/>
        <w:t>日公告了《关于股票期权激励计划预留股票期权第二个行权期采用自主行权模式的</w:t>
      </w:r>
      <w:r>
        <w:rPr>
          <w:spacing w:val="-92"/>
        </w:rPr>
        <w:t> </w:t>
      </w:r>
      <w:r>
        <w:rPr>
          <w:spacing w:val="-92"/>
        </w:rPr>
      </w:r>
      <w:r>
        <w:rPr/>
        <w:t>提示性公告》。</w:t>
      </w:r>
    </w:p>
    <w:p>
      <w:pPr>
        <w:spacing w:before="46"/>
        <w:ind w:left="152" w:right="96"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635" w:right="96"/>
        <w:jc w:val="left"/>
      </w:pP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25</w:t>
      </w:r>
      <w:r>
        <w:rPr/>
        <w:t>日，公司已完成</w:t>
      </w:r>
      <w:r>
        <w:rPr>
          <w:rFonts w:ascii="宋体" w:hAnsi="宋体" w:cs="宋体" w:eastAsia="宋体" w:hint="default"/>
        </w:rPr>
        <w:t>2014</w:t>
      </w:r>
      <w:r>
        <w:rPr/>
        <w:t>年度权益分派。公司总股本由</w:t>
      </w:r>
      <w:r>
        <w:rPr>
          <w:rFonts w:ascii="宋体" w:hAnsi="宋体" w:cs="宋体" w:eastAsia="宋体" w:hint="default"/>
        </w:rPr>
        <w:t>190,157,455</w:t>
      </w:r>
      <w:r>
        <w:rPr/>
        <w:t>股增加至</w:t>
      </w:r>
    </w:p>
    <w:p>
      <w:pPr>
        <w:pStyle w:val="BodyText"/>
        <w:spacing w:line="240" w:lineRule="auto" w:before="154"/>
        <w:ind w:right="96"/>
        <w:jc w:val="left"/>
      </w:pPr>
      <w:r>
        <w:rPr>
          <w:rFonts w:ascii="宋体" w:hAnsi="宋体" w:cs="宋体" w:eastAsia="宋体" w:hint="default"/>
        </w:rPr>
        <w:t>380,314,910</w:t>
      </w:r>
      <w:r>
        <w:rPr/>
        <w:t>股。上述资本公积转增股份已过户登记。</w:t>
      </w:r>
    </w:p>
    <w:p>
      <w:pPr>
        <w:pStyle w:val="BodyText"/>
        <w:spacing w:line="357" w:lineRule="auto" w:before="154"/>
        <w:ind w:right="232" w:firstLine="482"/>
        <w:jc w:val="both"/>
      </w:pPr>
      <w:r>
        <w:rPr>
          <w:rFonts w:ascii="宋体" w:hAnsi="宋体" w:cs="宋体" w:eastAsia="宋体" w:hint="default"/>
          <w:spacing w:val="-3"/>
        </w:rPr>
        <w:t>2</w:t>
      </w:r>
      <w:r>
        <w:rPr>
          <w:spacing w:val="-3"/>
        </w:rPr>
        <w:t>、公司第一期股票期权和预留股权期权第二次行权采用自主行权模式，本次行权造成的</w:t>
      </w:r>
      <w:r>
        <w:rPr/>
        <w:t> 变动情况均已在中国登记结算深圳分公司办理了相关登记手续，相关工商登记手续也已办理</w:t>
      </w:r>
      <w:r>
        <w:rPr>
          <w:spacing w:val="-91"/>
        </w:rPr>
        <w:t> </w:t>
      </w:r>
      <w:r>
        <w:rPr>
          <w:spacing w:val="-91"/>
        </w:rPr>
      </w:r>
      <w:r>
        <w:rPr/>
        <w:t>完成。</w:t>
      </w:r>
    </w:p>
    <w:p>
      <w:pPr>
        <w:spacing w:before="46"/>
        <w:ind w:left="152" w:right="96"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98" w:firstLine="482"/>
        <w:jc w:val="both"/>
      </w:pPr>
      <w:r>
        <w:rPr>
          <w:spacing w:val="29"/>
        </w:rPr>
        <w:t>因权益分派和股权激励自主行权的原因，截止</w:t>
      </w:r>
      <w:r>
        <w:rPr>
          <w:spacing w:val="-87"/>
        </w:rPr>
        <w:t> </w:t>
      </w:r>
      <w:r>
        <w:rPr>
          <w:rFonts w:ascii="宋体" w:hAnsi="宋体" w:cs="宋体" w:eastAsia="宋体" w:hint="default"/>
        </w:rPr>
        <w:t>2015</w:t>
      </w:r>
      <w:r>
        <w:rPr>
          <w:rFonts w:ascii="宋体" w:hAnsi="宋体" w:cs="宋体" w:eastAsia="宋体" w:hint="default"/>
          <w:spacing w:val="-88"/>
        </w:rPr>
        <w:t> </w:t>
      </w:r>
      <w:r>
        <w:rPr/>
        <w:t>年</w:t>
      </w:r>
      <w:r>
        <w:rPr>
          <w:spacing w:val="-88"/>
        </w:rPr>
        <w:t> </w:t>
      </w:r>
      <w:r>
        <w:rPr>
          <w:rFonts w:ascii="宋体" w:hAnsi="宋体" w:cs="宋体" w:eastAsia="宋体" w:hint="default"/>
        </w:rPr>
        <w:t>12</w:t>
      </w:r>
      <w:r>
        <w:rPr>
          <w:rFonts w:ascii="宋体" w:hAnsi="宋体" w:cs="宋体" w:eastAsia="宋体" w:hint="default"/>
          <w:spacing w:val="-88"/>
        </w:rPr>
        <w:t> </w:t>
      </w:r>
      <w:r>
        <w:rPr/>
        <w:t>月</w:t>
      </w:r>
      <w:r>
        <w:rPr>
          <w:spacing w:val="-88"/>
        </w:rPr>
        <w:t> </w:t>
      </w:r>
      <w:r>
        <w:rPr>
          <w:rFonts w:ascii="宋体" w:hAnsi="宋体" w:cs="宋体" w:eastAsia="宋体" w:hint="default"/>
        </w:rPr>
        <w:t>31</w:t>
      </w:r>
      <w:r>
        <w:rPr>
          <w:rFonts w:ascii="宋体" w:hAnsi="宋体" w:cs="宋体" w:eastAsia="宋体" w:hint="default"/>
          <w:spacing w:val="-88"/>
        </w:rPr>
        <w:t> </w:t>
      </w:r>
      <w:r>
        <w:rPr>
          <w:spacing w:val="27"/>
        </w:rPr>
        <w:t>日，公司总股份为</w:t>
      </w:r>
      <w:r>
        <w:rPr>
          <w:spacing w:val="-89"/>
        </w:rPr>
        <w:t> </w:t>
      </w:r>
      <w:r>
        <w:rPr>
          <w:rFonts w:ascii="宋体" w:hAnsi="宋体" w:cs="宋体" w:eastAsia="宋体" w:hint="default"/>
          <w:spacing w:val="-2"/>
        </w:rPr>
        <w:t>382,493,310</w:t>
      </w:r>
      <w:r>
        <w:rPr>
          <w:spacing w:val="-2"/>
        </w:rPr>
        <w:t>股，基本每股收益、稀释每股收益、扣除非经常性损益后的基本每股收益等各项</w:t>
      </w:r>
      <w:r>
        <w:rPr>
          <w:spacing w:val="-109"/>
        </w:rPr>
        <w:t> </w:t>
      </w:r>
      <w:r>
        <w:rPr>
          <w:spacing w:val="-109"/>
        </w:rPr>
      </w:r>
      <w:r>
        <w:rPr/>
        <w:t>数据，按</w:t>
      </w:r>
      <w:r>
        <w:rPr>
          <w:rFonts w:ascii="宋体" w:hAnsi="宋体" w:cs="宋体" w:eastAsia="宋体" w:hint="default"/>
        </w:rPr>
        <w:t>382,493,310</w:t>
      </w:r>
      <w:r>
        <w:rPr/>
        <w:t>股为基数计算。</w:t>
      </w:r>
    </w:p>
    <w:p>
      <w:pPr>
        <w:spacing w:before="46"/>
        <w:ind w:left="152" w:right="96"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2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78"/>
        <w:gridCol w:w="1349"/>
        <w:gridCol w:w="1350"/>
        <w:gridCol w:w="1348"/>
        <w:gridCol w:w="1349"/>
        <w:gridCol w:w="1349"/>
        <w:gridCol w:w="1346"/>
      </w:tblGrid>
      <w:tr>
        <w:trPr>
          <w:trHeight w:val="716"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0" w:right="3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79"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46,519,055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46,519,055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93,038,110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675"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已解禁，每年解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9,122,173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7,997,173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15,994,346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已解禁，每年解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3,676,062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3,526,062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7,052,124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已解禁，每年解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已解禁，每年解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3,151,333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4,362,223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7,063,556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已解禁，高管离 职锁定</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755,925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1,511,850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已解禁，每年解 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3,295,329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599,999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4,492,216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7,187,546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已解禁，高管离 职锁定</w:t>
            </w:r>
          </w:p>
        </w:tc>
      </w:tr>
      <w:tr>
        <w:trPr>
          <w:trHeight w:val="40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401"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67,475,077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2,431,574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68,683,529</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133,727,032</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6"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1"/>
                <w:sz w:val="18"/>
                <w:szCs w:val="18"/>
              </w:rPr>
              <w:t>股票期权（首次授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予）</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2,119,500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2,119,500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股票期权（预留</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p>
          <w:p>
            <w:pPr>
              <w:pStyle w:val="TableParagraph"/>
              <w:spacing w:line="149"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229,500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49"/>
        <w:ind w:left="152" w:right="153" w:firstLine="0"/>
        <w:jc w:val="left"/>
        <w:rPr>
          <w:rFonts w:ascii="宋体" w:hAnsi="宋体" w:cs="宋体" w:eastAsia="宋体" w:hint="default"/>
          <w:sz w:val="18"/>
          <w:szCs w:val="18"/>
        </w:rPr>
      </w:pPr>
      <w:r>
        <w:rPr/>
        <w:pict>
          <v:group style="position:absolute;margin-left:127.580002pt;margin-top:-76.398277pt;width:63.05pt;height:36.25pt;mso-position-horizontal-relative:page;mso-position-vertical-relative:paragraph;z-index:-815200" coordorigin="2552,-1528" coordsize="1261,725">
            <v:group style="position:absolute;left:2562;top:-1517;width:2;height:704" coordorigin="2562,-1517" coordsize="2,704">
              <v:shape style="position:absolute;left:2562;top:-1517;width:2;height:704" coordorigin="2562,-1517" coordsize="0,704" path="m2562,-1517l2562,-814e" filled="false" stroked="true" strokeweight="1.08pt" strokecolor="#ffffff">
                <v:path arrowok="t"/>
              </v:shape>
            </v:group>
            <v:group style="position:absolute;left:2573;top:-1517;width:1239;height:353" coordorigin="2573,-1517" coordsize="1239,353">
              <v:shape style="position:absolute;left:2573;top:-1517;width:1239;height:353" coordorigin="2573,-1517" coordsize="1239,353" path="m2573,-1164l3812,-1164,3812,-1517,2573,-1517,2573,-1164xe" filled="true" fillcolor="#ffffff" stroked="false">
                <v:path arrowok="t"/>
                <v:fill type="solid"/>
              </v:shape>
            </v:group>
            <v:group style="position:absolute;left:2573;top:-1164;width:1239;height:351" coordorigin="2573,-1164" coordsize="1239,351">
              <v:shape style="position:absolute;left:2573;top:-1164;width:1239;height:351" coordorigin="2573,-1164" coordsize="1239,351" path="m2573,-814l3812,-814,3812,-1164,2573,-1164,2573,-814xe" filled="true" fillcolor="#ffffff" stroked="false">
                <v:path arrowok="t"/>
                <v:fill type="solid"/>
              </v:shape>
            </v:group>
            <w10:wrap type="none"/>
          </v:group>
        </w:pict>
      </w:r>
      <w:r>
        <w:rPr>
          <w:rFonts w:ascii="宋体" w:hAnsi="宋体" w:cs="宋体" w:eastAsia="宋体" w:hint="default"/>
          <w:sz w:val="18"/>
          <w:szCs w:val="18"/>
        </w:rPr>
        <w:t>报告期内证券发行（不含优先股）情况的说明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98" w:firstLine="482"/>
        <w:jc w:val="left"/>
      </w:pPr>
      <w:r>
        <w:rPr>
          <w:rFonts w:ascii="宋体" w:hAnsi="宋体" w:cs="宋体" w:eastAsia="宋体" w:hint="default"/>
          <w:spacing w:val="-2"/>
        </w:rPr>
        <w:t>1</w:t>
      </w:r>
      <w:r>
        <w:rPr>
          <w:spacing w:val="-2"/>
        </w:rPr>
        <w:t>、北京数字政通科技股份有限公司于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日召开第二届董事会第三十四次会议，</w:t>
      </w:r>
      <w:r>
        <w:rPr/>
        <w:t> 审议通过了《关于首期股票期权激励计划首次授予第二个行权期可行权的议案》，并于</w:t>
      </w:r>
      <w:r>
        <w:rPr>
          <w:rFonts w:ascii="宋体" w:hAnsi="宋体" w:cs="宋体" w:eastAsia="宋体" w:hint="default"/>
        </w:rPr>
        <w:t>2015</w:t>
      </w:r>
      <w:r>
        <w:rPr>
          <w:rFonts w:ascii="宋体" w:hAnsi="宋体" w:cs="宋体" w:eastAsia="宋体" w:hint="default"/>
          <w:spacing w:val="-88"/>
        </w:rPr>
        <w:t> </w:t>
      </w:r>
      <w:r>
        <w:rPr/>
        <w:t>年</w:t>
      </w:r>
      <w:r>
        <w:rPr>
          <w:rFonts w:ascii="宋体" w:hAnsi="宋体" w:cs="宋体" w:eastAsia="宋体" w:hint="default"/>
        </w:rPr>
        <w:t>6</w:t>
      </w:r>
      <w:r>
        <w:rPr/>
        <w:t>月</w:t>
      </w:r>
      <w:r>
        <w:rPr>
          <w:rFonts w:ascii="宋体" w:hAnsi="宋体" w:cs="宋体" w:eastAsia="宋体" w:hint="default"/>
        </w:rPr>
        <w:t>16</w:t>
      </w:r>
      <w:r>
        <w:rPr/>
        <w:t>日公告了《关于股票期权激励计划首次授予期权第二个行权期采用自主行权模式的提 示性公告》。</w:t>
      </w:r>
    </w:p>
    <w:p>
      <w:pPr>
        <w:pStyle w:val="BodyText"/>
        <w:spacing w:line="357" w:lineRule="auto"/>
        <w:ind w:right="231" w:firstLine="482"/>
        <w:jc w:val="both"/>
      </w:pPr>
      <w:r>
        <w:rPr>
          <w:rFonts w:ascii="宋体" w:hAnsi="宋体" w:cs="宋体" w:eastAsia="宋体" w:hint="default"/>
          <w:spacing w:val="-2"/>
        </w:rPr>
        <w:t>2</w:t>
      </w:r>
      <w:r>
        <w:rPr>
          <w:spacing w:val="-2"/>
        </w:rPr>
        <w:t>、北京数字政通科技股份有限公司于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日召开第三届董事会第五次会议，审</w:t>
      </w:r>
      <w:r>
        <w:rPr/>
        <w:t> 议通过了了《关于首期股票期权激励计划预留股票期权第二个行权期可行权的议案》，并于</w:t>
      </w:r>
      <w:r>
        <w:rPr>
          <w:spacing w:val="-86"/>
        </w:rPr>
        <w:t> </w:t>
      </w:r>
      <w:r>
        <w:rPr>
          <w:spacing w:val="-86"/>
        </w:rPr>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10</w:t>
      </w:r>
      <w:r>
        <w:rPr/>
        <w:t>日公告了《关于股票期权激励计划预留股票期权第二个行权期采用自主行权模</w:t>
      </w:r>
      <w:r>
        <w:rPr>
          <w:spacing w:val="-91"/>
        </w:rPr>
        <w:t> </w:t>
      </w:r>
      <w:r>
        <w:rPr>
          <w:spacing w:val="-91"/>
        </w:rPr>
      </w:r>
      <w:r>
        <w:rPr/>
        <w:t>式的提示性公告》。</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230" w:firstLine="482"/>
        <w:jc w:val="both"/>
      </w:pPr>
      <w:r>
        <w:rPr>
          <w:spacing w:val="3"/>
        </w:rPr>
        <w:t>（</w:t>
      </w:r>
      <w:r>
        <w:rPr>
          <w:rFonts w:ascii="宋体" w:hAnsi="宋体" w:cs="宋体" w:eastAsia="宋体" w:hint="default"/>
          <w:spacing w:val="3"/>
        </w:rPr>
        <w:t>1</w:t>
      </w:r>
      <w:r>
        <w:rPr>
          <w:spacing w:val="3"/>
        </w:rPr>
        <w:t>）根据经</w:t>
      </w:r>
      <w:r>
        <w:rPr>
          <w:rFonts w:ascii="宋体" w:hAnsi="宋体" w:cs="宋体" w:eastAsia="宋体" w:hint="default"/>
          <w:spacing w:val="3"/>
        </w:rPr>
        <w:t>2014</w:t>
      </w:r>
      <w:r>
        <w:rPr>
          <w:spacing w:val="3"/>
        </w:rPr>
        <w:t>年度股东大会审议通过的公司</w:t>
      </w:r>
      <w:r>
        <w:rPr>
          <w:rFonts w:ascii="宋体" w:hAnsi="宋体" w:cs="宋体" w:eastAsia="宋体" w:hint="default"/>
          <w:spacing w:val="3"/>
        </w:rPr>
        <w:t>2014</w:t>
      </w:r>
      <w:r>
        <w:rPr>
          <w:spacing w:val="3"/>
        </w:rPr>
        <w:t>年度权益分派方案，以公司总股本</w:t>
      </w:r>
      <w:r>
        <w:rPr/>
        <w:t> </w:t>
      </w:r>
      <w:r>
        <w:rPr>
          <w:rFonts w:ascii="宋体" w:hAnsi="宋体" w:cs="宋体" w:eastAsia="宋体" w:hint="default"/>
        </w:rPr>
        <w:t>190,157,455</w:t>
      </w:r>
      <w:r>
        <w:rPr/>
        <w:t>股为基数，向全体股东每</w:t>
      </w:r>
      <w:r>
        <w:rPr>
          <w:rFonts w:ascii="宋体" w:hAnsi="宋体" w:cs="宋体" w:eastAsia="宋体" w:hint="default"/>
        </w:rPr>
        <w:t>10</w:t>
      </w:r>
      <w:r>
        <w:rPr/>
        <w:t>股转增</w:t>
      </w:r>
      <w:r>
        <w:rPr>
          <w:rFonts w:ascii="宋体" w:hAnsi="宋体" w:cs="宋体" w:eastAsia="宋体" w:hint="default"/>
        </w:rPr>
        <w:t>10</w:t>
      </w:r>
      <w:r>
        <w:rPr/>
        <w:t>股。分红后公司总股本增加至</w:t>
      </w:r>
      <w:r>
        <w:rPr>
          <w:rFonts w:ascii="宋体" w:hAnsi="宋体" w:cs="宋体" w:eastAsia="宋体" w:hint="default"/>
        </w:rPr>
        <w:t>380,314,910</w:t>
      </w:r>
      <w:r>
        <w:rPr>
          <w:rFonts w:ascii="宋体" w:hAnsi="宋体" w:cs="宋体" w:eastAsia="宋体" w:hint="default"/>
          <w:spacing w:val="-87"/>
        </w:rPr>
        <w:t> </w:t>
      </w:r>
      <w:r>
        <w:rPr>
          <w:rFonts w:ascii="宋体" w:hAnsi="宋体" w:cs="宋体" w:eastAsia="宋体" w:hint="default"/>
          <w:spacing w:val="-87"/>
        </w:rPr>
      </w:r>
      <w:r>
        <w:rPr/>
        <w:t>股。</w:t>
      </w:r>
    </w:p>
    <w:p>
      <w:pPr>
        <w:pStyle w:val="BodyText"/>
        <w:spacing w:line="357" w:lineRule="auto"/>
        <w:ind w:right="96" w:firstLine="482"/>
        <w:jc w:val="left"/>
      </w:pPr>
      <w:r>
        <w:rPr>
          <w:spacing w:val="-3"/>
        </w:rPr>
        <w:t>（</w:t>
      </w:r>
      <w:r>
        <w:rPr>
          <w:rFonts w:ascii="宋体" w:hAnsi="宋体" w:cs="宋体" w:eastAsia="宋体" w:hint="default"/>
          <w:spacing w:val="-3"/>
        </w:rPr>
        <w:t>2</w:t>
      </w:r>
      <w:r>
        <w:rPr>
          <w:spacing w:val="-3"/>
        </w:rPr>
        <w:t>）报告期内，公司首期股票期权激励计划首次授予和预留部分股权激励对象行权，公</w:t>
      </w:r>
      <w:r>
        <w:rPr/>
        <w:t> 司总股本增加</w:t>
      </w:r>
      <w:r>
        <w:rPr>
          <w:rFonts w:ascii="宋体" w:hAnsi="宋体" w:cs="宋体" w:eastAsia="宋体" w:hint="default"/>
        </w:rPr>
        <w:t>2,193,055</w:t>
      </w:r>
      <w:r>
        <w:rPr/>
        <w:t>股。</w:t>
      </w:r>
    </w:p>
    <w:p>
      <w:pPr>
        <w:pStyle w:val="BodyText"/>
        <w:spacing w:line="240" w:lineRule="auto"/>
        <w:ind w:left="635" w:right="96"/>
        <w:jc w:val="left"/>
      </w:pPr>
      <w:r>
        <w:rPr/>
        <w:t>上述股份变动不影响公司资产和负债结构。</w:t>
      </w:r>
    </w:p>
    <w:p>
      <w:pPr>
        <w:spacing w:line="240" w:lineRule="auto" w:before="10"/>
        <w:rPr>
          <w:rFonts w:ascii="宋体" w:hAnsi="宋体" w:cs="宋体" w:eastAsia="宋体" w:hint="default"/>
          <w:sz w:val="30"/>
          <w:szCs w:val="30"/>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6"/>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pict>
          <v:shape style="position:absolute;margin-left:449.22699pt;margin-top:68.471718pt;width:85.75pt;height:31.2pt;mso-position-horizontal-relative:page;mso-position-vertical-relative:paragraph;z-index:-81517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5pt;margin-top:68.471718pt;width:52.45pt;height:31.2pt;mso-position-horizontal-relative:page;mso-position-vertical-relative:paragraph;z-index:-815152" coordorigin="9650,1369" coordsize="1049,624">
            <v:shape style="position:absolute;left:9650;top:1369;width:1049;height:624" coordorigin="9650,1369" coordsize="1049,624" path="m9650,1993l10699,1993,10699,1369,9650,1369,9650,1993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23"/>
        <w:gridCol w:w="134"/>
        <w:gridCol w:w="674"/>
        <w:gridCol w:w="737"/>
        <w:gridCol w:w="745"/>
        <w:gridCol w:w="831"/>
        <w:gridCol w:w="344"/>
        <w:gridCol w:w="444"/>
        <w:gridCol w:w="823"/>
        <w:gridCol w:w="803"/>
        <w:gridCol w:w="320"/>
        <w:gridCol w:w="1029"/>
        <w:gridCol w:w="278"/>
        <w:gridCol w:w="512"/>
        <w:gridCol w:w="557"/>
      </w:tblGrid>
      <w:tr>
        <w:trPr>
          <w:trHeight w:val="163"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40,478</w:t>
            </w:r>
          </w:p>
        </w:tc>
        <w:tc>
          <w:tcPr>
            <w:tcW w:w="1482" w:type="dxa"/>
            <w:gridSpan w:val="2"/>
            <w:vMerge w:val="restart"/>
            <w:tcBorders>
              <w:top w:val="single" w:sz="4" w:space="0" w:color="000000"/>
              <w:left w:val="single" w:sz="4" w:space="0" w:color="000000"/>
              <w:right w:val="single" w:sz="4" w:space="0" w:color="000000"/>
            </w:tcBorders>
            <w:shd w:val="clear" w:color="auto" w:fill="D2D2D2"/>
          </w:tcPr>
          <w:p>
            <w:pPr/>
          </w:p>
        </w:tc>
        <w:tc>
          <w:tcPr>
            <w:tcW w:w="1175"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41,717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2"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10" w:space="0" w:color="D2D2D2"/>
              <w:right w:val="single" w:sz="10"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8"/>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5"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2" w:type="dxa"/>
            <w:gridSpan w:val="2"/>
            <w:vMerge/>
            <w:tcBorders>
              <w:left w:val="single" w:sz="4" w:space="0" w:color="000000"/>
              <w:right w:val="single" w:sz="4" w:space="0" w:color="000000"/>
            </w:tcBorders>
            <w:shd w:val="clear" w:color="auto" w:fill="D2D2D2"/>
          </w:tcPr>
          <w:p>
            <w:pPr/>
          </w:p>
        </w:tc>
        <w:tc>
          <w:tcPr>
            <w:tcW w:w="1175"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2"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2" w:type="dxa"/>
            <w:gridSpan w:val="2"/>
            <w:vMerge w:val="restart"/>
            <w:tcBorders>
              <w:top w:val="nil" w:sz="6" w:space="0" w:color="auto"/>
              <w:left w:val="single" w:sz="4" w:space="0" w:color="000000"/>
              <w:right w:val="single" w:sz="4" w:space="0" w:color="000000"/>
            </w:tcBorders>
            <w:shd w:val="clear" w:color="auto" w:fill="D2D2D2"/>
          </w:tcPr>
          <w:p>
            <w:pPr/>
          </w:p>
        </w:tc>
        <w:tc>
          <w:tcPr>
            <w:tcW w:w="1175" w:type="dxa"/>
            <w:gridSpan w:val="2"/>
            <w:vMerge/>
            <w:tcBorders>
              <w:left w:val="single" w:sz="10" w:space="0" w:color="D2D2D2"/>
              <w:right w:val="single" w:sz="10"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2" w:type="dxa"/>
            <w:gridSpan w:val="2"/>
            <w:vMerge/>
            <w:tcBorders>
              <w:left w:val="single" w:sz="4" w:space="0" w:color="000000"/>
              <w:bottom w:val="single" w:sz="4" w:space="0" w:color="000000"/>
              <w:right w:val="single" w:sz="4" w:space="0" w:color="000000"/>
            </w:tcBorders>
            <w:shd w:val="clear" w:color="auto" w:fill="D2D2D2"/>
          </w:tcPr>
          <w:p>
            <w:pPr/>
          </w:p>
        </w:tc>
        <w:tc>
          <w:tcPr>
            <w:tcW w:w="1175" w:type="dxa"/>
            <w:gridSpan w:val="2"/>
            <w:vMerge/>
            <w:tcBorders>
              <w:left w:val="single" w:sz="10" w:space="0" w:color="D2D2D2"/>
              <w:bottom w:val="single" w:sz="4" w:space="0" w:color="000000"/>
              <w:right w:val="single" w:sz="10"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430" w:hRule="exact"/>
        </w:trPr>
        <w:tc>
          <w:tcPr>
            <w:tcW w:w="95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73" w:hRule="exact"/>
        </w:trPr>
        <w:tc>
          <w:tcPr>
            <w:tcW w:w="14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4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71" w:right="2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3"/>
              <w:ind w:left="27" w:right="29"/>
              <w:jc w:val="left"/>
              <w:rPr>
                <w:rFonts w:ascii="宋体" w:hAnsi="宋体" w:cs="宋体" w:eastAsia="宋体" w:hint="default"/>
                <w:sz w:val="18"/>
                <w:szCs w:val="18"/>
              </w:rPr>
            </w:pPr>
            <w:r>
              <w:rPr>
                <w:rFonts w:ascii="宋体" w:hAnsi="宋体" w:cs="宋体" w:eastAsia="宋体" w:hint="default"/>
                <w:sz w:val="18"/>
                <w:szCs w:val="18"/>
              </w:rPr>
              <w:t>报告期内 增减变动</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3"/>
              <w:ind w:left="28" w:right="62"/>
              <w:jc w:val="left"/>
              <w:rPr>
                <w:rFonts w:ascii="宋体" w:hAnsi="宋体" w:cs="宋体" w:eastAsia="宋体" w:hint="default"/>
                <w:sz w:val="18"/>
                <w:szCs w:val="18"/>
              </w:rPr>
            </w:pPr>
            <w:r>
              <w:rPr>
                <w:rFonts w:ascii="宋体" w:hAnsi="宋体" w:cs="宋体" w:eastAsia="宋体" w:hint="default"/>
                <w:sz w:val="18"/>
                <w:szCs w:val="18"/>
              </w:rPr>
              <w:t>持有有限 售条件的</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3"/>
              <w:ind w:left="16" w:right="54"/>
              <w:jc w:val="left"/>
              <w:rPr>
                <w:rFonts w:ascii="宋体" w:hAnsi="宋体" w:cs="宋体" w:eastAsia="宋体" w:hint="default"/>
                <w:sz w:val="18"/>
                <w:szCs w:val="18"/>
              </w:rPr>
            </w:pPr>
            <w:r>
              <w:rPr>
                <w:rFonts w:ascii="宋体" w:hAnsi="宋体" w:cs="宋体" w:eastAsia="宋体" w:hint="default"/>
                <w:sz w:val="18"/>
                <w:szCs w:val="18"/>
              </w:rPr>
              <w:t>持有无限 售条件的</w:t>
            </w:r>
          </w:p>
        </w:tc>
        <w:tc>
          <w:tcPr>
            <w:tcW w:w="269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8"/>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4"/>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7"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4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31"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4"/>
              <w:jc w:val="right"/>
              <w:rPr>
                <w:rFonts w:ascii="宋体" w:hAnsi="宋体" w:cs="宋体" w:eastAsia="宋体" w:hint="default"/>
                <w:sz w:val="18"/>
                <w:szCs w:val="18"/>
              </w:rPr>
            </w:pPr>
            <w:r>
              <w:rPr>
                <w:rFonts w:ascii="宋体" w:hAnsi="宋体" w:cs="宋体" w:eastAsia="宋体" w:hint="default"/>
                <w:sz w:val="18"/>
                <w:szCs w:val="18"/>
              </w:rPr>
              <w:t>股份数量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z w:val="18"/>
                <w:szCs w:val="18"/>
              </w:rPr>
              <w:t>股份数量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120,300,8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93,038,11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10,025,000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4,731,450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邵献军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9,766,294</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9,766,294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9,052,124</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7,052,124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 广发聚丰混合型 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8,657,858</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8,657,858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7,187,546</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7,187,546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7,063,556</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7,063,556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周夏真</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3,250,000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肖家铨</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2,497,388</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2,497,388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2,019,800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49"/>
              <w:ind w:left="17" w:right="20"/>
              <w:jc w:val="left"/>
              <w:rPr>
                <w:rFonts w:ascii="宋体" w:hAnsi="宋体" w:cs="宋体" w:eastAsia="宋体" w:hint="default"/>
                <w:sz w:val="18"/>
                <w:szCs w:val="18"/>
              </w:rPr>
            </w:pPr>
            <w:r>
              <w:rPr>
                <w:rFonts w:ascii="宋体" w:hAnsi="宋体" w:cs="宋体" w:eastAsia="宋体" w:hint="default"/>
                <w:spacing w:val="-1"/>
                <w:sz w:val="18"/>
                <w:szCs w:val="18"/>
              </w:rPr>
              <w:t>上述股东之间，未知是否存在关联关系或属于《上市公司股东持股变动信息披露管理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办法》规定的一致行动人。</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27,262,704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27,262,704</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邵献军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9,766,294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9,766,294</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中国工商银行－广发聚丰混合型证 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8,657,858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8,657,858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4,731,450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4,731,450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周夏真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肖家铨</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2,497,388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2,497,388</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科威特政府投资局</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1,885,000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 国家安全主题混合型证券投资基金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1,769,420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1,769,420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中国农业银行－新华行业轮换灵活 配置混合型证券投资基金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1,602,719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1,602,719</w:t>
            </w: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上述股东之间，未知是否存在关联关系或属于《上市公司股东持股变动信息披露管理</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687"/>
      </w:tblGrid>
      <w:tr>
        <w:trPr>
          <w:trHeight w:val="98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办法》规定的一致行动人。</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公司股东周夏真通过普通证券帐户持有 </w:t>
            </w:r>
            <w:r>
              <w:rPr>
                <w:rFonts w:ascii="Times New Roman" w:hAnsi="Times New Roman" w:cs="Times New Roman" w:eastAsia="Times New Roman" w:hint="default"/>
                <w:sz w:val="18"/>
                <w:szCs w:val="18"/>
              </w:rPr>
              <w:t>0  </w:t>
            </w:r>
            <w:r>
              <w:rPr>
                <w:rFonts w:ascii="宋体" w:hAnsi="宋体" w:cs="宋体" w:eastAsia="宋体" w:hint="default"/>
                <w:sz w:val="18"/>
                <w:szCs w:val="18"/>
              </w:rPr>
              <w:t>股，通过方正证券股份有限公司客户信用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交易担保证券账户持有 </w:t>
            </w:r>
            <w:r>
              <w:rPr>
                <w:rFonts w:ascii="Times New Roman" w:hAnsi="Times New Roman" w:cs="Times New Roman" w:eastAsia="Times New Roman" w:hint="default"/>
                <w:sz w:val="18"/>
                <w:szCs w:val="18"/>
              </w:rPr>
              <w:t>3,250,000  </w:t>
            </w:r>
            <w:r>
              <w:rPr>
                <w:rFonts w:ascii="宋体" w:hAnsi="宋体" w:cs="宋体" w:eastAsia="宋体" w:hint="default"/>
                <w:sz w:val="18"/>
                <w:szCs w:val="18"/>
              </w:rPr>
              <w:t>股，合并持有 </w:t>
            </w:r>
            <w:r>
              <w:rPr>
                <w:rFonts w:ascii="Times New Roman" w:hAnsi="Times New Roman" w:cs="Times New Roman" w:eastAsia="Times New Roman" w:hint="default"/>
                <w:sz w:val="18"/>
                <w:szCs w:val="18"/>
              </w:rPr>
              <w:t>3,250,000</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60"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2" w:right="15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7"/>
        <w:gridCol w:w="2122"/>
        <w:gridCol w:w="4121"/>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2" w:right="15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4065" w:lineRule="exact"/>
        <w:ind w:left="135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202" cy="25812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90202"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2"/>
        <w:rPr>
          <w:rFonts w:ascii="宋体" w:hAnsi="宋体" w:cs="宋体" w:eastAsia="宋体" w:hint="default"/>
          <w:sz w:val="22"/>
          <w:szCs w:val="22"/>
        </w:rPr>
      </w:pPr>
    </w:p>
    <w:p>
      <w:pPr>
        <w:pStyle w:val="BodyText"/>
        <w:spacing w:line="240" w:lineRule="auto" w:before="26"/>
        <w:ind w:right="153"/>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62,025,40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62,025,40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120,300,8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1,009,900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2,019,800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4,701,416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4,526,062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9,052,124</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1,784,200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185,625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236,250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刘先林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邬伦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幸帮艳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3,601,778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3,531,778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7,063,556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3,593,773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3,593,773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7,187,546</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冯立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樊西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86,724,67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4,454,129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86,288,54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168,559,0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36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樊西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96"/>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40" w:lineRule="auto" w:before="148"/>
        <w:ind w:left="633" w:right="96"/>
        <w:jc w:val="left"/>
      </w:pPr>
      <w:r>
        <w:rPr>
          <w:rFonts w:ascii="宋体" w:hAnsi="宋体" w:cs="宋体" w:eastAsia="宋体" w:hint="default"/>
        </w:rPr>
        <w:t>1</w:t>
      </w:r>
      <w:r>
        <w:rPr/>
        <w:t>、公司现任董事</w:t>
      </w:r>
    </w:p>
    <w:p>
      <w:pPr>
        <w:pStyle w:val="BodyText"/>
        <w:spacing w:line="357" w:lineRule="auto" w:before="154"/>
        <w:ind w:right="233" w:firstLine="480"/>
        <w:jc w:val="both"/>
      </w:pPr>
      <w:r>
        <w:rPr/>
        <w:t>吴强华先生，男，</w:t>
      </w:r>
      <w:r>
        <w:rPr>
          <w:rFonts w:ascii="宋体" w:hAnsi="宋体" w:cs="宋体" w:eastAsia="宋体" w:hint="default"/>
        </w:rPr>
        <w:t>46 </w:t>
      </w:r>
      <w:r>
        <w:rPr/>
        <w:t>岁，中国国籍，无境外居留权。</w:t>
      </w:r>
      <w:r>
        <w:rPr>
          <w:rFonts w:ascii="宋体" w:hAnsi="宋体" w:cs="宋体" w:eastAsia="宋体" w:hint="default"/>
        </w:rPr>
        <w:t>1994</w:t>
      </w:r>
      <w:r>
        <w:rPr>
          <w:rFonts w:ascii="宋体" w:hAnsi="宋体" w:cs="宋体" w:eastAsia="宋体" w:hint="default"/>
          <w:spacing w:val="32"/>
        </w:rPr>
        <w:t> </w:t>
      </w:r>
      <w:r>
        <w:rPr/>
        <w:t>年毕业于北京林业大学，研 究生学历，地理信息和测绘专业教授级高级工程师。</w:t>
      </w:r>
      <w:r>
        <w:rPr>
          <w:rFonts w:ascii="宋体" w:hAnsi="宋体" w:cs="宋体" w:eastAsia="宋体" w:hint="default"/>
        </w:rPr>
        <w:t>1994 </w:t>
      </w:r>
      <w:r>
        <w:rPr/>
        <w:t>年至</w:t>
      </w:r>
      <w:r>
        <w:rPr>
          <w:rFonts w:ascii="宋体" w:hAnsi="宋体" w:cs="宋体" w:eastAsia="宋体" w:hint="default"/>
        </w:rPr>
        <w:t>2002</w:t>
      </w:r>
      <w:r>
        <w:rPr>
          <w:rFonts w:ascii="宋体" w:hAnsi="宋体" w:cs="宋体" w:eastAsia="宋体" w:hint="default"/>
          <w:spacing w:val="29"/>
        </w:rPr>
        <w:t> </w:t>
      </w:r>
      <w:r>
        <w:rPr/>
        <w:t>年担任北京建设电子信 息工程公司研发工程师、技术部经理，</w:t>
      </w:r>
      <w:r>
        <w:rPr>
          <w:rFonts w:ascii="宋体" w:hAnsi="宋体" w:cs="宋体" w:eastAsia="宋体" w:hint="default"/>
        </w:rPr>
        <w:t>2003</w:t>
      </w:r>
      <w:r>
        <w:rPr>
          <w:rFonts w:ascii="宋体" w:hAnsi="宋体" w:cs="宋体" w:eastAsia="宋体" w:hint="default"/>
          <w:spacing w:val="-20"/>
        </w:rPr>
        <w:t> </w:t>
      </w:r>
      <w:r>
        <w:rPr>
          <w:spacing w:val="-3"/>
        </w:rPr>
        <w:t>年加入数字政通，历任董事长、总裁，现任本公</w:t>
      </w:r>
      <w:r>
        <w:rPr/>
        <w:t> 司董事长。</w:t>
      </w:r>
    </w:p>
    <w:p>
      <w:pPr>
        <w:pStyle w:val="BodyText"/>
        <w:spacing w:line="357" w:lineRule="auto"/>
        <w:ind w:right="99" w:firstLine="480"/>
        <w:jc w:val="left"/>
      </w:pPr>
      <w:r>
        <w:rPr/>
        <w:t>许欣，男，</w:t>
      </w:r>
      <w:r>
        <w:rPr>
          <w:rFonts w:ascii="宋体" w:hAnsi="宋体" w:cs="宋体" w:eastAsia="宋体" w:hint="default"/>
        </w:rPr>
        <w:t>49 </w:t>
      </w:r>
      <w:r>
        <w:rPr/>
        <w:t>岁，中国国籍，无境外居留权，</w:t>
      </w:r>
      <w:r>
        <w:rPr>
          <w:rFonts w:ascii="宋体" w:hAnsi="宋体" w:cs="宋体" w:eastAsia="宋体" w:hint="default"/>
        </w:rPr>
        <w:t>1989</w:t>
      </w:r>
      <w:r>
        <w:rPr>
          <w:rFonts w:ascii="宋体" w:hAnsi="宋体" w:cs="宋体" w:eastAsia="宋体" w:hint="default"/>
          <w:spacing w:val="22"/>
        </w:rPr>
        <w:t> </w:t>
      </w:r>
      <w:r>
        <w:rPr/>
        <w:t>年毕业于北京工业大学，大学本科 学历。</w:t>
      </w:r>
      <w:r>
        <w:rPr>
          <w:rFonts w:ascii="宋体" w:hAnsi="宋体" w:cs="宋体" w:eastAsia="宋体" w:hint="default"/>
        </w:rPr>
        <w:t>1989</w:t>
      </w:r>
      <w:r>
        <w:rPr>
          <w:rFonts w:ascii="宋体" w:hAnsi="宋体" w:cs="宋体" w:eastAsia="宋体" w:hint="default"/>
          <w:spacing w:val="6"/>
        </w:rPr>
        <w:t> </w:t>
      </w:r>
      <w:r>
        <w:rPr/>
        <w:t>年至</w:t>
      </w:r>
      <w:r>
        <w:rPr>
          <w:rFonts w:ascii="宋体" w:hAnsi="宋体" w:cs="宋体" w:eastAsia="宋体" w:hint="default"/>
        </w:rPr>
        <w:t>1993</w:t>
      </w:r>
      <w:r>
        <w:rPr>
          <w:rFonts w:ascii="宋体" w:hAnsi="宋体" w:cs="宋体" w:eastAsia="宋体" w:hint="default"/>
          <w:spacing w:val="6"/>
        </w:rPr>
        <w:t> </w:t>
      </w:r>
      <w:r>
        <w:rPr/>
        <w:t>年担任建设部信息中心工程师；</w:t>
      </w:r>
      <w:r>
        <w:rPr>
          <w:rFonts w:ascii="宋体" w:hAnsi="宋体" w:cs="宋体" w:eastAsia="宋体" w:hint="default"/>
        </w:rPr>
        <w:t>1993</w:t>
      </w:r>
      <w:r>
        <w:rPr>
          <w:rFonts w:ascii="宋体" w:hAnsi="宋体" w:cs="宋体" w:eastAsia="宋体" w:hint="default"/>
          <w:spacing w:val="6"/>
        </w:rPr>
        <w:t> </w:t>
      </w:r>
      <w:r>
        <w:rPr/>
        <w:t>年至</w:t>
      </w:r>
      <w:r>
        <w:rPr>
          <w:rFonts w:ascii="宋体" w:hAnsi="宋体" w:cs="宋体" w:eastAsia="宋体" w:hint="default"/>
        </w:rPr>
        <w:t>2002</w:t>
      </w:r>
      <w:r>
        <w:rPr>
          <w:rFonts w:ascii="宋体" w:hAnsi="宋体" w:cs="宋体" w:eastAsia="宋体" w:hint="default"/>
          <w:spacing w:val="4"/>
        </w:rPr>
        <w:t> </w:t>
      </w:r>
      <w:r>
        <w:rPr/>
        <w:t>年担任北京建设电子</w:t>
      </w:r>
      <w:r>
        <w:rPr>
          <w:spacing w:val="-115"/>
        </w:rPr>
        <w:t> </w:t>
      </w:r>
      <w:r>
        <w:rPr>
          <w:spacing w:val="-115"/>
        </w:rPr>
      </w:r>
      <w:r>
        <w:rPr>
          <w:spacing w:val="-3"/>
        </w:rPr>
        <w:t>信息工程公司市场部经理和规管事业部副经理；</w:t>
      </w:r>
      <w:r>
        <w:rPr>
          <w:rFonts w:ascii="宋体" w:hAnsi="宋体" w:cs="宋体" w:eastAsia="宋体" w:hint="default"/>
          <w:spacing w:val="-3"/>
        </w:rPr>
        <w:t>2003</w:t>
      </w:r>
      <w:r>
        <w:rPr>
          <w:rFonts w:ascii="宋体" w:hAnsi="宋体" w:cs="宋体" w:eastAsia="宋体" w:hint="default"/>
          <w:spacing w:val="14"/>
        </w:rPr>
        <w:t> </w:t>
      </w:r>
      <w:r>
        <w:rPr>
          <w:spacing w:val="-8"/>
        </w:rPr>
        <w:t>年加入有限公司，历任副董事长、总裁，</w:t>
      </w:r>
      <w:r>
        <w:rPr/>
        <w:t> 现任本公司副董事长。</w:t>
      </w:r>
    </w:p>
    <w:p>
      <w:pPr>
        <w:pStyle w:val="BodyText"/>
        <w:spacing w:line="357" w:lineRule="auto"/>
        <w:ind w:right="230" w:firstLine="480"/>
        <w:jc w:val="both"/>
      </w:pPr>
      <w:r>
        <w:rPr/>
        <w:t>胡环宇，男，</w:t>
      </w:r>
      <w:r>
        <w:rPr>
          <w:rFonts w:ascii="宋体" w:hAnsi="宋体" w:cs="宋体" w:eastAsia="宋体" w:hint="default"/>
        </w:rPr>
        <w:t>37 </w:t>
      </w:r>
      <w:r>
        <w:rPr/>
        <w:t>岁，中国国籍，无境外居留权，</w:t>
      </w:r>
      <w:r>
        <w:rPr>
          <w:rFonts w:ascii="宋体" w:hAnsi="宋体" w:cs="宋体" w:eastAsia="宋体" w:hint="default"/>
        </w:rPr>
        <w:t>2004</w:t>
      </w:r>
      <w:r>
        <w:rPr>
          <w:rFonts w:ascii="宋体" w:hAnsi="宋体" w:cs="宋体" w:eastAsia="宋体" w:hint="default"/>
          <w:spacing w:val="32"/>
        </w:rPr>
        <w:t> </w:t>
      </w:r>
      <w:r>
        <w:rPr/>
        <w:t>年毕业于北京科技大学，研究生 </w:t>
      </w:r>
      <w:r>
        <w:rPr>
          <w:spacing w:val="-4"/>
        </w:rPr>
        <w:t>学历。</w:t>
      </w:r>
      <w:r>
        <w:rPr>
          <w:rFonts w:ascii="宋体" w:hAnsi="宋体" w:cs="宋体" w:eastAsia="宋体" w:hint="default"/>
          <w:spacing w:val="-4"/>
        </w:rPr>
        <w:t>2004</w:t>
      </w:r>
      <w:r>
        <w:rPr>
          <w:rFonts w:ascii="宋体" w:hAnsi="宋体" w:cs="宋体" w:eastAsia="宋体" w:hint="default"/>
          <w:spacing w:val="-50"/>
        </w:rPr>
        <w:t> </w:t>
      </w:r>
      <w:r>
        <w:rPr/>
        <w:t>年加入有限公司，历任数字城管事业部工程部项目经理、数字城管事业部工程部 经理、数字城管事业部副总经理、数字城管事业部总经理。现任公司董事、总裁。</w:t>
      </w:r>
    </w:p>
    <w:p>
      <w:pPr>
        <w:pStyle w:val="BodyText"/>
        <w:spacing w:line="357" w:lineRule="auto"/>
        <w:ind w:right="98" w:firstLine="480"/>
        <w:jc w:val="left"/>
      </w:pPr>
      <w:r>
        <w:rPr/>
        <w:t>朱华，男，</w:t>
      </w:r>
      <w:r>
        <w:rPr>
          <w:rFonts w:ascii="宋体" w:hAnsi="宋体" w:cs="宋体" w:eastAsia="宋体" w:hint="default"/>
        </w:rPr>
        <w:t>41 </w:t>
      </w:r>
      <w:r>
        <w:rPr/>
        <w:t>岁，中国国籍，无境外居留权，</w:t>
      </w:r>
      <w:r>
        <w:rPr>
          <w:rFonts w:ascii="宋体" w:hAnsi="宋体" w:cs="宋体" w:eastAsia="宋体" w:hint="default"/>
        </w:rPr>
        <w:t>2000</w:t>
      </w:r>
      <w:r>
        <w:rPr>
          <w:rFonts w:ascii="宋体" w:hAnsi="宋体" w:cs="宋体" w:eastAsia="宋体" w:hint="default"/>
          <w:spacing w:val="22"/>
        </w:rPr>
        <w:t> </w:t>
      </w:r>
      <w:r>
        <w:rPr/>
        <w:t>年毕业于北京理工大学，研究生学 </w:t>
      </w:r>
      <w:r>
        <w:rPr>
          <w:spacing w:val="-17"/>
        </w:rPr>
        <w:t>历。</w:t>
      </w:r>
      <w:r>
        <w:rPr>
          <w:rFonts w:ascii="宋体" w:hAnsi="宋体" w:cs="宋体" w:eastAsia="宋体" w:hint="default"/>
          <w:spacing w:val="-17"/>
        </w:rPr>
        <w:t>2000</w:t>
      </w:r>
      <w:r>
        <w:rPr>
          <w:rFonts w:ascii="宋体" w:hAnsi="宋体" w:cs="宋体" w:eastAsia="宋体" w:hint="default"/>
        </w:rPr>
        <w:t> </w:t>
      </w:r>
      <w:r>
        <w:rPr/>
        <w:t>年至</w:t>
      </w:r>
      <w:r>
        <w:rPr>
          <w:rFonts w:ascii="宋体" w:hAnsi="宋体" w:cs="宋体" w:eastAsia="宋体" w:hint="default"/>
        </w:rPr>
        <w:t>2002 </w:t>
      </w:r>
      <w:r>
        <w:rPr>
          <w:spacing w:val="-4"/>
        </w:rPr>
        <w:t>年担任北京建设数字科技有限责任公司项目经理；</w:t>
      </w:r>
      <w:r>
        <w:rPr>
          <w:rFonts w:ascii="宋体" w:hAnsi="宋体" w:cs="宋体" w:eastAsia="宋体" w:hint="default"/>
          <w:spacing w:val="-4"/>
        </w:rPr>
        <w:t>2002</w:t>
      </w:r>
      <w:r>
        <w:rPr>
          <w:rFonts w:ascii="宋体" w:hAnsi="宋体" w:cs="宋体" w:eastAsia="宋体" w:hint="default"/>
          <w:spacing w:val="2"/>
        </w:rPr>
        <w:t> </w:t>
      </w:r>
      <w:r>
        <w:rPr/>
        <w:t>年加入有限公司， 历任工程部经理、规划和国土事业部副总经理、规划和国土事业部总经理。现任公司董事、</w:t>
      </w:r>
      <w:r>
        <w:rPr>
          <w:spacing w:val="-91"/>
        </w:rPr>
        <w:t> </w:t>
      </w:r>
      <w:r>
        <w:rPr>
          <w:spacing w:val="-91"/>
        </w:rPr>
      </w:r>
      <w:r>
        <w:rPr/>
        <w:t>副总裁。</w:t>
      </w:r>
    </w:p>
    <w:p>
      <w:pPr>
        <w:pStyle w:val="BodyText"/>
        <w:spacing w:line="357" w:lineRule="auto"/>
        <w:ind w:right="112" w:firstLine="480"/>
        <w:jc w:val="both"/>
      </w:pPr>
      <w:r>
        <w:rPr>
          <w:spacing w:val="-4"/>
        </w:rPr>
        <w:t>王洪深，男，</w:t>
      </w:r>
      <w:r>
        <w:rPr>
          <w:rFonts w:ascii="宋体" w:hAnsi="宋体" w:cs="宋体" w:eastAsia="宋体" w:hint="default"/>
          <w:spacing w:val="-4"/>
        </w:rPr>
        <w:t>39 </w:t>
      </w:r>
      <w:r>
        <w:rPr>
          <w:spacing w:val="-3"/>
        </w:rPr>
        <w:t>岁，中国国籍，无境外居留权，</w:t>
      </w:r>
      <w:r>
        <w:rPr>
          <w:rFonts w:ascii="宋体" w:hAnsi="宋体" w:cs="宋体" w:eastAsia="宋体" w:hint="default"/>
          <w:spacing w:val="-3"/>
        </w:rPr>
        <w:t>2002</w:t>
      </w:r>
      <w:r>
        <w:rPr>
          <w:rFonts w:ascii="宋体" w:hAnsi="宋体" w:cs="宋体" w:eastAsia="宋体" w:hint="default"/>
          <w:spacing w:val="4"/>
        </w:rPr>
        <w:t> </w:t>
      </w:r>
      <w:r>
        <w:rPr/>
        <w:t>年毕业于清华大学，研究生学历。 </w:t>
      </w:r>
      <w:r>
        <w:rPr>
          <w:rFonts w:ascii="宋体" w:hAnsi="宋体" w:cs="宋体" w:eastAsia="宋体" w:hint="default"/>
        </w:rPr>
        <w:t>2002</w:t>
      </w:r>
      <w:r>
        <w:rPr>
          <w:rFonts w:ascii="宋体" w:hAnsi="宋体" w:cs="宋体" w:eastAsia="宋体" w:hint="default"/>
          <w:spacing w:val="27"/>
        </w:rPr>
        <w:t> </w:t>
      </w:r>
      <w:r>
        <w:rPr>
          <w:spacing w:val="-6"/>
        </w:rPr>
        <w:t>年加入有限公司，历任研发组组长、研发部经理、数字城管事业部副总经理、技术总监。</w:t>
      </w:r>
      <w:r>
        <w:rPr>
          <w:spacing w:val="-118"/>
        </w:rPr>
        <w:t> </w:t>
      </w:r>
      <w:r>
        <w:rPr>
          <w:spacing w:val="-118"/>
        </w:rPr>
      </w:r>
      <w:r>
        <w:rPr/>
        <w:t>现任公司董事、副总裁、技术总监。</w:t>
      </w:r>
    </w:p>
    <w:p>
      <w:pPr>
        <w:pStyle w:val="BodyText"/>
        <w:spacing w:line="357" w:lineRule="auto"/>
        <w:ind w:right="149" w:firstLine="480"/>
        <w:jc w:val="both"/>
      </w:pPr>
      <w:r>
        <w:rPr/>
        <w:t>王东，男，</w:t>
      </w:r>
      <w:r>
        <w:rPr>
          <w:rFonts w:ascii="宋体" w:hAnsi="宋体" w:cs="宋体" w:eastAsia="宋体" w:hint="default"/>
        </w:rPr>
        <w:t>46 </w:t>
      </w:r>
      <w:r>
        <w:rPr/>
        <w:t>岁，中国国籍，无境外居留权，研究生学历。</w:t>
      </w:r>
      <w:r>
        <w:rPr>
          <w:rFonts w:ascii="宋体" w:hAnsi="宋体" w:cs="宋体" w:eastAsia="宋体" w:hint="default"/>
        </w:rPr>
        <w:t>2010 </w:t>
      </w:r>
      <w:r>
        <w:rPr/>
        <w:t>年</w:t>
      </w:r>
      <w:r>
        <w:rPr>
          <w:rFonts w:ascii="宋体" w:hAnsi="宋体" w:cs="宋体" w:eastAsia="宋体" w:hint="default"/>
        </w:rPr>
        <w:t>11 </w:t>
      </w:r>
      <w:r>
        <w:rPr/>
        <w:t>月加入本公司， 历任公司副总裁。现任公司董事、副总裁。</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28" w:firstLine="480"/>
        <w:jc w:val="both"/>
      </w:pPr>
      <w:r>
        <w:rPr/>
        <w:t>刘先林，男，</w:t>
      </w:r>
      <w:r>
        <w:rPr>
          <w:rFonts w:ascii="宋体" w:hAnsi="宋体" w:cs="宋体" w:eastAsia="宋体" w:hint="default"/>
        </w:rPr>
        <w:t>1939</w:t>
      </w:r>
      <w:r>
        <w:rPr/>
        <w:t>年出生，中国国籍，无境外居留权，</w:t>
      </w:r>
      <w:r>
        <w:rPr>
          <w:rFonts w:ascii="宋体" w:hAnsi="宋体" w:cs="宋体" w:eastAsia="宋体" w:hint="default"/>
        </w:rPr>
        <w:t>1962</w:t>
      </w:r>
      <w:r>
        <w:rPr/>
        <w:t>年毕业于武汉测绘学院（现 </w:t>
      </w:r>
      <w:r>
        <w:rPr>
          <w:spacing w:val="-5"/>
        </w:rPr>
        <w:t>武汉大学测绘学院），本科学历，摄影测量与遥感测绘专家，中国工程院院士。</w:t>
      </w:r>
      <w:r>
        <w:rPr>
          <w:rFonts w:ascii="宋体" w:hAnsi="宋体" w:cs="宋体" w:eastAsia="宋体" w:hint="default"/>
          <w:spacing w:val="-5"/>
        </w:rPr>
        <w:t>1992</w:t>
      </w:r>
      <w:r>
        <w:rPr>
          <w:spacing w:val="-5"/>
        </w:rPr>
        <w:t>年至</w:t>
      </w:r>
      <w:r>
        <w:rPr>
          <w:rFonts w:ascii="宋体" w:hAnsi="宋体" w:cs="宋体" w:eastAsia="宋体" w:hint="default"/>
          <w:spacing w:val="-5"/>
        </w:rPr>
        <w:t>1994</w:t>
      </w:r>
      <w:r>
        <w:rPr>
          <w:rFonts w:ascii="宋体" w:hAnsi="宋体" w:cs="宋体" w:eastAsia="宋体" w:hint="default"/>
          <w:spacing w:val="-98"/>
        </w:rPr>
        <w:t> </w:t>
      </w:r>
      <w:r>
        <w:rPr/>
        <w:t>年，担任中国测绘科学研究院研究员，</w:t>
      </w:r>
      <w:r>
        <w:rPr>
          <w:spacing w:val="-75"/>
        </w:rPr>
        <w:t> </w:t>
      </w:r>
      <w:r>
        <w:rPr>
          <w:rFonts w:ascii="宋体" w:hAnsi="宋体" w:cs="宋体" w:eastAsia="宋体" w:hint="default"/>
        </w:rPr>
        <w:t>1995</w:t>
      </w:r>
      <w:r>
        <w:rPr/>
        <w:t>年至</w:t>
      </w:r>
      <w:r>
        <w:rPr>
          <w:rFonts w:ascii="宋体" w:hAnsi="宋体" w:cs="宋体" w:eastAsia="宋体" w:hint="default"/>
        </w:rPr>
        <w:t>1996</w:t>
      </w:r>
      <w:r>
        <w:rPr/>
        <w:t>年担任中国测绘科学研究院院长，</w:t>
      </w:r>
      <w:r>
        <w:rPr>
          <w:rFonts w:ascii="宋体" w:hAnsi="宋体" w:cs="宋体" w:eastAsia="宋体" w:hint="default"/>
        </w:rPr>
        <w:t>1996 </w:t>
      </w:r>
      <w:r>
        <w:rPr/>
        <w:t>年</w:t>
      </w:r>
      <w:r>
        <w:rPr>
          <w:rFonts w:ascii="宋体" w:hAnsi="宋体" w:cs="宋体" w:eastAsia="宋体" w:hint="default"/>
        </w:rPr>
        <w:t>12</w:t>
      </w:r>
      <w:r>
        <w:rPr/>
        <w:t>月至今担任中国测绘科学研究院名誉院长。</w:t>
      </w:r>
    </w:p>
    <w:p>
      <w:pPr>
        <w:pStyle w:val="BodyText"/>
        <w:spacing w:line="357" w:lineRule="auto"/>
        <w:ind w:right="235" w:firstLine="480"/>
        <w:jc w:val="both"/>
      </w:pPr>
      <w:r>
        <w:rPr/>
        <w:t>邬伦，男，</w:t>
      </w:r>
      <w:r>
        <w:rPr>
          <w:rFonts w:ascii="宋体" w:hAnsi="宋体" w:cs="宋体" w:eastAsia="宋体" w:hint="default"/>
        </w:rPr>
        <w:t>1964</w:t>
      </w:r>
      <w:r>
        <w:rPr/>
        <w:t>年出生，中国国籍，无境外居留权，</w:t>
      </w:r>
      <w:r>
        <w:rPr>
          <w:rFonts w:ascii="宋体" w:hAnsi="宋体" w:cs="宋体" w:eastAsia="宋体" w:hint="default"/>
        </w:rPr>
        <w:t>1990</w:t>
      </w:r>
      <w:r>
        <w:rPr/>
        <w:t>年毕业于北京大学，博士研究 生学历，教授、博士生导师。</w:t>
      </w:r>
      <w:r>
        <w:rPr>
          <w:rFonts w:ascii="宋体" w:hAnsi="宋体" w:cs="宋体" w:eastAsia="宋体" w:hint="default"/>
        </w:rPr>
        <w:t>1991</w:t>
      </w:r>
      <w:r>
        <w:rPr/>
        <w:t>年至</w:t>
      </w:r>
      <w:r>
        <w:rPr>
          <w:rFonts w:ascii="宋体" w:hAnsi="宋体" w:cs="宋体" w:eastAsia="宋体" w:hint="default"/>
        </w:rPr>
        <w:t>1992</w:t>
      </w:r>
      <w:r>
        <w:rPr/>
        <w:t>年北京大学数学系应用数学与信息科学专业博士</w:t>
      </w:r>
      <w:r>
        <w:rPr>
          <w:spacing w:val="-90"/>
        </w:rPr>
        <w:t> </w:t>
      </w:r>
      <w:r>
        <w:rPr>
          <w:spacing w:val="-90"/>
        </w:rPr>
      </w:r>
      <w:r>
        <w:rPr/>
        <w:t>后、讲师，</w:t>
      </w:r>
      <w:r>
        <w:rPr>
          <w:rFonts w:ascii="宋体" w:hAnsi="宋体" w:cs="宋体" w:eastAsia="宋体" w:hint="default"/>
        </w:rPr>
        <w:t>1992</w:t>
      </w:r>
      <w:r>
        <w:rPr/>
        <w:t>年任北京大学城市与环境学系地理信息系统教研室主任、副教授，</w:t>
      </w:r>
      <w:r>
        <w:rPr>
          <w:rFonts w:ascii="宋体" w:hAnsi="宋体" w:cs="宋体" w:eastAsia="宋体" w:hint="default"/>
        </w:rPr>
        <w:t>1997</w:t>
      </w:r>
      <w:r>
        <w:rPr/>
        <w:t>年升</w:t>
      </w:r>
      <w:r>
        <w:rPr>
          <w:spacing w:val="-89"/>
        </w:rPr>
        <w:t> </w:t>
      </w:r>
      <w:r>
        <w:rPr/>
        <w:t>任教授、博士生导师。</w:t>
      </w:r>
      <w:r>
        <w:rPr>
          <w:rFonts w:ascii="宋体" w:hAnsi="宋体" w:cs="宋体" w:eastAsia="宋体" w:hint="default"/>
        </w:rPr>
        <w:t>2001</w:t>
      </w:r>
      <w:r>
        <w:rPr/>
        <w:t>年起任北京大学遥感与地理信息系统研究所副所长，</w:t>
      </w:r>
      <w:r>
        <w:rPr>
          <w:rFonts w:ascii="宋体" w:hAnsi="宋体" w:cs="宋体" w:eastAsia="宋体" w:hint="default"/>
        </w:rPr>
        <w:t>2004</w:t>
      </w:r>
      <w:r>
        <w:rPr/>
        <w:t>年起兼</w:t>
      </w:r>
      <w:r>
        <w:rPr>
          <w:spacing w:val="-89"/>
        </w:rPr>
        <w:t> </w:t>
      </w:r>
      <w:r>
        <w:rPr/>
        <w:t>任北京大学数字中国研究院副院长。</w:t>
      </w:r>
    </w:p>
    <w:p>
      <w:pPr>
        <w:pStyle w:val="BodyText"/>
        <w:spacing w:line="357" w:lineRule="auto"/>
        <w:ind w:right="112" w:firstLine="480"/>
        <w:jc w:val="both"/>
      </w:pPr>
      <w:r>
        <w:rPr/>
        <w:t>叶金福，男，</w:t>
      </w:r>
      <w:r>
        <w:rPr>
          <w:rFonts w:ascii="宋体" w:hAnsi="宋体" w:cs="宋体" w:eastAsia="宋体" w:hint="default"/>
        </w:rPr>
        <w:t>1975</w:t>
      </w:r>
      <w:r>
        <w:rPr/>
        <w:t>年出生，中国国籍，无境外居留权，</w:t>
      </w:r>
      <w:r>
        <w:rPr>
          <w:rFonts w:ascii="宋体" w:hAnsi="宋体" w:cs="宋体" w:eastAsia="宋体" w:hint="default"/>
        </w:rPr>
        <w:t>1999</w:t>
      </w:r>
      <w:r>
        <w:rPr/>
        <w:t>年毕业于厦门大学，</w:t>
      </w:r>
      <w:r>
        <w:rPr>
          <w:rFonts w:ascii="宋体" w:hAnsi="宋体" w:cs="宋体" w:eastAsia="宋体" w:hint="default"/>
        </w:rPr>
        <w:t>2009</w:t>
      </w:r>
      <w:r>
        <w:rPr/>
        <w:t>年 毕业于中央财经大学，会计学硕士，中国注册会计师、中国注册资产评估师。</w:t>
      </w:r>
      <w:r>
        <w:rPr>
          <w:rFonts w:ascii="宋体" w:hAnsi="宋体" w:cs="宋体" w:eastAsia="宋体" w:hint="default"/>
        </w:rPr>
        <w:t>2001</w:t>
      </w:r>
      <w:r>
        <w:rPr/>
        <w:t>年至</w:t>
      </w:r>
      <w:r>
        <w:rPr>
          <w:rFonts w:ascii="宋体" w:hAnsi="宋体" w:cs="宋体" w:eastAsia="宋体" w:hint="default"/>
        </w:rPr>
        <w:t>2008</w:t>
      </w:r>
      <w:r>
        <w:rPr>
          <w:rFonts w:ascii="宋体" w:hAnsi="宋体" w:cs="宋体" w:eastAsia="宋体" w:hint="default"/>
          <w:spacing w:val="-88"/>
        </w:rPr>
        <w:t> </w:t>
      </w:r>
      <w:r>
        <w:rPr/>
        <w:t>年在天健光华会计师事务所任职，历任项目经理、经理、授薪合伙人；</w:t>
      </w:r>
      <w:r>
        <w:rPr>
          <w:rFonts w:ascii="宋体" w:hAnsi="宋体" w:cs="宋体" w:eastAsia="宋体" w:hint="default"/>
        </w:rPr>
        <w:t>2009</w:t>
      </w:r>
      <w:r>
        <w:rPr/>
        <w:t>年至</w:t>
      </w:r>
      <w:r>
        <w:rPr>
          <w:rFonts w:ascii="宋体" w:hAnsi="宋体" w:cs="宋体" w:eastAsia="宋体" w:hint="default"/>
        </w:rPr>
        <w:t>2011</w:t>
      </w:r>
      <w:r>
        <w:rPr/>
        <w:t>年在天</w:t>
      </w:r>
      <w:r>
        <w:rPr>
          <w:spacing w:val="-89"/>
        </w:rPr>
        <w:t> </w:t>
      </w:r>
      <w:r>
        <w:rPr>
          <w:spacing w:val="-2"/>
        </w:rPr>
        <w:t>健正信会计师事务所任职，担任合伙人；</w:t>
      </w:r>
      <w:r>
        <w:rPr>
          <w:rFonts w:ascii="宋体" w:hAnsi="宋体" w:cs="宋体" w:eastAsia="宋体" w:hint="default"/>
          <w:spacing w:val="-2"/>
        </w:rPr>
        <w:t>2012</w:t>
      </w:r>
      <w:r>
        <w:rPr>
          <w:spacing w:val="-2"/>
        </w:rPr>
        <w:t>年至今在大华会计师事务所任职，担任合伙人。</w:t>
      </w:r>
    </w:p>
    <w:p>
      <w:pPr>
        <w:pStyle w:val="BodyText"/>
        <w:spacing w:line="240" w:lineRule="auto"/>
        <w:ind w:left="633" w:right="96"/>
        <w:jc w:val="left"/>
      </w:pPr>
      <w:r>
        <w:rPr>
          <w:rFonts w:ascii="宋体" w:hAnsi="宋体" w:cs="宋体" w:eastAsia="宋体" w:hint="default"/>
        </w:rPr>
        <w:t>2</w:t>
      </w:r>
      <w:r>
        <w:rPr/>
        <w:t>、公司现任监事</w:t>
      </w:r>
    </w:p>
    <w:p>
      <w:pPr>
        <w:pStyle w:val="BodyText"/>
        <w:spacing w:line="357" w:lineRule="auto" w:before="154"/>
        <w:ind w:right="231" w:firstLine="480"/>
        <w:jc w:val="both"/>
      </w:pPr>
      <w:r>
        <w:rPr/>
        <w:t>邵建平，男，</w:t>
      </w:r>
      <w:r>
        <w:rPr>
          <w:rFonts w:ascii="宋体" w:hAnsi="宋体" w:cs="宋体" w:eastAsia="宋体" w:hint="default"/>
        </w:rPr>
        <w:t>62 </w:t>
      </w:r>
      <w:r>
        <w:rPr/>
        <w:t>岁，中国国籍，无境外居留权，</w:t>
      </w:r>
      <w:r>
        <w:rPr>
          <w:rFonts w:ascii="宋体" w:hAnsi="宋体" w:cs="宋体" w:eastAsia="宋体" w:hint="default"/>
        </w:rPr>
        <w:t>1977</w:t>
      </w:r>
      <w:r>
        <w:rPr>
          <w:rFonts w:ascii="宋体" w:hAnsi="宋体" w:cs="宋体" w:eastAsia="宋体" w:hint="default"/>
          <w:spacing w:val="32"/>
        </w:rPr>
        <w:t> </w:t>
      </w:r>
      <w:r>
        <w:rPr/>
        <w:t>年毕业于清华大学电子工程系计 算机专业，大学本科学历。</w:t>
      </w:r>
      <w:r>
        <w:rPr>
          <w:rFonts w:ascii="宋体" w:hAnsi="宋体" w:cs="宋体" w:eastAsia="宋体" w:hint="default"/>
        </w:rPr>
        <w:t>1977 </w:t>
      </w:r>
      <w:r>
        <w:rPr/>
        <w:t>年至</w:t>
      </w:r>
      <w:r>
        <w:rPr>
          <w:rFonts w:ascii="宋体" w:hAnsi="宋体" w:cs="宋体" w:eastAsia="宋体" w:hint="default"/>
        </w:rPr>
        <w:t>1985 </w:t>
      </w:r>
      <w:r>
        <w:rPr/>
        <w:t>年担任北京计算机三厂厂长助理职务； </w:t>
      </w:r>
      <w:r>
        <w:rPr>
          <w:rFonts w:ascii="宋体" w:hAnsi="宋体" w:cs="宋体" w:eastAsia="宋体" w:hint="default"/>
        </w:rPr>
        <w:t>1985</w:t>
      </w:r>
      <w:r>
        <w:rPr>
          <w:rFonts w:ascii="宋体" w:hAnsi="宋体" w:cs="宋体" w:eastAsia="宋体" w:hint="default"/>
          <w:spacing w:val="35"/>
        </w:rPr>
        <w:t> </w:t>
      </w:r>
      <w:r>
        <w:rPr/>
        <w:t>年 至</w:t>
      </w:r>
      <w:r>
        <w:rPr>
          <w:rFonts w:ascii="宋体" w:hAnsi="宋体" w:cs="宋体" w:eastAsia="宋体" w:hint="default"/>
        </w:rPr>
        <w:t>1988 </w:t>
      </w:r>
      <w:r>
        <w:rPr/>
        <w:t>年担任日本</w:t>
      </w:r>
      <w:r>
        <w:rPr>
          <w:rFonts w:ascii="宋体" w:hAnsi="宋体" w:cs="宋体" w:eastAsia="宋体" w:hint="default"/>
        </w:rPr>
        <w:t>DCL </w:t>
      </w:r>
      <w:r>
        <w:rPr>
          <w:spacing w:val="-5"/>
        </w:rPr>
        <w:t>株式会社软件开发研修生职务；</w:t>
      </w:r>
      <w:r>
        <w:rPr>
          <w:rFonts w:ascii="宋体" w:hAnsi="宋体" w:cs="宋体" w:eastAsia="宋体" w:hint="default"/>
          <w:spacing w:val="-5"/>
        </w:rPr>
        <w:t>1988 </w:t>
      </w:r>
      <w:r>
        <w:rPr/>
        <w:t>年至</w:t>
      </w:r>
      <w:r>
        <w:rPr>
          <w:rFonts w:ascii="宋体" w:hAnsi="宋体" w:cs="宋体" w:eastAsia="宋体" w:hint="default"/>
        </w:rPr>
        <w:t>1989</w:t>
      </w:r>
      <w:r>
        <w:rPr>
          <w:rFonts w:ascii="宋体" w:hAnsi="宋体" w:cs="宋体" w:eastAsia="宋体" w:hint="default"/>
          <w:spacing w:val="12"/>
        </w:rPr>
        <w:t> </w:t>
      </w:r>
      <w:r>
        <w:rPr/>
        <w:t>年担任北京计算机三 厂厂长助理职务；</w:t>
      </w:r>
      <w:r>
        <w:rPr>
          <w:rFonts w:ascii="宋体" w:hAnsi="宋体" w:cs="宋体" w:eastAsia="宋体" w:hint="default"/>
        </w:rPr>
        <w:t>1989 </w:t>
      </w:r>
      <w:r>
        <w:rPr/>
        <w:t>年至</w:t>
      </w:r>
      <w:r>
        <w:rPr>
          <w:rFonts w:ascii="宋体" w:hAnsi="宋体" w:cs="宋体" w:eastAsia="宋体" w:hint="default"/>
        </w:rPr>
        <w:t>1990 </w:t>
      </w:r>
      <w:r>
        <w:rPr/>
        <w:t>年任职于京电香港有限公司；</w:t>
      </w:r>
      <w:r>
        <w:rPr>
          <w:rFonts w:ascii="宋体" w:hAnsi="宋体" w:cs="宋体" w:eastAsia="宋体" w:hint="default"/>
        </w:rPr>
        <w:t>1990 </w:t>
      </w:r>
      <w:r>
        <w:rPr/>
        <w:t>年至</w:t>
      </w:r>
      <w:r>
        <w:rPr>
          <w:rFonts w:ascii="宋体" w:hAnsi="宋体" w:cs="宋体" w:eastAsia="宋体" w:hint="default"/>
        </w:rPr>
        <w:t>2001</w:t>
      </w:r>
      <w:r>
        <w:rPr>
          <w:rFonts w:ascii="宋体" w:hAnsi="宋体" w:cs="宋体" w:eastAsia="宋体" w:hint="default"/>
          <w:spacing w:val="31"/>
        </w:rPr>
        <w:t> </w:t>
      </w:r>
      <w:r>
        <w:rPr/>
        <w:t>年担任北京 计算机三厂厂长助理职务；</w:t>
      </w:r>
      <w:r>
        <w:rPr>
          <w:rFonts w:ascii="宋体" w:hAnsi="宋体" w:cs="宋体" w:eastAsia="宋体" w:hint="default"/>
        </w:rPr>
        <w:t>2001 </w:t>
      </w:r>
      <w:r>
        <w:rPr/>
        <w:t>年至</w:t>
      </w:r>
      <w:r>
        <w:rPr>
          <w:rFonts w:ascii="宋体" w:hAnsi="宋体" w:cs="宋体" w:eastAsia="宋体" w:hint="default"/>
        </w:rPr>
        <w:t>2006</w:t>
      </w:r>
      <w:r>
        <w:rPr>
          <w:rFonts w:ascii="宋体" w:hAnsi="宋体" w:cs="宋体" w:eastAsia="宋体" w:hint="default"/>
          <w:spacing w:val="27"/>
        </w:rPr>
        <w:t> </w:t>
      </w:r>
      <w:r>
        <w:rPr/>
        <w:t>年担任首都信息发展股份有限公司副总裁职务； </w:t>
      </w:r>
      <w:r>
        <w:rPr>
          <w:rFonts w:ascii="宋体" w:hAnsi="宋体" w:cs="宋体" w:eastAsia="宋体" w:hint="default"/>
        </w:rPr>
        <w:t>2006 </w:t>
      </w:r>
      <w:r>
        <w:rPr/>
        <w:t>年至今担任首都信息发展股份有限公司顾问职务。现任公司监事。</w:t>
      </w:r>
    </w:p>
    <w:p>
      <w:pPr>
        <w:pStyle w:val="BodyText"/>
        <w:spacing w:line="357" w:lineRule="auto"/>
        <w:ind w:right="233" w:firstLine="480"/>
        <w:jc w:val="both"/>
      </w:pPr>
      <w:r>
        <w:rPr/>
        <w:t>幸帮艳，女，</w:t>
      </w:r>
      <w:r>
        <w:rPr>
          <w:rFonts w:ascii="宋体" w:hAnsi="宋体" w:cs="宋体" w:eastAsia="宋体" w:hint="default"/>
        </w:rPr>
        <w:t>42 </w:t>
      </w:r>
      <w:r>
        <w:rPr/>
        <w:t>岁，中国国籍，无境外居留权，</w:t>
      </w:r>
      <w:r>
        <w:rPr>
          <w:rFonts w:ascii="宋体" w:hAnsi="宋体" w:cs="宋体" w:eastAsia="宋体" w:hint="default"/>
        </w:rPr>
        <w:t>2003</w:t>
      </w:r>
      <w:r>
        <w:rPr>
          <w:rFonts w:ascii="宋体" w:hAnsi="宋体" w:cs="宋体" w:eastAsia="宋体" w:hint="default"/>
          <w:spacing w:val="32"/>
        </w:rPr>
        <w:t> </w:t>
      </w:r>
      <w:r>
        <w:rPr/>
        <w:t>年至今在北京数字政通科技股份 有限公司任职财务工作。现任公司监事。</w:t>
      </w:r>
    </w:p>
    <w:p>
      <w:pPr>
        <w:pStyle w:val="BodyText"/>
        <w:spacing w:line="357" w:lineRule="auto"/>
        <w:ind w:right="231" w:firstLine="480"/>
        <w:jc w:val="both"/>
      </w:pPr>
      <w:r>
        <w:rPr>
          <w:spacing w:val="-5"/>
        </w:rPr>
        <w:t>许菲，男，</w:t>
      </w:r>
      <w:r>
        <w:rPr>
          <w:rFonts w:ascii="宋体" w:hAnsi="宋体" w:cs="宋体" w:eastAsia="宋体" w:hint="default"/>
          <w:spacing w:val="-5"/>
        </w:rPr>
        <w:t>29 </w:t>
      </w:r>
      <w:r>
        <w:rPr>
          <w:spacing w:val="-3"/>
        </w:rPr>
        <w:t>岁，中国国籍，无境外永久居留权，本科学历。</w:t>
      </w:r>
      <w:r>
        <w:rPr>
          <w:rFonts w:ascii="宋体" w:hAnsi="宋体" w:cs="宋体" w:eastAsia="宋体" w:hint="default"/>
          <w:spacing w:val="-3"/>
        </w:rPr>
        <w:t>2012</w:t>
      </w:r>
      <w:r>
        <w:rPr>
          <w:rFonts w:ascii="宋体" w:hAnsi="宋体" w:cs="宋体" w:eastAsia="宋体" w:hint="default"/>
          <w:spacing w:val="28"/>
        </w:rPr>
        <w:t> </w:t>
      </w:r>
      <w:r>
        <w:rPr/>
        <w:t>年</w:t>
      </w:r>
      <w:r>
        <w:rPr>
          <w:rFonts w:ascii="宋体" w:hAnsi="宋体" w:cs="宋体" w:eastAsia="宋体" w:hint="default"/>
        </w:rPr>
        <w:t>5</w:t>
      </w:r>
      <w:r>
        <w:rPr/>
        <w:t>月起就职于公司 证券事务部，担任证券事务代表。现任公司监事。</w:t>
      </w:r>
    </w:p>
    <w:p>
      <w:pPr>
        <w:pStyle w:val="BodyText"/>
        <w:spacing w:line="357" w:lineRule="auto"/>
        <w:ind w:left="633" w:right="4333"/>
        <w:jc w:val="left"/>
      </w:pPr>
      <w:r>
        <w:rPr>
          <w:rFonts w:ascii="宋体" w:hAnsi="宋体" w:cs="宋体" w:eastAsia="宋体" w:hint="default"/>
        </w:rPr>
        <w:t>3</w:t>
      </w:r>
      <w:r>
        <w:rPr/>
        <w:t>、公司现任高级管理人员 胡环宇，男，现任公司总裁，详见董事简历。 朱华，男，现任公司副总裁，详见董事简历。 王洪深，男，现任公司副总裁，详见董事简历。 王东，男，现任公司副总裁，详见董事简历。</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1" w:firstLine="480"/>
        <w:jc w:val="both"/>
      </w:pPr>
      <w:r>
        <w:rPr>
          <w:spacing w:val="-3"/>
        </w:rPr>
        <w:t>邱鲁闽，</w:t>
      </w:r>
      <w:r>
        <w:rPr>
          <w:rFonts w:ascii="宋体" w:hAnsi="宋体" w:cs="宋体" w:eastAsia="宋体" w:hint="default"/>
          <w:spacing w:val="-3"/>
        </w:rPr>
        <w:t>40 </w:t>
      </w:r>
      <w:r>
        <w:rPr>
          <w:spacing w:val="-3"/>
        </w:rPr>
        <w:t>岁，中国国籍，无境外居留权，</w:t>
      </w:r>
      <w:r>
        <w:rPr>
          <w:rFonts w:ascii="宋体" w:hAnsi="宋体" w:cs="宋体" w:eastAsia="宋体" w:hint="default"/>
          <w:spacing w:val="-3"/>
        </w:rPr>
        <w:t>2002 </w:t>
      </w:r>
      <w:r>
        <w:rPr/>
        <w:t>年毕业于清华大学，</w:t>
      </w:r>
      <w:r>
        <w:rPr>
          <w:spacing w:val="14"/>
        </w:rPr>
        <w:t> </w:t>
      </w:r>
      <w:r>
        <w:rPr>
          <w:spacing w:val="-3"/>
        </w:rPr>
        <w:t>研究生学历，曾</w:t>
      </w:r>
      <w:r>
        <w:rPr/>
        <w:t> 任北京华胜天成科技股份有限公司投资总监及董事会秘书，</w:t>
      </w:r>
      <w:r>
        <w:rPr>
          <w:rFonts w:ascii="宋体" w:hAnsi="宋体" w:cs="宋体" w:eastAsia="宋体" w:hint="default"/>
        </w:rPr>
        <w:t>2012 </w:t>
      </w:r>
      <w:r>
        <w:rPr/>
        <w:t>年</w:t>
      </w:r>
      <w:r>
        <w:rPr>
          <w:rFonts w:ascii="宋体" w:hAnsi="宋体" w:cs="宋体" w:eastAsia="宋体" w:hint="default"/>
        </w:rPr>
        <w:t>2</w:t>
      </w:r>
      <w:r>
        <w:rPr>
          <w:rFonts w:ascii="宋体" w:hAnsi="宋体" w:cs="宋体" w:eastAsia="宋体" w:hint="default"/>
          <w:spacing w:val="-30"/>
        </w:rPr>
        <w:t> </w:t>
      </w:r>
      <w:r>
        <w:rPr>
          <w:spacing w:val="-5"/>
        </w:rPr>
        <w:t>月加入本公司，现任公</w:t>
      </w:r>
      <w:r>
        <w:rPr/>
        <w:t> 司副总裁及董事会秘书。</w:t>
      </w:r>
    </w:p>
    <w:p>
      <w:pPr>
        <w:pStyle w:val="BodyText"/>
        <w:spacing w:line="357" w:lineRule="auto"/>
        <w:ind w:right="153" w:firstLine="480"/>
        <w:jc w:val="both"/>
      </w:pPr>
      <w:r>
        <w:rPr>
          <w:spacing w:val="-4"/>
        </w:rPr>
        <w:t>殷小敏，女，</w:t>
      </w:r>
      <w:r>
        <w:rPr>
          <w:rFonts w:ascii="宋体" w:hAnsi="宋体" w:cs="宋体" w:eastAsia="宋体" w:hint="default"/>
          <w:spacing w:val="-4"/>
        </w:rPr>
        <w:t>59 </w:t>
      </w:r>
      <w:r>
        <w:rPr>
          <w:spacing w:val="-3"/>
        </w:rPr>
        <w:t>岁，中国国籍，无境外居留权，</w:t>
      </w:r>
      <w:r>
        <w:rPr>
          <w:rFonts w:ascii="宋体" w:hAnsi="宋体" w:cs="宋体" w:eastAsia="宋体" w:hint="default"/>
          <w:spacing w:val="-3"/>
        </w:rPr>
        <w:t>1986 </w:t>
      </w:r>
      <w:r>
        <w:rPr/>
        <w:t>年毕业于北京广播电视大学，</w:t>
      </w:r>
      <w:r>
        <w:rPr>
          <w:spacing w:val="7"/>
        </w:rPr>
        <w:t> </w:t>
      </w:r>
      <w:r>
        <w:rPr/>
        <w:t>专</w:t>
      </w:r>
      <w:r>
        <w:rPr/>
        <w:t> </w:t>
      </w:r>
      <w:r>
        <w:rPr>
          <w:spacing w:val="-3"/>
        </w:rPr>
        <w:t>科学历。</w:t>
      </w:r>
      <w:r>
        <w:rPr>
          <w:rFonts w:ascii="宋体" w:hAnsi="宋体" w:cs="宋体" w:eastAsia="宋体" w:hint="default"/>
          <w:spacing w:val="-3"/>
        </w:rPr>
        <w:t>1981 </w:t>
      </w:r>
      <w:r>
        <w:rPr/>
        <w:t>年至</w:t>
      </w:r>
      <w:r>
        <w:rPr>
          <w:rFonts w:ascii="宋体" w:hAnsi="宋体" w:cs="宋体" w:eastAsia="宋体" w:hint="default"/>
        </w:rPr>
        <w:t>2006 </w:t>
      </w:r>
      <w:r>
        <w:rPr>
          <w:spacing w:val="-3"/>
        </w:rPr>
        <w:t>年担任北京友谊宾馆出纳、会计、总账主管、财务经理；</w:t>
      </w:r>
      <w:r>
        <w:rPr>
          <w:rFonts w:ascii="宋体" w:hAnsi="宋体" w:cs="宋体" w:eastAsia="宋体" w:hint="default"/>
          <w:spacing w:val="-3"/>
        </w:rPr>
        <w:t>2006</w:t>
      </w:r>
      <w:r>
        <w:rPr>
          <w:rFonts w:ascii="宋体" w:hAnsi="宋体" w:cs="宋体" w:eastAsia="宋体" w:hint="default"/>
          <w:spacing w:val="29"/>
        </w:rPr>
        <w:t> </w:t>
      </w:r>
      <w:r>
        <w:rPr/>
        <w:t>年至 </w:t>
      </w:r>
      <w:r>
        <w:rPr>
          <w:rFonts w:ascii="宋体" w:hAnsi="宋体" w:cs="宋体" w:eastAsia="宋体" w:hint="default"/>
        </w:rPr>
        <w:t>2007 </w:t>
      </w:r>
      <w:r>
        <w:rPr/>
        <w:t>年担任中国清洁发展机制基金管理中心财务主管；</w:t>
      </w:r>
      <w:r>
        <w:rPr>
          <w:rFonts w:ascii="宋体" w:hAnsi="宋体" w:cs="宋体" w:eastAsia="宋体" w:hint="default"/>
        </w:rPr>
        <w:t>2007</w:t>
      </w:r>
      <w:r>
        <w:rPr>
          <w:rFonts w:ascii="宋体" w:hAnsi="宋体" w:cs="宋体" w:eastAsia="宋体" w:hint="default"/>
          <w:spacing w:val="33"/>
        </w:rPr>
        <w:t> </w:t>
      </w:r>
      <w:r>
        <w:rPr/>
        <w:t>年加入有限公司，任财务负责 人。现任公司财务负责人。</w:t>
      </w:r>
    </w:p>
    <w:p>
      <w:pPr>
        <w:spacing w:before="47"/>
        <w:ind w:left="152" w:right="15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刘先林</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中国测绘科学研究院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院士</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邬伦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1"/>
        <w:gridCol w:w="5310"/>
      </w:tblGrid>
      <w:tr>
        <w:trPr>
          <w:trHeight w:val="1052"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68"/>
              <w:jc w:val="both"/>
              <w:rPr>
                <w:rFonts w:ascii="宋体" w:hAnsi="宋体" w:cs="宋体" w:eastAsia="宋体" w:hint="default"/>
                <w:sz w:val="18"/>
                <w:szCs w:val="18"/>
              </w:rPr>
            </w:pPr>
            <w:r>
              <w:rPr>
                <w:rFonts w:ascii="宋体" w:hAnsi="宋体" w:cs="宋体" w:eastAsia="宋体" w:hint="default"/>
                <w:sz w:val="18"/>
                <w:szCs w:val="18"/>
              </w:rPr>
              <w:t>公司董事报酬或津贴由股东大会决定，高级管理人员报酬由董事会 决定，独立董事津贴由股东大会决定，董事、监事、高级管理人员 薪酬由董事会薪酬与考核委员会组织并考核。</w:t>
            </w:r>
          </w:p>
        </w:tc>
      </w:tr>
      <w:tr>
        <w:trPr>
          <w:trHeight w:val="73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68"/>
              <w:jc w:val="left"/>
              <w:rPr>
                <w:rFonts w:ascii="宋体" w:hAnsi="宋体" w:cs="宋体" w:eastAsia="宋体" w:hint="default"/>
                <w:sz w:val="18"/>
                <w:szCs w:val="18"/>
              </w:rPr>
            </w:pPr>
            <w:r>
              <w:rPr>
                <w:rFonts w:ascii="宋体" w:hAnsi="宋体" w:cs="宋体" w:eastAsia="宋体" w:hint="default"/>
                <w:sz w:val="18"/>
                <w:szCs w:val="18"/>
              </w:rPr>
              <w:t>根据公司经营业绩，高级管理人员的报酬根据公司薪酬分配政策， 结合其经营绩效、工作能力、岗位职责等考核确定并发放。</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已按相关规定及时支付董事、监事和高级管理人员报酬。</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从公司获得的税</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是否在公司关联</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刘先林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邬伦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幸帮艳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樊西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369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193" w:space="372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31.35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31.35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6" w:firstLine="480"/>
        <w:jc w:val="both"/>
      </w:pPr>
      <w:r>
        <w:rPr/>
        <w:t>公司建立了促进公司成长与发展战略的薪酬体系和薪酬政策，规范薪酬管理，建立有公 司特色的价值分配机制和内在激励机制，实现公司的可持续性发展。员工薪酬分为基本薪酬</w:t>
      </w:r>
      <w:r>
        <w:rPr>
          <w:spacing w:val="-91"/>
        </w:rPr>
        <w:t> </w:t>
      </w:r>
      <w:r>
        <w:rPr>
          <w:spacing w:val="-91"/>
        </w:rPr>
      </w:r>
      <w:r>
        <w:rPr/>
        <w:t>及绩效奖金，基本薪酬是根据员工的岗位价值、学历、技能水平等因素确定，绩效奖金部分</w:t>
      </w:r>
      <w:r>
        <w:rPr>
          <w:spacing w:val="-89"/>
        </w:rPr>
        <w:t> </w:t>
      </w:r>
      <w:r>
        <w:rPr>
          <w:spacing w:val="-89"/>
        </w:rPr>
      </w:r>
      <w:r>
        <w:rPr/>
        <w:t>充分与公司的年度经营目标相结合，根据不同岗位制定不同的绩效考核管理方式，将公司效</w:t>
      </w:r>
      <w:r>
        <w:rPr>
          <w:spacing w:val="-91"/>
        </w:rPr>
        <w:t> </w:t>
      </w:r>
      <w:r>
        <w:rPr>
          <w:spacing w:val="-91"/>
        </w:rPr>
      </w:r>
      <w:r>
        <w:rPr/>
        <w:t>益与员工利息有效的紧密结合。</w:t>
      </w:r>
    </w:p>
    <w:p>
      <w:pPr>
        <w:spacing w:after="0" w:line="357"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6" w:firstLine="480"/>
        <w:jc w:val="left"/>
      </w:pPr>
      <w:r>
        <w:rPr/>
        <w:t>公司一直以来都非常重视管理人员及各级员工的培训，制定了员工培训管理制度，根据 不同岗位制定不同类型的培训计划。公司培训遵循系统性、主动性、多样化原则，主要分为</w:t>
      </w:r>
      <w:r>
        <w:rPr>
          <w:spacing w:val="-91"/>
        </w:rPr>
        <w:t> </w:t>
      </w:r>
      <w:r>
        <w:rPr>
          <w:spacing w:val="-91"/>
        </w:rPr>
      </w:r>
      <w:r>
        <w:rPr/>
        <w:t>新员工入职培训、内部在岗培训和员工外部培训三大模块，采取内部专业培训与外聘培训机</w:t>
      </w:r>
      <w:r>
        <w:rPr>
          <w:spacing w:val="-91"/>
        </w:rPr>
        <w:t> </w:t>
      </w:r>
      <w:r>
        <w:rPr>
          <w:spacing w:val="-91"/>
        </w:rPr>
      </w:r>
      <w:r>
        <w:rPr/>
        <w:t>构、讲师培训相结合、定期培训与临时性培训相结合的培训机制。公司每年定期制定年度培</w:t>
      </w:r>
      <w:r>
        <w:rPr>
          <w:spacing w:val="-91"/>
        </w:rPr>
        <w:t> </w:t>
      </w:r>
      <w:r>
        <w:rPr>
          <w:spacing w:val="-91"/>
        </w:rPr>
      </w:r>
      <w:r>
        <w:rPr/>
        <w:t>训计划，根据上年度绩效考核结果和实际工作需要，拟定年度培训计划和实施方案，据此开</w:t>
      </w:r>
      <w:r>
        <w:rPr>
          <w:spacing w:val="-90"/>
        </w:rPr>
        <w:t> </w:t>
      </w:r>
      <w:r>
        <w:rPr>
          <w:spacing w:val="-90"/>
        </w:rPr>
      </w:r>
      <w:r>
        <w:rPr/>
        <w:t>发课程，选定内部培训讲师，并在公司内部以讲座、技术分析研讨会、座谈会、各种学术活</w:t>
      </w:r>
      <w:r>
        <w:rPr>
          <w:spacing w:val="-91"/>
        </w:rPr>
        <w:t> </w:t>
      </w:r>
      <w:r>
        <w:rPr>
          <w:spacing w:val="-91"/>
        </w:rPr>
      </w:r>
      <w:r>
        <w:rPr/>
        <w:t>动等形式进行；除了内部培训，公司还采取不定期聘请外部技术讲师在公司内部授课，或者</w:t>
      </w:r>
      <w:r>
        <w:rPr>
          <w:spacing w:val="-91"/>
        </w:rPr>
        <w:t> </w:t>
      </w:r>
      <w:r>
        <w:rPr>
          <w:spacing w:val="-91"/>
        </w:rPr>
      </w:r>
      <w:r>
        <w:rPr>
          <w:spacing w:val="-2"/>
        </w:rPr>
        <w:t>让优秀员工参加外部公开课、交流研讨会或者外派进修等形式提升员工专业知识、技能技巧，</w:t>
      </w:r>
      <w:r>
        <w:rPr/>
        <w:t> 以增进各项工作完成质量，提高工作效率。</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05"/>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6"/>
        <w:jc w:val="left"/>
        <w:rPr>
          <w:b w:val="0"/>
          <w:bCs w:val="0"/>
        </w:rPr>
      </w:pPr>
      <w:r>
        <w:rPr/>
        <w:t>一、公司治理的基本状况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96" w:firstLine="480"/>
        <w:jc w:val="left"/>
      </w:pPr>
      <w:r>
        <w:rPr/>
        <w:t>报告期内，公司严格按照《公司法》、《证券法》、《上市公司治理准则》、《深圳证 </w:t>
      </w:r>
      <w:r>
        <w:rPr>
          <w:spacing w:val="-3"/>
        </w:rPr>
        <w:t>券交易所创业板股票上市规则》、《深圳证券交易所创业板上市公司规范运作指引》等法律、</w:t>
      </w:r>
      <w:r>
        <w:rPr>
          <w:spacing w:val="-81"/>
        </w:rPr>
        <w:t> </w:t>
      </w:r>
      <w:r>
        <w:rPr>
          <w:spacing w:val="-81"/>
        </w:rPr>
      </w:r>
      <w:r>
        <w:rPr/>
        <w:t>法规和中国证监会有关法律法规等的要求，不断完善公司的法人治理结构，建立健全公司内</w:t>
      </w:r>
      <w:r>
        <w:rPr>
          <w:spacing w:val="-91"/>
        </w:rPr>
        <w:t> </w:t>
      </w:r>
      <w:r>
        <w:rPr>
          <w:spacing w:val="-91"/>
        </w:rPr>
      </w:r>
      <w:r>
        <w:rPr/>
        <w:t>部管理和控制制度，规范运作，严格进行信息披露工作，保护广大投资者利益。</w:t>
      </w:r>
    </w:p>
    <w:p>
      <w:pPr>
        <w:pStyle w:val="BodyText"/>
        <w:spacing w:line="357" w:lineRule="auto"/>
        <w:ind w:right="239" w:firstLine="480"/>
        <w:jc w:val="both"/>
      </w:pPr>
      <w:r>
        <w:rPr/>
        <w:t>截至报告期末，公司治理的实际情况基本符合中国证监会发布的有关上市公司治理的规 范性文件的要求，已经形成了权力机构、决策机构、监督机构与管理层之间权责分明、各司</w:t>
      </w:r>
      <w:r>
        <w:rPr>
          <w:spacing w:val="-91"/>
        </w:rPr>
        <w:t> </w:t>
      </w:r>
      <w:r>
        <w:rPr>
          <w:spacing w:val="-91"/>
        </w:rPr>
      </w:r>
      <w:r>
        <w:rPr/>
        <w:t>其职、相互制衡、科学决策、协调运作的法人治理结构。</w:t>
      </w:r>
    </w:p>
    <w:p>
      <w:pPr>
        <w:pStyle w:val="BodyText"/>
        <w:spacing w:line="357" w:lineRule="auto"/>
        <w:ind w:left="633" w:right="96"/>
        <w:jc w:val="left"/>
      </w:pPr>
      <w:r>
        <w:rPr>
          <w:rFonts w:ascii="宋体" w:hAnsi="宋体" w:cs="宋体" w:eastAsia="宋体" w:hint="default"/>
        </w:rPr>
        <w:t>1</w:t>
      </w:r>
      <w:r>
        <w:rPr/>
        <w:t>、关于股东与股东大会 公司股东大会均严格按照《上市公司股东大会规则》、《公司章程》、《股东大会议事</w:t>
      </w:r>
    </w:p>
    <w:p>
      <w:pPr>
        <w:pStyle w:val="BodyText"/>
        <w:spacing w:line="357" w:lineRule="auto"/>
        <w:ind w:right="239"/>
        <w:jc w:val="both"/>
      </w:pPr>
      <w:r>
        <w:rPr/>
        <w:t>规则》等规定召集、召开，平等对待所有股东，并尽可能为股东参加股东大会提供便利，使</w:t>
      </w:r>
      <w:r>
        <w:rPr>
          <w:spacing w:val="-91"/>
        </w:rPr>
        <w:t> </w:t>
      </w:r>
      <w:r>
        <w:rPr>
          <w:spacing w:val="-91"/>
        </w:rPr>
      </w:r>
      <w:r>
        <w:rPr/>
        <w:t>其充分行使股东权利。同时，公司聘请专业律师见证股东大会，确保会议召集召开以及表决</w:t>
      </w:r>
      <w:r>
        <w:rPr>
          <w:spacing w:val="-91"/>
        </w:rPr>
        <w:t> </w:t>
      </w:r>
      <w:r>
        <w:rPr>
          <w:spacing w:val="-91"/>
        </w:rPr>
      </w:r>
      <w:r>
        <w:rPr/>
        <w:t>程序符合相关法律规定，维护股东的合法权益。</w:t>
      </w:r>
    </w:p>
    <w:p>
      <w:pPr>
        <w:pStyle w:val="BodyText"/>
        <w:spacing w:line="357" w:lineRule="auto"/>
        <w:ind w:left="633" w:right="96"/>
        <w:jc w:val="left"/>
      </w:pPr>
      <w:r>
        <w:rPr>
          <w:rFonts w:ascii="宋体" w:hAnsi="宋体" w:cs="宋体" w:eastAsia="宋体" w:hint="default"/>
        </w:rPr>
        <w:t>2</w:t>
      </w:r>
      <w:r>
        <w:rPr/>
        <w:t>、关于公司与控股股东、实际控制人 公司控股股东、实际控制人严格规范自己的行为，没有超越股东大会直接或间接干预公</w:t>
      </w:r>
    </w:p>
    <w:p>
      <w:pPr>
        <w:pStyle w:val="BodyText"/>
        <w:spacing w:line="357" w:lineRule="auto"/>
        <w:ind w:right="96"/>
        <w:jc w:val="left"/>
      </w:pPr>
      <w:r>
        <w:rPr>
          <w:spacing w:val="-2"/>
        </w:rPr>
        <w:t>司的决策和经营活动，未损害公司及其他股东的利益，不存在控股股东占用公司资金的现象，</w:t>
      </w:r>
      <w:r>
        <w:rPr/>
        <w:t> 公司亦无为控股股东提供担保的情形。公司拥有独立完整的业务和自主经营能力，在业务、</w:t>
      </w:r>
      <w:r>
        <w:rPr>
          <w:spacing w:val="-91"/>
        </w:rPr>
        <w:t> </w:t>
      </w:r>
      <w:r>
        <w:rPr>
          <w:spacing w:val="-91"/>
        </w:rPr>
      </w:r>
      <w:r>
        <w:rPr/>
        <w:t>人员、资产、机构、财务上独立于控股股东，公司董事会、监事会和内部机构独立运作。</w:t>
      </w:r>
    </w:p>
    <w:p>
      <w:pPr>
        <w:pStyle w:val="BodyText"/>
        <w:spacing w:line="357" w:lineRule="auto" w:before="37"/>
        <w:ind w:left="633" w:right="96"/>
        <w:jc w:val="left"/>
      </w:pPr>
      <w:r>
        <w:rPr>
          <w:rFonts w:ascii="宋体" w:hAnsi="宋体" w:cs="宋体" w:eastAsia="宋体" w:hint="default"/>
        </w:rPr>
        <w:t>3</w:t>
      </w:r>
      <w:r>
        <w:rPr/>
        <w:t>、关于董事和董事会 公司董事会设董事</w:t>
      </w:r>
      <w:r>
        <w:rPr>
          <w:rFonts w:ascii="宋体" w:hAnsi="宋体" w:cs="宋体" w:eastAsia="宋体" w:hint="default"/>
        </w:rPr>
        <w:t>9</w:t>
      </w:r>
      <w:r>
        <w:rPr/>
        <w:t>名，其中独立董事</w:t>
      </w:r>
      <w:r>
        <w:rPr>
          <w:rFonts w:ascii="宋体" w:hAnsi="宋体" w:cs="宋体" w:eastAsia="宋体" w:hint="default"/>
        </w:rPr>
        <w:t>3</w:t>
      </w:r>
      <w:r>
        <w:rPr/>
        <w:t>名，董事会的人数及人员构成符合法律、法规和</w:t>
      </w:r>
    </w:p>
    <w:p>
      <w:pPr>
        <w:pStyle w:val="BodyText"/>
        <w:spacing w:line="240" w:lineRule="auto"/>
        <w:ind w:right="0"/>
        <w:jc w:val="left"/>
      </w:pPr>
      <w:r>
        <w:rPr>
          <w:spacing w:val="-2"/>
        </w:rPr>
        <w:t>《公司章程》的要求。公司董事能够依据《深圳证券交易所创业板上市公司规范运作指引》、</w:t>
      </w:r>
    </w:p>
    <w:p>
      <w:pPr>
        <w:pStyle w:val="BodyText"/>
        <w:spacing w:line="357" w:lineRule="auto" w:before="154"/>
        <w:ind w:right="96"/>
        <w:jc w:val="left"/>
      </w:pPr>
      <w:r>
        <w:rPr/>
        <w:t>《董事会议事规则》、《独立董事工作制度》等开展工作，出席董事会和股东大会，勤勉尽</w:t>
      </w:r>
      <w:r>
        <w:rPr>
          <w:spacing w:val="-91"/>
        </w:rPr>
        <w:t> </w:t>
      </w:r>
      <w:r>
        <w:rPr>
          <w:spacing w:val="-91"/>
        </w:rPr>
      </w:r>
      <w:r>
        <w:rPr/>
        <w:t>责地履行职责和义务，同时积极参加相关培训，熟悉相关法律法规。</w:t>
      </w:r>
    </w:p>
    <w:p>
      <w:pPr>
        <w:pStyle w:val="BodyText"/>
        <w:spacing w:line="357" w:lineRule="auto"/>
        <w:ind w:left="633" w:right="96"/>
        <w:jc w:val="left"/>
      </w:pPr>
      <w:r>
        <w:rPr>
          <w:rFonts w:ascii="宋体" w:hAnsi="宋体" w:cs="宋体" w:eastAsia="宋体" w:hint="default"/>
        </w:rPr>
        <w:t>4</w:t>
      </w:r>
      <w:r>
        <w:rPr/>
        <w:t>、关于监事和监事会 </w:t>
      </w:r>
      <w:r>
        <w:rPr>
          <w:spacing w:val="-3"/>
        </w:rPr>
        <w:t>公司监事会设监事</w:t>
      </w:r>
      <w:r>
        <w:rPr>
          <w:rFonts w:ascii="宋体" w:hAnsi="宋体" w:cs="宋体" w:eastAsia="宋体" w:hint="default"/>
          <w:spacing w:val="-3"/>
        </w:rPr>
        <w:t>3</w:t>
      </w:r>
      <w:r>
        <w:rPr>
          <w:spacing w:val="-3"/>
        </w:rPr>
        <w:t>名，其中职工监事</w:t>
      </w:r>
      <w:r>
        <w:rPr>
          <w:rFonts w:ascii="宋体" w:hAnsi="宋体" w:cs="宋体" w:eastAsia="宋体" w:hint="default"/>
          <w:spacing w:val="-3"/>
        </w:rPr>
        <w:t>1</w:t>
      </w:r>
      <w:r>
        <w:rPr>
          <w:spacing w:val="-3"/>
        </w:rPr>
        <w:t>名，监事会的人数和构成符合法律、法规的要求。</w:t>
      </w:r>
    </w:p>
    <w:p>
      <w:pPr>
        <w:pStyle w:val="BodyText"/>
        <w:spacing w:line="240" w:lineRule="auto"/>
        <w:ind w:right="96"/>
        <w:jc w:val="left"/>
      </w:pPr>
      <w:r>
        <w:rPr/>
        <w:t>公司监事能够按照《深圳证券交易所创业板上市公司规范运作指引》、《监事会议事规则》</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96"/>
        <w:jc w:val="left"/>
      </w:pPr>
      <w:r>
        <w:rPr/>
        <w:t>的要求，认真履行自己的职责，对公司重大事项、财务状况、董事和高级管理人员的履行职</w:t>
      </w:r>
      <w:r>
        <w:rPr>
          <w:spacing w:val="-91"/>
        </w:rPr>
        <w:t> </w:t>
      </w:r>
      <w:r>
        <w:rPr>
          <w:spacing w:val="-91"/>
        </w:rPr>
      </w:r>
      <w:r>
        <w:rPr/>
        <w:t>责的合法合规性进行监督，维护公司及股东的合法权益。</w:t>
      </w:r>
    </w:p>
    <w:p>
      <w:pPr>
        <w:pStyle w:val="BodyText"/>
        <w:spacing w:line="357" w:lineRule="auto"/>
        <w:ind w:left="633" w:right="96"/>
        <w:jc w:val="left"/>
      </w:pPr>
      <w:r>
        <w:rPr>
          <w:rFonts w:ascii="宋体" w:hAnsi="宋体" w:cs="宋体" w:eastAsia="宋体" w:hint="default"/>
        </w:rPr>
        <w:t>5</w:t>
      </w:r>
      <w:r>
        <w:rPr/>
        <w:t>、关于绩效评价与激励约束机制 公司已建立企业绩效激励与评价体系，并不断完善。公司董事、监事和高级管理人员的</w:t>
      </w:r>
    </w:p>
    <w:p>
      <w:pPr>
        <w:pStyle w:val="BodyText"/>
        <w:spacing w:line="357" w:lineRule="auto"/>
        <w:ind w:right="96"/>
        <w:jc w:val="left"/>
      </w:pPr>
      <w:r>
        <w:rPr/>
        <w:t>绩效评价标准和激励约束机制公开、透明，符合法律、法规的规定。公司董事会设立了薪酬</w:t>
      </w:r>
      <w:r>
        <w:rPr>
          <w:spacing w:val="-91"/>
        </w:rPr>
        <w:t> </w:t>
      </w:r>
      <w:r>
        <w:rPr>
          <w:spacing w:val="-91"/>
        </w:rPr>
      </w:r>
      <w:r>
        <w:rPr>
          <w:spacing w:val="-2"/>
        </w:rPr>
        <w:t>与考核委员会，负责薪酬政策及方案的制定与审定。公司高级管理人员均认真履行工作职责，</w:t>
      </w:r>
      <w:r>
        <w:rPr/>
        <w:t> 较好地完成了董事会制定的经营管理任务。</w:t>
      </w:r>
    </w:p>
    <w:p>
      <w:pPr>
        <w:pStyle w:val="BodyText"/>
        <w:spacing w:line="357" w:lineRule="auto" w:before="37"/>
        <w:ind w:left="633" w:right="96"/>
        <w:jc w:val="left"/>
      </w:pPr>
      <w:r>
        <w:rPr>
          <w:rFonts w:ascii="宋体" w:hAnsi="宋体" w:cs="宋体" w:eastAsia="宋体" w:hint="default"/>
        </w:rPr>
        <w:t>6</w:t>
      </w:r>
      <w:r>
        <w:rPr/>
        <w:t>、关于信息披露与透明度 公司严格按照《上市公司信息披露管理办法》、深圳证券交易所创业板上市公司的信息</w:t>
      </w:r>
    </w:p>
    <w:p>
      <w:pPr>
        <w:pStyle w:val="BodyText"/>
        <w:spacing w:line="357" w:lineRule="auto"/>
        <w:ind w:right="229"/>
        <w:jc w:val="both"/>
      </w:pPr>
      <w:r>
        <w:rPr/>
        <w:t>披露格式指引等规定以及公司制定的《信息披露制度》等要求，真实、准确、及时、公平、</w:t>
      </w:r>
      <w:r>
        <w:rPr>
          <w:spacing w:val="-91"/>
        </w:rPr>
        <w:t> </w:t>
      </w:r>
      <w:r>
        <w:rPr>
          <w:spacing w:val="-91"/>
        </w:rPr>
      </w:r>
      <w:r>
        <w:rPr>
          <w:spacing w:val="-2"/>
        </w:rPr>
        <w:t>完整地披露有关信息；并指定公司董事会秘书负责信息披露工作，协调公司与投资者的关系</w:t>
      </w:r>
      <w:r>
        <w:rPr>
          <w:rFonts w:ascii="宋体" w:hAnsi="宋体" w:cs="宋体" w:eastAsia="宋体" w:hint="default"/>
          <w:spacing w:val="-2"/>
        </w:rPr>
        <w:t>,</w:t>
      </w:r>
      <w:r>
        <w:rPr>
          <w:rFonts w:ascii="宋体" w:hAnsi="宋体" w:cs="宋体" w:eastAsia="宋体" w:hint="default"/>
          <w:spacing w:val="-118"/>
        </w:rPr>
        <w:t> </w:t>
      </w:r>
      <w:r>
        <w:rPr/>
        <w:t>接待股东来访，回答投资者咨询；并指定《中国证券报》、《证券时报》等法定报纸和巨潮</w:t>
      </w:r>
      <w:r>
        <w:rPr>
          <w:spacing w:val="-91"/>
        </w:rPr>
        <w:t> </w:t>
      </w:r>
      <w:r>
        <w:rPr>
          <w:spacing w:val="-91"/>
        </w:rPr>
      </w:r>
      <w:r>
        <w:rPr>
          <w:spacing w:val="-2"/>
        </w:rPr>
        <w:t>资讯网（</w:t>
      </w:r>
      <w:hyperlink r:id="rId11">
        <w:r>
          <w:rPr>
            <w:rFonts w:ascii="宋体" w:hAnsi="宋体" w:cs="宋体" w:eastAsia="宋体" w:hint="default"/>
            <w:spacing w:val="-2"/>
          </w:rPr>
          <w:t>www.cninfo.com.cn</w:t>
        </w:r>
      </w:hyperlink>
      <w:r>
        <w:rPr>
          <w:spacing w:val="-2"/>
        </w:rPr>
        <w:t>）为公司信息披露的指定报纸和网站，确保公司所有股东能够以</w:t>
      </w:r>
      <w:r>
        <w:rPr>
          <w:spacing w:val="-103"/>
        </w:rPr>
        <w:t> </w:t>
      </w:r>
      <w:r>
        <w:rPr>
          <w:spacing w:val="-103"/>
        </w:rPr>
      </w:r>
      <w:r>
        <w:rPr/>
        <w:t>平等的机会获得信息。</w:t>
      </w:r>
    </w:p>
    <w:p>
      <w:pPr>
        <w:pStyle w:val="BodyText"/>
        <w:spacing w:line="357" w:lineRule="auto"/>
        <w:ind w:left="633" w:right="96"/>
        <w:jc w:val="left"/>
      </w:pPr>
      <w:r>
        <w:rPr>
          <w:rFonts w:ascii="宋体" w:hAnsi="宋体" w:cs="宋体" w:eastAsia="宋体" w:hint="default"/>
        </w:rPr>
        <w:t>7</w:t>
      </w:r>
      <w:r>
        <w:rPr/>
        <w:t>、关于相关利益者 公司充分尊重和维护相关利益者的合法权益，实现社会、股东、公司、员工等各方面利</w:t>
      </w:r>
    </w:p>
    <w:p>
      <w:pPr>
        <w:pStyle w:val="BodyText"/>
        <w:spacing w:line="357" w:lineRule="auto"/>
        <w:ind w:right="96"/>
        <w:jc w:val="left"/>
      </w:pPr>
      <w:r>
        <w:rPr/>
        <w:t>益的协调平衡，诚信对待供应商和客户，坚持与相关利益者互利共赢的原则，共同推动公司</w:t>
      </w:r>
      <w:r>
        <w:rPr>
          <w:spacing w:val="-91"/>
        </w:rPr>
        <w:t> </w:t>
      </w:r>
      <w:r>
        <w:rPr>
          <w:spacing w:val="-91"/>
        </w:rPr>
      </w:r>
      <w:r>
        <w:rPr/>
        <w:t>持续、稳健发展。</w:t>
      </w:r>
    </w:p>
    <w:p>
      <w:pPr>
        <w:spacing w:before="46"/>
        <w:ind w:left="152" w:right="96"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96"/>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96" w:firstLine="480"/>
        <w:jc w:val="left"/>
      </w:pPr>
      <w:r>
        <w:rPr/>
        <w:t>公司控股股东、实际控制人为自然人，公司与控股股东在业务、人员、资产、机构、财 务方面均保持独立。</w:t>
      </w:r>
    </w:p>
    <w:p>
      <w:pPr>
        <w:spacing w:line="240" w:lineRule="auto" w:before="11"/>
        <w:rPr>
          <w:rFonts w:ascii="宋体" w:hAnsi="宋体" w:cs="宋体" w:eastAsia="宋体" w:hint="default"/>
          <w:sz w:val="19"/>
          <w:szCs w:val="19"/>
        </w:rPr>
      </w:pPr>
    </w:p>
    <w:p>
      <w:pPr>
        <w:pStyle w:val="Heading2"/>
        <w:spacing w:line="240" w:lineRule="auto"/>
        <w:ind w:right="96"/>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0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宋体" w:hAnsi="宋体" w:cs="宋体" w:eastAsia="宋体" w:hint="default"/>
                <w:sz w:val="18"/>
                <w:szCs w:val="18"/>
              </w:rPr>
              <w:t>巨潮资</w:t>
            </w:r>
            <w:r>
              <w:rPr>
                <w:rFonts w:ascii="宋体" w:hAnsi="宋体" w:cs="宋体" w:eastAsia="宋体" w:hint="default"/>
                <w:sz w:val="18"/>
                <w:szCs w:val="18"/>
              </w:rPr>
              <w:t> 讯网</w:t>
            </w:r>
          </w:p>
          <w:p>
            <w:pPr>
              <w:pStyle w:val="TableParagraph"/>
              <w:spacing w:line="300" w:lineRule="auto" w:before="20"/>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宋体" w:hAnsi="宋体" w:cs="宋体" w:eastAsia="宋体" w:hint="default"/>
                <w:sz w:val="18"/>
                <w:szCs w:val="18"/>
              </w:rPr>
              <w:t>巨潮资</w:t>
            </w:r>
            <w:r>
              <w:rPr>
                <w:rFonts w:ascii="宋体" w:hAnsi="宋体" w:cs="宋体" w:eastAsia="宋体" w:hint="default"/>
                <w:sz w:val="18"/>
                <w:szCs w:val="18"/>
              </w:rPr>
              <w:t> 讯网</w:t>
            </w:r>
          </w:p>
          <w:p>
            <w:pPr>
              <w:pStyle w:val="TableParagraph"/>
              <w:spacing w:line="300" w:lineRule="auto" w:before="17"/>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宋体" w:hAnsi="宋体" w:cs="宋体" w:eastAsia="宋体" w:hint="default"/>
                <w:sz w:val="18"/>
                <w:szCs w:val="18"/>
              </w:rPr>
              <w:t>巨潮资</w:t>
            </w:r>
            <w:r>
              <w:rPr>
                <w:rFonts w:ascii="宋体" w:hAnsi="宋体" w:cs="宋体" w:eastAsia="宋体" w:hint="default"/>
                <w:sz w:val="18"/>
                <w:szCs w:val="18"/>
              </w:rPr>
              <w:t> 讯网</w:t>
            </w:r>
          </w:p>
          <w:p>
            <w:pPr>
              <w:pStyle w:val="TableParagraph"/>
              <w:spacing w:line="300" w:lineRule="auto" w:before="20"/>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宋体" w:hAnsi="宋体" w:cs="宋体" w:eastAsia="宋体" w:hint="default"/>
                <w:sz w:val="18"/>
                <w:szCs w:val="18"/>
              </w:rPr>
              <w:t>巨潮资</w:t>
            </w:r>
            <w:r>
              <w:rPr>
                <w:rFonts w:ascii="宋体" w:hAnsi="宋体" w:cs="宋体" w:eastAsia="宋体" w:hint="default"/>
                <w:sz w:val="18"/>
                <w:szCs w:val="18"/>
              </w:rPr>
              <w:t> 讯网</w:t>
            </w:r>
          </w:p>
          <w:p>
            <w:pPr>
              <w:pStyle w:val="TableParagraph"/>
              <w:spacing w:line="300" w:lineRule="auto" w:before="19"/>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宋体" w:hAnsi="宋体" w:cs="宋体" w:eastAsia="宋体" w:hint="default"/>
                <w:sz w:val="18"/>
                <w:szCs w:val="18"/>
              </w:rPr>
              <w:t>巨潮资</w:t>
            </w:r>
            <w:r>
              <w:rPr>
                <w:rFonts w:ascii="宋体" w:hAnsi="宋体" w:cs="宋体" w:eastAsia="宋体" w:hint="default"/>
                <w:sz w:val="18"/>
                <w:szCs w:val="18"/>
              </w:rPr>
              <w:t> 讯网</w:t>
            </w:r>
          </w:p>
          <w:p>
            <w:pPr>
              <w:pStyle w:val="TableParagraph"/>
              <w:spacing w:line="300" w:lineRule="auto" w:before="20"/>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14">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刘先林</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邬伦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8"/>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70"/>
        <w:ind w:right="154" w:firstLine="480"/>
        <w:jc w:val="both"/>
      </w:pPr>
      <w:r>
        <w:rPr/>
        <w:t>公司独立董事勤勉尽责，严格按照中国证监会的相关规定及《公司章程》、《董事会议 事规则》和《独立董事制度》开展工作，关注公司运作，独立履行职责，对公司内部控制建</w:t>
      </w:r>
      <w:r>
        <w:rPr>
          <w:spacing w:val="-91"/>
        </w:rPr>
        <w:t> </w:t>
      </w:r>
      <w:r>
        <w:rPr>
          <w:spacing w:val="-91"/>
        </w:rPr>
      </w:r>
      <w:r>
        <w:rPr/>
        <w:t>设、管理体系建设等重大决策等方面提出了很多宝贵的专业性建议，对公司财务及生产经营</w:t>
      </w:r>
      <w:r>
        <w:rPr>
          <w:spacing w:val="-91"/>
        </w:rPr>
        <w:t> </w:t>
      </w:r>
      <w:r>
        <w:rPr>
          <w:spacing w:val="-91"/>
        </w:rPr>
      </w:r>
      <w:r>
        <w:rPr/>
        <w:t>活动进行了有效监督，对于每个需要发表独立意见的事项会结合自身经验和专业背景提出意</w:t>
      </w:r>
      <w:r>
        <w:rPr>
          <w:spacing w:val="-87"/>
        </w:rPr>
        <w:t> </w:t>
      </w:r>
      <w:r>
        <w:rPr>
          <w:spacing w:val="-87"/>
        </w:rPr>
      </w:r>
      <w:r>
        <w:rPr/>
        <w:t>见，提高了公司决策的科学性，为完善公司监督机制，维护公司和全体股东的合法权益发挥</w:t>
      </w:r>
      <w:r>
        <w:rPr>
          <w:spacing w:val="-91"/>
        </w:rPr>
        <w:t> </w:t>
      </w:r>
      <w:r>
        <w:rPr>
          <w:spacing w:val="-91"/>
        </w:rPr>
      </w:r>
      <w:r>
        <w:rPr/>
        <w:t>了应有的作用。</w:t>
      </w:r>
    </w:p>
    <w:p>
      <w:pPr>
        <w:spacing w:line="690" w:lineRule="atLeast" w:before="195"/>
        <w:ind w:left="633" w:right="153" w:hanging="481"/>
        <w:jc w:val="left"/>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公司董事会下设发展战略委员会、审计委员会、薪酬与考核委员会和提名委员会四个专</w:t>
      </w:r>
    </w:p>
    <w:p>
      <w:pPr>
        <w:pStyle w:val="BodyText"/>
        <w:spacing w:line="240" w:lineRule="auto" w:before="154"/>
        <w:ind w:right="0"/>
        <w:jc w:val="both"/>
      </w:pPr>
      <w:r>
        <w:rPr/>
        <w:t>门委员会。</w:t>
      </w:r>
    </w:p>
    <w:p>
      <w:pPr>
        <w:pStyle w:val="BodyText"/>
        <w:spacing w:line="357" w:lineRule="auto" w:before="154"/>
        <w:ind w:left="633" w:right="153"/>
        <w:jc w:val="left"/>
      </w:pPr>
      <w:r>
        <w:rPr>
          <w:rFonts w:ascii="宋体" w:hAnsi="宋体" w:cs="宋体" w:eastAsia="宋体" w:hint="default"/>
        </w:rPr>
        <w:t>1</w:t>
      </w:r>
      <w:r>
        <w:rPr/>
        <w:t>、发展战略委员会 报告期内，公司发展战略委员会按照《董事会发展战略委员会工作规则》的相关要求履</w:t>
      </w:r>
    </w:p>
    <w:p>
      <w:pPr>
        <w:pStyle w:val="BodyText"/>
        <w:spacing w:line="357" w:lineRule="auto"/>
        <w:ind w:right="159"/>
        <w:jc w:val="both"/>
      </w:pPr>
      <w:r>
        <w:rPr/>
        <w:t>行工作职责，召开一次发展战略委员会会议，对公司长期发展战略规划、年度预算、决算登</w:t>
      </w:r>
      <w:r>
        <w:rPr>
          <w:spacing w:val="-91"/>
        </w:rPr>
        <w:t> </w:t>
      </w:r>
      <w:r>
        <w:rPr>
          <w:spacing w:val="-91"/>
        </w:rPr>
      </w:r>
      <w:r>
        <w:rPr/>
        <w:t>进行审议，同时对公司业务、技术和产品的总体发展方向进行规划，对其他影响公司发展的</w:t>
      </w:r>
      <w:r>
        <w:rPr>
          <w:spacing w:val="-91"/>
        </w:rPr>
        <w:t> </w:t>
      </w:r>
      <w:r>
        <w:rPr>
          <w:spacing w:val="-91"/>
        </w:rPr>
      </w:r>
      <w:r>
        <w:rPr/>
        <w:t>重大事项进行研究并提出建议，进一步提高公司战略决策的合理性和科学性。</w:t>
      </w:r>
    </w:p>
    <w:p>
      <w:pPr>
        <w:pStyle w:val="BodyText"/>
        <w:spacing w:line="357" w:lineRule="auto"/>
        <w:ind w:left="633" w:right="153"/>
        <w:jc w:val="left"/>
      </w:pPr>
      <w:r>
        <w:rPr>
          <w:rFonts w:ascii="宋体" w:hAnsi="宋体" w:cs="宋体" w:eastAsia="宋体" w:hint="default"/>
        </w:rPr>
        <w:t>2</w:t>
      </w:r>
      <w:r>
        <w:rPr/>
        <w:t>、审计委员会 报告期内，公司审计委员会按照《审计委员会工作规则》的相关要求，认真履行工作职</w:t>
      </w:r>
    </w:p>
    <w:p>
      <w:pPr>
        <w:pStyle w:val="BodyText"/>
        <w:spacing w:line="357" w:lineRule="auto"/>
        <w:ind w:right="159"/>
        <w:jc w:val="both"/>
      </w:pPr>
      <w:r>
        <w:rPr/>
        <w:t>责。报告期内共召开五次审计委员会会议，认真监督公司内部控制，审核公司财务信息及披</w:t>
      </w:r>
      <w:r>
        <w:rPr>
          <w:spacing w:val="-91"/>
        </w:rPr>
        <w:t> </w:t>
      </w:r>
      <w:r>
        <w:rPr>
          <w:spacing w:val="-91"/>
        </w:rPr>
      </w:r>
      <w:r>
        <w:rPr/>
        <w:t>露情况。年报披露期间与审计会计师进行沟通，制定年度审计计划并对年度审计工作进行安</w:t>
      </w:r>
      <w:r>
        <w:rPr>
          <w:spacing w:val="-91"/>
        </w:rPr>
        <w:t> </w:t>
      </w:r>
      <w:r>
        <w:rPr>
          <w:spacing w:val="-91"/>
        </w:rPr>
      </w:r>
      <w:r>
        <w:rPr/>
        <w:t>排，就审计过程中的问题与相关人员进行了有效沟通，保证公司年报及审计工作顺利完成。</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158"/>
        <w:jc w:val="both"/>
      </w:pPr>
      <w:r>
        <w:rPr>
          <w:rFonts w:ascii="宋体" w:hAnsi="宋体" w:cs="宋体" w:eastAsia="宋体" w:hint="default"/>
        </w:rPr>
        <w:t>2015</w:t>
      </w:r>
      <w:r>
        <w:rPr/>
        <w:t>年，审计委员会共召开了四次会议，重点对公司定期财务报告、募集资金使用情况、内</w:t>
      </w:r>
      <w:r>
        <w:rPr>
          <w:spacing w:val="-91"/>
        </w:rPr>
        <w:t> </w:t>
      </w:r>
      <w:r>
        <w:rPr>
          <w:spacing w:val="-91"/>
        </w:rPr>
      </w:r>
      <w:r>
        <w:rPr/>
        <w:t>部控制制度对等事项进行审议。</w:t>
      </w:r>
    </w:p>
    <w:p>
      <w:pPr>
        <w:pStyle w:val="BodyText"/>
        <w:spacing w:line="357" w:lineRule="auto"/>
        <w:ind w:left="633" w:right="153"/>
        <w:jc w:val="left"/>
      </w:pPr>
      <w:r>
        <w:rPr>
          <w:rFonts w:ascii="宋体" w:hAnsi="宋体" w:cs="宋体" w:eastAsia="宋体" w:hint="default"/>
        </w:rPr>
        <w:t>3</w:t>
      </w:r>
      <w:r>
        <w:rPr/>
        <w:t>、薪酬与考核委员会 报告期内，公司薪酬与考核委员会按照《薪酬与考核委员工作规则》的相关要求，召开</w:t>
      </w:r>
    </w:p>
    <w:p>
      <w:pPr>
        <w:pStyle w:val="BodyText"/>
        <w:spacing w:line="357" w:lineRule="auto"/>
        <w:ind w:right="158"/>
        <w:jc w:val="both"/>
      </w:pPr>
      <w:r>
        <w:rPr/>
        <w:t>一次薪酬与考核委员会会议，对公司薪酬及绩效考核情况进行监督，审查董事和高级管理人</w:t>
      </w:r>
      <w:r>
        <w:rPr>
          <w:spacing w:val="-91"/>
        </w:rPr>
        <w:t> </w:t>
      </w:r>
      <w:r>
        <w:rPr>
          <w:spacing w:val="-91"/>
        </w:rPr>
      </w:r>
      <w:r>
        <w:rPr/>
        <w:t>员的薪酬及绩效考核方案，并提交董事会审核。同时组织对董事、高级管理人员进行业绩考</w:t>
      </w:r>
      <w:r>
        <w:rPr>
          <w:spacing w:val="-91"/>
        </w:rPr>
        <w:t> </w:t>
      </w:r>
      <w:r>
        <w:rPr>
          <w:spacing w:val="-91"/>
        </w:rPr>
      </w:r>
      <w:r>
        <w:rPr/>
        <w:t>核，对考核和评价标准提出建议，促进公司进一步提高薪酬与绩效考核工作的科学性和实效</w:t>
      </w:r>
      <w:r>
        <w:rPr>
          <w:spacing w:val="-91"/>
        </w:rPr>
        <w:t> </w:t>
      </w:r>
      <w:r>
        <w:rPr>
          <w:spacing w:val="-91"/>
        </w:rPr>
      </w:r>
      <w:r>
        <w:rPr/>
        <w:t>性。</w:t>
      </w:r>
      <w:r>
        <w:rPr>
          <w:rFonts w:ascii="宋体" w:hAnsi="宋体" w:cs="宋体" w:eastAsia="宋体" w:hint="default"/>
        </w:rPr>
        <w:t>2015</w:t>
      </w:r>
      <w:r>
        <w:rPr/>
        <w:t>年度，薪酬与考核委员会召开了两次会议，对公司高级管理人员的薪酬进行和股权</w:t>
      </w:r>
      <w:r>
        <w:rPr>
          <w:spacing w:val="-91"/>
        </w:rPr>
        <w:t> </w:t>
      </w:r>
      <w:r>
        <w:rPr>
          <w:spacing w:val="-91"/>
        </w:rPr>
      </w:r>
      <w:r>
        <w:rPr/>
        <w:t>激励相关事项进行考核。</w:t>
      </w:r>
    </w:p>
    <w:p>
      <w:pPr>
        <w:pStyle w:val="BodyText"/>
        <w:spacing w:line="357" w:lineRule="auto"/>
        <w:ind w:left="633" w:right="153"/>
        <w:jc w:val="left"/>
      </w:pPr>
      <w:r>
        <w:rPr>
          <w:rFonts w:ascii="宋体" w:hAnsi="宋体" w:cs="宋体" w:eastAsia="宋体" w:hint="default"/>
        </w:rPr>
        <w:t>4</w:t>
      </w:r>
      <w:r>
        <w:rPr/>
        <w:t>、提名委员会 报告期内，公司提名委员会按照《提名委员会工作规则》的相关要求认真履职，对公司</w:t>
      </w:r>
    </w:p>
    <w:p>
      <w:pPr>
        <w:pStyle w:val="BodyText"/>
        <w:spacing w:line="357" w:lineRule="auto"/>
        <w:ind w:right="155"/>
        <w:jc w:val="both"/>
      </w:pPr>
      <w:r>
        <w:rPr/>
        <w:t>董事、高级管理人员工作情况进行了评估，认为公司董事会人员结构合理，高管团队具有丰</w:t>
      </w:r>
      <w:r>
        <w:rPr>
          <w:spacing w:val="-91"/>
        </w:rPr>
        <w:t> </w:t>
      </w:r>
      <w:r>
        <w:rPr>
          <w:spacing w:val="-91"/>
        </w:rPr>
      </w:r>
      <w:r>
        <w:rPr/>
        <w:t>富的行业经验和管理经验，完全胜任各自的工作。</w:t>
      </w:r>
      <w:r>
        <w:rPr>
          <w:rFonts w:ascii="宋体" w:hAnsi="宋体" w:cs="宋体" w:eastAsia="宋体" w:hint="default"/>
        </w:rPr>
        <w:t>2015</w:t>
      </w:r>
      <w:r>
        <w:rPr/>
        <w:t>年，对公司第三届董事会成员进行审</w:t>
      </w:r>
      <w:r>
        <w:rPr>
          <w:spacing w:val="-88"/>
        </w:rPr>
        <w:t> </w:t>
      </w:r>
      <w:r>
        <w:rPr>
          <w:spacing w:val="-88"/>
        </w:rPr>
      </w:r>
      <w:r>
        <w:rPr/>
        <w:t>查，未发现《公司法》及相关法律法规禁止担任上市公司董事的情形。</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5"/>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57" w:firstLine="480"/>
        <w:jc w:val="both"/>
      </w:pPr>
      <w:r>
        <w:rPr/>
        <w:t>公司建立了完善的高级管理人员绩效管理体系，明确了高级管理人员考核、晋升、培训 和奖惩激励机制，有效的提升了公司治理水平，进一步完善高级管理人员绩效评价和激励、</w:t>
      </w:r>
      <w:r>
        <w:rPr>
          <w:spacing w:val="-90"/>
        </w:rPr>
        <w:t> </w:t>
      </w:r>
      <w:r>
        <w:rPr>
          <w:spacing w:val="-90"/>
        </w:rPr>
      </w:r>
      <w:r>
        <w:rPr/>
        <w:t>约束机制，最大限度地调动公司高级管理人员的积极性及创造性，确保公司各项业务的顺利</w:t>
      </w:r>
      <w:r>
        <w:rPr>
          <w:spacing w:val="-91"/>
        </w:rPr>
        <w:t> </w:t>
      </w:r>
      <w:r>
        <w:rPr>
          <w:spacing w:val="-91"/>
        </w:rPr>
      </w:r>
      <w:r>
        <w:rPr/>
        <w:t>开展，促进了公司业绩稳定持续发展，更好维护广大投资者的根本利益。</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shape style="position:absolute;margin-left:56.400002pt;margin-top:102.739983pt;width:479.3pt;height:647.4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41"/>
                    <w:gridCol w:w="304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6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23" w:right="43"/>
                          <w:jc w:val="left"/>
                          <w:rPr>
                            <w:rFonts w:ascii="宋体" w:hAnsi="宋体" w:cs="宋体" w:eastAsia="宋体" w:hint="default"/>
                            <w:sz w:val="18"/>
                            <w:szCs w:val="18"/>
                          </w:rPr>
                        </w:pPr>
                        <w:r>
                          <w:rPr>
                            <w:rFonts w:ascii="宋体" w:hAnsi="宋体" w:cs="宋体" w:eastAsia="宋体" w:hint="default"/>
                            <w:sz w:val="18"/>
                            <w:szCs w:val="18"/>
                          </w:rPr>
                          <w:t>财务报告内部控制存在重大缺陷的迹象包 </w:t>
                        </w:r>
                        <w:r>
                          <w:rPr>
                            <w:rFonts w:ascii="宋体" w:hAnsi="宋体" w:cs="宋体" w:eastAsia="宋体" w:hint="default"/>
                            <w:spacing w:val="-10"/>
                            <w:sz w:val="18"/>
                            <w:szCs w:val="18"/>
                          </w:rPr>
                          <w:t>括：（</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）控制环境无效；（</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）公司董事、</w:t>
                        </w:r>
                        <w:r>
                          <w:rPr>
                            <w:rFonts w:ascii="宋体" w:hAnsi="宋体" w:cs="宋体" w:eastAsia="宋体" w:hint="default"/>
                            <w:spacing w:val="-72"/>
                            <w:sz w:val="18"/>
                            <w:szCs w:val="18"/>
                          </w:rPr>
                          <w:t> </w:t>
                        </w:r>
                        <w:r>
                          <w:rPr>
                            <w:rFonts w:ascii="宋体" w:hAnsi="宋体" w:cs="宋体" w:eastAsia="宋体" w:hint="default"/>
                            <w:sz w:val="18"/>
                            <w:szCs w:val="18"/>
                          </w:rPr>
                          <w:t>监事和高级管理人员舞弊并给企业造成重 </w:t>
                        </w:r>
                        <w:r>
                          <w:rPr>
                            <w:rFonts w:ascii="宋体" w:hAnsi="宋体" w:cs="宋体" w:eastAsia="宋体" w:hint="default"/>
                            <w:spacing w:val="-5"/>
                            <w:sz w:val="18"/>
                            <w:szCs w:val="18"/>
                          </w:rPr>
                          <w:t>大损失和不利影响；（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w:t>
                        </w:r>
                        <w:r>
                          <w:rPr>
                            <w:rFonts w:ascii="宋体" w:hAnsi="宋体" w:cs="宋体" w:eastAsia="宋体" w:hint="default"/>
                            <w:spacing w:val="-86"/>
                            <w:sz w:val="18"/>
                            <w:szCs w:val="18"/>
                          </w:rPr>
                          <w:t> </w:t>
                        </w:r>
                        <w:r>
                          <w:rPr>
                            <w:rFonts w:ascii="宋体" w:hAnsi="宋体" w:cs="宋体" w:eastAsia="宋体" w:hint="default"/>
                            <w:sz w:val="18"/>
                            <w:szCs w:val="18"/>
                          </w:rPr>
                          <w:t>当期财务报告存在重大错报，而内部控制 </w:t>
                        </w:r>
                        <w:r>
                          <w:rPr>
                            <w:rFonts w:ascii="宋体" w:hAnsi="宋体" w:cs="宋体" w:eastAsia="宋体" w:hint="default"/>
                            <w:spacing w:val="-5"/>
                            <w:sz w:val="18"/>
                            <w:szCs w:val="18"/>
                          </w:rPr>
                          <w:t>在运行过程中未能发现该错报；（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）已经</w:t>
                        </w:r>
                        <w:r>
                          <w:rPr>
                            <w:rFonts w:ascii="宋体" w:hAnsi="宋体" w:cs="宋体" w:eastAsia="宋体" w:hint="default"/>
                            <w:spacing w:val="-83"/>
                            <w:sz w:val="18"/>
                            <w:szCs w:val="18"/>
                          </w:rPr>
                          <w:t> </w:t>
                        </w:r>
                        <w:r>
                          <w:rPr>
                            <w:rFonts w:ascii="宋体" w:hAnsi="宋体" w:cs="宋体" w:eastAsia="宋体" w:hint="default"/>
                            <w:sz w:val="18"/>
                            <w:szCs w:val="18"/>
                          </w:rPr>
                          <w:t>发现并报告给管理层的重要缺陷在合理的 </w:t>
                        </w:r>
                        <w:r>
                          <w:rPr>
                            <w:rFonts w:ascii="宋体" w:hAnsi="宋体" w:cs="宋体" w:eastAsia="宋体" w:hint="default"/>
                            <w:spacing w:val="-5"/>
                            <w:sz w:val="18"/>
                            <w:szCs w:val="18"/>
                          </w:rPr>
                          <w:t>时间内未加以改正；（</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）审计委员会和内</w:t>
                        </w:r>
                        <w:r>
                          <w:rPr>
                            <w:rFonts w:ascii="宋体" w:hAnsi="宋体" w:cs="宋体" w:eastAsia="宋体" w:hint="default"/>
                            <w:spacing w:val="-86"/>
                            <w:sz w:val="18"/>
                            <w:szCs w:val="18"/>
                          </w:rPr>
                          <w:t> </w:t>
                        </w:r>
                        <w:r>
                          <w:rPr>
                            <w:rFonts w:ascii="宋体" w:hAnsi="宋体" w:cs="宋体" w:eastAsia="宋体" w:hint="default"/>
                            <w:sz w:val="18"/>
                            <w:szCs w:val="18"/>
                          </w:rPr>
                          <w:t>部审计部对公司的内部控制监督无效。财 务报告内部控制存在重要缺陷的迹象包 </w:t>
                        </w:r>
                        <w:r>
                          <w:rPr>
                            <w:rFonts w:ascii="宋体" w:hAnsi="宋体" w:cs="宋体" w:eastAsia="宋体" w:hint="default"/>
                            <w:spacing w:val="-5"/>
                            <w:sz w:val="18"/>
                            <w:szCs w:val="18"/>
                          </w:rPr>
                          <w:t>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）未依照公认会计准则选择和应用</w:t>
                        </w:r>
                        <w:r>
                          <w:rPr>
                            <w:rFonts w:ascii="宋体" w:hAnsi="宋体" w:cs="宋体" w:eastAsia="宋体" w:hint="default"/>
                            <w:spacing w:val="-86"/>
                            <w:sz w:val="18"/>
                            <w:szCs w:val="18"/>
                          </w:rPr>
                          <w:t> </w:t>
                        </w:r>
                        <w:r>
                          <w:rPr>
                            <w:rFonts w:ascii="宋体" w:hAnsi="宋体" w:cs="宋体" w:eastAsia="宋体" w:hint="default"/>
                            <w:spacing w:val="-5"/>
                            <w:sz w:val="18"/>
                            <w:szCs w:val="18"/>
                          </w:rPr>
                          <w:t>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w:t>
                        </w:r>
                        <w:r>
                          <w:rPr>
                            <w:rFonts w:ascii="宋体" w:hAnsi="宋体" w:cs="宋体" w:eastAsia="宋体" w:hint="default"/>
                            <w:spacing w:val="-86"/>
                            <w:sz w:val="18"/>
                            <w:szCs w:val="18"/>
                          </w:rPr>
                          <w:t> </w:t>
                        </w:r>
                        <w:r>
                          <w:rPr>
                            <w:rFonts w:ascii="宋体" w:hAnsi="宋体" w:cs="宋体" w:eastAsia="宋体" w:hint="default"/>
                            <w:spacing w:val="-5"/>
                            <w:sz w:val="18"/>
                            <w:szCs w:val="18"/>
                          </w:rPr>
                          <w:t>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）财务报告过程中出现单独或多</w:t>
                        </w:r>
                        <w:r>
                          <w:rPr>
                            <w:rFonts w:ascii="宋体" w:hAnsi="宋体" w:cs="宋体" w:eastAsia="宋体" w:hint="default"/>
                            <w:spacing w:val="-86"/>
                            <w:sz w:val="18"/>
                            <w:szCs w:val="18"/>
                          </w:rPr>
                          <w:t> </w:t>
                        </w:r>
                        <w:r>
                          <w:rPr>
                            <w:rFonts w:ascii="宋体" w:hAnsi="宋体" w:cs="宋体" w:eastAsia="宋体" w:hint="default"/>
                            <w:sz w:val="18"/>
                            <w:szCs w:val="18"/>
                          </w:rPr>
                          <w:t>项缺陷，虽然未达到重大缺陷认定标准， </w:t>
                        </w:r>
                        <w:r>
                          <w:rPr>
                            <w:rFonts w:ascii="宋体" w:hAnsi="宋体" w:cs="宋体" w:eastAsia="宋体" w:hint="default"/>
                            <w:spacing w:val="-4"/>
                            <w:sz w:val="18"/>
                            <w:szCs w:val="18"/>
                          </w:rPr>
                          <w:t>但影响到财务报告达到真实、准确的目标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一般缺陷是指除上述重大缺陷、重要缺陷 之外的其他控制缺陷。</w:t>
                        </w:r>
                      </w:p>
                    </w:tc>
                    <w:tc>
                      <w:tcPr>
                        <w:tcW w:w="3040" w:type="dxa"/>
                        <w:vMerge w:val="restart"/>
                        <w:tcBorders>
                          <w:top w:val="single" w:sz="4" w:space="0" w:color="000000"/>
                          <w:left w:val="single" w:sz="14" w:space="0" w:color="FFFFFF"/>
                          <w:right w:val="single" w:sz="4" w:space="0" w:color="000000"/>
                        </w:tcBorders>
                      </w:tcPr>
                      <w:p>
                        <w:pPr>
                          <w:pStyle w:val="TableParagraph"/>
                          <w:spacing w:line="307" w:lineRule="auto" w:before="49"/>
                          <w:ind w:left="-1" w:right="19"/>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评价的定性标准如下：重大缺陷的认定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）公司经营活动严重违反国家 </w:t>
                        </w:r>
                        <w:r>
                          <w:rPr>
                            <w:rFonts w:ascii="宋体" w:hAnsi="宋体" w:cs="宋体" w:eastAsia="宋体" w:hint="default"/>
                            <w:spacing w:val="-14"/>
                            <w:sz w:val="18"/>
                            <w:szCs w:val="18"/>
                          </w:rPr>
                          <w:t>法律法规；（</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）媒体负面新闻频频曝光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对公司声誉造成重大损害；（</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）中高级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管理人员和高级技术人员严重流失；</w:t>
                        </w:r>
                      </w:p>
                      <w:p>
                        <w:pPr>
                          <w:pStyle w:val="TableParagraph"/>
                          <w:spacing w:line="302" w:lineRule="auto" w:before="26"/>
                          <w:ind w:left="-1"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）重要业务缺乏制度控制或制度系 </w:t>
                        </w:r>
                        <w:r>
                          <w:rPr>
                            <w:rFonts w:ascii="宋体" w:hAnsi="宋体" w:cs="宋体" w:eastAsia="宋体" w:hint="default"/>
                            <w:spacing w:val="-9"/>
                            <w:sz w:val="18"/>
                            <w:szCs w:val="18"/>
                          </w:rPr>
                          <w:t>统性失效；（</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）内部控制评价的结果特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别是重大缺陷或重要缺陷未得到整改。 </w:t>
                        </w:r>
                        <w:r>
                          <w:rPr>
                            <w:rFonts w:ascii="宋体" w:hAnsi="宋体" w:cs="宋体" w:eastAsia="宋体" w:hint="default"/>
                            <w:spacing w:val="-9"/>
                            <w:sz w:val="18"/>
                            <w:szCs w:val="18"/>
                          </w:rPr>
                          <w:t>重要缺陷的认定标准：（</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）公司违反国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家法律法规受到轻微处罚；（</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）关键岗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位业务人员流失严重；（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）媒体出现负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面新闻，波及局部区域；（</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）重要业务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制度控制或系统存在缺陷；（</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）内部控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制重要缺陷未得到整改。一般缺陷的认</w:t>
                        </w:r>
                      </w:p>
                      <w:p>
                        <w:pPr>
                          <w:pStyle w:val="TableParagraph"/>
                          <w:spacing w:line="203" w:lineRule="exact" w:before="29"/>
                          <w:ind w:left="-1" w:right="0"/>
                          <w:jc w:val="left"/>
                          <w:rPr>
                            <w:rFonts w:ascii="宋体" w:hAnsi="宋体" w:cs="宋体" w:eastAsia="宋体" w:hint="default"/>
                            <w:sz w:val="18"/>
                            <w:szCs w:val="18"/>
                          </w:rPr>
                        </w:pPr>
                        <w:r>
                          <w:rPr>
                            <w:rFonts w:ascii="宋体" w:hAnsi="宋体" w:cs="宋体" w:eastAsia="宋体" w:hint="default"/>
                            <w:sz w:val="18"/>
                            <w:szCs w:val="18"/>
                          </w:rPr>
                          <w:t>定标准</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违反企业内部规章</w:t>
                        </w:r>
                        <w:r>
                          <w:rPr>
                            <w:rFonts w:ascii="宋体" w:hAnsi="宋体" w:cs="宋体" w:eastAsia="宋体" w:hint="default"/>
                            <w:spacing w:val="-22"/>
                            <w:sz w:val="18"/>
                            <w:szCs w:val="18"/>
                          </w:rPr>
                          <w:t>，</w:t>
                        </w:r>
                        <w:r>
                          <w:rPr>
                            <w:rFonts w:ascii="宋体" w:hAnsi="宋体" w:cs="宋体" w:eastAsia="宋体" w:hint="default"/>
                            <w:sz w:val="18"/>
                            <w:szCs w:val="18"/>
                          </w:rPr>
                          <w:t>但未</w:t>
                        </w:r>
                      </w:p>
                      <w:p>
                        <w:pPr>
                          <w:pStyle w:val="TableParagraph"/>
                          <w:spacing w:line="149"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 w:right="0"/>
                          <w:jc w:val="left"/>
                          <w:rPr>
                            <w:rFonts w:ascii="宋体" w:hAnsi="宋体" w:cs="宋体" w:eastAsia="宋体" w:hint="default"/>
                            <w:sz w:val="18"/>
                            <w:szCs w:val="18"/>
                          </w:rPr>
                        </w:pPr>
                        <w:r>
                          <w:rPr>
                            <w:rFonts w:ascii="宋体" w:hAnsi="宋体" w:cs="宋体" w:eastAsia="宋体" w:hint="default"/>
                            <w:sz w:val="18"/>
                            <w:szCs w:val="18"/>
                          </w:rPr>
                          <w:t>形成损失（</w:t>
                        </w:r>
                        <w:r>
                          <w:rPr>
                            <w:rFonts w:ascii="Times New Roman" w:hAnsi="Times New Roman" w:cs="Times New Roman" w:eastAsia="Times New Roman" w:hint="default"/>
                            <w:sz w:val="18"/>
                            <w:szCs w:val="18"/>
                          </w:rPr>
                          <w:t>2</w:t>
                        </w:r>
                        <w:r>
                          <w:rPr>
                            <w:rFonts w:ascii="宋体" w:hAnsi="宋体" w:cs="宋体" w:eastAsia="宋体" w:hint="default"/>
                            <w:sz w:val="18"/>
                            <w:szCs w:val="18"/>
                          </w:rPr>
                          <w:t>）一般岗位业务人员流失</w:t>
                        </w:r>
                      </w:p>
                      <w:p>
                        <w:pPr>
                          <w:pStyle w:val="TableParagraph"/>
                          <w:spacing w:line="300" w:lineRule="auto" w:before="63"/>
                          <w:ind w:left="-1" w:right="44"/>
                          <w:jc w:val="both"/>
                          <w:rPr>
                            <w:rFonts w:ascii="宋体" w:hAnsi="宋体" w:cs="宋体" w:eastAsia="宋体" w:hint="default"/>
                            <w:sz w:val="18"/>
                            <w:szCs w:val="18"/>
                          </w:rPr>
                        </w:pPr>
                        <w:r>
                          <w:rPr>
                            <w:rFonts w:ascii="宋体" w:hAnsi="宋体" w:cs="宋体" w:eastAsia="宋体" w:hint="default"/>
                            <w:sz w:val="18"/>
                            <w:szCs w:val="18"/>
                          </w:rPr>
                          <w:t>严重（</w:t>
                        </w:r>
                        <w:r>
                          <w:rPr>
                            <w:rFonts w:ascii="Times New Roman" w:hAnsi="Times New Roman" w:cs="Times New Roman" w:eastAsia="Times New Roman" w:hint="default"/>
                            <w:sz w:val="18"/>
                            <w:szCs w:val="18"/>
                          </w:rPr>
                          <w:t>3</w:t>
                        </w:r>
                        <w:r>
                          <w:rPr>
                            <w:rFonts w:ascii="宋体" w:hAnsi="宋体" w:cs="宋体" w:eastAsia="宋体" w:hint="default"/>
                            <w:sz w:val="18"/>
                            <w:szCs w:val="18"/>
                          </w:rPr>
                          <w:t>）媒体出现负面新闻，但影响 不大（</w:t>
                        </w:r>
                        <w:r>
                          <w:rPr>
                            <w:rFonts w:ascii="Times New Roman" w:hAnsi="Times New Roman" w:cs="Times New Roman" w:eastAsia="Times New Roman" w:hint="default"/>
                            <w:sz w:val="18"/>
                            <w:szCs w:val="18"/>
                          </w:rPr>
                          <w:t>4</w:t>
                        </w:r>
                        <w:r>
                          <w:rPr>
                            <w:rFonts w:ascii="宋体" w:hAnsi="宋体" w:cs="宋体" w:eastAsia="宋体" w:hint="default"/>
                            <w:sz w:val="18"/>
                            <w:szCs w:val="18"/>
                          </w:rPr>
                          <w:t>）一般业务制度或系统存在缺 </w:t>
                        </w: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）内部控制一般缺陷未得到整改</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296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r>
                    <w:trPr>
                      <w:trHeight w:val="78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07" w:lineRule="auto" w:before="49"/>
                          <w:ind w:left="23"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以财务报表数据为基准，确定上市公司合 并财务报表错报（包括漏报）重要程度的 定量标准：重大缺陷：错报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税前利润的 </w:t>
                        </w:r>
                        <w:r>
                          <w:rPr>
                            <w:rFonts w:ascii="Times New Roman" w:hAnsi="Times New Roman" w:cs="Times New Roman" w:eastAsia="Times New Roman" w:hint="default"/>
                            <w:sz w:val="18"/>
                            <w:szCs w:val="18"/>
                          </w:rPr>
                          <w:t>5% </w:t>
                        </w:r>
                        <w:r>
                          <w:rPr>
                            <w:rFonts w:ascii="宋体" w:hAnsi="宋体" w:cs="宋体" w:eastAsia="宋体" w:hint="default"/>
                            <w:sz w:val="18"/>
                            <w:szCs w:val="18"/>
                          </w:rPr>
                          <w:t>；重要缺陷：税前利润的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 税前利润的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；一般缺陷：错报＜税前利</w:t>
                        </w:r>
                        <w:r>
                          <w:rPr>
                            <w:rFonts w:ascii="宋体" w:hAnsi="宋体" w:cs="宋体" w:eastAsia="宋体" w:hint="default"/>
                            <w:sz w:val="18"/>
                            <w:szCs w:val="18"/>
                          </w:rPr>
                          <w:t> 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30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 w:right="16"/>
                          <w:jc w:val="both"/>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宋体" w:hAnsi="宋体" w:cs="宋体" w:eastAsia="宋体" w:hint="default"/>
                            <w:spacing w:val="1"/>
                            <w:sz w:val="18"/>
                            <w:szCs w:val="18"/>
                          </w:rPr>
                          <w:t> </w:t>
                        </w:r>
                        <w:r>
                          <w:rPr>
                            <w:rFonts w:ascii="宋体" w:hAnsi="宋体" w:cs="宋体" w:eastAsia="宋体" w:hint="default"/>
                            <w:sz w:val="18"/>
                            <w:szCs w:val="18"/>
                          </w:rPr>
                          <w:t>直接损失金额﹥资产总额</w:t>
                        </w:r>
                        <w:r>
                          <w:rPr>
                            <w:rFonts w:ascii="宋体" w:hAnsi="宋体" w:cs="宋体" w:eastAsia="宋体" w:hint="default"/>
                            <w:sz w:val="18"/>
                            <w:szCs w:val="18"/>
                          </w:rPr>
                          <w:t>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  </w:t>
                        </w:r>
                        <w:r>
                          <w:rPr>
                            <w:rFonts w:ascii="宋体" w:hAnsi="宋体" w:cs="宋体" w:eastAsia="宋体" w:hint="default"/>
                            <w:spacing w:val="-9"/>
                            <w:sz w:val="18"/>
                            <w:szCs w:val="18"/>
                          </w:rPr>
                          <w:t>；重要缺陷：资产总额的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321" w:lineRule="auto"/>
                          <w:ind w:left="13"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 一般缺陷：直接损失金额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0.2%</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40" w:type="dxa"/>
                        <w:vMerge/>
                        <w:tcBorders>
                          <w:left w:val="single" w:sz="4" w:space="0" w:color="000000"/>
                          <w:right w:val="single" w:sz="4" w:space="0" w:color="000000"/>
                        </w:tcBorders>
                      </w:tcPr>
                      <w:p>
                        <w:pPr/>
                      </w:p>
                    </w:tc>
                  </w:tr>
                  <w:tr>
                    <w:trPr>
                      <w:trHeight w:val="782"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4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before="0"/>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624" w:lineRule="exact"/>
        <w:ind w:left="6701"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7pt;height:31.2pt;mso-position-horizontal-relative:char;mso-position-vertical-relative:line" coordorigin="0,0" coordsize="2994,624">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style="position:absolute;left:0;top:312;width:2994;height:312" coordorigin="0,312" coordsize="2994,312">
              <v:shape style="position:absolute;left:0;top:312;width:2994;height:312" coordorigin="0,312" coordsize="2994,312" path="m0,624l2993,624,2993,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审计师认为，北京数字政通科技股份有限公司于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日在所有重大方面有效地保持了按照日在所有重大方面 效地保持了按照《企业内部控制基本规范》建立的与财务报表相关内部控制。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05"/>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6"/>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 01310224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苗策，薛东升</w:t>
            </w:r>
          </w:p>
        </w:tc>
      </w:tr>
    </w:tbl>
    <w:p>
      <w:pPr>
        <w:pStyle w:val="Heading2"/>
        <w:spacing w:line="240" w:lineRule="auto" w:before="39"/>
        <w:ind w:left="4236" w:right="96"/>
        <w:jc w:val="left"/>
        <w:rPr>
          <w:b w:val="0"/>
          <w:bCs w:val="0"/>
        </w:rPr>
      </w:pPr>
      <w:r>
        <w:rPr/>
        <w:t>审计报告正文</w:t>
      </w:r>
      <w:r>
        <w:rPr>
          <w:b w:val="0"/>
          <w:bCs w:val="0"/>
        </w:rPr>
      </w:r>
    </w:p>
    <w:p>
      <w:pPr>
        <w:spacing w:line="240" w:lineRule="auto" w:before="8"/>
        <w:rPr>
          <w:rFonts w:ascii="宋体" w:hAnsi="宋体" w:cs="宋体" w:eastAsia="宋体" w:hint="default"/>
          <w:b/>
          <w:bCs/>
          <w:sz w:val="35"/>
          <w:szCs w:val="35"/>
        </w:rPr>
      </w:pPr>
    </w:p>
    <w:p>
      <w:pPr>
        <w:spacing w:line="357" w:lineRule="auto" w:before="0"/>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北京数字政通科技股份有限公司：</w:t>
      </w:r>
      <w:r>
        <w:rPr>
          <w:rFonts w:ascii="宋体" w:hAnsi="宋体" w:cs="宋体" w:eastAsia="宋体" w:hint="default"/>
          <w:b/>
          <w:bCs/>
          <w:w w:val="99"/>
          <w:sz w:val="24"/>
          <w:szCs w:val="24"/>
        </w:rPr>
        <w:t> </w:t>
      </w:r>
      <w:r>
        <w:rPr>
          <w:rFonts w:ascii="宋体" w:hAnsi="宋体" w:cs="宋体" w:eastAsia="宋体" w:hint="default"/>
          <w:spacing w:val="-3"/>
          <w:sz w:val="24"/>
          <w:szCs w:val="24"/>
        </w:rPr>
        <w:t>我们审计了后附的北京数字政通科技股份有限公司（以下简称“贵公司”）的财务报表，</w:t>
      </w:r>
    </w:p>
    <w:p>
      <w:pPr>
        <w:pStyle w:val="BodyText"/>
        <w:spacing w:line="357" w:lineRule="auto"/>
        <w:ind w:right="96"/>
        <w:jc w:val="left"/>
      </w:pPr>
      <w:r>
        <w:rPr/>
        <w:t>包括</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日合并及公司的资产负债表，</w:t>
      </w:r>
      <w:r>
        <w:rPr>
          <w:rFonts w:ascii="宋体" w:hAnsi="宋体" w:cs="宋体" w:eastAsia="宋体" w:hint="default"/>
        </w:rPr>
        <w:t>2015</w:t>
      </w:r>
      <w:r>
        <w:rPr/>
        <w:t>年度合并及公司的利润表、合并及公司</w:t>
      </w:r>
      <w:r>
        <w:rPr>
          <w:spacing w:val="-89"/>
        </w:rPr>
        <w:t> </w:t>
      </w:r>
      <w:r>
        <w:rPr>
          <w:spacing w:val="-89"/>
        </w:rPr>
      </w:r>
      <w:r>
        <w:rPr/>
        <w:t>的现金流量表和合并及公司的股东权益变动表以及财务报表附注。</w:t>
      </w:r>
    </w:p>
    <w:p>
      <w:pPr>
        <w:spacing w:line="357" w:lineRule="auto" w:before="36"/>
        <w:ind w:left="633" w:right="96"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编制和公允列报财务报表是贵公司管理层的责任。这种责任包括：（</w:t>
      </w:r>
      <w:r>
        <w:rPr>
          <w:rFonts w:ascii="宋体" w:hAnsi="宋体" w:cs="宋体" w:eastAsia="宋体" w:hint="default"/>
          <w:spacing w:val="-3"/>
          <w:sz w:val="24"/>
          <w:szCs w:val="24"/>
        </w:rPr>
        <w:t>1</w:t>
      </w:r>
      <w:r>
        <w:rPr>
          <w:rFonts w:ascii="宋体" w:hAnsi="宋体" w:cs="宋体" w:eastAsia="宋体" w:hint="default"/>
          <w:spacing w:val="-3"/>
          <w:sz w:val="24"/>
          <w:szCs w:val="24"/>
        </w:rPr>
        <w:t>）按照企业会计准</w:t>
      </w:r>
    </w:p>
    <w:p>
      <w:pPr>
        <w:pStyle w:val="BodyText"/>
        <w:spacing w:line="357" w:lineRule="auto"/>
        <w:ind w:right="96"/>
        <w:jc w:val="left"/>
      </w:pPr>
      <w:r>
        <w:rPr>
          <w:spacing w:val="-3"/>
        </w:rPr>
        <w:t>则的规定编制财务报表，并使其实现公允反映；（</w:t>
      </w:r>
      <w:r>
        <w:rPr>
          <w:rFonts w:ascii="宋体" w:hAnsi="宋体" w:cs="宋体" w:eastAsia="宋体" w:hint="default"/>
          <w:spacing w:val="-3"/>
        </w:rPr>
        <w:t>2</w:t>
      </w:r>
      <w:r>
        <w:rPr>
          <w:spacing w:val="-3"/>
        </w:rPr>
        <w:t>）设计、执行和维护必要的内部控制，以</w:t>
      </w:r>
      <w:r>
        <w:rPr>
          <w:spacing w:val="-83"/>
        </w:rPr>
        <w:t> </w:t>
      </w:r>
      <w:r>
        <w:rPr>
          <w:spacing w:val="-83"/>
        </w:rPr>
      </w:r>
      <w:r>
        <w:rPr/>
        <w:t>使财务报表不存在由于舞弊或错误导致的重大错报。</w:t>
      </w:r>
    </w:p>
    <w:p>
      <w:pPr>
        <w:spacing w:line="357" w:lineRule="auto" w:before="36"/>
        <w:ind w:left="633" w:right="96"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ind w:right="96"/>
        <w:jc w:val="left"/>
      </w:pPr>
      <w:r>
        <w:rPr/>
        <w:t>计师审计准则的规定执行了审计工作。中国注册会计师审计准则要求我们遵守中国注册会计</w:t>
      </w:r>
      <w:r>
        <w:rPr>
          <w:spacing w:val="-91"/>
        </w:rPr>
        <w:t> </w:t>
      </w:r>
      <w:r>
        <w:rPr>
          <w:spacing w:val="-91"/>
        </w:rPr>
      </w:r>
      <w:r>
        <w:rPr/>
        <w:t>师职业道德守则，计划和执行审计工作以对财务报表是否不存在重大错报获取合理保证。</w:t>
      </w:r>
    </w:p>
    <w:p>
      <w:pPr>
        <w:pStyle w:val="BodyText"/>
        <w:spacing w:line="357" w:lineRule="auto"/>
        <w:ind w:right="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pStyle w:val="BodyText"/>
        <w:spacing w:line="240" w:lineRule="auto"/>
        <w:ind w:left="633" w:right="96"/>
        <w:jc w:val="left"/>
      </w:pPr>
      <w:r>
        <w:rPr/>
        <w:t>我们相信，我们获取的审计证据是充分、适当的，为发表审计意见提供了基础。</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3" w:right="153"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我们认为，上述财务报表在所有重大方面按照企业会计准则的规定编制，公允反映了北</w:t>
      </w:r>
    </w:p>
    <w:p>
      <w:pPr>
        <w:pStyle w:val="BodyText"/>
        <w:spacing w:line="357" w:lineRule="auto"/>
        <w:ind w:right="153"/>
        <w:jc w:val="left"/>
      </w:pPr>
      <w:r>
        <w:rPr/>
        <w:t>京数字政通科技股份有限公司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2015</w:t>
      </w:r>
      <w:r>
        <w:rPr/>
        <w:t>年度合并及公</w:t>
      </w:r>
      <w:r>
        <w:rPr>
          <w:spacing w:val="-90"/>
        </w:rPr>
        <w:t> </w:t>
      </w:r>
      <w:r>
        <w:rPr>
          <w:spacing w:val="-90"/>
        </w:rPr>
      </w:r>
      <w:r>
        <w:rPr/>
        <w:t>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4219"/>
        <w:gridCol w:w="3713"/>
      </w:tblGrid>
      <w:tr>
        <w:trPr>
          <w:trHeight w:val="364" w:hRule="exact"/>
        </w:trPr>
        <w:tc>
          <w:tcPr>
            <w:tcW w:w="4219" w:type="dxa"/>
            <w:tcBorders>
              <w:top w:val="nil" w:sz="6" w:space="0" w:color="auto"/>
              <w:left w:val="nil" w:sz="6" w:space="0" w:color="auto"/>
              <w:bottom w:val="nil" w:sz="6" w:space="0" w:color="auto"/>
              <w:right w:val="nil" w:sz="6" w:space="0" w:color="auto"/>
            </w:tcBorders>
          </w:tcPr>
          <w:p>
            <w:pPr>
              <w:pStyle w:val="TableParagraph"/>
              <w:spacing w:line="240" w:lineRule="exact"/>
              <w:ind w:left="20" w:right="0"/>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exact"/>
              <w:ind w:left="179" w:right="0"/>
              <w:jc w:val="left"/>
              <w:rPr>
                <w:rFonts w:ascii="宋体" w:hAnsi="宋体" w:cs="宋体" w:eastAsia="宋体" w:hint="default"/>
                <w:sz w:val="24"/>
                <w:szCs w:val="24"/>
              </w:rPr>
            </w:pPr>
            <w:r>
              <w:rPr>
                <w:rFonts w:ascii="宋体" w:hAnsi="宋体" w:cs="宋体" w:eastAsia="宋体" w:hint="default"/>
                <w:sz w:val="24"/>
                <w:szCs w:val="24"/>
              </w:rPr>
              <w:t>中国注册会计师：苗策</w:t>
            </w:r>
          </w:p>
        </w:tc>
      </w:tr>
      <w:tr>
        <w:trPr>
          <w:trHeight w:val="488" w:hRule="exact"/>
        </w:trPr>
        <w:tc>
          <w:tcPr>
            <w:tcW w:w="421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 w:right="0"/>
              <w:jc w:val="center"/>
              <w:rPr>
                <w:rFonts w:ascii="宋体" w:hAnsi="宋体" w:cs="宋体" w:eastAsia="宋体" w:hint="default"/>
                <w:sz w:val="24"/>
                <w:szCs w:val="24"/>
              </w:rPr>
            </w:pPr>
            <w:r>
              <w:rPr>
                <w:rFonts w:ascii="宋体" w:hAnsi="宋体" w:cs="宋体" w:eastAsia="宋体" w:hint="default"/>
                <w:sz w:val="24"/>
                <w:szCs w:val="24"/>
              </w:rPr>
              <w:t>中国·北京</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79" w:right="0"/>
              <w:jc w:val="left"/>
              <w:rPr>
                <w:rFonts w:ascii="宋体" w:hAnsi="宋体" w:cs="宋体" w:eastAsia="宋体" w:hint="default"/>
                <w:sz w:val="24"/>
                <w:szCs w:val="24"/>
              </w:rPr>
            </w:pPr>
            <w:r>
              <w:rPr>
                <w:rFonts w:ascii="宋体" w:hAnsi="宋体" w:cs="宋体" w:eastAsia="宋体" w:hint="default"/>
                <w:sz w:val="24"/>
                <w:szCs w:val="24"/>
              </w:rPr>
              <w:t>中国注册会计师：薛东升</w:t>
            </w:r>
          </w:p>
        </w:tc>
      </w:tr>
      <w:tr>
        <w:trPr>
          <w:trHeight w:val="365" w:hRule="exact"/>
        </w:trPr>
        <w:tc>
          <w:tcPr>
            <w:tcW w:w="4219" w:type="dxa"/>
            <w:tcBorders>
              <w:top w:val="nil" w:sz="6" w:space="0" w:color="auto"/>
              <w:left w:val="nil" w:sz="6" w:space="0" w:color="auto"/>
              <w:bottom w:val="nil" w:sz="6" w:space="0" w:color="auto"/>
              <w:right w:val="nil" w:sz="6" w:space="0" w:color="auto"/>
            </w:tcBorders>
          </w:tcPr>
          <w:p>
            <w:pP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13" w:right="0"/>
              <w:jc w:val="left"/>
              <w:rPr>
                <w:rFonts w:ascii="宋体" w:hAnsi="宋体" w:cs="宋体" w:eastAsia="宋体" w:hint="default"/>
                <w:sz w:val="24"/>
                <w:szCs w:val="24"/>
              </w:rPr>
            </w:pPr>
            <w:r>
              <w:rPr>
                <w:rFonts w:ascii="宋体" w:hAnsi="宋体" w:cs="宋体" w:eastAsia="宋体" w:hint="default"/>
                <w:sz w:val="24"/>
                <w:szCs w:val="24"/>
              </w:rPr>
              <w:t>二〇一六年四月十八日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2"/>
        <w:spacing w:line="240" w:lineRule="auto" w:before="26"/>
        <w:ind w:right="15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573" w:space="50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583,794,508.77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547,524,539.13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488,407,779.69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364,451,160.39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1,578,899.37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8,237,868.25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68,431,960.85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58,480,330.14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47,173,400.55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46,745,287.17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37,533,130.26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12,297,128.99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68,426,481.29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1,239,216,808.48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1,099,145,666.37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66,768,372.82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72,400,585.59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52,993,094.99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28,969,072.22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83,709,393.59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89,130,206.29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84,863,102.28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27,303,681.54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34,538,330.81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27,283,004.88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27,283,004.88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1,966,842.71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17,597,209.40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9,735,211.27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621,611,484.85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312,762,128.42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1,860,828,293.33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1,411,907,794.79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145,105,044.90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125,139,030.75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15,360,635.48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6,819,724.28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96,433,472.69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53,481,183.89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41,202,320.06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8,093,084.72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17,774,002.56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7,681,729.53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44,040,443.17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17,010,867.09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13,081,090.00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5,498,199.30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193,404,659.75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566,401,668.61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223,723,819.56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10,931,565.54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19,111,959.12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1,090,336.82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2,847,622.49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9,874,545.73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11,281,723.83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27,806,448.09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37,051,305.44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594,208,116.70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260,775,125.00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382,493,310.00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190,142,800.00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423,692,651.56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603,922,238.72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53,295,827.50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41,233,227.07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395,911,324.02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305,655,963.73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1,255,393,113.08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1,140,954,229.52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11,227,063.55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10,178,440.27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1,266,620,176.63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1,151,132,669.79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1,860,828,293.33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1,411,907,794.79</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法定代表人：吴强华</w:t>
        <w:tab/>
      </w:r>
      <w:r>
        <w:rPr>
          <w:rFonts w:ascii="宋体" w:hAnsi="宋体" w:cs="宋体" w:eastAsia="宋体" w:hint="default"/>
          <w:spacing w:val="-1"/>
          <w:sz w:val="18"/>
          <w:szCs w:val="18"/>
        </w:rPr>
        <w:t>主管会计工作负责人：殷小敏</w:t>
        <w:tab/>
      </w:r>
      <w:r>
        <w:rPr>
          <w:rFonts w:ascii="宋体" w:hAnsi="宋体" w:cs="宋体" w:eastAsia="宋体" w:hint="default"/>
          <w:sz w:val="18"/>
          <w:szCs w:val="18"/>
        </w:rPr>
        <w:t>会计机构负责人：向华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540,470,141.51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536,379,125.96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314,396,028.28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245,050,792.30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1,451,282.60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104,186,192.82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78,943,393.92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442,334.66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6,065,662.46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966,569,307.67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926,140,646.84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8,850,835.45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13,765,656.80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52,993,094.99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26,868,436.66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81,450,123.02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43,313,057.75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29,851,826.50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14,979,321.85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27,657,250.73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1,839,676.04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9,580,432.59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4,678,836.19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630,574,855.33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297,303,693.24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1,597,144,163.00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1,223,444,340.08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3,662,525.00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74,436,429.70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34,081,534.38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6,003,048.92</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8,436,760.54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5,808,124.82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33,605,536.38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15,689,984.05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40,124,757.93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34,487,011.70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349,869,058.47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90,066,654.95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913,860.22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2,847,622.49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6,823,860.22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6,657,622.49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356,692,918.69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96,724,277.44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382,493,310.00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190,142,800.00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427,035,404.81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607,264,991.97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53,295,827.50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41,233,227.07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377,626,702.00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288,079,043.60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685.119995pt;width:158.9pt;height:20.65pt;mso-position-horizontal-relative:page;mso-position-vertical-relative:page;z-index:-815080" coordorigin="4220,13702" coordsize="3178,413">
            <v:group style="position:absolute;left:4231;top:13713;width:2;height:392" coordorigin="4231,13713" coordsize="2,392">
              <v:shape style="position:absolute;left:4231;top:13713;width:2;height:392" coordorigin="4231,13713" coordsize="0,392" path="m4231,13713l4231,14104e" filled="false" stroked="true" strokeweight="1.08pt" strokecolor="#ffffff">
                <v:path arrowok="t"/>
              </v:shape>
            </v:group>
            <v:group style="position:absolute;left:4242;top:13713;width:3157;height:392" coordorigin="4242,13713" coordsize="3157,392">
              <v:shape style="position:absolute;left:4242;top:13713;width:3157;height:392" coordorigin="4242,13713" coordsize="3157,392" path="m4242,14104l7398,14104,7398,13713,4242,13713,4242,141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1,240,451,244.31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1,126,720,062.64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1,597,144,163.00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1,223,444,340.08</w:t>
            </w:r>
          </w:p>
        </w:tc>
      </w:tr>
    </w:tbl>
    <w:p>
      <w:pPr>
        <w:spacing w:line="240" w:lineRule="auto" w:before="10"/>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651,135,338.98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546,086,754.32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651,135,338.98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546,086,754.32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562,553,123.11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439,292,738.63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394,335,954.81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303,910,169.09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7,728,455.71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4,768,545.20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49,830,328.58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39,959,907.87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101,109,279.68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82,935,768.92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-9,978,268.87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-9,442,774.90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19,527,373.20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17,161,122.45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149,369.87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88,731,585.74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106,794,015.69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48,783,024.13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26,881,634.33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85,453.75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112.159981pt;width:158.9pt;height:20.65pt;mso-position-horizontal-relative:page;mso-position-vertical-relative:page;z-index:-815056" coordorigin="4220,2243" coordsize="3178,413">
            <v:group style="position:absolute;left:4231;top:2254;width:2;height:392" coordorigin="4231,2254" coordsize="2,392">
              <v:shape style="position:absolute;left:4231;top:2254;width:2;height:392" coordorigin="4231,2254" coordsize="0,392" path="m4231,2254l4231,2645e" filled="false" stroked="true" strokeweight="1.08pt" strokecolor="#ffffff">
                <v:path arrowok="t"/>
              </v:shape>
            </v:group>
            <v:group style="position:absolute;left:4242;top:2254;width:3157;height:392" coordorigin="4242,2254" coordsize="3157,392">
              <v:shape style="position:absolute;left:4242;top:2254;width:3157;height:392" coordorigin="4242,2254" coordsize="3157,392" path="m4242,2645l7398,2645,7398,2254,4242,2254,4242,264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375,689.54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375,684.56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652.49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137,138,920.33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133,674,897.53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16,506,590.83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6,669,458.43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120,632,329.50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127,005,439.10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121,333,706.22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119,057,772.04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-701,376.72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7,947,667.06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120,632,329.50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127,005,439.10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121,333,706.22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119,057,772.04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-701,376.72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7,947,667.06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0.31</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法定代表人：吴强华</w:t>
        <w:tab/>
      </w:r>
      <w:r>
        <w:rPr>
          <w:rFonts w:ascii="宋体" w:hAnsi="宋体" w:cs="宋体" w:eastAsia="宋体" w:hint="default"/>
          <w:spacing w:val="-1"/>
          <w:sz w:val="18"/>
          <w:szCs w:val="18"/>
        </w:rPr>
        <w:t>主管会计工作负责人：殷小敏</w:t>
        <w:tab/>
      </w:r>
      <w:r>
        <w:rPr>
          <w:rFonts w:ascii="宋体" w:hAnsi="宋体" w:cs="宋体" w:eastAsia="宋体" w:hint="default"/>
          <w:sz w:val="18"/>
          <w:szCs w:val="18"/>
        </w:rPr>
        <w:t>会计机构负责人：向华</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468,756,935.87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366,589,763.36</w:t>
            </w:r>
            <w:r>
              <w:rPr>
                <w:rFonts w:ascii="Times New Roman"/>
                <w:sz w:val="18"/>
              </w:rPr>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259,510,748.95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197,682,793.22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5,814,777.34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3,467,758.48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35,313,151.80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24,754,247.04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76,478,008.88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55,176,592.89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-15,157,676.85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-15,608,780.71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8,617,665.90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10,667,542.20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149,369.87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98,329,629.72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90,449,610.24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40,506,218.57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20,362,790.05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85,453.75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375,684.56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375,684.56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652.49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138,460,163.73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110,811,747.80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17,834,159.40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10,518,099.68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120,626,004.33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100,293,648.12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120,626,004.33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100,293,648.12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577,096,409.89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367,933,446.24</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42,112,421.11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26,054,281.48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87,826,064.49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59,114,196.01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707,034,895.49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453,101,923.73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257,345,043.15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263,056,579.59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159,088,365.13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88,114,712.03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62,266,860.45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56,043,676.76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103,829,423.63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105,163,665.82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582,529,692.36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512,378,634.20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124,505,203.13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-59,276,710.47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2,149,369.87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632,416.67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371,755,090.16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374,536,876.70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29,953,327.13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31,181,554.14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371,256,403.63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344,613,327.13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402,437,957.77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29,923,549.57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-402,342,957.77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13,979,322.34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9,416,197.00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337,705,044.90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165,250,000.00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351,684,367.24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174,666,197.00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133,514,764.58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107,393,965.23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28,781,390.66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33,056,298.94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162,296,155.24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164,150,264.17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189,388,212.00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10,515,932.83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343,816,964.70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-451,103,735.41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231,520,124.25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682,623,859.66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575,337,088.95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231,520,124.25</w:t>
            </w:r>
          </w:p>
        </w:tc>
      </w:tr>
    </w:tbl>
    <w:p>
      <w:pPr>
        <w:spacing w:line="240" w:lineRule="auto" w:before="10"/>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446,816,780.35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288,469,572.28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32,273,682.93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23,925,570.29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119,069,892.85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144,019,429.65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598,160,356.13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456,414,572.22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176,589,532.98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150,353,811.79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117,174,938.81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65,242,130.54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52,322,895.13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46,091,614.59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130,810,663.06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177,603,406.81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476,898,029.98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439,290,963.73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121,262,326.15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17,123,608.49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2,149,369.87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371,256,403.63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374,035,773.50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19,805,710.78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29,268,899.28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4"/>
              <w:jc w:val="right"/>
              <w:rPr>
                <w:rFonts w:ascii="Arial" w:hAnsi="Arial" w:cs="Arial" w:eastAsia="Arial" w:hint="default"/>
                <w:sz w:val="20"/>
                <w:szCs w:val="20"/>
              </w:rPr>
            </w:pPr>
            <w:r>
              <w:rPr>
                <w:rFonts w:ascii="Arial"/>
                <w:spacing w:val="-1"/>
                <w:sz w:val="20"/>
              </w:rPr>
              <w:t>26,700,000.00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371,256,403.63</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357,115,710.78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427,225,302.91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16,920,062.72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-427,130,302.91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12,729,322.34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9,416,197.00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196,329,322.34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9,416,197.00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19,347,245.50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19,347,245.50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176,982,076.84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-15,783,803.00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315,164,465.71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-425,790,497.42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220,374,711.08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646,165,208.50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535,539,176.79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220,374,711.08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27"/>
        <w:gridCol w:w="572"/>
        <w:gridCol w:w="533"/>
        <w:gridCol w:w="531"/>
        <w:gridCol w:w="530"/>
        <w:gridCol w:w="665"/>
        <w:gridCol w:w="665"/>
        <w:gridCol w:w="665"/>
        <w:gridCol w:w="665"/>
        <w:gridCol w:w="665"/>
        <w:gridCol w:w="665"/>
        <w:gridCol w:w="665"/>
        <w:gridCol w:w="665"/>
        <w:gridCol w:w="660"/>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27"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190,14</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603,922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,238.72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41,233,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227.07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305,655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,963.73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10,178,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440.27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32,669.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3"/>
              <w:ind w:left="39" w:right="0"/>
              <w:jc w:val="left"/>
              <w:rPr>
                <w:rFonts w:ascii="Times New Roman" w:hAnsi="Times New Roman" w:cs="Times New Roman" w:eastAsia="Times New Roman" w:hint="default"/>
                <w:sz w:val="18"/>
                <w:szCs w:val="18"/>
              </w:rPr>
            </w:pPr>
            <w:r>
              <w:rPr>
                <w:rFonts w:ascii="Times New Roman"/>
                <w:sz w:val="18"/>
              </w:rPr>
              <w:t>190,14</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603,922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,238.72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41,233,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227.07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305,655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,963.73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10,178,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440.27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32,669.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192,35</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0,510.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9,587.1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600.43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90,255,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360.29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1,048,6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23.28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115,487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,506.84</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121,333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,706.22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-701,37</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6.72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120,632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,329.50</w:t>
            </w: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2,193,</w:t>
            </w:r>
          </w:p>
          <w:p>
            <w:pPr>
              <w:pStyle w:val="TableParagraph"/>
              <w:spacing w:line="240" w:lineRule="auto" w:before="105"/>
              <w:ind w:left="39" w:right="0"/>
              <w:jc w:val="left"/>
              <w:rPr>
                <w:rFonts w:ascii="Times New Roman" w:hAnsi="Times New Roman" w:cs="Times New Roman" w:eastAsia="Times New Roman" w:hint="default"/>
                <w:sz w:val="18"/>
                <w:szCs w:val="18"/>
              </w:rPr>
            </w:pPr>
            <w:r>
              <w:rPr>
                <w:rFonts w:ascii="Times New Roman"/>
                <w:sz w:val="18"/>
              </w:rPr>
              <w:t>055.00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9,927,8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67.84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13,870,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922.84</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2" w:right="0"/>
              <w:jc w:val="left"/>
              <w:rPr>
                <w:rFonts w:ascii="Times New Roman" w:hAnsi="Times New Roman" w:cs="Times New Roman" w:eastAsia="Times New Roman" w:hint="default"/>
                <w:sz w:val="18"/>
                <w:szCs w:val="18"/>
              </w:rPr>
            </w:pPr>
            <w:r>
              <w:rPr>
                <w:rFonts w:ascii="Times New Roman"/>
                <w:sz w:val="18"/>
              </w:rPr>
              <w:t>2,193,</w:t>
            </w:r>
          </w:p>
          <w:p>
            <w:pPr>
              <w:pStyle w:val="TableParagraph"/>
              <w:spacing w:line="240" w:lineRule="auto" w:before="102"/>
              <w:ind w:left="39" w:right="0"/>
              <w:jc w:val="left"/>
              <w:rPr>
                <w:rFonts w:ascii="Times New Roman" w:hAnsi="Times New Roman" w:cs="Times New Roman" w:eastAsia="Times New Roman" w:hint="default"/>
                <w:sz w:val="18"/>
                <w:szCs w:val="18"/>
              </w:rPr>
            </w:pPr>
            <w:r>
              <w:rPr>
                <w:rFonts w:ascii="Times New Roman"/>
                <w:sz w:val="18"/>
              </w:rPr>
              <w:t>055.00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9,034,2</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34.84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1,750,0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12,977,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289.84</w:t>
            </w: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893,633</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893,633</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12,062,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600.43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-31,078,</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345.93</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-19,015,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745.50</w:t>
            </w:r>
          </w:p>
        </w:tc>
      </w:tr>
      <w:tr>
        <w:trPr>
          <w:trHeight w:val="39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12,062,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600.43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-12,062,</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600.43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-19,015,</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745.50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-19,015,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745.50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190,15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7,455.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7,455.0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190,15</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7,455.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-190,15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7,455.0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382,49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3,310.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423,692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,651.56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53,295,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827.50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395,911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,324.02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11,227,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063.55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20,176.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4" w:hRule="exact"/>
        </w:trPr>
        <w:tc>
          <w:tcPr>
            <w:tcW w:w="143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3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3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3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658,684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,369.68</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862.26</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221,827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,556.50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22,587,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653.74</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03,442.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r>
      <w:tr>
        <w:trPr>
          <w:trHeight w:val="394" w:hRule="exact"/>
        </w:trPr>
        <w:tc>
          <w:tcPr>
            <w:tcW w:w="14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658,684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31,203,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862.26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221,827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,556.50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22,587,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653.74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03,442.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64,142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-54,762,</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130.96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83,828,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407.23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-12,409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,213.47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90,829,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227.61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119,057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,772.04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7,947,6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67.06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127,005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,439.10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1,142,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8,237,8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69.04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-20,356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,880.53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-10,976,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211.49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1,142,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10,607,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208.51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11,750,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008.51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973,780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973,780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-3,343,1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-20,356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,880.53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-35,229,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364.81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364.81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190,14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603,922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,238.72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41,233,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227.07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305,655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,963.73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10,178,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440.27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32,669.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10"/>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190,142,</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800.00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607,264,9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91.97</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41,233,22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7.07</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288,079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,043.60</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1,126,720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,062.64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190,142,</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800.00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607,264,9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91.97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41,233,22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288,079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,043.60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1,126,720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,062.64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192,350,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510.00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-180,229,</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587.16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12,062,60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89,547,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658.40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113,731,1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81.67</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120,626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,004.33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120,626,0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04.33</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2,193,05</w:t>
            </w:r>
          </w:p>
          <w:p>
            <w:pPr>
              <w:pStyle w:val="TableParagraph"/>
              <w:spacing w:line="240" w:lineRule="auto" w:before="102"/>
              <w:ind w:left="351"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9,927,867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12,120,92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2.84</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2,193,05</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9,034,234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11,227,28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9.84</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893,633.0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893,633.0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12,062,60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-31,078,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345.93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-19,015,7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45.50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12,062,60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-12,062,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600.43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-19,015,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745.50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-19,015,7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45.50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190,157,</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-190,157,</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455.00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190,157,</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-190,157,</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455.00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382,493,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310.00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427,035,4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53,295,82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377,626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1,240,451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,244.31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658,684,0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03.46</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31,203,86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2.26</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223,014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,760.29</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1,038,902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,626.01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658,684,0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03.46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31,203,86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223,014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,760.29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1,038,902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,626.01</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64,142,8</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-51,419,0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10,029,36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65,064,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283.31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87,817,43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6.63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100,293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100,293,6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48.12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1,142,80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11,580,98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12,723,78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8.51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1,142,80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10,607,20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11,750,00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8.51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10,029,36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-35,229,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364.81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10,029,36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364.81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190,142,</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607,264,9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91.97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41,233,22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288,079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,043.60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1,126,720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,062.64</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34" w:firstLine="482"/>
        <w:jc w:val="left"/>
      </w:pPr>
      <w:r>
        <w:rPr>
          <w:spacing w:val="-2"/>
        </w:rPr>
        <w:t>北京数字政通科技股份有限公司（以下简称“公司”或“本公司”）是</w:t>
      </w:r>
      <w:r>
        <w:rPr>
          <w:rFonts w:ascii="宋体" w:hAnsi="宋体" w:cs="宋体" w:eastAsia="宋体" w:hint="default"/>
          <w:spacing w:val="-2"/>
        </w:rPr>
        <w:t>2001</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6</w:t>
      </w:r>
      <w:r>
        <w:rPr>
          <w:spacing w:val="-2"/>
        </w:rPr>
        <w:t>日经</w:t>
      </w:r>
      <w:r>
        <w:rPr/>
        <w:t> 北京市工商行政管理局批准成立的有限责任公司，成立时注册公司名称为北京数字通图科技</w:t>
      </w:r>
      <w:r>
        <w:rPr>
          <w:spacing w:val="-91"/>
        </w:rPr>
        <w:t> </w:t>
      </w:r>
      <w:r>
        <w:rPr>
          <w:spacing w:val="-91"/>
        </w:rPr>
      </w:r>
      <w:r>
        <w:rPr>
          <w:spacing w:val="-2"/>
        </w:rPr>
        <w:t>有限公司，</w:t>
      </w:r>
      <w:r>
        <w:rPr>
          <w:rFonts w:ascii="宋体" w:hAnsi="宋体" w:cs="宋体" w:eastAsia="宋体" w:hint="default"/>
          <w:spacing w:val="-2"/>
        </w:rPr>
        <w:t>2003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7</w:t>
      </w:r>
      <w:r>
        <w:rPr>
          <w:spacing w:val="-2"/>
        </w:rPr>
        <w:t>日更名为北京数字政通科技有限公司。</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日经整体变更设立</w:t>
      </w:r>
      <w:r>
        <w:rPr>
          <w:spacing w:val="-107"/>
        </w:rPr>
        <w:t> </w:t>
      </w:r>
      <w:r>
        <w:rPr/>
        <w:t>股份有限公司，更名为北京数字政通科技股份有限公司，注册资本</w:t>
      </w:r>
      <w:r>
        <w:rPr>
          <w:rFonts w:ascii="宋体" w:hAnsi="宋体" w:cs="宋体" w:eastAsia="宋体" w:hint="default"/>
        </w:rPr>
        <w:t>4,200</w:t>
      </w:r>
      <w:r>
        <w:rPr/>
        <w:t>万元。</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14</w:t>
      </w:r>
      <w:r>
        <w:rPr>
          <w:rFonts w:ascii="宋体" w:hAnsi="宋体" w:cs="宋体" w:eastAsia="宋体" w:hint="default"/>
          <w:spacing w:val="-90"/>
        </w:rPr>
        <w:t> </w:t>
      </w:r>
      <w:r>
        <w:rPr>
          <w:spacing w:val="3"/>
        </w:rPr>
        <w:t>日公司向社会公众公开发行流通股</w:t>
      </w:r>
      <w:r>
        <w:rPr>
          <w:rFonts w:ascii="宋体" w:hAnsi="宋体" w:cs="宋体" w:eastAsia="宋体" w:hint="default"/>
          <w:spacing w:val="3"/>
        </w:rPr>
        <w:t>1,400</w:t>
      </w:r>
      <w:r>
        <w:rPr>
          <w:spacing w:val="3"/>
        </w:rPr>
        <w:t>万股，并在深圳证券交易所上市交易，股票代码为</w:t>
      </w:r>
      <w:r>
        <w:rPr>
          <w:spacing w:val="-108"/>
        </w:rPr>
        <w:t> </w:t>
      </w:r>
      <w:r>
        <w:rPr>
          <w:spacing w:val="-108"/>
        </w:rPr>
      </w:r>
      <w:r>
        <w:rPr>
          <w:rFonts w:ascii="宋体" w:hAnsi="宋体" w:cs="宋体" w:eastAsia="宋体" w:hint="default"/>
          <w:spacing w:val="-2"/>
        </w:rPr>
        <w:t>300075</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日，经公司</w:t>
      </w:r>
      <w:r>
        <w:rPr>
          <w:rFonts w:ascii="宋体" w:hAnsi="宋体" w:cs="宋体" w:eastAsia="宋体" w:hint="default"/>
          <w:spacing w:val="-2"/>
        </w:rPr>
        <w:t>2010</w:t>
      </w:r>
      <w:r>
        <w:rPr>
          <w:spacing w:val="-2"/>
        </w:rPr>
        <w:t>年年度股东大会审议通过了《</w:t>
      </w:r>
      <w:r>
        <w:rPr>
          <w:rFonts w:ascii="宋体" w:hAnsi="宋体" w:cs="宋体" w:eastAsia="宋体" w:hint="default"/>
          <w:spacing w:val="-2"/>
        </w:rPr>
        <w:t>2010</w:t>
      </w:r>
      <w:r>
        <w:rPr>
          <w:spacing w:val="-2"/>
        </w:rPr>
        <w:t>年度利润分配和资本</w:t>
      </w:r>
      <w:r>
        <w:rPr>
          <w:spacing w:val="-99"/>
        </w:rPr>
        <w:t> </w:t>
      </w:r>
      <w:r>
        <w:rPr/>
        <w:t>公积金转增股本的议案》，以</w:t>
      </w:r>
      <w:r>
        <w:rPr>
          <w:rFonts w:ascii="宋体" w:hAnsi="宋体" w:cs="宋体" w:eastAsia="宋体" w:hint="default"/>
        </w:rPr>
        <w:t>2010</w:t>
      </w:r>
      <w:r>
        <w:rPr/>
        <w:t>年末总股本</w:t>
      </w:r>
      <w:r>
        <w:rPr>
          <w:rFonts w:ascii="宋体" w:hAnsi="宋体" w:cs="宋体" w:eastAsia="宋体" w:hint="default"/>
        </w:rPr>
        <w:t>5,600</w:t>
      </w:r>
      <w:r>
        <w:rPr/>
        <w:t>万股为基数，以资本公积金每</w:t>
      </w:r>
      <w:r>
        <w:rPr>
          <w:rFonts w:ascii="宋体" w:hAnsi="宋体" w:cs="宋体" w:eastAsia="宋体" w:hint="default"/>
        </w:rPr>
        <w:t>10</w:t>
      </w:r>
      <w:r>
        <w:rPr/>
        <w:t>股转增</w:t>
      </w:r>
      <w:r>
        <w:rPr>
          <w:rFonts w:ascii="宋体" w:hAnsi="宋体" w:cs="宋体" w:eastAsia="宋体" w:hint="default"/>
        </w:rPr>
        <w:t>5</w:t>
      </w:r>
      <w:r>
        <w:rPr>
          <w:rFonts w:ascii="宋体" w:hAnsi="宋体" w:cs="宋体" w:eastAsia="宋体" w:hint="default"/>
          <w:spacing w:val="-89"/>
        </w:rPr>
        <w:t> </w:t>
      </w:r>
      <w:r>
        <w:rPr/>
        <w:t>股，共计</w:t>
      </w:r>
      <w:r>
        <w:rPr>
          <w:rFonts w:ascii="宋体" w:hAnsi="宋体" w:cs="宋体" w:eastAsia="宋体" w:hint="default"/>
        </w:rPr>
        <w:t>2,800</w:t>
      </w:r>
      <w:r>
        <w:rPr/>
        <w:t>万股。</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16</w:t>
      </w:r>
      <w:r>
        <w:rPr/>
        <w:t>日，经公司董事会决议审议通过了《</w:t>
      </w:r>
      <w:r>
        <w:rPr>
          <w:rFonts w:ascii="宋体" w:hAnsi="宋体" w:cs="宋体" w:eastAsia="宋体" w:hint="default"/>
        </w:rPr>
        <w:t>2012</w:t>
      </w:r>
      <w:r>
        <w:rPr/>
        <w:t>年度利润分配预</w:t>
      </w:r>
      <w:r>
        <w:rPr>
          <w:spacing w:val="-90"/>
        </w:rPr>
        <w:t> </w:t>
      </w:r>
      <w:r>
        <w:rPr>
          <w:spacing w:val="-90"/>
        </w:rPr>
      </w:r>
      <w:r>
        <w:rPr/>
        <w:t>案》，以</w:t>
      </w:r>
      <w:r>
        <w:rPr>
          <w:rFonts w:ascii="宋体" w:hAnsi="宋体" w:cs="宋体" w:eastAsia="宋体" w:hint="default"/>
        </w:rPr>
        <w:t>2012</w:t>
      </w:r>
      <w:r>
        <w:rPr/>
        <w:t>年末总股本</w:t>
      </w:r>
      <w:r>
        <w:rPr>
          <w:rFonts w:ascii="宋体" w:hAnsi="宋体" w:cs="宋体" w:eastAsia="宋体" w:hint="default"/>
        </w:rPr>
        <w:t>8,400</w:t>
      </w:r>
      <w:r>
        <w:rPr/>
        <w:t>万股为基数，以资本公积金每</w:t>
      </w:r>
      <w:r>
        <w:rPr>
          <w:rFonts w:ascii="宋体" w:hAnsi="宋体" w:cs="宋体" w:eastAsia="宋体" w:hint="default"/>
        </w:rPr>
        <w:t>10</w:t>
      </w:r>
      <w:r>
        <w:rPr/>
        <w:t>股转增</w:t>
      </w:r>
      <w:r>
        <w:rPr>
          <w:rFonts w:ascii="宋体" w:hAnsi="宋体" w:cs="宋体" w:eastAsia="宋体" w:hint="default"/>
        </w:rPr>
        <w:t>5</w:t>
      </w:r>
      <w:r>
        <w:rPr/>
        <w:t>股，共计</w:t>
      </w:r>
      <w:r>
        <w:rPr>
          <w:rFonts w:ascii="宋体" w:hAnsi="宋体" w:cs="宋体" w:eastAsia="宋体" w:hint="default"/>
        </w:rPr>
        <w:t>4,200</w:t>
      </w:r>
      <w:r>
        <w:rPr/>
        <w:t>万股。 </w:t>
      </w:r>
      <w:r>
        <w:rPr>
          <w:rFonts w:ascii="宋体" w:hAnsi="宋体" w:cs="宋体" w:eastAsia="宋体" w:hint="default"/>
          <w:spacing w:val="3"/>
        </w:rPr>
        <w:t>2014</w:t>
      </w:r>
      <w:r>
        <w:rPr>
          <w:spacing w:val="3"/>
        </w:rPr>
        <w:t>年</w:t>
      </w:r>
      <w:r>
        <w:rPr>
          <w:rFonts w:ascii="宋体" w:hAnsi="宋体" w:cs="宋体" w:eastAsia="宋体" w:hint="default"/>
          <w:spacing w:val="3"/>
        </w:rPr>
        <w:t>5</w:t>
      </w:r>
      <w:r>
        <w:rPr>
          <w:spacing w:val="3"/>
        </w:rPr>
        <w:t>月，经公司董事会决议审议通过了《</w:t>
      </w:r>
      <w:r>
        <w:rPr>
          <w:rFonts w:ascii="宋体" w:hAnsi="宋体" w:cs="宋体" w:eastAsia="宋体" w:hint="default"/>
          <w:spacing w:val="3"/>
        </w:rPr>
        <w:t>2014</w:t>
      </w:r>
      <w:r>
        <w:rPr>
          <w:spacing w:val="3"/>
        </w:rPr>
        <w:t>年度利润分配方案》，以</w:t>
      </w:r>
      <w:r>
        <w:rPr>
          <w:rFonts w:ascii="宋体" w:hAnsi="宋体" w:cs="宋体" w:eastAsia="宋体" w:hint="default"/>
          <w:spacing w:val="3"/>
        </w:rPr>
        <w:t>2013</w:t>
      </w:r>
      <w:r>
        <w:rPr>
          <w:spacing w:val="3"/>
        </w:rPr>
        <w:t>年末总股本</w:t>
      </w:r>
      <w:r>
        <w:rPr/>
      </w:r>
    </w:p>
    <w:p>
      <w:pPr>
        <w:pStyle w:val="BodyText"/>
        <w:spacing w:line="357" w:lineRule="auto"/>
        <w:ind w:right="227"/>
        <w:jc w:val="both"/>
      </w:pPr>
      <w:r>
        <w:rPr>
          <w:rFonts w:ascii="宋体" w:hAnsi="宋体" w:cs="宋体" w:eastAsia="宋体" w:hint="default"/>
        </w:rPr>
        <w:t>12,600</w:t>
      </w:r>
      <w:r>
        <w:rPr/>
        <w:t>万股为基数，以资本公积金每</w:t>
      </w:r>
      <w:r>
        <w:rPr>
          <w:rFonts w:ascii="宋体" w:hAnsi="宋体" w:cs="宋体" w:eastAsia="宋体" w:hint="default"/>
        </w:rPr>
        <w:t>10</w:t>
      </w:r>
      <w:r>
        <w:rPr/>
        <w:t>股转增</w:t>
      </w:r>
      <w:r>
        <w:rPr>
          <w:rFonts w:ascii="宋体" w:hAnsi="宋体" w:cs="宋体" w:eastAsia="宋体" w:hint="default"/>
        </w:rPr>
        <w:t>5</w:t>
      </w:r>
      <w:r>
        <w:rPr/>
        <w:t>股，共计</w:t>
      </w:r>
      <w:r>
        <w:rPr>
          <w:rFonts w:ascii="宋体" w:hAnsi="宋体" w:cs="宋体" w:eastAsia="宋体" w:hint="default"/>
        </w:rPr>
        <w:t>6,300</w:t>
      </w:r>
      <w:r>
        <w:rPr/>
        <w:t>万股。</w:t>
      </w:r>
      <w:r>
        <w:rPr>
          <w:rFonts w:ascii="宋体" w:hAnsi="宋体" w:cs="宋体" w:eastAsia="宋体" w:hint="default"/>
        </w:rPr>
        <w:t>2014</w:t>
      </w:r>
      <w:r>
        <w:rPr/>
        <w:t>年股票期权行权增</w:t>
      </w:r>
      <w:r>
        <w:rPr>
          <w:spacing w:val="-88"/>
        </w:rPr>
        <w:t> </w:t>
      </w:r>
      <w:r>
        <w:rPr>
          <w:spacing w:val="-88"/>
        </w:rPr>
      </w:r>
      <w:r>
        <w:rPr>
          <w:spacing w:val="-2"/>
        </w:rPr>
        <w:t>加股本</w:t>
      </w:r>
      <w:r>
        <w:rPr>
          <w:rFonts w:ascii="宋体" w:hAnsi="宋体" w:cs="宋体" w:eastAsia="宋体" w:hint="default"/>
          <w:spacing w:val="-2"/>
        </w:rPr>
        <w:t>114.28</w:t>
      </w:r>
      <w:r>
        <w:rPr>
          <w:spacing w:val="-2"/>
        </w:rPr>
        <w:t>万股。</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月，经公司股东大会决议审计通过了《</w:t>
      </w:r>
      <w:r>
        <w:rPr>
          <w:rFonts w:ascii="宋体" w:hAnsi="宋体" w:cs="宋体" w:eastAsia="宋体" w:hint="default"/>
          <w:spacing w:val="-2"/>
        </w:rPr>
        <w:t>2014</w:t>
      </w:r>
      <w:r>
        <w:rPr>
          <w:spacing w:val="-2"/>
        </w:rPr>
        <w:t>年利润分配方案》以</w:t>
      </w:r>
      <w:r>
        <w:rPr>
          <w:spacing w:val="-106"/>
        </w:rPr>
        <w:t> </w:t>
      </w:r>
      <w:r>
        <w:rPr>
          <w:spacing w:val="-106"/>
        </w:rPr>
      </w:r>
      <w:r>
        <w:rPr/>
        <w:t>总股本</w:t>
      </w:r>
      <w:r>
        <w:rPr>
          <w:rFonts w:ascii="宋体" w:hAnsi="宋体" w:cs="宋体" w:eastAsia="宋体" w:hint="default"/>
        </w:rPr>
        <w:t>190,157,455.00</w:t>
      </w:r>
      <w:r>
        <w:rPr/>
        <w:t>为基数，以资本公积向全体股东每</w:t>
      </w:r>
      <w:r>
        <w:rPr>
          <w:rFonts w:ascii="宋体" w:hAnsi="宋体" w:cs="宋体" w:eastAsia="宋体" w:hint="default"/>
        </w:rPr>
        <w:t>10</w:t>
      </w:r>
      <w:r>
        <w:rPr/>
        <w:t>股转增</w:t>
      </w:r>
      <w:r>
        <w:rPr>
          <w:rFonts w:ascii="宋体" w:hAnsi="宋体" w:cs="宋体" w:eastAsia="宋体" w:hint="default"/>
        </w:rPr>
        <w:t>10</w:t>
      </w:r>
      <w:r>
        <w:rPr/>
        <w:t>股，</w:t>
      </w:r>
      <w:r>
        <w:rPr>
          <w:rFonts w:ascii="宋体" w:hAnsi="宋体" w:cs="宋体" w:eastAsia="宋体" w:hint="default"/>
        </w:rPr>
        <w:t>2015</w:t>
      </w:r>
      <w:r>
        <w:rPr/>
        <w:t>年度股票期权</w:t>
      </w:r>
      <w:r>
        <w:rPr>
          <w:spacing w:val="-89"/>
        </w:rPr>
        <w:t> </w:t>
      </w:r>
      <w:r>
        <w:rPr>
          <w:spacing w:val="-89"/>
        </w:rPr>
      </w:r>
      <w:r>
        <w:rPr/>
        <w:t>行权增加股份</w:t>
      </w:r>
      <w:r>
        <w:rPr>
          <w:rFonts w:ascii="宋体" w:hAnsi="宋体" w:cs="宋体" w:eastAsia="宋体" w:hint="default"/>
        </w:rPr>
        <w:t>2,178,400.00</w:t>
      </w:r>
      <w:r>
        <w:rPr/>
        <w:t>股，截至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382,493,310.00</w:t>
      </w:r>
      <w:r>
        <w:rPr/>
        <w:t>股。公司的</w:t>
      </w:r>
      <w:r>
        <w:rPr>
          <w:spacing w:val="-83"/>
        </w:rPr>
        <w:t> </w:t>
      </w:r>
      <w:r>
        <w:rPr>
          <w:spacing w:val="-83"/>
        </w:rPr>
      </w:r>
      <w:r>
        <w:rPr>
          <w:spacing w:val="-2"/>
        </w:rPr>
        <w:t>法定代表人为吴强华，营业执照注册号：</w:t>
      </w:r>
      <w:r>
        <w:rPr>
          <w:rFonts w:ascii="宋体" w:hAnsi="宋体" w:cs="宋体" w:eastAsia="宋体" w:hint="default"/>
          <w:spacing w:val="-2"/>
        </w:rPr>
        <w:t>110108003382370</w:t>
      </w:r>
      <w:r>
        <w:rPr>
          <w:spacing w:val="-2"/>
        </w:rPr>
        <w:t>，注册地址：北京市海淀区西直门</w:t>
      </w:r>
      <w:r>
        <w:rPr>
          <w:spacing w:val="-105"/>
        </w:rPr>
        <w:t> </w:t>
      </w:r>
      <w:r>
        <w:rPr>
          <w:spacing w:val="-105"/>
        </w:rPr>
      </w:r>
      <w:r>
        <w:rPr/>
        <w:t>北大街</w:t>
      </w:r>
      <w:r>
        <w:rPr>
          <w:rFonts w:ascii="宋体" w:hAnsi="宋体" w:cs="宋体" w:eastAsia="宋体" w:hint="default"/>
        </w:rPr>
        <w:t>32</w:t>
      </w:r>
      <w:r>
        <w:rPr/>
        <w:t>号枫蓝国际中心</w:t>
      </w:r>
      <w:r>
        <w:rPr>
          <w:rFonts w:ascii="宋体" w:hAnsi="宋体" w:cs="宋体" w:eastAsia="宋体" w:hint="default"/>
        </w:rPr>
        <w:t>A</w:t>
      </w:r>
      <w:r>
        <w:rPr/>
        <w:t>座</w:t>
      </w:r>
      <w:r>
        <w:rPr>
          <w:rFonts w:ascii="宋体" w:hAnsi="宋体" w:cs="宋体" w:eastAsia="宋体" w:hint="default"/>
        </w:rPr>
        <w:t>18</w:t>
      </w:r>
      <w:r>
        <w:rPr/>
        <w:t>层。</w:t>
      </w:r>
    </w:p>
    <w:p>
      <w:pPr>
        <w:pStyle w:val="BodyText"/>
        <w:spacing w:line="357" w:lineRule="auto"/>
        <w:ind w:right="96" w:firstLine="482"/>
        <w:jc w:val="left"/>
      </w:pPr>
      <w:r>
        <w:rPr/>
        <w:t>公司经营范围为：许可经营项目：专业承包。一般经营项目：基础软件服务、应用软件 </w:t>
      </w:r>
      <w:r>
        <w:rPr>
          <w:spacing w:val="-3"/>
        </w:rPr>
        <w:t>服务、技术开发、技术转让、技术服务、技术咨询、技术推广；产品设计；计算机系统服务；</w:t>
      </w:r>
      <w:r>
        <w:rPr>
          <w:spacing w:val="-81"/>
        </w:rPr>
        <w:t> </w:t>
      </w:r>
      <w:r>
        <w:rPr>
          <w:spacing w:val="-81"/>
        </w:rPr>
      </w:r>
      <w:r>
        <w:rPr/>
        <w:t>数据处理；经济贸易资讯；投资咨询；项目投资；投资管理；资产管理；货物进出口、技术</w:t>
      </w:r>
      <w:r>
        <w:rPr>
          <w:spacing w:val="-91"/>
        </w:rPr>
        <w:t> </w:t>
      </w:r>
      <w:r>
        <w:rPr>
          <w:spacing w:val="-91"/>
        </w:rPr>
      </w:r>
      <w:r>
        <w:rPr/>
        <w:t>进出口、代理进出口；销售通讯设备、电子产品、计算机、软件及辅助设备。</w:t>
      </w:r>
    </w:p>
    <w:p>
      <w:pPr>
        <w:pStyle w:val="BodyText"/>
        <w:spacing w:line="357" w:lineRule="auto"/>
        <w:ind w:left="635" w:right="101"/>
        <w:jc w:val="left"/>
      </w:pPr>
      <w:r>
        <w:rPr/>
        <w:t>本财务报表业经本公司董事会于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日决议批准报出。 </w:t>
      </w:r>
      <w:r>
        <w:rPr>
          <w:spacing w:val="-5"/>
        </w:rPr>
        <w:t>本公司</w:t>
      </w:r>
      <w:r>
        <w:rPr>
          <w:rFonts w:ascii="宋体" w:hAnsi="宋体" w:cs="宋体" w:eastAsia="宋体" w:hint="default"/>
          <w:spacing w:val="-5"/>
        </w:rPr>
        <w:t>2015</w:t>
      </w:r>
      <w:r>
        <w:rPr>
          <w:spacing w:val="-5"/>
        </w:rPr>
        <w:t>年度纳入合并范围的子公司共</w:t>
      </w:r>
      <w:r>
        <w:rPr>
          <w:rFonts w:ascii="宋体" w:hAnsi="宋体" w:cs="宋体" w:eastAsia="宋体" w:hint="default"/>
          <w:spacing w:val="-5"/>
        </w:rPr>
        <w:t>8</w:t>
      </w:r>
      <w:r>
        <w:rPr>
          <w:spacing w:val="-5"/>
        </w:rPr>
        <w:t>户，详见“本附注九、在其他主体中的权益”。</w:t>
      </w:r>
    </w:p>
    <w:p>
      <w:pPr>
        <w:pStyle w:val="BodyText"/>
        <w:spacing w:line="240" w:lineRule="auto"/>
        <w:ind w:right="0"/>
        <w:jc w:val="both"/>
      </w:pPr>
      <w:r>
        <w:rPr/>
        <w:t>本公司本年度合并范围比上年度增加</w:t>
      </w:r>
      <w:r>
        <w:rPr>
          <w:rFonts w:ascii="宋体" w:hAnsi="宋体" w:cs="宋体" w:eastAsia="宋体" w:hint="default"/>
        </w:rPr>
        <w:t>2</w:t>
      </w:r>
      <w:r>
        <w:rPr/>
        <w:t>户，详见“本附注八、合并范围的变更”。</w:t>
      </w:r>
    </w:p>
    <w:p>
      <w:pPr>
        <w:spacing w:after="0" w:line="240" w:lineRule="auto"/>
        <w:jc w:val="both"/>
        <w:sectPr>
          <w:pgSz w:w="11910" w:h="16840"/>
          <w:pgMar w:header="745" w:footer="979" w:top="1060" w:bottom="1160" w:left="980" w:right="90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2" w:firstLine="482"/>
        <w:jc w:val="both"/>
      </w:pPr>
      <w:r>
        <w:rPr/>
        <w:t>本公司财务报表以持续经营假设为基础，根据实际发生的交易和事项，按照财政部发布 的《企业会计准则——基本准则》（财政部令第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rFonts w:ascii="宋体" w:hAnsi="宋体" w:cs="宋体" w:eastAsia="宋体" w:hint="default"/>
          <w:spacing w:val="-90"/>
        </w:rPr>
        <w:t> </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15</w:t>
      </w:r>
      <w:r>
        <w:rPr>
          <w:spacing w:val="-2"/>
        </w:rPr>
        <w:t>日及其后颁布和修订的</w:t>
      </w:r>
      <w:r>
        <w:rPr>
          <w:rFonts w:ascii="宋体" w:hAnsi="宋体" w:cs="宋体" w:eastAsia="宋体" w:hint="default"/>
          <w:spacing w:val="-2"/>
        </w:rPr>
        <w:t>41</w:t>
      </w:r>
      <w:r>
        <w:rPr>
          <w:spacing w:val="-2"/>
        </w:rPr>
        <w:t>项具体会计准则、企业会计准则应用指南、企业会计准则解</w:t>
      </w:r>
      <w:r>
        <w:rPr>
          <w:spacing w:val="-116"/>
        </w:rPr>
        <w:t> </w:t>
      </w:r>
      <w:r>
        <w:rPr>
          <w:spacing w:val="-116"/>
        </w:rPr>
      </w:r>
      <w:r>
        <w:rPr/>
        <w:t>释及其他相关规定（以下合称“企业会计准则”），以及中国证券监督管理委员会《公开发</w:t>
      </w:r>
      <w:r>
        <w:rPr>
          <w:spacing w:val="-89"/>
        </w:rPr>
        <w:t> </w:t>
      </w:r>
      <w:r>
        <w:rPr>
          <w:spacing w:val="-89"/>
        </w:rPr>
      </w:r>
      <w:r>
        <w:rPr/>
        <w:t>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w:t>
      </w:r>
      <w:r>
        <w:rPr>
          <w:spacing w:val="-90"/>
        </w:rPr>
        <w:t> </w:t>
      </w:r>
      <w:r>
        <w:rPr>
          <w:spacing w:val="-90"/>
        </w:rPr>
      </w:r>
      <w:r>
        <w:rPr/>
        <w:t>定编制。</w:t>
      </w:r>
    </w:p>
    <w:p>
      <w:pPr>
        <w:pStyle w:val="BodyText"/>
        <w:spacing w:line="357" w:lineRule="auto"/>
        <w:ind w:right="158" w:firstLine="482"/>
        <w:jc w:val="both"/>
      </w:pPr>
      <w:r>
        <w:rPr/>
        <w:t>根据企业会计准则的相关规定，本公司会计核算以权责发生制为基础。本财务报表均以 历史成本为计量基础。资产如果发生减值，则按照相关规定计提相应的减值准备。</w:t>
      </w:r>
    </w:p>
    <w:p>
      <w:pPr>
        <w:spacing w:line="240" w:lineRule="auto" w:before="11"/>
        <w:rPr>
          <w:rFonts w:ascii="宋体" w:hAnsi="宋体" w:cs="宋体" w:eastAsia="宋体" w:hint="default"/>
          <w:sz w:val="19"/>
          <w:szCs w:val="19"/>
        </w:rPr>
      </w:pPr>
    </w:p>
    <w:p>
      <w:pPr>
        <w:pStyle w:val="Heading2"/>
        <w:spacing w:line="240" w:lineRule="auto"/>
        <w:ind w:right="15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57" w:lineRule="auto" w:before="145"/>
        <w:ind w:right="158" w:firstLine="482"/>
        <w:jc w:val="both"/>
      </w:pPr>
      <w:r>
        <w:rPr/>
        <w:t>本公司及各子公司从事计算机服务经营。本公司及各子公司根据实际生产经营特点，依 据相关企业会计准则的规定，对收入确认、研究开发支出等交易和事项制定了若干项具体会</w:t>
      </w:r>
      <w:r>
        <w:rPr>
          <w:spacing w:val="-91"/>
        </w:rPr>
        <w:t> </w:t>
      </w:r>
      <w:r>
        <w:rPr>
          <w:spacing w:val="-91"/>
        </w:rPr>
      </w:r>
      <w:r>
        <w:rPr/>
        <w:t>计政策和会计估计，详见本附注</w:t>
      </w:r>
      <w:r>
        <w:rPr>
          <w:rFonts w:ascii="宋体" w:hAnsi="宋体" w:cs="宋体" w:eastAsia="宋体" w:hint="default"/>
        </w:rPr>
        <w:t>22</w:t>
      </w:r>
      <w:r>
        <w:rPr/>
        <w:t>、“收入”、</w:t>
      </w:r>
      <w:r>
        <w:rPr>
          <w:rFonts w:ascii="宋体" w:hAnsi="宋体" w:cs="宋体" w:eastAsia="宋体" w:hint="default"/>
        </w:rPr>
        <w:t>16</w:t>
      </w:r>
      <w:r>
        <w:rPr/>
        <w:t>、“无形资产”各项描述。</w:t>
      </w:r>
    </w:p>
    <w:p>
      <w:pPr>
        <w:spacing w:line="240" w:lineRule="auto" w:before="10"/>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3" w:firstLine="482"/>
        <w:jc w:val="both"/>
      </w:pPr>
      <w:r>
        <w:rPr/>
        <w:t>本公司编制的财务报表符合企业会计准则的要求，真实、完整地反映了本公司</w:t>
      </w:r>
      <w:r>
        <w:rPr>
          <w:rFonts w:ascii="宋体" w:hAnsi="宋体" w:cs="宋体" w:eastAsia="宋体" w:hint="default"/>
        </w:rPr>
        <w:t>2015</w:t>
      </w:r>
      <w:r>
        <w:rPr/>
        <w:t>年</w:t>
      </w:r>
      <w:r>
        <w:rPr>
          <w:rFonts w:ascii="宋体" w:hAnsi="宋体" w:cs="宋体" w:eastAsia="宋体" w:hint="default"/>
        </w:rPr>
        <w:t>12 </w:t>
      </w:r>
      <w:r>
        <w:rPr/>
        <w:t>月</w:t>
      </w:r>
      <w:r>
        <w:rPr>
          <w:rFonts w:ascii="宋体" w:hAnsi="宋体" w:cs="宋体" w:eastAsia="宋体" w:hint="default"/>
        </w:rPr>
        <w:t>31</w:t>
      </w:r>
      <w:r>
        <w:rPr/>
        <w:t>日的财务状况及</w:t>
      </w:r>
      <w:r>
        <w:rPr>
          <w:rFonts w:ascii="宋体" w:hAnsi="宋体" w:cs="宋体" w:eastAsia="宋体" w:hint="default"/>
        </w:rPr>
        <w:t>2015</w:t>
      </w:r>
      <w:r>
        <w:rPr/>
        <w:t>年度的经营成果和现金流量等有关信息。此外，本公司的财务报表</w:t>
      </w:r>
      <w:r>
        <w:rPr>
          <w:spacing w:val="-91"/>
        </w:rPr>
        <w:t> </w:t>
      </w:r>
      <w:r>
        <w:rPr>
          <w:spacing w:val="-91"/>
        </w:rPr>
      </w:r>
      <w:r>
        <w:rPr/>
        <w:t>在所有重大方面符合中国证券监督管理委员会</w:t>
      </w:r>
      <w:r>
        <w:rPr>
          <w:rFonts w:ascii="宋体" w:hAnsi="宋体" w:cs="宋体" w:eastAsia="宋体" w:hint="default"/>
        </w:rPr>
        <w:t>2014</w:t>
      </w:r>
      <w:r>
        <w:rPr/>
        <w:t>年修订的《公开发行证券的公司信息披露</w:t>
      </w:r>
      <w:r>
        <w:rPr>
          <w:spacing w:val="-88"/>
        </w:rPr>
        <w:t> </w:t>
      </w:r>
      <w:r>
        <w:rPr>
          <w:spacing w:val="-88"/>
        </w:rPr>
      </w:r>
      <w:r>
        <w:rPr/>
        <w:t>编报规则第</w:t>
      </w:r>
      <w:r>
        <w:rPr>
          <w:rFonts w:ascii="宋体" w:hAnsi="宋体" w:cs="宋体" w:eastAsia="宋体" w:hint="default"/>
        </w:rPr>
        <w:t>15</w:t>
      </w:r>
      <w:r>
        <w:rPr/>
        <w:t>号－财务报告的一般规定》有关财务报表及其附注的披露要求。</w:t>
      </w:r>
    </w:p>
    <w:p>
      <w:pPr>
        <w:spacing w:line="240" w:lineRule="auto" w:before="10"/>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8" w:firstLine="482"/>
        <w:jc w:val="both"/>
      </w:pPr>
      <w:r>
        <w:rPr/>
        <w:t>本公司的会计期间分为年度和中期，会计中期指短于一个完整的会计年度的报告期间。 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0"/>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635" w:right="0"/>
        <w:jc w:val="left"/>
      </w:pPr>
      <w:r>
        <w:rPr/>
        <w:t>正常营业周期是指本公司从购买用于加工的资产起至实现现金或现金等价物的期间。本</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公司以</w:t>
      </w:r>
      <w:r>
        <w:rPr>
          <w:rFonts w:ascii="宋体" w:hAnsi="宋体" w:cs="宋体" w:eastAsia="宋体" w:hint="default"/>
        </w:rPr>
        <w:t>12</w:t>
      </w:r>
      <w:r>
        <w:rPr/>
        <w:t>个月作为一个营业周期，并以其作为资产和负债的流动性划分标准。</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8" w:firstLine="482"/>
        <w:jc w:val="both"/>
      </w:pPr>
      <w:r>
        <w:rPr/>
        <w:t>人民币为本公司及境内子公司经营所处的主要经济环境中的货币，本公司及境内子公司 以人民币为记账本位币。本公司编制本财务报表时所采用的货币为人民币。</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238" w:firstLine="482"/>
        <w:jc w:val="both"/>
      </w:pPr>
      <w:r>
        <w:rPr/>
        <w:t>企业合并，是指将两个或两个以上单独的企业合并形成一个报告主体的交易或事项。企 业合并分为同一控制下企业合并和非同一控制下企业合并。</w:t>
      </w:r>
    </w:p>
    <w:p>
      <w:pPr>
        <w:pStyle w:val="BodyText"/>
        <w:spacing w:line="357" w:lineRule="auto"/>
        <w:ind w:left="635" w:right="96"/>
        <w:jc w:val="left"/>
      </w:pPr>
      <w:r>
        <w:rPr/>
        <w:t>（</w:t>
      </w:r>
      <w:r>
        <w:rPr>
          <w:rFonts w:ascii="宋体" w:hAnsi="宋体" w:cs="宋体" w:eastAsia="宋体" w:hint="default"/>
        </w:rPr>
        <w:t>1</w:t>
      </w:r>
      <w:r>
        <w:rPr/>
        <w:t>）同一控制下企业合并 </w:t>
      </w:r>
      <w:r>
        <w:rPr>
          <w:spacing w:val="-3"/>
        </w:rPr>
        <w:t>参与合并的企业在合并前后均受同一方或相同的多方最终控制，且该控制并非暂时性的，</w:t>
      </w:r>
    </w:p>
    <w:p>
      <w:pPr>
        <w:pStyle w:val="BodyText"/>
        <w:spacing w:line="357" w:lineRule="auto"/>
        <w:ind w:right="239"/>
        <w:jc w:val="both"/>
      </w:pPr>
      <w:r>
        <w:rPr/>
        <w:t>为同一控制下的企业合并。同一控制下的企业合并，在合并日取得对其他参与合并企业控制</w:t>
      </w:r>
      <w:r>
        <w:rPr>
          <w:spacing w:val="-91"/>
        </w:rPr>
        <w:t> </w:t>
      </w:r>
      <w:r>
        <w:rPr>
          <w:spacing w:val="-91"/>
        </w:rPr>
      </w:r>
      <w:r>
        <w:rPr/>
        <w:t>权的一方为合并方，参与合并的其他企业为被合并方。合并日，是指合并方实际取得对被合</w:t>
      </w:r>
      <w:r>
        <w:rPr>
          <w:spacing w:val="-91"/>
        </w:rPr>
        <w:t> </w:t>
      </w:r>
      <w:r>
        <w:rPr>
          <w:spacing w:val="-91"/>
        </w:rPr>
      </w:r>
      <w:r>
        <w:rPr/>
        <w:t>并方控制权的日期。</w:t>
      </w:r>
    </w:p>
    <w:p>
      <w:pPr>
        <w:pStyle w:val="BodyText"/>
        <w:spacing w:line="357" w:lineRule="auto"/>
        <w:ind w:right="238" w:firstLine="482"/>
        <w:jc w:val="both"/>
      </w:pPr>
      <w:r>
        <w:rPr/>
        <w:t>合并方取得的资产和负债均按合并日在被合并方的账面价值计量。合并方取得的净资产 账面价值与支付的合并对价账面价值（或发行股份面值总额）的差额，调整资本公积（股本</w:t>
      </w:r>
      <w:r>
        <w:rPr>
          <w:spacing w:val="-91"/>
        </w:rPr>
        <w:t> </w:t>
      </w:r>
      <w:r>
        <w:rPr>
          <w:spacing w:val="-91"/>
        </w:rPr>
      </w:r>
      <w:r>
        <w:rPr/>
        <w:t>溢价）；资本公积（股本溢价）不足以冲减的，调整留存收益。</w:t>
      </w:r>
    </w:p>
    <w:p>
      <w:pPr>
        <w:pStyle w:val="BodyText"/>
        <w:spacing w:line="240" w:lineRule="auto"/>
        <w:ind w:left="635" w:right="96"/>
        <w:jc w:val="left"/>
      </w:pPr>
      <w:r>
        <w:rPr/>
        <w:t>合并方为进行企业合并发生的各项直接费用，于发生时计入当期损益。</w:t>
      </w:r>
    </w:p>
    <w:p>
      <w:pPr>
        <w:pStyle w:val="BodyText"/>
        <w:spacing w:line="357" w:lineRule="auto" w:before="154"/>
        <w:ind w:left="635" w:right="96"/>
        <w:jc w:val="left"/>
      </w:pPr>
      <w:r>
        <w:rPr/>
        <w:t>（</w:t>
      </w:r>
      <w:r>
        <w:rPr>
          <w:rFonts w:ascii="宋体" w:hAnsi="宋体" w:cs="宋体" w:eastAsia="宋体" w:hint="default"/>
        </w:rPr>
        <w:t>2</w:t>
      </w:r>
      <w:r>
        <w:rPr/>
        <w:t>）非同一控制下企业合并 参与合并的企业在合并前后不受同一方或相同的多方最终控制的，为非同一控制下的企</w:t>
      </w:r>
    </w:p>
    <w:p>
      <w:pPr>
        <w:pStyle w:val="BodyText"/>
        <w:spacing w:line="357" w:lineRule="auto"/>
        <w:ind w:right="239"/>
        <w:jc w:val="both"/>
      </w:pPr>
      <w:r>
        <w:rPr/>
        <w:t>业合并。非同一控制下的企业合并，在购买日取得对其他参与合并企业控制权的一方为购买</w:t>
      </w:r>
      <w:r>
        <w:rPr>
          <w:spacing w:val="-91"/>
        </w:rPr>
        <w:t> </w:t>
      </w:r>
      <w:r>
        <w:rPr>
          <w:spacing w:val="-91"/>
        </w:rPr>
      </w:r>
      <w:r>
        <w:rPr/>
        <w:t>方，参与合并的其他企业为被购买方。购买日，是指为购买方实际取得对被购买方控制权的</w:t>
      </w:r>
      <w:r>
        <w:rPr>
          <w:spacing w:val="-91"/>
        </w:rPr>
        <w:t> </w:t>
      </w:r>
      <w:r>
        <w:rPr>
          <w:spacing w:val="-91"/>
        </w:rPr>
      </w:r>
      <w:r>
        <w:rPr/>
        <w:t>日期。</w:t>
      </w:r>
    </w:p>
    <w:p>
      <w:pPr>
        <w:pStyle w:val="BodyText"/>
        <w:spacing w:line="357" w:lineRule="auto"/>
        <w:ind w:right="233" w:firstLine="482"/>
        <w:jc w:val="both"/>
      </w:pPr>
      <w:r>
        <w:rPr/>
        <w:t>对于非同一控制下的企业合并，合并成本包含购买日购买方为取得对被购买方的控制权 而付出的资产、发生或承担的负债以及发行的权益性证券的公允价值，为企业合并发生的审</w:t>
      </w:r>
      <w:r>
        <w:rPr>
          <w:spacing w:val="-86"/>
        </w:rPr>
        <w:t> </w:t>
      </w:r>
      <w:r>
        <w:rPr>
          <w:spacing w:val="-86"/>
        </w:rPr>
      </w:r>
      <w:r>
        <w:rPr/>
        <w:t>计、法律服务、评估咨询等中介费用以及其他管理费用于发生时计入当期损益。购买方作为</w:t>
      </w:r>
      <w:r>
        <w:rPr>
          <w:spacing w:val="-91"/>
        </w:rPr>
        <w:t> </w:t>
      </w:r>
      <w:r>
        <w:rPr>
          <w:spacing w:val="-91"/>
        </w:rPr>
      </w:r>
      <w:r>
        <w:rPr/>
        <w:t>合并对价发行的权益性证券或债务性证券的交易费用，计入权益性证券或债务性证券的初始</w:t>
      </w:r>
      <w:r>
        <w:rPr>
          <w:spacing w:val="-91"/>
        </w:rPr>
        <w:t> </w:t>
      </w:r>
      <w:r>
        <w:rPr>
          <w:spacing w:val="-91"/>
        </w:rPr>
      </w:r>
      <w:r>
        <w:rPr/>
        <w:t>确认金额。所涉及的或有对价按其在购买日的公允价值计入合并成本，购买日后</w:t>
      </w:r>
      <w:r>
        <w:rPr>
          <w:rFonts w:ascii="宋体" w:hAnsi="宋体" w:cs="宋体" w:eastAsia="宋体" w:hint="default"/>
        </w:rPr>
        <w:t>12</w:t>
      </w:r>
      <w:r>
        <w:rPr/>
        <w:t>个月内出</w:t>
      </w:r>
      <w:r>
        <w:rPr>
          <w:spacing w:val="-86"/>
        </w:rPr>
        <w:t> </w:t>
      </w:r>
      <w:r>
        <w:rPr>
          <w:spacing w:val="-86"/>
        </w:rPr>
      </w:r>
      <w:r>
        <w:rPr/>
        <w:t>现对购买日已存在情况的新的或进一步证据而需要调整或有对价的，相应调整合并商誉。购</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8"/>
        <w:jc w:val="both"/>
      </w:pPr>
      <w:r>
        <w:rPr/>
        <w:t>买方发生的合并成本及在合并中取得的可辨认净资产按购买日的公允价值计量。合并成本大</w:t>
      </w:r>
      <w:r>
        <w:rPr>
          <w:spacing w:val="-91"/>
        </w:rPr>
        <w:t> </w:t>
      </w:r>
      <w:r>
        <w:rPr>
          <w:spacing w:val="-91"/>
        </w:rPr>
      </w:r>
      <w:r>
        <w:rPr/>
        <w:t>于合并中取得的被购买方于购买日可辨认净资产公允价值份额的差额，确认为商誉。合并成</w:t>
      </w:r>
      <w:r>
        <w:rPr>
          <w:spacing w:val="-91"/>
        </w:rPr>
        <w:t> </w:t>
      </w:r>
      <w:r>
        <w:rPr>
          <w:spacing w:val="-91"/>
        </w:rPr>
      </w:r>
      <w:r>
        <w:rPr/>
        <w:t>本小于合并中取得的被购买方可辨认净资产公允价值份额的，首先对取得的被购买方各项可</w:t>
      </w:r>
      <w:r>
        <w:rPr>
          <w:spacing w:val="-90"/>
        </w:rPr>
        <w:t> </w:t>
      </w:r>
      <w:r>
        <w:rPr>
          <w:spacing w:val="-90"/>
        </w:rPr>
      </w:r>
      <w:r>
        <w:rPr/>
        <w:t>辨认资产、负债及或有负债的公允价值以及合并成本的计量进行复核，复核后合并成本仍小</w:t>
      </w:r>
      <w:r>
        <w:rPr>
          <w:spacing w:val="-91"/>
        </w:rPr>
        <w:t> </w:t>
      </w:r>
      <w:r>
        <w:rPr>
          <w:spacing w:val="-91"/>
        </w:rPr>
      </w:r>
      <w:r>
        <w:rPr/>
        <w:t>于合并中取得的被购买方可辨认净资产公允价值份额的，其差额计入当期损益。</w:t>
      </w:r>
    </w:p>
    <w:p>
      <w:pPr>
        <w:pStyle w:val="BodyText"/>
        <w:spacing w:line="357" w:lineRule="auto"/>
        <w:ind w:right="154" w:firstLine="482"/>
        <w:jc w:val="both"/>
      </w:pPr>
      <w:r>
        <w:rPr/>
        <w:t>购买方取得被购买方的可抵扣暂时性差异，在购买日因不符合递延所得税资产确认条件 而未予确认的，在购买日后</w:t>
      </w:r>
      <w:r>
        <w:rPr>
          <w:rFonts w:ascii="宋体" w:hAnsi="宋体" w:cs="宋体" w:eastAsia="宋体" w:hint="default"/>
        </w:rPr>
        <w:t>12</w:t>
      </w:r>
      <w:r>
        <w:rPr/>
        <w:t>个月内，如取得新的或进一步的信息表明购买日的相关情况已</w:t>
      </w:r>
      <w:r>
        <w:rPr>
          <w:spacing w:val="-90"/>
        </w:rPr>
        <w:t> </w:t>
      </w:r>
      <w:r>
        <w:rPr>
          <w:spacing w:val="-90"/>
        </w:rPr>
      </w:r>
      <w:r>
        <w:rPr/>
        <w:t>经存在，预期被购买方在购买日可抵扣暂时性差异带来的经济利益能够实现的，则确认相关</w:t>
      </w:r>
      <w:r>
        <w:rPr>
          <w:spacing w:val="-91"/>
        </w:rPr>
        <w:t> </w:t>
      </w:r>
      <w:r>
        <w:rPr>
          <w:spacing w:val="-91"/>
        </w:rPr>
      </w:r>
      <w:r>
        <w:rPr/>
        <w:t>的递延所得税资产，同时减少商誉，商誉不足冲减的，差额部分确认为当期损益；除上述情</w:t>
      </w:r>
      <w:r>
        <w:rPr>
          <w:spacing w:val="-87"/>
        </w:rPr>
        <w:t> </w:t>
      </w:r>
      <w:r>
        <w:rPr>
          <w:spacing w:val="-87"/>
        </w:rPr>
      </w:r>
      <w:r>
        <w:rPr/>
        <w:t>况以外，确认与企业合并相关的递延所得税资产的，计入当期损益。</w:t>
      </w:r>
    </w:p>
    <w:p>
      <w:pPr>
        <w:pStyle w:val="BodyText"/>
        <w:spacing w:line="357" w:lineRule="auto"/>
        <w:ind w:right="151" w:firstLine="482"/>
        <w:jc w:val="both"/>
      </w:pPr>
      <w:r>
        <w:rPr/>
        <w:t>通过多次交易分步实现的非同一控制下企业合并，根据《财政部关于印发企业会计准则 </w:t>
      </w:r>
      <w:r>
        <w:rPr>
          <w:spacing w:val="-2"/>
        </w:rPr>
        <w:t>解释第</w:t>
      </w:r>
      <w:r>
        <w:rPr>
          <w:rFonts w:ascii="宋体" w:hAnsi="宋体" w:cs="宋体" w:eastAsia="宋体" w:hint="default"/>
          <w:spacing w:val="-2"/>
        </w:rPr>
        <w:t>5</w:t>
      </w:r>
      <w:r>
        <w:rPr>
          <w:spacing w:val="-2"/>
        </w:rPr>
        <w:t>号的通知》（财会〔</w:t>
      </w:r>
      <w:r>
        <w:rPr>
          <w:rFonts w:ascii="宋体" w:hAnsi="宋体" w:cs="宋体" w:eastAsia="宋体" w:hint="default"/>
          <w:spacing w:val="-2"/>
        </w:rPr>
        <w:t>2012</w:t>
      </w:r>
      <w:r>
        <w:rPr>
          <w:spacing w:val="-2"/>
        </w:rPr>
        <w:t>〕</w:t>
      </w:r>
      <w:r>
        <w:rPr>
          <w:rFonts w:ascii="宋体" w:hAnsi="宋体" w:cs="宋体" w:eastAsia="宋体" w:hint="default"/>
          <w:spacing w:val="-2"/>
        </w:rPr>
        <w:t>19</w:t>
      </w:r>
      <w:r>
        <w:rPr>
          <w:spacing w:val="-2"/>
        </w:rPr>
        <w:t>号）和《企业会计准则第</w:t>
      </w:r>
      <w:r>
        <w:rPr>
          <w:rFonts w:ascii="宋体" w:hAnsi="宋体" w:cs="宋体" w:eastAsia="宋体" w:hint="default"/>
          <w:spacing w:val="-2"/>
        </w:rPr>
        <w:t>33</w:t>
      </w:r>
      <w:r>
        <w:rPr>
          <w:spacing w:val="-2"/>
        </w:rPr>
        <w:t>号——合并财务报表》第五</w:t>
      </w:r>
      <w:r>
        <w:rPr>
          <w:spacing w:val="-114"/>
        </w:rPr>
        <w:t> </w:t>
      </w:r>
      <w:r>
        <w:rPr>
          <w:spacing w:val="-114"/>
        </w:rPr>
      </w:r>
      <w:r>
        <w:rPr>
          <w:spacing w:val="-5"/>
        </w:rPr>
        <w:t>十一条关于“一揽子交易”的判断标准，判断该多次交易是否属于“一揽子交易”。属于“一</w:t>
      </w:r>
      <w:r>
        <w:rPr>
          <w:spacing w:val="-117"/>
        </w:rPr>
        <w:t> </w:t>
      </w:r>
      <w:r>
        <w:rPr>
          <w:spacing w:val="-117"/>
        </w:rPr>
      </w:r>
      <w:r>
        <w:rPr/>
        <w:t>揽子交易”的，参考本部分前面各段描述及“长期股权投资”进行会计处理；不属于“一揽</w:t>
      </w:r>
      <w:r>
        <w:rPr>
          <w:spacing w:val="-87"/>
        </w:rPr>
        <w:t> </w:t>
      </w:r>
      <w:r>
        <w:rPr>
          <w:spacing w:val="-87"/>
        </w:rPr>
      </w:r>
      <w:r>
        <w:rPr/>
        <w:t>子交易”的，区分个别财务报表和合并财务报表进行相关会计处理：</w:t>
      </w:r>
    </w:p>
    <w:p>
      <w:pPr>
        <w:pStyle w:val="BodyText"/>
        <w:spacing w:line="357" w:lineRule="auto"/>
        <w:ind w:right="155" w:firstLine="482"/>
        <w:jc w:val="both"/>
      </w:pPr>
      <w:r>
        <w:rPr/>
        <w:t>在个别财务报表中，以购买日之前所持被购买方的股权投资的账面价值与购买日新增投 资成本之和，作为该项投资的初始投资成本；购买日之前持有的被购买方的股权涉及其他综</w:t>
      </w:r>
      <w:r>
        <w:rPr>
          <w:spacing w:val="-91"/>
        </w:rPr>
        <w:t> </w:t>
      </w:r>
      <w:r>
        <w:rPr>
          <w:spacing w:val="-91"/>
        </w:rPr>
      </w:r>
      <w:r>
        <w:rPr/>
        <w:t>合收益的，在处置该项投资时将与其相关的其他综合收益采用与被购买方直接处置相关资产</w:t>
      </w:r>
      <w:r>
        <w:rPr>
          <w:spacing w:val="-91"/>
        </w:rPr>
        <w:t> </w:t>
      </w:r>
      <w:r>
        <w:rPr>
          <w:spacing w:val="-91"/>
        </w:rPr>
      </w:r>
      <w:r>
        <w:rPr/>
        <w:t>或负债相同的基础进行会计处理（即，除了按照权益法核算的在被购买方重新计量设定受益</w:t>
      </w:r>
      <w:r>
        <w:rPr>
          <w:spacing w:val="-91"/>
        </w:rPr>
        <w:t> </w:t>
      </w:r>
      <w:r>
        <w:rPr>
          <w:spacing w:val="-91"/>
        </w:rPr>
      </w:r>
      <w:r>
        <w:rPr/>
        <w:t>计划净负债或净资产导致的变动中的相应份额以外，其余转入当期投资收益）。</w:t>
      </w:r>
    </w:p>
    <w:p>
      <w:pPr>
        <w:pStyle w:val="BodyText"/>
        <w:spacing w:line="357" w:lineRule="auto"/>
        <w:ind w:right="158" w:firstLine="482"/>
        <w:jc w:val="both"/>
      </w:pPr>
      <w:r>
        <w:rPr/>
        <w:t>在合并财务报表中，对于购买日之前持有的被购买方的股权，按照该股权在购买日的公 允价值进行重新计量，公允价值与其账面价值的差额计入当期投资收益；购买日之前持有的</w:t>
      </w:r>
      <w:r>
        <w:rPr>
          <w:spacing w:val="-91"/>
        </w:rPr>
        <w:t> </w:t>
      </w:r>
      <w:r>
        <w:rPr>
          <w:spacing w:val="-91"/>
        </w:rPr>
      </w:r>
      <w:r>
        <w:rPr/>
        <w:t>被购买方的股权涉及其他综合收益的，与其相关的其他综合收益应当采用与被购买方直接处</w:t>
      </w:r>
      <w:r>
        <w:rPr>
          <w:spacing w:val="-91"/>
        </w:rPr>
        <w:t> </w:t>
      </w:r>
      <w:r>
        <w:rPr>
          <w:spacing w:val="-91"/>
        </w:rPr>
      </w:r>
      <w:r>
        <w:rPr/>
        <w:t>置相关资产或负债相同的基础进行会计处理（即，除了按照权益法核算的在被购买方重新计</w:t>
      </w:r>
      <w:r>
        <w:rPr>
          <w:spacing w:val="-91"/>
        </w:rPr>
        <w:t> </w:t>
      </w:r>
      <w:r>
        <w:rPr>
          <w:spacing w:val="-91"/>
        </w:rPr>
      </w:r>
      <w:r>
        <w:rPr/>
        <w:t>量设定受益计划净负债或净资产导致的变动中的相应份额以外，其余转为购买日所属当期投</w:t>
      </w:r>
      <w:r>
        <w:rPr>
          <w:spacing w:val="-91"/>
        </w:rPr>
        <w:t> </w:t>
      </w:r>
      <w:r>
        <w:rPr>
          <w:spacing w:val="-91"/>
        </w:rPr>
      </w:r>
      <w:r>
        <w:rPr/>
        <w:t>资收益）。</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left="633" w:right="153"/>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w:t>
      </w:r>
    </w:p>
    <w:p>
      <w:pPr>
        <w:spacing w:after="0" w:line="357" w:lineRule="auto"/>
        <w:jc w:val="left"/>
        <w:sectPr>
          <w:footerReference w:type="default" r:id="rId15"/>
          <w:pgSz w:w="11910" w:h="16840"/>
          <w:pgMar w:footer="979" w:header="745" w:top="1060" w:bottom="1160" w:left="980" w:right="980"/>
          <w:pgNumType w:start="96"/>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力，通过参与被投资方的相关活动而享有可变回报，并且有能力运用对被投资方的权力影响</w:t>
      </w:r>
      <w:r>
        <w:rPr>
          <w:spacing w:val="-91"/>
        </w:rPr>
        <w:t> </w:t>
      </w:r>
      <w:r>
        <w:rPr>
          <w:spacing w:val="-91"/>
        </w:rPr>
      </w:r>
      <w:r>
        <w:rPr/>
        <w:t>该回报金额。合并范围包括本公司及全部子公司。子公司，是指被本公司控制的主体。</w:t>
      </w:r>
    </w:p>
    <w:p>
      <w:pPr>
        <w:pStyle w:val="BodyText"/>
        <w:spacing w:line="357" w:lineRule="auto"/>
        <w:ind w:right="160" w:firstLine="480"/>
        <w:jc w:val="both"/>
      </w:pPr>
      <w:r>
        <w:rPr/>
        <w:t>一旦相关事实和情况的变化导致上述控制定义涉及的相关要素发生了变化，本公司将进 行重新评估。</w:t>
      </w:r>
    </w:p>
    <w:p>
      <w:pPr>
        <w:pStyle w:val="BodyText"/>
        <w:spacing w:line="357" w:lineRule="auto"/>
        <w:ind w:left="633" w:right="153"/>
        <w:jc w:val="left"/>
      </w:pPr>
      <w:r>
        <w:rPr/>
        <w:t>（</w:t>
      </w:r>
      <w:r>
        <w:rPr>
          <w:rFonts w:ascii="宋体" w:hAnsi="宋体" w:cs="宋体" w:eastAsia="宋体" w:hint="default"/>
        </w:rPr>
        <w:t>2</w:t>
      </w:r>
      <w:r>
        <w:rPr/>
        <w:t>）合并财务报表编制的方法 从取得子公司的净资产和生产经营决策的实际控制权之日起，本公司开始将其纳入合并</w:t>
      </w:r>
    </w:p>
    <w:p>
      <w:pPr>
        <w:pStyle w:val="BodyText"/>
        <w:spacing w:line="357" w:lineRule="auto"/>
        <w:ind w:right="155"/>
        <w:jc w:val="both"/>
      </w:pPr>
      <w:r>
        <w:rPr/>
        <w:t>范围；从丧失实际控制权之日起停止纳入合并范围。对于处置的子公司，处置日前的经营成</w:t>
      </w:r>
      <w:r>
        <w:rPr>
          <w:spacing w:val="-91"/>
        </w:rPr>
        <w:t> </w:t>
      </w:r>
      <w:r>
        <w:rPr>
          <w:spacing w:val="-91"/>
        </w:rPr>
      </w:r>
      <w:r>
        <w:rPr/>
        <w:t>果和现金流量已经适当地包括在合并利润表和合并现金流量表中；当期处置的子公司，不调</w:t>
      </w:r>
      <w:r>
        <w:rPr>
          <w:spacing w:val="-91"/>
        </w:rPr>
        <w:t> </w:t>
      </w:r>
      <w:r>
        <w:rPr>
          <w:spacing w:val="-91"/>
        </w:rPr>
      </w:r>
      <w:r>
        <w:rPr/>
        <w:t>整合并资产负债表的期初数。非同一控制下企业合并增加的子公司，其购买日后的经营成果</w:t>
      </w:r>
      <w:r>
        <w:rPr>
          <w:spacing w:val="-91"/>
        </w:rPr>
        <w:t> </w:t>
      </w:r>
      <w:r>
        <w:rPr>
          <w:spacing w:val="-91"/>
        </w:rPr>
      </w:r>
      <w:r>
        <w:rPr/>
        <w:t>及现金流量已经适当地包括在合并利润表和合并现金流量表中，且不调整合并财务报表的期</w:t>
      </w:r>
      <w:r>
        <w:rPr>
          <w:spacing w:val="-88"/>
        </w:rPr>
        <w:t> </w:t>
      </w:r>
      <w:r>
        <w:rPr>
          <w:spacing w:val="-88"/>
        </w:rPr>
      </w:r>
      <w:r>
        <w:rPr/>
        <w:t>初数和对比数。同一控制下企业合并增加的子公司，其自合并当期期初至合并日的经营成果</w:t>
      </w:r>
      <w:r>
        <w:rPr>
          <w:spacing w:val="-91"/>
        </w:rPr>
        <w:t> </w:t>
      </w:r>
      <w:r>
        <w:rPr>
          <w:spacing w:val="-91"/>
        </w:rPr>
      </w:r>
      <w:r>
        <w:rPr/>
        <w:t>和现金流量已经适当地包括在合并利润表和合并现金流量表中，并且同时调整合并财务报表</w:t>
      </w:r>
      <w:r>
        <w:rPr>
          <w:spacing w:val="-91"/>
        </w:rPr>
        <w:t> </w:t>
      </w:r>
      <w:r>
        <w:rPr>
          <w:spacing w:val="-91"/>
        </w:rPr>
      </w:r>
      <w:r>
        <w:rPr/>
        <w:t>的对比数。</w:t>
      </w:r>
    </w:p>
    <w:p>
      <w:pPr>
        <w:pStyle w:val="BodyText"/>
        <w:spacing w:line="357" w:lineRule="auto"/>
        <w:ind w:right="159"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91"/>
        </w:rPr>
        <w:t> </w:t>
      </w:r>
      <w:r>
        <w:rPr>
          <w:spacing w:val="-91"/>
        </w:rPr>
      </w:r>
      <w:r>
        <w:rPr/>
        <w:t>取得的子公司，以购买日可辨认净资产公允价值为基础对其财务报表进行调整。</w:t>
      </w:r>
    </w:p>
    <w:p>
      <w:pPr>
        <w:pStyle w:val="BodyText"/>
        <w:spacing w:line="357" w:lineRule="auto"/>
        <w:ind w:left="633" w:right="153"/>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57" w:lineRule="auto"/>
        <w:ind w:right="154"/>
        <w:jc w:val="both"/>
      </w:pPr>
      <w:r>
        <w:rPr/>
        <w:t>少数股东损益在合并财务报表中股东权益及净利润项下单独列示。子公司当期净损益中属于</w:t>
      </w:r>
      <w:r>
        <w:rPr>
          <w:spacing w:val="-91"/>
        </w:rPr>
        <w:t> </w:t>
      </w:r>
      <w:r>
        <w:rPr>
          <w:spacing w:val="-91"/>
        </w:rPr>
      </w:r>
      <w:r>
        <w:rPr/>
        <w:t>少数股东权益的份额，在合并利润表中净利润项目下以“少数股东损益”项目列示。少数股</w:t>
      </w:r>
      <w:r>
        <w:rPr>
          <w:spacing w:val="-88"/>
        </w:rPr>
        <w:t> </w:t>
      </w:r>
      <w:r>
        <w:rPr>
          <w:spacing w:val="-88"/>
        </w:rPr>
      </w:r>
      <w:r>
        <w:rPr/>
        <w:t>东分担的子公司的亏损超过了少数股东在该子公司期初股东权益中所享有的份额，仍冲减少</w:t>
      </w:r>
      <w:r>
        <w:rPr>
          <w:spacing w:val="-91"/>
        </w:rPr>
        <w:t> </w:t>
      </w:r>
      <w:r>
        <w:rPr>
          <w:spacing w:val="-91"/>
        </w:rPr>
      </w:r>
      <w:r>
        <w:rPr/>
        <w:t>数股东权益。</w:t>
      </w:r>
    </w:p>
    <w:p>
      <w:pPr>
        <w:pStyle w:val="BodyText"/>
        <w:spacing w:line="357" w:lineRule="auto"/>
        <w:ind w:right="152" w:firstLine="480"/>
        <w:jc w:val="both"/>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w:t>
      </w:r>
      <w:r>
        <w:rPr>
          <w:spacing w:val="-3"/>
        </w:rPr>
        <w:t>资收益）。其后，对该部分剩余股权按照《企业会计准则第</w:t>
      </w:r>
      <w:r>
        <w:rPr>
          <w:rFonts w:ascii="宋体" w:hAnsi="宋体" w:cs="宋体" w:eastAsia="宋体" w:hint="default"/>
          <w:spacing w:val="-3"/>
        </w:rPr>
        <w:t>2</w:t>
      </w:r>
      <w:r>
        <w:rPr>
          <w:spacing w:val="-3"/>
        </w:rPr>
        <w:t>号——长期股权投资》或《企业</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184"/>
        <w:jc w:val="left"/>
      </w:pPr>
      <w:r>
        <w:rPr>
          <w:spacing w:val="-5"/>
        </w:rPr>
        <w:t>会计准则第</w:t>
      </w:r>
      <w:r>
        <w:rPr>
          <w:rFonts w:ascii="宋体" w:hAnsi="宋体" w:cs="宋体" w:eastAsia="宋体" w:hint="default"/>
          <w:spacing w:val="-5"/>
        </w:rPr>
        <w:t>22</w:t>
      </w:r>
      <w:r>
        <w:rPr>
          <w:spacing w:val="-5"/>
        </w:rPr>
        <w:t>号——金融工具确认和计量》等相关规定进行后续计量，详见“长期股权投资”</w:t>
      </w:r>
      <w:r>
        <w:rPr>
          <w:spacing w:val="-111"/>
        </w:rPr>
        <w:t> </w:t>
      </w:r>
      <w:r>
        <w:rPr>
          <w:spacing w:val="-111"/>
        </w:rPr>
      </w:r>
      <w:r>
        <w:rPr/>
        <w:t>或“金融工具”。</w:t>
      </w:r>
    </w:p>
    <w:p>
      <w:pPr>
        <w:pStyle w:val="BodyText"/>
        <w:spacing w:line="357" w:lineRule="auto"/>
        <w:ind w:right="229" w:firstLine="480"/>
        <w:jc w:val="both"/>
      </w:pPr>
      <w:r>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一揽子交易进行会计处理：①这些交易是同时或者在考虑了彼此影响的情况下订立的；②这 些交易整体才能达成一项完整的商业结果；③一项交易的发生取决于其他至少一项交易的发 生；④一项交易单独看是不经济的，但是和其他交易一并考虑时是经济的。不属于一揽子交 易的，对其中的每一项交易视情况分别按照“不丧失控制权的情况下部分处置对子公司的长 期股权投资”和“因处置部分股权投资或其他原因丧失了对原有子公司的控制权”适用的原 则进行会计处理。处置对子公司股权投资直至丧失控制权的各项交易属于一揽子交易的，将 各项交易作为一项处置子公司并丧失控制权的交易进行会计处理；但是，在丧失控制权之前 每一次处置价款与处置投资对应的享有该子公司净资产份额的差额，在合并财务报表中确认 为其他综合收益，在丧失控制权时一并转入丧失控制权当期的损益。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spacing w:before="0"/>
        <w:ind w:left="152" w:right="1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98" w:firstLine="480"/>
        <w:jc w:val="both"/>
      </w:pPr>
      <w:r>
        <w:rPr/>
        <w:t>合营安排，是指一项由两个或两个以上的参与方共同控制的安排。本公司根据在合营安 排中享有的权利和承担的义务，将合营安排分为共同经营和合营企业。共同经营，是指本公</w:t>
      </w:r>
      <w:r>
        <w:rPr>
          <w:spacing w:val="-91"/>
        </w:rPr>
        <w:t> </w:t>
      </w:r>
      <w:r>
        <w:rPr>
          <w:spacing w:val="-91"/>
        </w:rPr>
      </w:r>
      <w:r>
        <w:rPr/>
        <w:t>司享有该安排相关资产且承担该安排相关负债的合营安排。合营企业，是指本公司仅对该安</w:t>
      </w:r>
      <w:r>
        <w:rPr>
          <w:spacing w:val="-91"/>
        </w:rPr>
        <w:t> </w:t>
      </w:r>
      <w:r>
        <w:rPr>
          <w:spacing w:val="-91"/>
        </w:rPr>
      </w:r>
      <w:r>
        <w:rPr/>
        <w:t>排的净资产享有权利的合营安排。</w:t>
      </w:r>
    </w:p>
    <w:p>
      <w:pPr>
        <w:pStyle w:val="BodyText"/>
        <w:spacing w:line="357" w:lineRule="auto" w:before="37"/>
        <w:ind w:right="196" w:firstLine="480"/>
        <w:jc w:val="both"/>
      </w:pPr>
      <w:r>
        <w:rPr/>
        <w:t>本公司对合营企业的投资采用权益法核算，按照“权益法核算的长期股权投资”中所述 的会计政策处理。</w:t>
      </w:r>
    </w:p>
    <w:p>
      <w:pPr>
        <w:pStyle w:val="BodyText"/>
        <w:spacing w:line="357" w:lineRule="auto"/>
        <w:ind w:right="199" w:firstLine="480"/>
        <w:jc w:val="both"/>
      </w:pPr>
      <w:r>
        <w:rPr/>
        <w:t>本公司作为合营方对共同经营，确认本公司单独持有的资产、单独所承担的负债，以及 按本公司份额确认共同持有的资产和共同承担的负债；确认出售本公司享有的共同经营产出</w:t>
      </w:r>
      <w:r>
        <w:rPr>
          <w:spacing w:val="-91"/>
        </w:rPr>
        <w:t> </w:t>
      </w:r>
      <w:r>
        <w:rPr>
          <w:spacing w:val="-91"/>
        </w:rPr>
      </w:r>
      <w:r>
        <w:rPr/>
        <w:t>份额所产生的收入；按本公司份额确认共同经营因出售产出所产生的收入；确认本公司单独</w:t>
      </w:r>
      <w:r>
        <w:rPr>
          <w:spacing w:val="-91"/>
        </w:rPr>
        <w:t> </w:t>
      </w:r>
      <w:r>
        <w:rPr>
          <w:spacing w:val="-91"/>
        </w:rPr>
      </w:r>
      <w:r>
        <w:rPr/>
        <w:t>所发生的费用，以及按本公司份额确认共同经营发生的费用。</w:t>
      </w:r>
    </w:p>
    <w:p>
      <w:pPr>
        <w:pStyle w:val="BodyText"/>
        <w:spacing w:line="357" w:lineRule="auto"/>
        <w:ind w:right="109" w:firstLine="480"/>
        <w:jc w:val="both"/>
      </w:pPr>
      <w:r>
        <w:rPr/>
        <w:t>当本公司作为合营方向共同经营投出或出售资产（该资产不构成业务，下同）、或者自 共同经营购买资产时，在该等资产出售给第三方之前，本公司仅确认因该交易产生的损益中</w:t>
      </w:r>
      <w:r>
        <w:rPr>
          <w:spacing w:val="-91"/>
        </w:rPr>
        <w:t> </w:t>
      </w:r>
      <w:r>
        <w:rPr>
          <w:spacing w:val="-91"/>
        </w:rPr>
      </w:r>
      <w:r>
        <w:rPr/>
        <w:t>归属于共同经营其他参与方的部分。该等资产发生符合《企业会计准则第</w:t>
      </w:r>
      <w:r>
        <w:rPr>
          <w:rFonts w:ascii="宋体" w:hAnsi="宋体" w:cs="宋体" w:eastAsia="宋体" w:hint="default"/>
        </w:rPr>
        <w:t>8</w:t>
      </w:r>
      <w:r>
        <w:rPr/>
        <w:t>号——资产减值》</w:t>
      </w:r>
    </w:p>
    <w:p>
      <w:pPr>
        <w:spacing w:after="0" w:line="357" w:lineRule="auto"/>
        <w:jc w:val="both"/>
        <w:sectPr>
          <w:pgSz w:w="11910" w:h="16840"/>
          <w:pgMar w:header="745" w:footer="979" w:top="1060" w:bottom="1160" w:left="980" w:right="940"/>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等规定的资产减值损失的，对于由本公司向共同经营投出或出售资产的情况，本公司全额确</w:t>
      </w:r>
      <w:r>
        <w:rPr>
          <w:spacing w:val="-91"/>
        </w:rPr>
        <w:t> </w:t>
      </w:r>
      <w:r>
        <w:rPr>
          <w:spacing w:val="-91"/>
        </w:rPr>
      </w:r>
      <w:r>
        <w:rPr/>
        <w:t>认该损失；对于本公司自共同经营购买资产的情况，本公司按承担的份额确认该损失。</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9" w:firstLine="480"/>
        <w:jc w:val="both"/>
      </w:pPr>
      <w:r>
        <w:rPr/>
        <w:t>本公司现金及现金等价物包括库存现金、可以随时用于支付的存款以及本公司持有的期 限短（一般为从购买日起，三个月内到期）、流动性强、易于转换为已知金额的现金、价值</w:t>
      </w:r>
      <w:r>
        <w:rPr>
          <w:spacing w:val="-91"/>
        </w:rPr>
        <w:t> </w:t>
      </w:r>
      <w:r>
        <w:rPr>
          <w:spacing w:val="-91"/>
        </w:rPr>
      </w:r>
      <w:r>
        <w:rPr/>
        <w:t>变动风险很小的投资。</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9" w:firstLine="480"/>
        <w:jc w:val="both"/>
      </w:pPr>
      <w:r>
        <w:rPr/>
        <w:t>在本公司成为金融工具合同的一方时确认一项金融资产或金融负债。金融资产和金融负 债在初始确认时以公允价值计量。对于以公允价值计量且其变动计入当期损益的金融资产和</w:t>
      </w:r>
      <w:r>
        <w:rPr>
          <w:spacing w:val="-91"/>
        </w:rPr>
        <w:t> </w:t>
      </w:r>
      <w:r>
        <w:rPr>
          <w:spacing w:val="-91"/>
        </w:rPr>
      </w:r>
      <w:r>
        <w:rPr/>
        <w:t>金融负债，相关的交易费用直接计入损益，对于其他类别的金融资产和金融负债，相关交易</w:t>
      </w:r>
      <w:r>
        <w:rPr>
          <w:spacing w:val="-91"/>
        </w:rPr>
        <w:t> </w:t>
      </w:r>
      <w:r>
        <w:rPr>
          <w:spacing w:val="-91"/>
        </w:rPr>
      </w:r>
      <w:r>
        <w:rPr/>
        <w:t>费用计入初始确认金额。</w:t>
      </w:r>
    </w:p>
    <w:p>
      <w:pPr>
        <w:pStyle w:val="BodyText"/>
        <w:spacing w:line="357" w:lineRule="auto"/>
        <w:ind w:left="633" w:right="153"/>
        <w:jc w:val="left"/>
      </w:pPr>
      <w:r>
        <w:rPr/>
        <w:t>（</w:t>
      </w:r>
      <w:r>
        <w:rPr>
          <w:rFonts w:ascii="宋体" w:hAnsi="宋体" w:cs="宋体" w:eastAsia="宋体" w:hint="default"/>
        </w:rPr>
        <w:t>1</w:t>
      </w:r>
      <w:r>
        <w:rPr/>
        <w:t>）金融资产和金融负债的公允价值确定方法 公允价值，是指市场参与者在计量日发生的有序交易中，出售一项资产所能收到或者转</w:t>
      </w:r>
    </w:p>
    <w:p>
      <w:pPr>
        <w:pStyle w:val="BodyText"/>
        <w:spacing w:line="357" w:lineRule="auto"/>
        <w:ind w:right="159"/>
        <w:jc w:val="both"/>
      </w:pPr>
      <w:r>
        <w:rPr/>
        <w:t>移一项负债所需支付的价格。金融工具存在活跃市场的，本公司采用活跃市场中的报价确定</w:t>
      </w:r>
      <w:r>
        <w:rPr>
          <w:spacing w:val="-91"/>
        </w:rPr>
        <w:t> </w:t>
      </w:r>
      <w:r>
        <w:rPr>
          <w:spacing w:val="-91"/>
        </w:rPr>
      </w:r>
      <w:r>
        <w:rPr/>
        <w:t>其公允价值。活跃市场中的报价是指易于定期从交易所、经纪商、行业协会、定价服务机构</w:t>
      </w:r>
      <w:r>
        <w:rPr>
          <w:spacing w:val="-91"/>
        </w:rPr>
        <w:t> </w:t>
      </w:r>
      <w:r>
        <w:rPr>
          <w:spacing w:val="-91"/>
        </w:rPr>
      </w:r>
      <w:r>
        <w:rPr/>
        <w:t>等获得的价格，且代表了在公平交易中实际发生的市场交易的价格。金融工具不存在活跃市</w:t>
      </w:r>
      <w:r>
        <w:rPr>
          <w:spacing w:val="-91"/>
        </w:rPr>
        <w:t> </w:t>
      </w:r>
      <w:r>
        <w:rPr>
          <w:spacing w:val="-91"/>
        </w:rPr>
      </w:r>
      <w:r>
        <w:rPr/>
        <w:t>场的，本公司采用估值技术确定其公允价值。估值技术包括参考熟悉情况并自愿交易的各方</w:t>
      </w:r>
      <w:r>
        <w:rPr>
          <w:spacing w:val="-91"/>
        </w:rPr>
        <w:t> </w:t>
      </w:r>
      <w:r>
        <w:rPr>
          <w:spacing w:val="-91"/>
        </w:rPr>
      </w:r>
      <w:r>
        <w:rPr/>
        <w:t>最近进行的市场交易中使用的价格、参照实质上相同的其他金融工具当前的公允价值、现金</w:t>
      </w:r>
      <w:r>
        <w:rPr>
          <w:spacing w:val="-91"/>
        </w:rPr>
        <w:t> </w:t>
      </w:r>
      <w:r>
        <w:rPr>
          <w:spacing w:val="-91"/>
        </w:rPr>
      </w:r>
      <w:r>
        <w:rPr/>
        <w:t>流量折现法和期权定价模型等。</w:t>
      </w:r>
    </w:p>
    <w:p>
      <w:pPr>
        <w:pStyle w:val="BodyText"/>
        <w:spacing w:line="357" w:lineRule="auto"/>
        <w:ind w:left="633" w:right="153"/>
        <w:jc w:val="left"/>
      </w:pPr>
      <w:r>
        <w:rPr/>
        <w:t>（</w:t>
      </w:r>
      <w:r>
        <w:rPr>
          <w:rFonts w:ascii="宋体" w:hAnsi="宋体" w:cs="宋体" w:eastAsia="宋体" w:hint="default"/>
        </w:rPr>
        <w:t>2</w:t>
      </w:r>
      <w:r>
        <w:rPr/>
        <w:t>）金融资产的分类、确认和计量 以常规方式买卖金融资产，按交易日进行会计确认和终止确认。金融资产在初始确认时</w:t>
      </w:r>
    </w:p>
    <w:p>
      <w:pPr>
        <w:pStyle w:val="BodyText"/>
        <w:spacing w:line="357" w:lineRule="auto"/>
        <w:ind w:right="159"/>
        <w:jc w:val="both"/>
      </w:pPr>
      <w:r>
        <w:rPr/>
        <w:t>划分为以公允价值计量且其变动计入当期损益的金融资产、持有至到期投资、贷款和应收款</w:t>
      </w:r>
      <w:r>
        <w:rPr>
          <w:spacing w:val="-91"/>
        </w:rPr>
        <w:t> </w:t>
      </w:r>
      <w:r>
        <w:rPr>
          <w:spacing w:val="-91"/>
        </w:rPr>
      </w:r>
      <w:r>
        <w:rPr/>
        <w:t>项以及可供出售金融资产。</w:t>
      </w:r>
    </w:p>
    <w:p>
      <w:pPr>
        <w:pStyle w:val="BodyText"/>
        <w:spacing w:line="357" w:lineRule="auto"/>
        <w:ind w:left="633" w:right="153"/>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宋体" w:hAnsi="宋体" w:cs="宋体" w:eastAsia="宋体" w:hint="default"/>
        </w:rPr>
        <w:t>A.</w:t>
      </w:r>
      <w:r>
        <w:rPr/>
        <w:t>取得该金融资产的目的，主要是</w:t>
      </w:r>
    </w:p>
    <w:p>
      <w:pPr>
        <w:spacing w:after="0" w:line="357"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155"/>
        <w:jc w:val="both"/>
      </w:pPr>
      <w:r>
        <w:rPr/>
        <w:t>为了近期内出售；</w:t>
      </w:r>
      <w:r>
        <w:rPr>
          <w:rFonts w:ascii="宋体" w:hAnsi="宋体" w:cs="宋体" w:eastAsia="宋体" w:hint="default"/>
        </w:rPr>
        <w:t>B.</w:t>
      </w:r>
      <w:r>
        <w:rPr/>
        <w:t>属于进行集中管理的可辨认金融工具组合的一部分，且有客观证据表明</w:t>
      </w:r>
      <w:r>
        <w:rPr>
          <w:spacing w:val="-91"/>
        </w:rPr>
        <w:t> </w:t>
      </w:r>
      <w:r>
        <w:rPr>
          <w:spacing w:val="-91"/>
        </w:rPr>
      </w:r>
      <w:r>
        <w:rPr/>
        <w:t>本公司近期采用短期获利方式对该组合进行管理；</w:t>
      </w:r>
      <w:r>
        <w:rPr>
          <w:rFonts w:ascii="宋体" w:hAnsi="宋体" w:cs="宋体" w:eastAsia="宋体" w:hint="default"/>
        </w:rPr>
        <w:t>C.</w:t>
      </w:r>
      <w:r>
        <w:rPr/>
        <w:t>属于衍生工具，但是，被指定且为有效</w:t>
      </w:r>
      <w:r>
        <w:rPr>
          <w:spacing w:val="-88"/>
        </w:rPr>
        <w:t> </w:t>
      </w:r>
      <w:r>
        <w:rPr>
          <w:spacing w:val="-88"/>
        </w:rPr>
      </w:r>
      <w:r>
        <w:rPr/>
        <w:t>套期工具的衍生工具、属于财务担保合同的衍生工具、与在活跃市场中没有报价且其公允价</w:t>
      </w:r>
      <w:r>
        <w:rPr>
          <w:spacing w:val="-91"/>
        </w:rPr>
        <w:t> </w:t>
      </w:r>
      <w:r>
        <w:rPr>
          <w:spacing w:val="-91"/>
        </w:rPr>
      </w:r>
      <w:r>
        <w:rPr/>
        <w:t>值不能可靠计量的权益工具投资挂钩并须通过交付该权益工具结算的衍生工具除外。</w:t>
      </w:r>
    </w:p>
    <w:p>
      <w:pPr>
        <w:pStyle w:val="BodyText"/>
        <w:spacing w:line="357" w:lineRule="auto"/>
        <w:ind w:right="155" w:firstLine="480"/>
        <w:jc w:val="both"/>
      </w:pPr>
      <w:r>
        <w:rPr/>
        <w:t>符合下述条件之一的金融资产，在初始确认时可指定为以公允价值计量且其变动计入当 期损益的金融资产：</w:t>
      </w:r>
      <w:r>
        <w:rPr>
          <w:rFonts w:ascii="宋体" w:hAnsi="宋体" w:cs="宋体" w:eastAsia="宋体" w:hint="default"/>
        </w:rPr>
        <w:t>A.</w:t>
      </w:r>
      <w:r>
        <w:rPr/>
        <w:t>该指定可以消除或明显减少由于该金融资产的计量基础不同所导致的</w:t>
      </w:r>
      <w:r>
        <w:rPr>
          <w:spacing w:val="-90"/>
        </w:rPr>
        <w:t> </w:t>
      </w:r>
      <w:r>
        <w:rPr>
          <w:spacing w:val="-90"/>
        </w:rPr>
      </w:r>
      <w:r>
        <w:rPr/>
        <w:t>相关利得或损失在确认或计量方面不一致的情况；</w:t>
      </w:r>
      <w:r>
        <w:rPr>
          <w:rFonts w:ascii="宋体" w:hAnsi="宋体" w:cs="宋体" w:eastAsia="宋体" w:hint="default"/>
        </w:rPr>
        <w:t>B.</w:t>
      </w:r>
      <w:r>
        <w:rPr/>
        <w:t>本公司风险管理或投资策略的正式书面</w:t>
      </w:r>
      <w:r>
        <w:rPr>
          <w:spacing w:val="-88"/>
        </w:rPr>
        <w:t> </w:t>
      </w:r>
      <w:r>
        <w:rPr>
          <w:spacing w:val="-88"/>
        </w:rPr>
      </w:r>
      <w:r>
        <w:rPr/>
        <w:t>文件已载明，对该金融资产所在的金融资产组合或金融资产和金融负债组合以公允价值为基</w:t>
      </w:r>
      <w:r>
        <w:rPr>
          <w:spacing w:val="-91"/>
        </w:rPr>
        <w:t> </w:t>
      </w:r>
      <w:r>
        <w:rPr>
          <w:spacing w:val="-91"/>
        </w:rPr>
      </w:r>
      <w:r>
        <w:rPr/>
        <w:t>础进行管理、评价并向关键管理人员报告。</w:t>
      </w:r>
    </w:p>
    <w:p>
      <w:pPr>
        <w:pStyle w:val="BodyText"/>
        <w:spacing w:line="357" w:lineRule="auto"/>
        <w:ind w:right="160"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57" w:lineRule="auto"/>
        <w:ind w:left="633" w:right="153"/>
        <w:jc w:val="left"/>
      </w:pPr>
      <w:r>
        <w:rPr/>
        <w:t>②持有至到期投资 是指到期日固定、回收金额固定或可确定，且本公司有明确意图和能力持有至到期的非</w:t>
      </w:r>
    </w:p>
    <w:p>
      <w:pPr>
        <w:pStyle w:val="BodyText"/>
        <w:spacing w:line="357" w:lineRule="auto"/>
        <w:ind w:left="633" w:right="153" w:hanging="481"/>
        <w:jc w:val="left"/>
      </w:pPr>
      <w:r>
        <w:rPr/>
        <w:t>衍生金融资产。 持有至到期投资采用实际利率法，按摊余成本进行后续计量，在终止确认、发生减值或</w:t>
      </w:r>
    </w:p>
    <w:p>
      <w:pPr>
        <w:pStyle w:val="BodyText"/>
        <w:spacing w:line="357" w:lineRule="auto"/>
        <w:ind w:left="633" w:right="153" w:hanging="481"/>
        <w:jc w:val="left"/>
      </w:pPr>
      <w:r>
        <w:rPr/>
        <w:t>摊销时产生的利得或损失，计入当期损益。 实际利率法是指按照金融资产或金融负债（含一组金融资产或金融负债）的实际利率计</w:t>
      </w:r>
    </w:p>
    <w:p>
      <w:pPr>
        <w:pStyle w:val="BodyText"/>
        <w:spacing w:line="357" w:lineRule="auto"/>
        <w:ind w:right="156"/>
        <w:jc w:val="both"/>
      </w:pPr>
      <w:r>
        <w:rPr/>
        <w:t>算其摊余成本及各期利息收入或支出的方法。实际利率是指将金融资产或金融负债在预期存</w:t>
      </w:r>
      <w:r>
        <w:rPr>
          <w:spacing w:val="-89"/>
        </w:rPr>
        <w:t> </w:t>
      </w:r>
      <w:r>
        <w:rPr>
          <w:spacing w:val="-89"/>
        </w:rPr>
      </w:r>
      <w:r>
        <w:rPr/>
        <w:t>续期间或适用的更短期间内的未来现金流量，折现为该金融资产或金融负债当前账面价值所</w:t>
      </w:r>
      <w:r>
        <w:rPr>
          <w:spacing w:val="-91"/>
        </w:rPr>
        <w:t> </w:t>
      </w:r>
      <w:r>
        <w:rPr>
          <w:spacing w:val="-91"/>
        </w:rPr>
      </w:r>
      <w:r>
        <w:rPr/>
        <w:t>使用的利率。</w:t>
      </w:r>
    </w:p>
    <w:p>
      <w:pPr>
        <w:pStyle w:val="BodyText"/>
        <w:spacing w:line="357" w:lineRule="auto"/>
        <w:ind w:right="159" w:firstLine="480"/>
        <w:jc w:val="both"/>
      </w:pPr>
      <w:r>
        <w:rPr/>
        <w:t>在计算实际利率时，本公司将在考虑金融资产或金融负债所有合同条款的基础上预计未 来现金流量（不考虑未来的信用损失），同时还将考虑金融资产或金融负债合同各方之间支</w:t>
      </w:r>
      <w:r>
        <w:rPr>
          <w:spacing w:val="-91"/>
        </w:rPr>
        <w:t> </w:t>
      </w:r>
      <w:r>
        <w:rPr>
          <w:spacing w:val="-91"/>
        </w:rPr>
      </w:r>
      <w:r>
        <w:rPr/>
        <w:t>付或收取的、属于实际利率组成部分的各项收费、交易费用及折价或溢价等。</w:t>
      </w:r>
    </w:p>
    <w:p>
      <w:pPr>
        <w:pStyle w:val="BodyText"/>
        <w:spacing w:line="357" w:lineRule="auto"/>
        <w:ind w:left="633" w:right="153"/>
        <w:jc w:val="left"/>
      </w:pPr>
      <w:r>
        <w:rPr/>
        <w:t>③贷款和应收款项 是指在活跃市场中没有报价、回收金额固定或可确定的非衍生金融资产。本公司划分为</w:t>
      </w:r>
    </w:p>
    <w:p>
      <w:pPr>
        <w:pStyle w:val="BodyText"/>
        <w:spacing w:line="357" w:lineRule="auto"/>
        <w:ind w:left="633" w:right="153" w:hanging="481"/>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40" w:lineRule="auto"/>
        <w:ind w:right="0"/>
        <w:jc w:val="both"/>
      </w:pPr>
      <w:r>
        <w:rPr/>
        <w:t>摊销时产生的利得或损失，计入当期损益。</w:t>
      </w:r>
    </w:p>
    <w:p>
      <w:pPr>
        <w:pStyle w:val="BodyText"/>
        <w:spacing w:line="240" w:lineRule="auto" w:before="154"/>
        <w:ind w:left="633" w:right="153"/>
        <w:jc w:val="left"/>
      </w:pPr>
      <w:r>
        <w:rPr/>
        <w:t>④可供出售金融资产</w:t>
      </w:r>
    </w:p>
    <w:p>
      <w:pPr>
        <w:spacing w:after="0" w:line="240" w:lineRule="auto"/>
        <w:jc w:val="left"/>
        <w:sectPr>
          <w:footerReference w:type="default" r:id="rId16"/>
          <w:pgSz w:w="11910" w:h="16840"/>
          <w:pgMar w:footer="979" w:header="745"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240" w:firstLine="480"/>
        <w:jc w:val="both"/>
      </w:pPr>
      <w:r>
        <w:rPr/>
        <w:t>包括初始确认时即被指定为可供出售的非衍生金融资产，以及除了以公允价值计量且其 变动计入当期损益的金融资产、贷款和应收款项、持有至到期投资以外的金融资产。</w:t>
      </w:r>
    </w:p>
    <w:p>
      <w:pPr>
        <w:pStyle w:val="BodyText"/>
        <w:spacing w:line="357" w:lineRule="auto"/>
        <w:ind w:right="236" w:firstLine="480"/>
        <w:jc w:val="both"/>
      </w:pPr>
      <w:r>
        <w:rPr/>
        <w:t>可供出售债务工具投资的期末成本按照摊余成本法确定，即初始确认金额扣除已偿还的 本金，加上或减去采用实际利率法将该初始确认金额与到期日金额之间的差额进行摊销形成</w:t>
      </w:r>
      <w:r>
        <w:rPr>
          <w:spacing w:val="-91"/>
        </w:rPr>
        <w:t> </w:t>
      </w:r>
      <w:r>
        <w:rPr>
          <w:spacing w:val="-91"/>
        </w:rPr>
      </w:r>
      <w:r>
        <w:rPr/>
        <w:t>的累计摊销额，并扣除已发生的减值损失后的金额。可供出售权益工具投资的期末成本为其</w:t>
      </w:r>
      <w:r>
        <w:rPr>
          <w:spacing w:val="-89"/>
        </w:rPr>
        <w:t> </w:t>
      </w:r>
      <w:r>
        <w:rPr>
          <w:spacing w:val="-89"/>
        </w:rPr>
      </w:r>
      <w:r>
        <w:rPr/>
        <w:t>初始取得成本。</w:t>
      </w:r>
    </w:p>
    <w:p>
      <w:pPr>
        <w:pStyle w:val="BodyText"/>
        <w:spacing w:line="357" w:lineRule="auto"/>
        <w:ind w:right="239" w:firstLine="480"/>
        <w:jc w:val="both"/>
      </w:pPr>
      <w:r>
        <w:rPr/>
        <w:t>可供出售金融资产采用公允价值进行后续计量，公允价值变动形成的利得或损失，除减 值损失和外币货币性金融资产与摊余成本相关的汇兑差额计入当期损益外，确认为其他综合</w:t>
      </w:r>
      <w:r>
        <w:rPr>
          <w:spacing w:val="-91"/>
        </w:rPr>
        <w:t> </w:t>
      </w:r>
      <w:r>
        <w:rPr>
          <w:spacing w:val="-91"/>
        </w:rPr>
      </w:r>
      <w:r>
        <w:rPr/>
        <w:t>收益，在该金融资产终止确认时转出，计入当期损益。但是，在活跃市场中没有报价且其公</w:t>
      </w:r>
      <w:r>
        <w:rPr>
          <w:spacing w:val="-91"/>
        </w:rPr>
        <w:t> </w:t>
      </w:r>
      <w:r>
        <w:rPr>
          <w:spacing w:val="-91"/>
        </w:rPr>
      </w:r>
      <w:r>
        <w:rPr/>
        <w:t>允价值不能可靠计量的权益工具投资，以及与该权益工具挂钩并须通过交付该权益工具结算</w:t>
      </w:r>
      <w:r>
        <w:rPr>
          <w:spacing w:val="-91"/>
        </w:rPr>
        <w:t> </w:t>
      </w:r>
      <w:r>
        <w:rPr>
          <w:spacing w:val="-91"/>
        </w:rPr>
      </w:r>
      <w:r>
        <w:rPr/>
        <w:t>的衍生金融资产，按照成本进行后续计量。</w:t>
      </w:r>
    </w:p>
    <w:p>
      <w:pPr>
        <w:pStyle w:val="BodyText"/>
        <w:spacing w:line="240" w:lineRule="auto"/>
        <w:ind w:left="633" w:right="96"/>
        <w:jc w:val="left"/>
      </w:pPr>
      <w:r>
        <w:rPr/>
        <w:t>可供出售金融资产持有期间取得的利息及被投资单位宣告发放的现金股利，计入投资收</w:t>
      </w:r>
    </w:p>
    <w:p>
      <w:pPr>
        <w:spacing w:line="240" w:lineRule="auto" w:before="10"/>
        <w:rPr>
          <w:rFonts w:ascii="宋体" w:hAnsi="宋体" w:cs="宋体" w:eastAsia="宋体" w:hint="default"/>
          <w:sz w:val="9"/>
          <w:szCs w:val="9"/>
        </w:rPr>
      </w:pPr>
    </w:p>
    <w:p>
      <w:pPr>
        <w:pStyle w:val="BodyText"/>
        <w:spacing w:line="240" w:lineRule="auto" w:before="26"/>
        <w:ind w:right="96"/>
        <w:jc w:val="left"/>
      </w:pPr>
      <w:r>
        <w:rPr/>
        <w:t>益。</w:t>
      </w:r>
    </w:p>
    <w:p>
      <w:pPr>
        <w:pStyle w:val="BodyText"/>
        <w:spacing w:line="357" w:lineRule="auto" w:before="154"/>
        <w:ind w:left="633" w:right="96"/>
        <w:jc w:val="left"/>
      </w:pPr>
      <w:r>
        <w:rPr/>
        <w:t>（</w:t>
      </w:r>
      <w:r>
        <w:rPr>
          <w:rFonts w:ascii="宋体" w:hAnsi="宋体" w:cs="宋体" w:eastAsia="宋体" w:hint="default"/>
        </w:rPr>
        <w:t>3</w:t>
      </w:r>
      <w:r>
        <w:rPr/>
        <w:t>）金融资产减值 除了以公允价值计量且其变动计入当期损益的金融资产外，本公司在每个资产负债表日</w:t>
      </w:r>
    </w:p>
    <w:p>
      <w:pPr>
        <w:pStyle w:val="BodyText"/>
        <w:spacing w:line="357" w:lineRule="auto"/>
        <w:ind w:left="633" w:right="96" w:hanging="481"/>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57" w:lineRule="auto"/>
        <w:ind w:right="239"/>
        <w:jc w:val="both"/>
      </w:pPr>
      <w:r>
        <w:rPr/>
        <w:t>单独进行减值测试或包括在具有类似信用风险特征的金融资产组合中进行减值测试。单独测</w:t>
      </w:r>
      <w:r>
        <w:rPr>
          <w:spacing w:val="-91"/>
        </w:rPr>
        <w:t> </w:t>
      </w:r>
      <w:r>
        <w:rPr>
          <w:spacing w:val="-91"/>
        </w:rPr>
      </w:r>
      <w:r>
        <w:rPr/>
        <w:t>试未发生减值的金融资产（包括单项金额重大和不重大的金融资产），包括在具有类似信用</w:t>
      </w:r>
      <w:r>
        <w:rPr>
          <w:spacing w:val="-91"/>
        </w:rPr>
        <w:t> </w:t>
      </w:r>
      <w:r>
        <w:rPr>
          <w:spacing w:val="-91"/>
        </w:rPr>
      </w:r>
      <w:r>
        <w:rPr/>
        <w:t>风险特征的金融资产组合中再进行减值测试。已单项确认减值损失的金融资产，不包括在具</w:t>
      </w:r>
      <w:r>
        <w:rPr>
          <w:spacing w:val="-91"/>
        </w:rPr>
        <w:t> </w:t>
      </w:r>
      <w:r>
        <w:rPr>
          <w:spacing w:val="-91"/>
        </w:rPr>
      </w:r>
      <w:r>
        <w:rPr/>
        <w:t>有类似信用风险特征的金融资产组合中进行减值测试。</w:t>
      </w:r>
    </w:p>
    <w:p>
      <w:pPr>
        <w:pStyle w:val="BodyText"/>
        <w:spacing w:line="357" w:lineRule="auto" w:before="37"/>
        <w:ind w:left="633" w:right="96"/>
        <w:jc w:val="left"/>
      </w:pPr>
      <w:r>
        <w:rPr/>
        <w:t>①持有至到期投资、贷款和应收款项减值 以成本或摊余成本计量的金融资产将其账面价值减记至预计未来现金流量现值，减记金</w:t>
      </w:r>
    </w:p>
    <w:p>
      <w:pPr>
        <w:pStyle w:val="BodyText"/>
        <w:spacing w:line="357" w:lineRule="auto"/>
        <w:ind w:right="239"/>
        <w:jc w:val="both"/>
      </w:pPr>
      <w:r>
        <w:rPr/>
        <w:t>额确认为减值损失，计入当期损益。金融资产在确认减值损失后，如有客观证据表明该金融</w:t>
      </w:r>
      <w:r>
        <w:rPr>
          <w:spacing w:val="-91"/>
        </w:rPr>
        <w:t> </w:t>
      </w:r>
      <w:r>
        <w:rPr>
          <w:spacing w:val="-91"/>
        </w:rPr>
      </w:r>
      <w:r>
        <w:rPr/>
        <w:t>资产价值已恢复，且客观上与确认该损失后发生的事项有关，原确认的减值损失予以转回，</w:t>
      </w:r>
      <w:r>
        <w:rPr>
          <w:spacing w:val="-91"/>
        </w:rPr>
        <w:t> </w:t>
      </w:r>
      <w:r>
        <w:rPr>
          <w:spacing w:val="-91"/>
        </w:rPr>
      </w:r>
      <w:r>
        <w:rPr/>
        <w:t>金融资产转回减值损失后的账面价值不超过假定不计提减值准备情况下该金融资产在转回日</w:t>
      </w:r>
      <w:r>
        <w:rPr>
          <w:spacing w:val="-91"/>
        </w:rPr>
        <w:t> </w:t>
      </w:r>
      <w:r>
        <w:rPr>
          <w:spacing w:val="-91"/>
        </w:rPr>
      </w:r>
      <w:r>
        <w:rPr/>
        <w:t>的摊余成本。</w:t>
      </w:r>
    </w:p>
    <w:p>
      <w:pPr>
        <w:pStyle w:val="BodyText"/>
        <w:spacing w:line="357" w:lineRule="auto"/>
        <w:ind w:left="633" w:right="96"/>
        <w:jc w:val="left"/>
      </w:pPr>
      <w:r>
        <w:rPr/>
        <w:t>②可供出售金融资产减值 当综合相关因素判断可供出售权益工具投资公允价值下跌是严重或非暂时性下跌时，表</w:t>
      </w:r>
    </w:p>
    <w:p>
      <w:pPr>
        <w:spacing w:after="0" w:line="357" w:lineRule="auto"/>
        <w:jc w:val="left"/>
        <w:sectPr>
          <w:footerReference w:type="default" r:id="rId17"/>
          <w:pgSz w:w="11910" w:h="16840"/>
          <w:pgMar w:footer="979" w:header="745" w:top="1060" w:bottom="1160" w:left="980" w:right="900"/>
          <w:pgNumType w:start="101"/>
        </w:sectPr>
      </w:pPr>
    </w:p>
    <w:p>
      <w:pPr>
        <w:spacing w:line="240" w:lineRule="auto" w:before="7"/>
        <w:rPr>
          <w:rFonts w:ascii="宋体" w:hAnsi="宋体" w:cs="宋体" w:eastAsia="宋体" w:hint="default"/>
          <w:sz w:val="29"/>
          <w:szCs w:val="29"/>
        </w:rPr>
      </w:pPr>
    </w:p>
    <w:p>
      <w:pPr>
        <w:pStyle w:val="BodyText"/>
        <w:spacing w:line="357" w:lineRule="auto" w:before="26"/>
        <w:ind w:right="153"/>
        <w:jc w:val="left"/>
      </w:pPr>
      <w:r>
        <w:rPr>
          <w:spacing w:val="6"/>
        </w:rPr>
        <w:t>明该可供出售权益工具投资发生减值。其中“严重下跌”是指公允价值下跌幅度累计超过</w:t>
      </w:r>
      <w:r>
        <w:rPr>
          <w:spacing w:val="-97"/>
        </w:rPr>
        <w:t> </w:t>
      </w:r>
      <w:r>
        <w:rPr>
          <w:spacing w:val="-97"/>
        </w:rPr>
      </w:r>
      <w:r>
        <w:rPr>
          <w:rFonts w:ascii="宋体" w:hAnsi="宋体" w:cs="宋体" w:eastAsia="宋体" w:hint="default"/>
        </w:rPr>
        <w:t>20%</w:t>
      </w:r>
      <w:r>
        <w:rPr/>
        <w:t>；“非暂时性下跌”是指公允价值连续下跌时间超过</w:t>
      </w:r>
      <w:r>
        <w:rPr>
          <w:rFonts w:ascii="宋体" w:hAnsi="宋体" w:cs="宋体" w:eastAsia="宋体" w:hint="default"/>
        </w:rPr>
        <w:t>12</w:t>
      </w:r>
      <w:r>
        <w:rPr/>
        <w:t>个月。</w:t>
      </w:r>
    </w:p>
    <w:p>
      <w:pPr>
        <w:pStyle w:val="BodyText"/>
        <w:spacing w:line="357" w:lineRule="auto"/>
        <w:ind w:right="159" w:firstLine="480"/>
        <w:jc w:val="both"/>
      </w:pPr>
      <w:r>
        <w:rPr/>
        <w:t>可供出售金融资产发生减值时，将原计入其他综合收益的因公允价值下降形成的累计损 失予以转出并计入当期损益，该转出的累计损失为该资产初始取得成本扣除已收回本金和已</w:t>
      </w:r>
      <w:r>
        <w:rPr>
          <w:spacing w:val="-91"/>
        </w:rPr>
        <w:t> </w:t>
      </w:r>
      <w:r>
        <w:rPr>
          <w:spacing w:val="-91"/>
        </w:rPr>
      </w:r>
      <w:r>
        <w:rPr/>
        <w:t>摊销金额、当前公允价值和原已计入损益的减值损失后的余额。</w:t>
      </w:r>
    </w:p>
    <w:p>
      <w:pPr>
        <w:pStyle w:val="BodyText"/>
        <w:spacing w:line="357" w:lineRule="auto"/>
        <w:ind w:right="159" w:firstLine="480"/>
        <w:jc w:val="both"/>
      </w:pPr>
      <w:r>
        <w:rPr/>
        <w:t>在确认减值损失后，期后如有客观证据表明该金融资产价值已恢复，且客观上与确认该 损失后发生的事项有关，原确认的减值损失予以转回，可供出售权益工具投资的减值损失转</w:t>
      </w:r>
      <w:r>
        <w:rPr>
          <w:spacing w:val="-91"/>
        </w:rPr>
        <w:t> </w:t>
      </w:r>
      <w:r>
        <w:rPr>
          <w:spacing w:val="-91"/>
        </w:rPr>
      </w:r>
      <w:r>
        <w:rPr/>
        <w:t>回确认为其他综合收益，可供出售债务工具的减值损失转回计入当期损益。</w:t>
      </w:r>
    </w:p>
    <w:p>
      <w:pPr>
        <w:pStyle w:val="BodyText"/>
        <w:spacing w:line="357" w:lineRule="auto"/>
        <w:ind w:right="160"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57" w:lineRule="auto"/>
        <w:ind w:left="633" w:right="153"/>
        <w:jc w:val="left"/>
      </w:pPr>
      <w:r>
        <w:rPr/>
        <w:t>（</w:t>
      </w:r>
      <w:r>
        <w:rPr>
          <w:rFonts w:ascii="宋体" w:hAnsi="宋体" w:cs="宋体" w:eastAsia="宋体" w:hint="default"/>
        </w:rPr>
        <w:t>4</w:t>
      </w:r>
      <w:r>
        <w:rPr/>
        <w:t>）金融资产转移的确认依据和计量方法 满足下列条件之一的金融资产，予以终止确认：①收取该金融资产现金流量的合同权利</w:t>
      </w:r>
    </w:p>
    <w:p>
      <w:pPr>
        <w:pStyle w:val="BodyText"/>
        <w:spacing w:line="240" w:lineRule="auto"/>
        <w:ind w:right="153"/>
        <w:jc w:val="left"/>
      </w:pPr>
      <w:r>
        <w:rPr/>
        <w:t>终止；②该金融资产已转移，且将金融资产所有权上几乎所有的风险和报酬转移给转入方；</w:t>
      </w:r>
    </w:p>
    <w:p>
      <w:pPr>
        <w:pStyle w:val="BodyText"/>
        <w:spacing w:line="357" w:lineRule="auto" w:before="154"/>
        <w:ind w:right="153"/>
        <w:jc w:val="left"/>
      </w:pPr>
      <w:r>
        <w:rPr/>
        <w:t>③该金融资产已转移，虽然企业既没有转移也没有保留金融资产所有权上几乎所有的风险和</w:t>
      </w:r>
      <w:r>
        <w:rPr>
          <w:spacing w:val="-91"/>
        </w:rPr>
        <w:t> </w:t>
      </w:r>
      <w:r>
        <w:rPr>
          <w:spacing w:val="-91"/>
        </w:rPr>
      </w:r>
      <w:r>
        <w:rPr/>
        <w:t>报酬，但是放弃了对该金融资产的控制。</w:t>
      </w:r>
    </w:p>
    <w:p>
      <w:pPr>
        <w:pStyle w:val="BodyText"/>
        <w:spacing w:line="357" w:lineRule="auto"/>
        <w:ind w:right="159" w:firstLine="480"/>
        <w:jc w:val="both"/>
      </w:pPr>
      <w:r>
        <w:rPr/>
        <w:t>若企业既没有转移也没有保留金融资产所有权上几乎所有的风险和报酬，且未放弃对该 金融资产的控制的，则按照继续涉入所转移金融资产的程度确认有关金融资产，并相应确认</w:t>
      </w:r>
      <w:r>
        <w:rPr>
          <w:spacing w:val="-91"/>
        </w:rPr>
        <w:t> </w:t>
      </w:r>
      <w:r>
        <w:rPr>
          <w:spacing w:val="-91"/>
        </w:rPr>
      </w:r>
      <w:r>
        <w:rPr/>
        <w:t>有关负债。继续涉入所转移金融资产的程度，是指该金融资产价值变动使企业面临的风险水</w:t>
      </w:r>
      <w:r>
        <w:rPr>
          <w:spacing w:val="-91"/>
        </w:rPr>
        <w:t> </w:t>
      </w:r>
      <w:r>
        <w:rPr>
          <w:spacing w:val="-91"/>
        </w:rPr>
      </w:r>
      <w:r>
        <w:rPr/>
        <w:t>平。</w:t>
      </w:r>
    </w:p>
    <w:p>
      <w:pPr>
        <w:pStyle w:val="BodyText"/>
        <w:spacing w:line="357" w:lineRule="auto"/>
        <w:ind w:right="160"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57" w:lineRule="auto" w:before="37"/>
        <w:ind w:right="155" w:firstLine="480"/>
        <w:jc w:val="both"/>
      </w:pPr>
      <w:r>
        <w:rPr/>
        <w:t>金融资产部分转移满足终止确认条件的，将所转移金融资产的账面价值在终止确认及未 终止确认部分之间按其相对的公允价值进行分摊，并将因转移而收到的对价与应分摊至终止</w:t>
      </w:r>
      <w:r>
        <w:rPr>
          <w:spacing w:val="-87"/>
        </w:rPr>
        <w:t> </w:t>
      </w:r>
      <w:r>
        <w:rPr>
          <w:spacing w:val="-87"/>
        </w:rPr>
      </w:r>
      <w:r>
        <w:rPr/>
        <w:t>确认部分的原计入其他综合收益的公允价值变动累计额之和与分摊的前述账面金额之差额计</w:t>
      </w:r>
      <w:r>
        <w:rPr>
          <w:spacing w:val="-91"/>
        </w:rPr>
        <w:t> </w:t>
      </w:r>
      <w:r>
        <w:rPr>
          <w:spacing w:val="-91"/>
        </w:rPr>
      </w:r>
      <w:r>
        <w:rPr/>
        <w:t>入当期损益。</w:t>
      </w:r>
    </w:p>
    <w:p>
      <w:pPr>
        <w:pStyle w:val="BodyText"/>
        <w:spacing w:line="357" w:lineRule="auto"/>
        <w:ind w:right="159" w:firstLine="480"/>
        <w:jc w:val="both"/>
      </w:pPr>
      <w:r>
        <w:rPr/>
        <w:t>本公司对采用附追索权方式出售的金融资产，或将持有的金融资产背书转让，需确定该 金融资产所有权上几乎所有的风险和报酬是否已经转移。已将该金融资产所有权上几乎所有</w:t>
      </w:r>
      <w:r>
        <w:rPr>
          <w:spacing w:val="-91"/>
        </w:rPr>
        <w:t> </w:t>
      </w:r>
      <w:r>
        <w:rPr>
          <w:spacing w:val="-91"/>
        </w:rPr>
      </w:r>
      <w:r>
        <w:rPr/>
        <w:t>的风险和报酬转移给转入方的，终止确认该金融资产；保留了金融资产所有权上几乎所有的</w:t>
      </w:r>
      <w:r>
        <w:rPr>
          <w:spacing w:val="-91"/>
        </w:rPr>
        <w:t> </w:t>
      </w:r>
      <w:r>
        <w:rPr>
          <w:spacing w:val="-91"/>
        </w:rPr>
      </w:r>
      <w:r>
        <w:rPr/>
        <w:t>风险和报酬的，不终止确认该金融资产；既没有转移也没有保留金融资产所有权上几乎所有</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的风险和报酬的，则继续判断企业是否对该资产保留了控制，并根据前面各段所述的原则进</w:t>
      </w:r>
      <w:r>
        <w:rPr>
          <w:spacing w:val="-91"/>
        </w:rPr>
        <w:t> </w:t>
      </w:r>
      <w:r>
        <w:rPr>
          <w:spacing w:val="-91"/>
        </w:rPr>
      </w:r>
      <w:r>
        <w:rPr/>
        <w:t>行会计处理。</w:t>
      </w:r>
    </w:p>
    <w:p>
      <w:pPr>
        <w:pStyle w:val="BodyText"/>
        <w:spacing w:line="357" w:lineRule="auto"/>
        <w:ind w:left="633" w:right="153"/>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w:t>
      </w:r>
    </w:p>
    <w:p>
      <w:pPr>
        <w:pStyle w:val="BodyText"/>
        <w:spacing w:line="357" w:lineRule="auto"/>
        <w:ind w:right="159"/>
        <w:jc w:val="both"/>
      </w:pPr>
      <w:r>
        <w:rPr/>
        <w:t>金融负债。初始确认金融负债，以公允价值计量。对于以公允价值计量且其变动计入当期损</w:t>
      </w:r>
      <w:r>
        <w:rPr>
          <w:spacing w:val="-91"/>
        </w:rPr>
        <w:t> </w:t>
      </w:r>
      <w:r>
        <w:rPr>
          <w:spacing w:val="-91"/>
        </w:rPr>
      </w:r>
      <w:r>
        <w:rPr/>
        <w:t>益的金融负债，相关的交易费用直接计入当期损益，对于其他金融负债，相关交易费用计入</w:t>
      </w:r>
      <w:r>
        <w:rPr>
          <w:spacing w:val="-91"/>
        </w:rPr>
        <w:t> </w:t>
      </w:r>
      <w:r>
        <w:rPr>
          <w:spacing w:val="-91"/>
        </w:rPr>
      </w:r>
      <w:r>
        <w:rPr/>
        <w:t>初始确认金额。</w:t>
      </w:r>
    </w:p>
    <w:p>
      <w:pPr>
        <w:pStyle w:val="BodyText"/>
        <w:spacing w:line="357" w:lineRule="auto" w:before="37"/>
        <w:ind w:left="633" w:right="153"/>
        <w:jc w:val="left"/>
      </w:pPr>
      <w:r>
        <w:rPr/>
        <w:t>①以公允价值计量且其变动计入当期损益的金融负债 分类为交易性金融负债和在初始确认时指定为以公允价值计量且其变动计入当期损益的</w:t>
      </w:r>
    </w:p>
    <w:p>
      <w:pPr>
        <w:pStyle w:val="BodyText"/>
        <w:spacing w:line="357" w:lineRule="auto"/>
        <w:ind w:right="159"/>
        <w:jc w:val="both"/>
      </w:pPr>
      <w:r>
        <w:rPr/>
        <w:t>金融负债的条件与分类为交易性金融资产和在初始确认时指定为以公允价值计量且其变动计</w:t>
      </w:r>
      <w:r>
        <w:rPr>
          <w:spacing w:val="-91"/>
        </w:rPr>
        <w:t> </w:t>
      </w:r>
      <w:r>
        <w:rPr>
          <w:spacing w:val="-91"/>
        </w:rPr>
      </w:r>
      <w:r>
        <w:rPr/>
        <w:t>入当期损益的金融资产的条件一致。</w:t>
      </w:r>
    </w:p>
    <w:p>
      <w:pPr>
        <w:pStyle w:val="BodyText"/>
        <w:spacing w:line="357" w:lineRule="auto"/>
        <w:ind w:right="153" w:firstLine="480"/>
        <w:jc w:val="left"/>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357" w:lineRule="auto"/>
        <w:ind w:left="633" w:right="153"/>
        <w:jc w:val="left"/>
      </w:pPr>
      <w:r>
        <w:rPr/>
        <w:t>②其他金融负债 与在活跃市场中没有报价、公允价值不能可靠计量的权益工具挂钩并须通过交付该权益</w:t>
      </w:r>
    </w:p>
    <w:p>
      <w:pPr>
        <w:pStyle w:val="BodyText"/>
        <w:spacing w:line="357" w:lineRule="auto"/>
        <w:ind w:right="159"/>
        <w:jc w:val="both"/>
      </w:pPr>
      <w:r>
        <w:rPr/>
        <w:t>工具结算的衍生金融负债，按照成本进行后续计量。其他金融负债采用实际利率法，按摊余</w:t>
      </w:r>
      <w:r>
        <w:rPr>
          <w:spacing w:val="-91"/>
        </w:rPr>
        <w:t> </w:t>
      </w:r>
      <w:r>
        <w:rPr>
          <w:spacing w:val="-91"/>
        </w:rPr>
      </w:r>
      <w:r>
        <w:rPr/>
        <w:t>成本进行后续计量，终止确认或摊销产生的利得或损失计入当期损益。</w:t>
      </w:r>
    </w:p>
    <w:p>
      <w:pPr>
        <w:pStyle w:val="BodyText"/>
        <w:spacing w:line="357" w:lineRule="auto"/>
        <w:ind w:left="633" w:right="153"/>
        <w:jc w:val="left"/>
      </w:pPr>
      <w:r>
        <w:rPr/>
        <w:t>③财务担保合同 不属于指定为以公允价值计量且其变动计入当期损益的金融负债的财务担保合同，以公</w:t>
      </w:r>
    </w:p>
    <w:p>
      <w:pPr>
        <w:pStyle w:val="BodyText"/>
        <w:spacing w:line="357" w:lineRule="auto"/>
        <w:ind w:right="155"/>
        <w:jc w:val="both"/>
      </w:pPr>
      <w:r>
        <w:rPr/>
        <w:t>允价值进行初始确认，在初始确认后按照《企业会计准则第</w:t>
      </w:r>
      <w:r>
        <w:rPr>
          <w:rFonts w:ascii="宋体" w:hAnsi="宋体" w:cs="宋体" w:eastAsia="宋体" w:hint="default"/>
        </w:rPr>
        <w:t>13</w:t>
      </w:r>
      <w:r>
        <w:rPr/>
        <w:t>号—或有事项》确定的金额和</w:t>
      </w:r>
      <w:r>
        <w:rPr>
          <w:spacing w:val="-89"/>
        </w:rPr>
        <w:t> </w:t>
      </w:r>
      <w:r>
        <w:rPr>
          <w:spacing w:val="-89"/>
        </w:rPr>
      </w:r>
      <w:r>
        <w:rPr/>
        <w:t>初始确认金额扣除按照《企业会计准则第</w:t>
      </w:r>
      <w:r>
        <w:rPr>
          <w:rFonts w:ascii="宋体" w:hAnsi="宋体" w:cs="宋体" w:eastAsia="宋体" w:hint="default"/>
        </w:rPr>
        <w:t>14</w:t>
      </w:r>
      <w:r>
        <w:rPr/>
        <w:t>号—收入》的原则确定的累计摊销额后的余额之</w:t>
      </w:r>
      <w:r>
        <w:rPr>
          <w:spacing w:val="-89"/>
        </w:rPr>
        <w:t> </w:t>
      </w:r>
      <w:r>
        <w:rPr>
          <w:spacing w:val="-89"/>
        </w:rPr>
      </w:r>
      <w:r>
        <w:rPr/>
        <w:t>中的较高者进行后续计量。</w:t>
      </w:r>
    </w:p>
    <w:p>
      <w:pPr>
        <w:pStyle w:val="BodyText"/>
        <w:spacing w:line="357" w:lineRule="auto"/>
        <w:ind w:left="633" w:right="153"/>
        <w:jc w:val="left"/>
      </w:pPr>
      <w:r>
        <w:rPr/>
        <w:t>（</w:t>
      </w:r>
      <w:r>
        <w:rPr>
          <w:rFonts w:ascii="宋体" w:hAnsi="宋体" w:cs="宋体" w:eastAsia="宋体" w:hint="default"/>
        </w:rPr>
        <w:t>6</w:t>
      </w:r>
      <w:r>
        <w:rPr/>
        <w:t>）金融负债的终止确认 金融负债的现时义务全部或部分已经解除的，才能终止确认该金融负债或其一部分。本</w:t>
      </w:r>
    </w:p>
    <w:p>
      <w:pPr>
        <w:pStyle w:val="BodyText"/>
        <w:spacing w:line="357" w:lineRule="auto"/>
        <w:ind w:right="159"/>
        <w:jc w:val="both"/>
      </w:pPr>
      <w:r>
        <w:rPr/>
        <w:t>公司（债务人）与债权人之间签订协议，以承担新金融负债方式替换现存金融负债，且新金</w:t>
      </w:r>
      <w:r>
        <w:rPr>
          <w:spacing w:val="-91"/>
        </w:rPr>
        <w:t> </w:t>
      </w:r>
      <w:r>
        <w:rPr>
          <w:spacing w:val="-91"/>
        </w:rPr>
      </w:r>
      <w:r>
        <w:rPr/>
        <w:t>融负债与现存金融负债的合同条款实质上不同的，终止确认现存金融负债，并同时确认新金</w:t>
      </w:r>
      <w:r>
        <w:rPr>
          <w:spacing w:val="-91"/>
        </w:rPr>
        <w:t> </w:t>
      </w:r>
      <w:r>
        <w:rPr>
          <w:spacing w:val="-91"/>
        </w:rPr>
      </w:r>
      <w:r>
        <w:rPr/>
        <w:t>融负债。</w:t>
      </w:r>
    </w:p>
    <w:p>
      <w:pPr>
        <w:pStyle w:val="BodyText"/>
        <w:spacing w:line="357" w:lineRule="auto"/>
        <w:ind w:right="153" w:firstLine="480"/>
        <w:jc w:val="left"/>
      </w:pPr>
      <w:r>
        <w:rPr/>
        <w:t>金融负债全部或部分终止确认的，将终止确认部分的账面价值与支付的对价（包括转出 的非现金资产或承担的新金融负债）之间的差额，计入当期损益。</w:t>
      </w:r>
    </w:p>
    <w:p>
      <w:pPr>
        <w:spacing w:after="0" w:line="357"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3" w:right="96"/>
        <w:jc w:val="left"/>
      </w:pPr>
      <w:r>
        <w:rPr/>
        <w:t>（</w:t>
      </w:r>
      <w:r>
        <w:rPr>
          <w:rFonts w:ascii="宋体" w:hAnsi="宋体" w:cs="宋体" w:eastAsia="宋体" w:hint="default"/>
        </w:rPr>
        <w:t>7</w:t>
      </w:r>
      <w:r>
        <w:rPr/>
        <w:t>）衍生工具及嵌入衍生工具 衍生工具于相关合同签署日以公允价值进行初始计量，并以公允价值进行后续计量。衍</w:t>
      </w:r>
    </w:p>
    <w:p>
      <w:pPr>
        <w:pStyle w:val="BodyText"/>
        <w:spacing w:line="357" w:lineRule="auto"/>
        <w:ind w:left="633" w:right="96" w:hanging="481"/>
        <w:jc w:val="left"/>
      </w:pPr>
      <w:r>
        <w:rPr/>
        <w:t>生工具的公允价值变动计入当期损益。 对包含嵌入衍生工具的混合工具，如未指定为以公允价值计量且其变动计入当期损益的</w:t>
      </w:r>
    </w:p>
    <w:p>
      <w:pPr>
        <w:pStyle w:val="BodyText"/>
        <w:spacing w:line="357" w:lineRule="auto"/>
        <w:ind w:right="235"/>
        <w:jc w:val="both"/>
      </w:pPr>
      <w:r>
        <w:rPr/>
        <w:t>金融资产或金融负债，嵌入衍生工具与该主合同在经济特征及风险方面不存在紧密关系，且</w:t>
      </w:r>
      <w:r>
        <w:rPr>
          <w:spacing w:val="-91"/>
        </w:rPr>
        <w:t> </w:t>
      </w:r>
      <w:r>
        <w:rPr>
          <w:spacing w:val="-91"/>
        </w:rPr>
      </w:r>
      <w:r>
        <w:rPr/>
        <w:t>与嵌入衍生工具条件相同，单独存在的工具符合衍生工具定义的，嵌入衍生工具从混合工具</w:t>
      </w:r>
      <w:r>
        <w:rPr>
          <w:spacing w:val="-91"/>
        </w:rPr>
        <w:t> </w:t>
      </w:r>
      <w:r>
        <w:rPr>
          <w:spacing w:val="-91"/>
        </w:rPr>
      </w:r>
      <w:r>
        <w:rPr/>
        <w:t>中分拆，作为单独的衍生金融工具处理。如果无法在取得时或后续的资产负债表日对嵌入衍</w:t>
      </w:r>
      <w:r>
        <w:rPr>
          <w:spacing w:val="-87"/>
        </w:rPr>
        <w:t> </w:t>
      </w:r>
      <w:r>
        <w:rPr>
          <w:spacing w:val="-87"/>
        </w:rPr>
      </w:r>
      <w:r>
        <w:rPr/>
        <w:t>生工具进行单独计量，则将混合工具整体指定为以公允价值计量且其变动计入当期损益的金</w:t>
      </w:r>
      <w:r>
        <w:rPr>
          <w:spacing w:val="-91"/>
        </w:rPr>
        <w:t> </w:t>
      </w:r>
      <w:r>
        <w:rPr>
          <w:spacing w:val="-91"/>
        </w:rPr>
      </w:r>
      <w:r>
        <w:rPr/>
        <w:t>融资产或金融负债。</w:t>
      </w:r>
    </w:p>
    <w:p>
      <w:pPr>
        <w:pStyle w:val="BodyText"/>
        <w:spacing w:line="357" w:lineRule="auto"/>
        <w:ind w:left="633" w:right="96"/>
        <w:jc w:val="left"/>
      </w:pPr>
      <w:r>
        <w:rPr/>
        <w:t>（</w:t>
      </w:r>
      <w:r>
        <w:rPr>
          <w:rFonts w:ascii="宋体" w:hAnsi="宋体" w:cs="宋体" w:eastAsia="宋体" w:hint="default"/>
        </w:rPr>
        <w:t>8</w:t>
      </w:r>
      <w:r>
        <w:rPr/>
        <w:t>）金融资产和金融负债的抵销 </w:t>
      </w:r>
      <w:r>
        <w:rPr>
          <w:spacing w:val="-3"/>
        </w:rPr>
        <w:t>当本公司具有抵销已确认金融资产和金融负债的法定权利，且目前可执行该种法定权利，</w:t>
      </w:r>
    </w:p>
    <w:p>
      <w:pPr>
        <w:pStyle w:val="BodyText"/>
        <w:spacing w:line="357" w:lineRule="auto"/>
        <w:ind w:right="239"/>
        <w:jc w:val="both"/>
      </w:pPr>
      <w:r>
        <w:rPr/>
        <w:t>同时本公司计划以净额结算或同时变现该金融资产和清偿该金融负债时，金融资产和金融负</w:t>
      </w:r>
      <w:r>
        <w:rPr>
          <w:spacing w:val="-91"/>
        </w:rPr>
        <w:t> </w:t>
      </w:r>
      <w:r>
        <w:rPr>
          <w:spacing w:val="-91"/>
        </w:rPr>
      </w:r>
      <w:r>
        <w:rPr/>
        <w:t>债以相互抵销后的金额在资产负债表内列示。除此以外，金融资产和金融负债在资产负债表</w:t>
      </w:r>
      <w:r>
        <w:rPr>
          <w:spacing w:val="-91"/>
        </w:rPr>
        <w:t> </w:t>
      </w:r>
      <w:r>
        <w:rPr>
          <w:spacing w:val="-91"/>
        </w:rPr>
      </w:r>
      <w:r>
        <w:rPr/>
        <w:t>内分别列示，不予相互抵销。</w:t>
      </w:r>
    </w:p>
    <w:p>
      <w:pPr>
        <w:pStyle w:val="BodyText"/>
        <w:spacing w:line="357" w:lineRule="auto"/>
        <w:ind w:left="633" w:right="96"/>
        <w:jc w:val="left"/>
      </w:pPr>
      <w:r>
        <w:rPr/>
        <w:t>（</w:t>
      </w:r>
      <w:r>
        <w:rPr>
          <w:rFonts w:ascii="宋体" w:hAnsi="宋体" w:cs="宋体" w:eastAsia="宋体" w:hint="default"/>
        </w:rPr>
        <w:t>9</w:t>
      </w:r>
      <w:r>
        <w:rPr/>
        <w:t>）权益工具 权益工具是指能证明拥有本公司在扣除所有负债后的资产中的剩余权益的合同。本公司</w:t>
      </w:r>
    </w:p>
    <w:p>
      <w:pPr>
        <w:pStyle w:val="BodyText"/>
        <w:spacing w:line="357" w:lineRule="auto"/>
        <w:ind w:right="239"/>
        <w:jc w:val="both"/>
      </w:pPr>
      <w:r>
        <w:rPr/>
        <w:t>发行（含再融资）、回购、出售或注销权益工具作为权益的变动处理。本公司不确认权益工</w:t>
      </w:r>
      <w:r>
        <w:rPr>
          <w:spacing w:val="-91"/>
        </w:rPr>
        <w:t> </w:t>
      </w:r>
      <w:r>
        <w:rPr>
          <w:spacing w:val="-91"/>
        </w:rPr>
      </w:r>
      <w:r>
        <w:rPr/>
        <w:t>具的公允价值变动。与权益性交易相关的交易费用从权益中扣减。</w:t>
      </w:r>
    </w:p>
    <w:p>
      <w:pPr>
        <w:pStyle w:val="BodyText"/>
        <w:spacing w:line="357" w:lineRule="auto"/>
        <w:ind w:right="96" w:firstLine="480"/>
        <w:jc w:val="left"/>
      </w:pPr>
      <w:r>
        <w:rPr/>
        <w:t>本公司对权益工具持有方的各种分配（不包括股票股利），减少股东权益。本公司不确 认权益工具的公允价值变动额。</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227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本公司在资产负债表日对应收款项账面价值进行检查，对存 在下列客观证据表明应收款项发生减值的，计提减值准备：</w:t>
            </w:r>
          </w:p>
          <w:p>
            <w:pPr>
              <w:pStyle w:val="TableParagraph"/>
              <w:spacing w:line="314"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①债务人发生严重的财务困难；②债务人违反合同条款（如 </w:t>
            </w:r>
            <w:r>
              <w:rPr>
                <w:rFonts w:ascii="宋体" w:hAnsi="宋体" w:cs="宋体" w:eastAsia="宋体" w:hint="default"/>
                <w:spacing w:val="-6"/>
                <w:sz w:val="18"/>
                <w:szCs w:val="18"/>
              </w:rPr>
              <w:t>偿付利息或本金发生违约或逾期等）；③债务人很可能倒闭或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进行其他财务重组；④其他表明应收款项发生减值的客观依 </w:t>
            </w:r>
            <w:r>
              <w:rPr>
                <w:rFonts w:ascii="宋体" w:hAnsi="宋体" w:cs="宋体" w:eastAsia="宋体" w:hint="default"/>
                <w:spacing w:val="-4"/>
                <w:sz w:val="18"/>
                <w:szCs w:val="18"/>
              </w:rPr>
              <w:t>据。本公司将金额为人民币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 项金额重大的应收款项。</w:t>
            </w:r>
          </w:p>
        </w:tc>
      </w:tr>
      <w:tr>
        <w:trPr>
          <w:trHeight w:val="67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00"/>
        </w:sectPr>
      </w:pPr>
    </w:p>
    <w:p>
      <w:pPr>
        <w:spacing w:line="240" w:lineRule="auto" w:before="2"/>
        <w:rPr>
          <w:rFonts w:ascii="宋体" w:hAnsi="宋体" w:cs="宋体" w:eastAsia="宋体" w:hint="default"/>
          <w:b/>
          <w:bCs/>
          <w:sz w:val="28"/>
          <w:szCs w:val="28"/>
        </w:rPr>
      </w:pPr>
    </w:p>
    <w:p>
      <w:pPr>
        <w:spacing w:line="1006" w:lineRule="exact"/>
        <w:ind w:left="14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9.05pt;height:50.3pt;mso-position-horizontal-relative:char;mso-position-vertical-relative:line" coordorigin="0,0" coordsize="9581,1006">
            <v:group style="position:absolute;left:12;top:14;width:4775;height:978" coordorigin="12,14" coordsize="4775,978">
              <v:shape style="position:absolute;left:12;top:14;width:4775;height:978" coordorigin="12,14" coordsize="4775,978" path="m12,992l4787,992,4787,14,12,14,12,992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997" coordorigin="5,5" coordsize="2,997">
              <v:shape style="position:absolute;left:5;top:5;width:2;height:997" coordorigin="5,5" coordsize="0,997" path="m5,5l5,1001e" filled="false" stroked="true" strokeweight=".48pt" strokecolor="#000000">
                <v:path arrowok="t"/>
              </v:shape>
            </v:group>
            <v:group style="position:absolute;left:10;top:996;width:4775;height:2" coordorigin="10,996" coordsize="4775,2">
              <v:shape style="position:absolute;left:10;top:996;width:4775;height:2" coordorigin="10,996" coordsize="4775,0" path="m10,996l4784,996e" filled="false" stroked="true" strokeweight=".48pt" strokecolor="#000000">
                <v:path arrowok="t"/>
              </v:shape>
            </v:group>
            <v:group style="position:absolute;left:4789;top:5;width:2;height:997" coordorigin="4789,5" coordsize="2,997">
              <v:shape style="position:absolute;left:4789;top:5;width:2;height:997" coordorigin="4789,5" coordsize="0,997" path="m4789,5l4789,1001e" filled="false" stroked="true" strokeweight=".48001pt" strokecolor="#000000">
                <v:path arrowok="t"/>
              </v:shape>
            </v:group>
            <v:group style="position:absolute;left:4794;top:996;width:4777;height:2" coordorigin="4794,996" coordsize="4777,2">
              <v:shape style="position:absolute;left:4794;top:996;width:4777;height:2" coordorigin="4794,996" coordsize="4777,0" path="m4794,996l9571,996e" filled="false" stroked="true" strokeweight=".48pt" strokecolor="#000000">
                <v:path arrowok="t"/>
              </v:shape>
            </v:group>
            <v:group style="position:absolute;left:9576;top:5;width:2;height:997" coordorigin="9576,5" coordsize="2,997">
              <v:shape style="position:absolute;left:9576;top:5;width:2;height:997" coordorigin="9576,5" coordsize="0,997" path="m9576,5l9576,1001e" filled="false" stroked="true" strokeweight=".47998pt" strokecolor="#000000">
                <v:path arrowok="t"/>
              </v:shape>
              <v:shape style="position:absolute;left:4789;top:10;width:4787;height:987" type="#_x0000_t202" filled="false" stroked="false">
                <v:textbox inset="0,0,0,0">
                  <w:txbxContent>
                    <w:p>
                      <w:pPr>
                        <w:spacing w:line="316" w:lineRule="auto" w:before="13"/>
                        <w:ind w:left="28" w:right="75" w:firstLine="0"/>
                        <w:jc w:val="both"/>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 的应收款项，不再包括在具有类似信用风险特征的应收款项 组合中进行减值测试。</w:t>
                      </w:r>
                    </w:p>
                  </w:txbxContent>
                </v:textbox>
                <w10:wrap type="none"/>
              </v:shape>
            </v:group>
          </v:group>
        </w:pict>
      </w:r>
      <w:r>
        <w:rPr>
          <w:rFonts w:ascii="宋体" w:hAnsi="宋体" w:cs="宋体" w:eastAsia="宋体" w:hint="default"/>
          <w:position w:val="-19"/>
          <w:sz w:val="20"/>
          <w:szCs w:val="20"/>
        </w:rPr>
      </w:r>
    </w:p>
    <w:p>
      <w:pPr>
        <w:spacing w:line="240" w:lineRule="auto" w:before="11"/>
        <w:rPr>
          <w:rFonts w:ascii="宋体" w:hAnsi="宋体" w:cs="宋体" w:eastAsia="宋体" w:hint="default"/>
          <w:b/>
          <w:bCs/>
          <w:sz w:val="18"/>
          <w:szCs w:val="18"/>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0"/>
        <w:ind w:left="0" w:right="161" w:firstLine="0"/>
        <w:jc w:val="right"/>
        <w:rPr>
          <w:rFonts w:ascii="宋体" w:hAnsi="宋体" w:cs="宋体" w:eastAsia="宋体" w:hint="default"/>
          <w:sz w:val="18"/>
          <w:szCs w:val="18"/>
        </w:rPr>
      </w:pPr>
      <w:r>
        <w:rPr/>
        <w:pict>
          <v:shape style="position:absolute;margin-left:56.459999pt;margin-top:-85.39827pt;width:479.2pt;height:118.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应收关联方款项；与对方存在争议或涉及诉讼、仲裁的应收 款项；已有明显迹象表明债务人很可能无法履行还款义务的 应收款项等。</w:t>
                        </w:r>
                      </w:p>
                    </w:tc>
                  </w:tr>
                  <w:tr>
                    <w:trPr>
                      <w:trHeight w:val="134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4"/>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633" w:right="3533"/>
        <w:jc w:val="left"/>
      </w:pPr>
      <w:r>
        <w:rPr/>
        <w:t>（</w:t>
      </w:r>
      <w:r>
        <w:rPr>
          <w:rFonts w:ascii="宋体" w:hAnsi="宋体" w:cs="宋体" w:eastAsia="宋体" w:hint="default"/>
        </w:rPr>
        <w:t>1</w:t>
      </w:r>
      <w:r>
        <w:rPr/>
        <w:t>）存货的分类 存货主要包括原材料、在产品、产成品、库存商品等。</w:t>
      </w:r>
    </w:p>
    <w:p>
      <w:pPr>
        <w:pStyle w:val="BodyText"/>
        <w:spacing w:line="357" w:lineRule="auto"/>
        <w:ind w:left="633" w:right="153"/>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w:t>
      </w:r>
    </w:p>
    <w:p>
      <w:pPr>
        <w:spacing w:after="0" w:line="357"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发出时按个别认定法等计价。</w:t>
      </w:r>
    </w:p>
    <w:p>
      <w:pPr>
        <w:pStyle w:val="BodyText"/>
        <w:spacing w:line="357" w:lineRule="auto" w:before="154"/>
        <w:ind w:left="633" w:right="153"/>
        <w:jc w:val="left"/>
      </w:pPr>
      <w:r>
        <w:rPr/>
        <w:t>（</w:t>
      </w:r>
      <w:r>
        <w:rPr>
          <w:rFonts w:ascii="宋体" w:hAnsi="宋体" w:cs="宋体" w:eastAsia="宋体" w:hint="default"/>
        </w:rPr>
        <w:t>3</w:t>
      </w:r>
      <w:r>
        <w:rPr/>
        <w:t>）存货可变现净值的确认和跌价准备的计提方法 可变现净值是指在日常活动中，存货的估计售价减去至完工时估计将要发生的成本、估</w:t>
      </w:r>
    </w:p>
    <w:p>
      <w:pPr>
        <w:pStyle w:val="BodyText"/>
        <w:spacing w:line="357" w:lineRule="auto"/>
        <w:ind w:right="159"/>
        <w:jc w:val="both"/>
      </w:pPr>
      <w:r>
        <w:rPr/>
        <w:t>计的销售费用以及相关税费后的金额。在确定存货的可变现净值时，以取得的确凿证据为基</w:t>
      </w:r>
      <w:r>
        <w:rPr>
          <w:spacing w:val="-91"/>
        </w:rPr>
        <w:t> </w:t>
      </w:r>
      <w:r>
        <w:rPr>
          <w:spacing w:val="-91"/>
        </w:rPr>
      </w:r>
      <w:r>
        <w:rPr/>
        <w:t>础，同时考虑持有存货的目的以及资产负债表日后事项的影响。</w:t>
      </w:r>
    </w:p>
    <w:p>
      <w:pPr>
        <w:pStyle w:val="BodyText"/>
        <w:spacing w:line="357" w:lineRule="auto"/>
        <w:ind w:right="160"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57" w:lineRule="auto" w:before="37"/>
        <w:ind w:right="159" w:firstLine="480"/>
        <w:jc w:val="both"/>
      </w:pPr>
      <w:r>
        <w:rPr/>
        <w:t>计提存货跌价准备后，如果以前减记存货价值的影响因素已经消失，导致存货的可变现 净值高于其账面价值的，在原已计提的存货跌价准备金额内予以转回，转回的金额计入当期</w:t>
      </w:r>
      <w:r>
        <w:rPr>
          <w:spacing w:val="-91"/>
        </w:rPr>
        <w:t> </w:t>
      </w:r>
      <w:r>
        <w:rPr>
          <w:spacing w:val="-91"/>
        </w:rPr>
      </w:r>
      <w:r>
        <w:rPr/>
        <w:t>损益。</w:t>
      </w:r>
    </w:p>
    <w:p>
      <w:pPr>
        <w:pStyle w:val="BodyText"/>
        <w:spacing w:line="240" w:lineRule="auto"/>
        <w:ind w:left="633" w:right="153"/>
        <w:jc w:val="left"/>
      </w:pPr>
      <w:r>
        <w:rPr/>
        <w:t>（</w:t>
      </w:r>
      <w:r>
        <w:rPr>
          <w:rFonts w:ascii="宋体" w:hAnsi="宋体" w:cs="宋体" w:eastAsia="宋体" w:hint="default"/>
        </w:rPr>
        <w:t>4</w:t>
      </w:r>
      <w:r>
        <w:rPr/>
        <w:t>）存货的盘存制度为永续盘存制。</w:t>
      </w:r>
    </w:p>
    <w:p>
      <w:pPr>
        <w:pStyle w:val="BodyText"/>
        <w:spacing w:line="357" w:lineRule="auto" w:before="154"/>
        <w:ind w:left="633" w:right="1133"/>
        <w:jc w:val="left"/>
      </w:pPr>
      <w:r>
        <w:rPr/>
        <w:t>（</w:t>
      </w:r>
      <w:r>
        <w:rPr>
          <w:rFonts w:ascii="宋体" w:hAnsi="宋体" w:cs="宋体" w:eastAsia="宋体" w:hint="default"/>
        </w:rPr>
        <w:t>5</w:t>
      </w:r>
      <w:r>
        <w:rPr/>
        <w:t>）低值易耗品和包装物的摊销方法 低值易耗品于领用时按一次摊销法摊销；包装物于领用时按一次摊销法摊销。</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8" w:firstLine="480"/>
        <w:jc w:val="both"/>
      </w:pPr>
      <w:r>
        <w:rPr/>
        <w:t>本部分所指的长期股权投资是指本公司对被投资单位具有控制、共同控制或重大影响的 长期股权投资。本公司对被投资单位不具有控制、共同控制或重大影响的长期股权投资，作</w:t>
      </w:r>
      <w:r>
        <w:rPr>
          <w:spacing w:val="-91"/>
        </w:rPr>
        <w:t> </w:t>
      </w:r>
      <w:r>
        <w:rPr>
          <w:spacing w:val="-91"/>
        </w:rPr>
      </w:r>
      <w:r>
        <w:rPr/>
        <w:t>为可供出售金融资产或以公允价值计量且其变动计入当期损益的金融资产核算，其会计政策</w:t>
      </w:r>
      <w:r>
        <w:rPr>
          <w:spacing w:val="-90"/>
        </w:rPr>
        <w:t> </w:t>
      </w:r>
      <w:r>
        <w:rPr>
          <w:spacing w:val="-90"/>
        </w:rPr>
      </w:r>
      <w:r>
        <w:rPr/>
        <w:t>详见附注四、</w:t>
      </w:r>
      <w:r>
        <w:rPr>
          <w:rFonts w:ascii="宋体" w:hAnsi="宋体" w:cs="宋体" w:eastAsia="宋体" w:hint="default"/>
        </w:rPr>
        <w:t>8</w:t>
      </w:r>
      <w:r>
        <w:rPr/>
        <w:t>“金融工具”。</w:t>
      </w:r>
    </w:p>
    <w:p>
      <w:pPr>
        <w:pStyle w:val="BodyText"/>
        <w:spacing w:line="357" w:lineRule="auto"/>
        <w:ind w:right="159" w:firstLine="480"/>
        <w:jc w:val="both"/>
      </w:pPr>
      <w:r>
        <w:rPr/>
        <w:t>共同控制，是指本公司按照相关约定对某项安排所共有的控制，并且该安排的相关活动 必须经过分享控制权的参与方一致同意后才能决策。重大影响，是指本公司对被投资单位的</w:t>
      </w:r>
      <w:r>
        <w:rPr>
          <w:spacing w:val="-91"/>
        </w:rPr>
        <w:t> </w:t>
      </w:r>
      <w:r>
        <w:rPr>
          <w:spacing w:val="-91"/>
        </w:rPr>
      </w:r>
      <w:r>
        <w:rPr/>
        <w:t>财务和经营政策有参与决策的权力，但并不能够控制或者与其他方一起共同控制这些政策的</w:t>
      </w:r>
      <w:r>
        <w:rPr>
          <w:spacing w:val="-91"/>
        </w:rPr>
        <w:t> </w:t>
      </w:r>
      <w:r>
        <w:rPr>
          <w:spacing w:val="-91"/>
        </w:rPr>
      </w:r>
      <w:r>
        <w:rPr/>
        <w:t>制定。</w:t>
      </w:r>
    </w:p>
    <w:p>
      <w:pPr>
        <w:pStyle w:val="BodyText"/>
        <w:spacing w:line="357" w:lineRule="auto"/>
        <w:ind w:left="633" w:right="153"/>
        <w:jc w:val="left"/>
      </w:pPr>
      <w:r>
        <w:rPr/>
        <w:t>（</w:t>
      </w:r>
      <w:r>
        <w:rPr>
          <w:rFonts w:ascii="宋体" w:hAnsi="宋体" w:cs="宋体" w:eastAsia="宋体" w:hint="default"/>
        </w:rPr>
        <w:t>1</w:t>
      </w:r>
      <w:r>
        <w:rPr/>
        <w:t>）投资成本的确定 对于同一控制下的企业合并取得的长期股权投资，在合并日按照被合并方股东权益在最</w:t>
      </w:r>
    </w:p>
    <w:p>
      <w:pPr>
        <w:pStyle w:val="BodyText"/>
        <w:spacing w:line="357" w:lineRule="auto"/>
        <w:ind w:right="153"/>
        <w:jc w:val="both"/>
      </w:pPr>
      <w:r>
        <w:rPr/>
        <w:t>终控制方合并财务报表中的账面价值的份额作为长期股权投资的初始投资成本。长期股权投</w:t>
      </w:r>
      <w:r>
        <w:rPr>
          <w:spacing w:val="-86"/>
        </w:rPr>
        <w:t> </w:t>
      </w:r>
      <w:r>
        <w:rPr>
          <w:spacing w:val="-86"/>
        </w:rPr>
      </w:r>
      <w:r>
        <w:rPr/>
        <w:t>资初始投资成本与支付的现金、转让的非现金资产以及所承担债务账面价值之间的差额，调</w:t>
      </w:r>
      <w:r>
        <w:rPr>
          <w:spacing w:val="-91"/>
        </w:rPr>
        <w:t> </w:t>
      </w:r>
      <w:r>
        <w:rPr>
          <w:spacing w:val="-91"/>
        </w:rPr>
      </w:r>
      <w:r>
        <w:rPr/>
        <w:t>整资本公积；资本公积不足冲减的，调整留存收益。以发行权益性证券作为合并对价的，在</w:t>
      </w:r>
      <w:r>
        <w:rPr>
          <w:spacing w:val="-91"/>
        </w:rPr>
        <w:t> </w:t>
      </w:r>
      <w:r>
        <w:rPr>
          <w:spacing w:val="-91"/>
        </w:rPr>
      </w:r>
      <w:r>
        <w:rPr/>
        <w:t>合并日按照被合并方股东权益在最终控制方合并财务报表中的账面价值的份额作为长期股权</w:t>
      </w:r>
      <w:r>
        <w:rPr>
          <w:spacing w:val="-91"/>
        </w:rPr>
        <w:t> </w:t>
      </w:r>
      <w:r>
        <w:rPr>
          <w:spacing w:val="-91"/>
        </w:rPr>
      </w:r>
      <w:r>
        <w:rPr/>
        <w:t>投资的初始投资成本，按照发行股份的面值总额作为股本，长期股权投资初始投资成本与所</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3" w:right="153" w:hanging="481"/>
        <w:jc w:val="left"/>
      </w:pPr>
      <w:r>
        <w:rPr/>
        <w:t>发行股份面值总额之间的差额，调整资本公积；资本公积不足冲减的，调整留存收益。 对于非同一控制下的企业合并取得的长期股权投资，在购买日按照合并成本作为长期股</w:t>
      </w:r>
    </w:p>
    <w:p>
      <w:pPr>
        <w:pStyle w:val="BodyText"/>
        <w:spacing w:line="357" w:lineRule="auto"/>
        <w:ind w:right="153"/>
        <w:jc w:val="left"/>
      </w:pPr>
      <w:r>
        <w:rPr/>
        <w:t>权投资的初始投资成本，合并成本包括购买方付出的资产、发生或承担的负债、发行的权益</w:t>
      </w:r>
      <w:r>
        <w:rPr>
          <w:spacing w:val="-89"/>
        </w:rPr>
        <w:t> </w:t>
      </w:r>
      <w:r>
        <w:rPr>
          <w:spacing w:val="-89"/>
        </w:rPr>
      </w:r>
      <w:r>
        <w:rPr/>
        <w:t>性证券的公允价值之和。</w:t>
      </w:r>
    </w:p>
    <w:p>
      <w:pPr>
        <w:pStyle w:val="BodyText"/>
        <w:spacing w:line="357" w:lineRule="auto"/>
        <w:ind w:right="160" w:firstLine="480"/>
        <w:jc w:val="both"/>
      </w:pPr>
      <w:r>
        <w:rPr/>
        <w:t>合并方或购买方为企业合并发生的审计、法律服务、评估咨询等中介费用以及其他相关 管理费用，于发生时计入当期损益。</w:t>
      </w:r>
    </w:p>
    <w:p>
      <w:pPr>
        <w:pStyle w:val="BodyText"/>
        <w:spacing w:line="357" w:lineRule="auto"/>
        <w:ind w:right="159" w:firstLine="480"/>
        <w:jc w:val="both"/>
      </w:pPr>
      <w:r>
        <w:rPr/>
        <w:t>除企业合并形成的长期股权投资外的其他股权投资，按成本进行初始计量，该成本视长 期股权投资取得方式的不同，分别按照本公司实际支付的现金购买价款、本公司发行的权益</w:t>
      </w:r>
      <w:r>
        <w:rPr>
          <w:spacing w:val="-91"/>
        </w:rPr>
        <w:t> </w:t>
      </w:r>
      <w:r>
        <w:rPr>
          <w:spacing w:val="-91"/>
        </w:rPr>
      </w:r>
      <w:r>
        <w:rPr/>
        <w:t>性证券的公允价值、投资合同或协议约定的价值、非货币性资产交换交易中换出资产的公允</w:t>
      </w:r>
      <w:r>
        <w:rPr>
          <w:spacing w:val="-91"/>
        </w:rPr>
        <w:t> </w:t>
      </w:r>
      <w:r>
        <w:rPr>
          <w:spacing w:val="-91"/>
        </w:rPr>
      </w:r>
      <w:r>
        <w:rPr/>
        <w:t>价值或原账面价值、该项长期股权投资自身的公允价值等方式确定。与取得长期股权投资直</w:t>
      </w:r>
      <w:r>
        <w:rPr>
          <w:spacing w:val="-91"/>
        </w:rPr>
        <w:t> </w:t>
      </w:r>
      <w:r>
        <w:rPr>
          <w:spacing w:val="-91"/>
        </w:rPr>
      </w:r>
      <w:r>
        <w:rPr/>
        <w:t>接相关的费用、税金及其他必要支出也计入投资成本。</w:t>
      </w:r>
    </w:p>
    <w:p>
      <w:pPr>
        <w:pStyle w:val="BodyText"/>
        <w:spacing w:line="357" w:lineRule="auto"/>
        <w:ind w:left="633" w:right="153"/>
        <w:jc w:val="left"/>
      </w:pPr>
      <w:r>
        <w:rPr/>
        <w:t>（</w:t>
      </w:r>
      <w:r>
        <w:rPr>
          <w:rFonts w:ascii="宋体" w:hAnsi="宋体" w:cs="宋体" w:eastAsia="宋体" w:hint="default"/>
        </w:rPr>
        <w:t>2</w:t>
      </w:r>
      <w:r>
        <w:rPr/>
        <w:t>）后续计量及损益确认方法 对被投资单位具有共同控制（构成共同经营者除外）或重大影响的长期股权投资，采用</w:t>
      </w:r>
    </w:p>
    <w:p>
      <w:pPr>
        <w:pStyle w:val="BodyText"/>
        <w:spacing w:line="357" w:lineRule="auto"/>
        <w:ind w:right="153"/>
        <w:jc w:val="left"/>
      </w:pPr>
      <w:r>
        <w:rPr/>
        <w:t>权益法核算。此外，公司财务报表采用成本法核算能够对被投资单位实施控制的长期股权投</w:t>
      </w:r>
      <w:r>
        <w:rPr>
          <w:spacing w:val="-91"/>
        </w:rPr>
        <w:t> </w:t>
      </w:r>
      <w:r>
        <w:rPr>
          <w:spacing w:val="-91"/>
        </w:rPr>
      </w:r>
      <w:r>
        <w:rPr/>
        <w:t>资。</w:t>
      </w:r>
    </w:p>
    <w:p>
      <w:pPr>
        <w:pStyle w:val="BodyText"/>
        <w:spacing w:line="357" w:lineRule="auto"/>
        <w:ind w:left="633" w:right="153"/>
        <w:jc w:val="left"/>
      </w:pPr>
      <w:r>
        <w:rPr/>
        <w:t>①成本法核算的长期股权投资 采用成本法核算时，长期股权投资按初始投资成本计价，追加或收回投资调整长期股权</w:t>
      </w:r>
    </w:p>
    <w:p>
      <w:pPr>
        <w:pStyle w:val="BodyText"/>
        <w:spacing w:line="357" w:lineRule="auto"/>
        <w:ind w:right="159"/>
        <w:jc w:val="both"/>
      </w:pPr>
      <w:r>
        <w:rPr/>
        <w:t>投资的成本。除取得投资时实际支付的价款或者对价中包含的已宣告但尚未发放的现金股利</w:t>
      </w:r>
      <w:r>
        <w:rPr>
          <w:spacing w:val="-91"/>
        </w:rPr>
        <w:t> </w:t>
      </w:r>
      <w:r>
        <w:rPr>
          <w:spacing w:val="-91"/>
        </w:rPr>
      </w:r>
      <w:r>
        <w:rPr/>
        <w:t>或者利润外，当期投资收益按照享有被投资单位宣告发放的现金股利或利润确认。</w:t>
      </w:r>
    </w:p>
    <w:p>
      <w:pPr>
        <w:pStyle w:val="BodyText"/>
        <w:spacing w:line="357" w:lineRule="auto"/>
        <w:ind w:left="633" w:right="153"/>
        <w:jc w:val="left"/>
      </w:pPr>
      <w:r>
        <w:rPr/>
        <w:t>②权益法核算的长期股权投资 采用权益法核算时，长期股权投资的初始投资成本大于投资时应享有被投资单位可辨认</w:t>
      </w:r>
    </w:p>
    <w:p>
      <w:pPr>
        <w:pStyle w:val="BodyText"/>
        <w:spacing w:line="357" w:lineRule="auto" w:before="37"/>
        <w:ind w:right="159"/>
        <w:jc w:val="both"/>
      </w:pPr>
      <w:r>
        <w:rPr/>
        <w:t>净资产公允价值份额的，不调整长期股权投资的初始投资成本；初始投资成本小于投资时应</w:t>
      </w:r>
      <w:r>
        <w:rPr>
          <w:spacing w:val="-91"/>
        </w:rPr>
        <w:t> </w:t>
      </w:r>
      <w:r>
        <w:rPr>
          <w:spacing w:val="-91"/>
        </w:rPr>
      </w:r>
      <w:r>
        <w:rPr/>
        <w:t>享有被投资单位可辨认净资产公允价值份额的，其差额计入当期损益，同时调整长期股权投</w:t>
      </w:r>
      <w:r>
        <w:rPr>
          <w:spacing w:val="-91"/>
        </w:rPr>
        <w:t> </w:t>
      </w:r>
      <w:r>
        <w:rPr>
          <w:spacing w:val="-91"/>
        </w:rPr>
      </w:r>
      <w:r>
        <w:rPr/>
        <w:t>资的成本。</w:t>
      </w:r>
    </w:p>
    <w:p>
      <w:pPr>
        <w:pStyle w:val="BodyText"/>
        <w:spacing w:line="357" w:lineRule="auto"/>
        <w:ind w:right="158" w:firstLine="480"/>
        <w:jc w:val="both"/>
      </w:pPr>
      <w:r>
        <w:rPr/>
        <w:t>采用权益法核算时，按照应享有或应分担的被投资单位实现的净损益和其他综合收益的 份额，分别确认投资收益和其他综合收益，同时调整长期股权投资的账面价值；按照被投资</w:t>
      </w:r>
      <w:r>
        <w:rPr>
          <w:spacing w:val="-91"/>
        </w:rPr>
        <w:t> </w:t>
      </w:r>
      <w:r>
        <w:rPr>
          <w:spacing w:val="-91"/>
        </w:rPr>
      </w:r>
      <w:r>
        <w:rPr/>
        <w:t>单位宣告分派的利润或现金股利计算应享有的部分，相应减少长期股权投资的账面价值；对</w:t>
      </w:r>
      <w:r>
        <w:rPr>
          <w:spacing w:val="-91"/>
        </w:rPr>
        <w:t> </w:t>
      </w:r>
      <w:r>
        <w:rPr>
          <w:spacing w:val="-91"/>
        </w:rPr>
      </w:r>
      <w:r>
        <w:rPr/>
        <w:t>于被投资单位除净损益、其他综合收益和利润分配以外所有者权益的其他变动，调整长期股</w:t>
      </w:r>
      <w:r>
        <w:rPr>
          <w:spacing w:val="-89"/>
        </w:rPr>
        <w:t> </w:t>
      </w:r>
      <w:r>
        <w:rPr>
          <w:spacing w:val="-89"/>
        </w:rPr>
      </w:r>
      <w:r>
        <w:rPr/>
        <w:t>权投资的账面价值并计入资本公积。在确认应享有被投资单位净损益的份额时，以取得投资</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96"/>
        <w:jc w:val="left"/>
      </w:pP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w:t>
      </w:r>
      <w:r>
        <w:rPr>
          <w:spacing w:val="-91"/>
        </w:rPr>
        <w:t> </w:t>
      </w:r>
      <w:r>
        <w:rPr>
          <w:spacing w:val="-91"/>
        </w:rPr>
      </w:r>
      <w:r>
        <w:rPr/>
        <w:t>间对被投资单位的财务报表进行调整，并据以确认投资收益和其他综合收益。对于本公司与</w:t>
      </w:r>
      <w:r>
        <w:rPr>
          <w:spacing w:val="-91"/>
        </w:rPr>
        <w:t> </w:t>
      </w:r>
      <w:r>
        <w:rPr>
          <w:spacing w:val="-91"/>
        </w:rPr>
      </w:r>
      <w:r>
        <w:rPr/>
        <w:t>联营企业及合营企业之间发生的交易，投出或出售的资产不构成业务的，未实现内部交易损</w:t>
      </w:r>
      <w:r>
        <w:rPr>
          <w:spacing w:val="-91"/>
        </w:rPr>
        <w:t> </w:t>
      </w:r>
      <w:r>
        <w:rPr>
          <w:spacing w:val="-91"/>
        </w:rPr>
      </w:r>
      <w:r>
        <w:rPr/>
        <w:t>益按照享有的比例计算归属于本公司的部分予以抵销，在此基础上确认投资损益。但本公司</w:t>
      </w:r>
      <w:r>
        <w:rPr>
          <w:spacing w:val="-87"/>
        </w:rPr>
        <w:t> </w:t>
      </w:r>
      <w:r>
        <w:rPr>
          <w:spacing w:val="-87"/>
        </w:rPr>
      </w:r>
      <w:r>
        <w:rPr/>
        <w:t>与被投资单位发生的未实现内部交易损失，属于所转让资产减值损失的，不予以抵销。本公</w:t>
      </w:r>
      <w:r>
        <w:rPr>
          <w:spacing w:val="-91"/>
        </w:rPr>
        <w:t> </w:t>
      </w:r>
      <w:r>
        <w:rPr>
          <w:spacing w:val="-91"/>
        </w:rPr>
      </w:r>
      <w:r>
        <w:rPr/>
        <w:t>司向合营企业或联营企业投出的资产构成业务的，投资方因此取得长期股权投资但未取得控</w:t>
      </w:r>
      <w:r>
        <w:rPr>
          <w:spacing w:val="-91"/>
        </w:rPr>
        <w:t> </w:t>
      </w:r>
      <w:r>
        <w:rPr>
          <w:spacing w:val="-91"/>
        </w:rPr>
      </w:r>
      <w:r>
        <w:rPr/>
        <w:t>制权的，以投出业务的公允价值作为新增长期股权投资的初始投资成本，初始投资成本与投</w:t>
      </w:r>
      <w:r>
        <w:rPr>
          <w:spacing w:val="-91"/>
        </w:rPr>
        <w:t> </w:t>
      </w:r>
      <w:r>
        <w:rPr>
          <w:spacing w:val="-91"/>
        </w:rPr>
      </w:r>
      <w:r>
        <w:rPr/>
        <w:t>出业务的账面价值之差，全额计入当期损益。本公司向合营企业或联营企业出售的资产构成</w:t>
      </w:r>
      <w:r>
        <w:rPr>
          <w:spacing w:val="-91"/>
        </w:rPr>
        <w:t> </w:t>
      </w:r>
      <w:r>
        <w:rPr>
          <w:spacing w:val="-91"/>
        </w:rPr>
      </w:r>
      <w:r>
        <w:rPr/>
        <w:t>业务的，取得的对价与业务的账面价值之差，全额计入当期损益。本公司自联营企业及合营</w:t>
      </w:r>
      <w:r>
        <w:rPr>
          <w:spacing w:val="-91"/>
        </w:rPr>
        <w:t> </w:t>
      </w:r>
      <w:r>
        <w:rPr>
          <w:spacing w:val="-91"/>
        </w:rPr>
      </w:r>
      <w:r>
        <w:rPr>
          <w:spacing w:val="-2"/>
        </w:rPr>
        <w:t>企业购入的资产构成业务的，按《企业会计准则第</w:t>
      </w:r>
      <w:r>
        <w:rPr>
          <w:rFonts w:ascii="宋体" w:hAnsi="宋体" w:cs="宋体" w:eastAsia="宋体" w:hint="default"/>
          <w:spacing w:val="-2"/>
        </w:rPr>
        <w:t>20</w:t>
      </w:r>
      <w:r>
        <w:rPr>
          <w:spacing w:val="-2"/>
        </w:rPr>
        <w:t>号——企业合并》的规定进行会计处理，</w:t>
      </w:r>
      <w:r>
        <w:rPr/>
        <w:t> 全额确认与交易相关的利得或损失。</w:t>
      </w:r>
    </w:p>
    <w:p>
      <w:pPr>
        <w:pStyle w:val="BodyText"/>
        <w:spacing w:line="357" w:lineRule="auto"/>
        <w:ind w:right="239" w:firstLine="480"/>
        <w:jc w:val="right"/>
      </w:pPr>
      <w:r>
        <w:rPr/>
        <w:t>在确认应分担被投资单位发生的净亏损时，以长期股权投资的账面价值和其他实质上构 成对被投资单位净投资的长期权益减记至零为限。此外，如本公司对被投资单位负有承担额</w:t>
      </w:r>
      <w:r>
        <w:rPr>
          <w:spacing w:val="-100"/>
        </w:rPr>
        <w:t> </w:t>
      </w:r>
      <w:r>
        <w:rPr>
          <w:spacing w:val="-100"/>
        </w:rPr>
      </w:r>
      <w:r>
        <w:rPr/>
        <w:t>外损失的义务，则按预计承担的义务确认预计负债，计入当期投资损失。被投资单位以后期</w:t>
      </w:r>
      <w:r>
        <w:rPr>
          <w:spacing w:val="-100"/>
        </w:rPr>
        <w:t> </w:t>
      </w:r>
      <w:r>
        <w:rPr>
          <w:spacing w:val="-100"/>
        </w:rPr>
      </w:r>
      <w:r>
        <w:rPr/>
        <w:t>间实现净利润的，本公司在收益分享额弥补未确认的亏损分担额后，恢复确认收益分享额。 </w:t>
      </w:r>
      <w:r>
        <w:rPr>
          <w:spacing w:val="6"/>
        </w:rPr>
        <w:t>对于本公司首次执行新会计准则之前已经持有的对联营企业和合营企业的长期股权投</w:t>
      </w:r>
    </w:p>
    <w:p>
      <w:pPr>
        <w:pStyle w:val="BodyText"/>
        <w:spacing w:line="240" w:lineRule="auto"/>
        <w:ind w:right="0"/>
        <w:jc w:val="left"/>
      </w:pPr>
      <w:r>
        <w:rPr>
          <w:spacing w:val="-2"/>
        </w:rPr>
        <w:t>资，如存在与该投资相关的股权投资借方差额，按原剩余期限直线摊销的金额计入当期损益。</w:t>
      </w:r>
    </w:p>
    <w:p>
      <w:pPr>
        <w:pStyle w:val="BodyText"/>
        <w:spacing w:line="357" w:lineRule="auto" w:before="154"/>
        <w:ind w:left="633" w:right="96"/>
        <w:jc w:val="left"/>
      </w:pPr>
      <w:r>
        <w:rPr/>
        <w:t>③收购少数股权 在编制合并财务报表时，因购买少数股权新增的长期股权投资与按照新增持股比例计算</w:t>
      </w:r>
    </w:p>
    <w:p>
      <w:pPr>
        <w:pStyle w:val="BodyText"/>
        <w:spacing w:line="357" w:lineRule="auto"/>
        <w:ind w:right="96"/>
        <w:jc w:val="left"/>
      </w:pP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57" w:lineRule="auto"/>
        <w:ind w:left="633" w:right="96"/>
        <w:jc w:val="left"/>
      </w:pPr>
      <w:r>
        <w:rPr/>
        <w:t>④处置长期股权投资 </w:t>
      </w:r>
      <w:r>
        <w:rPr>
          <w:spacing w:val="-3"/>
        </w:rPr>
        <w:t>在合并财务报表中，母公司在不丧失控制权的情况下部分处置对子公司的长期股权投资，</w:t>
      </w:r>
    </w:p>
    <w:p>
      <w:pPr>
        <w:pStyle w:val="BodyText"/>
        <w:spacing w:line="357" w:lineRule="auto"/>
        <w:ind w:right="233"/>
        <w:jc w:val="both"/>
      </w:pPr>
      <w:r>
        <w:rPr/>
        <w:t>处置价款与处置长期股权投资相对应享有子公司净资产的差额计入股东权益；母公司部分处</w:t>
      </w:r>
      <w:r>
        <w:rPr>
          <w:spacing w:val="-91"/>
        </w:rPr>
        <w:t> </w:t>
      </w:r>
      <w:r>
        <w:rPr>
          <w:spacing w:val="-91"/>
        </w:rPr>
      </w:r>
      <w:r>
        <w:rPr/>
        <w:t>置对子公司的长期股权投资导致丧失对子公司控制权的，按本附注四、</w:t>
      </w:r>
      <w:r>
        <w:rPr>
          <w:rFonts w:ascii="宋体" w:hAnsi="宋体" w:cs="宋体" w:eastAsia="宋体" w:hint="default"/>
        </w:rPr>
        <w:t>5</w:t>
      </w:r>
      <w:r>
        <w:rPr/>
        <w:t>、（</w:t>
      </w:r>
      <w:r>
        <w:rPr>
          <w:rFonts w:ascii="宋体" w:hAnsi="宋体" w:cs="宋体" w:eastAsia="宋体" w:hint="default"/>
        </w:rPr>
        <w:t>2</w:t>
      </w:r>
      <w:r>
        <w:rPr/>
        <w:t>）“合并财务</w:t>
      </w:r>
      <w:r>
        <w:rPr>
          <w:spacing w:val="-87"/>
        </w:rPr>
        <w:t> </w:t>
      </w:r>
      <w:r>
        <w:rPr>
          <w:spacing w:val="-87"/>
        </w:rPr>
      </w:r>
      <w:r>
        <w:rPr/>
        <w:t>报表编制的方法”中所述的相关会计政策处理。</w:t>
      </w:r>
    </w:p>
    <w:p>
      <w:pPr>
        <w:pStyle w:val="BodyText"/>
        <w:spacing w:line="357" w:lineRule="auto"/>
        <w:ind w:right="96" w:firstLine="480"/>
        <w:jc w:val="left"/>
      </w:pPr>
      <w:r>
        <w:rPr>
          <w:spacing w:val="-3"/>
        </w:rPr>
        <w:t>其他情形下的长期股权投资处置，对于处置的股权，其账面价值与实际取得价款的差额，</w:t>
      </w:r>
      <w:r>
        <w:rPr/>
        <w:t> 计入当期损益。</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9" w:firstLine="480"/>
        <w:jc w:val="both"/>
      </w:pPr>
      <w:r>
        <w:rPr/>
        <w:t>采用权益法核算的长期股权投资，处置后的剩余股权仍采用权益法核算的，在处置时将 原计入股东权益的其他综合收益部分按相应的比例采用与被投资单位直接处置相关资产或负</w:t>
      </w:r>
      <w:r>
        <w:rPr>
          <w:spacing w:val="-91"/>
        </w:rPr>
        <w:t> </w:t>
      </w:r>
      <w:r>
        <w:rPr>
          <w:spacing w:val="-91"/>
        </w:rPr>
      </w:r>
      <w:r>
        <w:rPr/>
        <w:t>债相同的基础进行会计处理。因被投资方除净损益、其他综合收益和利润分配以外的其他所</w:t>
      </w:r>
      <w:r>
        <w:rPr>
          <w:spacing w:val="-91"/>
        </w:rPr>
        <w:t> </w:t>
      </w:r>
      <w:r>
        <w:rPr>
          <w:spacing w:val="-91"/>
        </w:rPr>
      </w:r>
      <w:r>
        <w:rPr/>
        <w:t>有者权益变动而确认的所有者权益，按比例结转入当期损益。</w:t>
      </w:r>
    </w:p>
    <w:p>
      <w:pPr>
        <w:pStyle w:val="BodyText"/>
        <w:spacing w:line="357" w:lineRule="auto"/>
        <w:ind w:right="235" w:firstLine="480"/>
        <w:jc w:val="both"/>
      </w:pPr>
      <w:r>
        <w:rPr/>
        <w:t>采用成本法核算的长期股权投资，处置后剩余股权仍采用成本法核算的，其在取得对被 投资单位的控制之前因采用权益法核算或金融工具确认和计量准则核算而确认的其他综合收</w:t>
      </w:r>
      <w:r>
        <w:rPr>
          <w:spacing w:val="-87"/>
        </w:rPr>
        <w:t> </w:t>
      </w:r>
      <w:r>
        <w:rPr>
          <w:spacing w:val="-87"/>
        </w:rPr>
      </w:r>
      <w:r>
        <w:rPr/>
        <w:t>益，采用与被投资单位直接处置相关资产或负债相同的基础进行会计处理，并按比例结转当</w:t>
      </w:r>
      <w:r>
        <w:rPr>
          <w:spacing w:val="-91"/>
        </w:rPr>
        <w:t> </w:t>
      </w:r>
      <w:r>
        <w:rPr>
          <w:spacing w:val="-91"/>
        </w:rPr>
      </w:r>
      <w:r>
        <w:rPr/>
        <w:t>期损益；因采用权益法核算而确认的被投资单位净资产中除净损益、其他综合收益和利润分</w:t>
      </w:r>
      <w:r>
        <w:rPr>
          <w:spacing w:val="-91"/>
        </w:rPr>
        <w:t> </w:t>
      </w:r>
      <w:r>
        <w:rPr>
          <w:spacing w:val="-91"/>
        </w:rPr>
      </w:r>
      <w:r>
        <w:rPr/>
        <w:t>配以外的其他所有者权益变动按比例结转当期损益。</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80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357" w:lineRule="auto" w:before="59"/>
        <w:ind w:right="240" w:firstLine="480"/>
        <w:jc w:val="both"/>
      </w:pPr>
      <w:r>
        <w:rPr/>
        <w:t>投资性房地产是指为赚取租金或资本增值，或两者兼有而持有的房地产。包括已出租的 土地使用权、持有并准备增值后转让的土地使用权、已出租的建筑物等。</w:t>
      </w:r>
    </w:p>
    <w:p>
      <w:pPr>
        <w:pStyle w:val="BodyText"/>
        <w:spacing w:line="357" w:lineRule="auto"/>
        <w:ind w:right="96" w:firstLine="480"/>
        <w:jc w:val="left"/>
      </w:pPr>
      <w:r>
        <w:rPr/>
        <w:t>投资性房地产按成本进行初始计量。与投资性房地产有关的后续支出，如果与该资产有 </w:t>
      </w:r>
      <w:r>
        <w:rPr>
          <w:spacing w:val="-2"/>
        </w:rPr>
        <w:t>关的经济利益很可能流入且其成本能可靠地计量，则计入投资性房地产成本。其他后续支出，</w:t>
      </w:r>
      <w:r>
        <w:rPr/>
        <w:t> 在发生时计入当期损益。</w:t>
      </w:r>
    </w:p>
    <w:p>
      <w:pPr>
        <w:pStyle w:val="BodyText"/>
        <w:spacing w:line="357" w:lineRule="auto"/>
        <w:ind w:right="240" w:firstLine="480"/>
        <w:jc w:val="both"/>
      </w:pPr>
      <w:r>
        <w:rPr/>
        <w:t>本公司采用成本模式对投资性房地产进行后续计量，并按照与房屋建筑物或土地使用权 一致的政策进行折旧或摊销。</w:t>
      </w:r>
    </w:p>
    <w:p>
      <w:pPr>
        <w:pStyle w:val="BodyText"/>
        <w:spacing w:line="357" w:lineRule="auto"/>
        <w:ind w:right="239" w:firstLine="480"/>
        <w:jc w:val="right"/>
      </w:pPr>
      <w:r>
        <w:rPr/>
        <w:t>投资性房地产的减值测试方法和减值准备计提方法详见附注四、</w:t>
      </w:r>
      <w:r>
        <w:rPr>
          <w:rFonts w:ascii="宋体" w:hAnsi="宋体" w:cs="宋体" w:eastAsia="宋体" w:hint="default"/>
        </w:rPr>
        <w:t>17</w:t>
      </w:r>
      <w:r>
        <w:rPr/>
        <w:t>“长期资产减值”。 当投资性房地产被处置、或者永久退出使用且预计不能从其处置中取得经济利益时，终 止确认该项投资性房地产。投资性房地产出售、转让、报废或毁损的处置收入扣除其账面价</w:t>
      </w:r>
    </w:p>
    <w:p>
      <w:pPr>
        <w:pStyle w:val="BodyText"/>
        <w:spacing w:line="240" w:lineRule="auto"/>
        <w:ind w:right="96"/>
        <w:jc w:val="left"/>
      </w:pPr>
      <w:r>
        <w:rPr/>
        <w:t>值和相关税费后计入当期损益。</w:t>
      </w:r>
    </w:p>
    <w:p>
      <w:pPr>
        <w:spacing w:line="240" w:lineRule="auto" w:before="10"/>
        <w:rPr>
          <w:rFonts w:ascii="宋体" w:hAnsi="宋体" w:cs="宋体" w:eastAsia="宋体" w:hint="default"/>
          <w:sz w:val="30"/>
          <w:szCs w:val="30"/>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9" w:firstLine="480"/>
        <w:jc w:val="both"/>
      </w:pPr>
      <w:r>
        <w:rPr/>
        <w:t>固定资产是指为生产商品、提供劳务、出租或经营管理而持有的，使用寿命超过一个会 计年度的有形资产。固定资产仅在与其有关的经济利益很可能流入本公司，且其成本能够可</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240" w:lineRule="auto" w:before="26"/>
        <w:ind w:right="153"/>
        <w:jc w:val="left"/>
      </w:pPr>
      <w:r>
        <w:rPr/>
        <w:t>靠地计量时才予以确认。固定资产按成本并考虑预计弃置费用因素的影响进行初始计量。</w:t>
      </w:r>
    </w:p>
    <w:p>
      <w:pPr>
        <w:spacing w:line="240" w:lineRule="auto" w:before="10"/>
        <w:rPr>
          <w:rFonts w:ascii="宋体" w:hAnsi="宋体" w:cs="宋体" w:eastAsia="宋体" w:hint="default"/>
          <w:sz w:val="30"/>
          <w:szCs w:val="30"/>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19.00-19.40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19.00-32.33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13.57-32.33</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9" w:firstLine="480"/>
        <w:jc w:val="both"/>
      </w:pPr>
      <w:r>
        <w:rPr/>
        <w:t>融资租赁为实质上转移了与资产所有权有关的全部风险和报酬的租赁，其所有权最终可 能转移，也可能不转移。以融资租赁方式租入的固定资产采用与自有固定资产一致的政策计</w:t>
      </w:r>
      <w:r>
        <w:rPr>
          <w:spacing w:val="-91"/>
        </w:rPr>
        <w:t> </w:t>
      </w:r>
      <w:r>
        <w:rPr>
          <w:spacing w:val="-91"/>
        </w:rPr>
      </w:r>
      <w:r>
        <w:rPr/>
        <w:t>提租赁资产折旧。能够合理确定租赁期届满时取得租赁资产所有权的在租赁资产使用寿命内</w:t>
      </w:r>
      <w:r>
        <w:rPr>
          <w:spacing w:val="-91"/>
        </w:rPr>
        <w:t> </w:t>
      </w:r>
      <w:r>
        <w:rPr>
          <w:spacing w:val="-91"/>
        </w:rPr>
      </w:r>
      <w:r>
        <w:rPr/>
        <w:t>计提折旧，无法合理确定租赁期届满能够取得租赁资产所有权的，在租赁期与租赁资产使用</w:t>
      </w:r>
      <w:r>
        <w:rPr>
          <w:spacing w:val="-91"/>
        </w:rPr>
        <w:t> </w:t>
      </w:r>
      <w:r>
        <w:rPr>
          <w:spacing w:val="-91"/>
        </w:rPr>
      </w:r>
      <w:r>
        <w:rPr/>
        <w:t>寿命两者中较短的期间内计提折旧。</w:t>
      </w:r>
    </w:p>
    <w:p>
      <w:pPr>
        <w:spacing w:line="240" w:lineRule="auto" w:before="11"/>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56" w:firstLine="480"/>
        <w:jc w:val="both"/>
      </w:pPr>
      <w:r>
        <w:rPr/>
        <w:t>借款费用包括借款利息、折价或溢价的摊销、辅助费用以及因外币借款而发生的汇兑差 额等。可直接归属于符合资本化条件的资产的购建或者生产的借款费用，在资产支出已经发</w:t>
      </w:r>
      <w:r>
        <w:rPr>
          <w:spacing w:val="-91"/>
        </w:rPr>
        <w:t> </w:t>
      </w:r>
      <w:r>
        <w:rPr>
          <w:spacing w:val="-91"/>
        </w:rPr>
      </w:r>
      <w:r>
        <w:rPr/>
        <w:t>生、借款费用已经发生、为使资产达到预定可使用或可销售状态所必要的购建或生产活动已</w:t>
      </w:r>
      <w:r>
        <w:rPr>
          <w:spacing w:val="-91"/>
        </w:rPr>
        <w:t> </w:t>
      </w:r>
      <w:r>
        <w:rPr>
          <w:spacing w:val="-91"/>
        </w:rPr>
      </w:r>
      <w:r>
        <w:rPr/>
        <w:t>经开始时，开始资本化；构建或者生产的符合资本化条件的资产达到预定可使用状态或者可</w:t>
      </w:r>
      <w:r>
        <w:rPr>
          <w:spacing w:val="-91"/>
        </w:rPr>
        <w:t> </w:t>
      </w:r>
      <w:r>
        <w:rPr>
          <w:spacing w:val="-91"/>
        </w:rPr>
      </w:r>
      <w:r>
        <w:rPr/>
        <w:t>销售状态时，停止资本化。其余借款费用在发生当期确认为费用。</w:t>
      </w:r>
    </w:p>
    <w:p>
      <w:pPr>
        <w:pStyle w:val="BodyText"/>
        <w:spacing w:line="357" w:lineRule="auto" w:before="37"/>
        <w:ind w:right="155" w:firstLine="480"/>
        <w:jc w:val="both"/>
      </w:pPr>
      <w:r>
        <w:rPr/>
        <w:t>专门借款当期实际发生的利息费用，减去尚未动用的借款资金存入银行取得的利息收入 或进行暂时性投资取得的投资收益后的金额予以资本化；一般借款根据累计资产支出超过专</w:t>
      </w:r>
      <w:r>
        <w:rPr>
          <w:spacing w:val="-91"/>
        </w:rPr>
        <w:t> </w:t>
      </w:r>
      <w:r>
        <w:rPr>
          <w:spacing w:val="-91"/>
        </w:rPr>
      </w:r>
      <w:r>
        <w:rPr/>
        <w:t>门借款部分的资产支出加权平均数乘以所占用一般借款的资本化率，确定资本化金额。资本</w:t>
      </w:r>
      <w:r>
        <w:rPr>
          <w:spacing w:val="-88"/>
        </w:rPr>
        <w:t> </w:t>
      </w:r>
      <w:r>
        <w:rPr>
          <w:spacing w:val="-88"/>
        </w:rPr>
      </w:r>
      <w:r>
        <w:rPr/>
        <w:t>化率根据一般借款的加权平均利率计算确定。</w:t>
      </w:r>
    </w:p>
    <w:p>
      <w:pPr>
        <w:pStyle w:val="BodyText"/>
        <w:spacing w:line="357" w:lineRule="auto"/>
        <w:ind w:right="160" w:firstLine="480"/>
        <w:jc w:val="both"/>
      </w:pPr>
      <w:r>
        <w:rPr/>
        <w:t>资本化期间内，外币专门借款的汇兑差额全部予以资本化；外币一般借款的汇兑差额计 入当期损益。</w:t>
      </w:r>
    </w:p>
    <w:p>
      <w:pPr>
        <w:pStyle w:val="BodyText"/>
        <w:spacing w:line="357" w:lineRule="auto"/>
        <w:ind w:right="160" w:firstLine="480"/>
        <w:jc w:val="both"/>
      </w:pPr>
      <w:r>
        <w:rPr/>
        <w:t>符合资本化条件的资产指需要经过相当长时间的购建或者生产活动才能达到预定可使用 或可销售状态的固定资产、投资性房地产和存货等资产。</w:t>
      </w:r>
    </w:p>
    <w:p>
      <w:pPr>
        <w:spacing w:after="0" w:line="357" w:lineRule="auto"/>
        <w:jc w:val="both"/>
        <w:sectPr>
          <w:footerReference w:type="default" r:id="rId18"/>
          <w:pgSz w:w="11910" w:h="16840"/>
          <w:pgMar w:footer="979" w:header="745" w:top="1060" w:bottom="1160" w:left="980" w:right="980"/>
          <w:pgNumType w:start="110"/>
        </w:sectPr>
      </w:pPr>
    </w:p>
    <w:p>
      <w:pPr>
        <w:spacing w:line="240" w:lineRule="auto" w:before="7"/>
        <w:rPr>
          <w:rFonts w:ascii="宋体" w:hAnsi="宋体" w:cs="宋体" w:eastAsia="宋体" w:hint="default"/>
          <w:sz w:val="29"/>
          <w:szCs w:val="29"/>
        </w:rPr>
      </w:pPr>
    </w:p>
    <w:p>
      <w:pPr>
        <w:pStyle w:val="BodyText"/>
        <w:spacing w:line="357" w:lineRule="auto" w:before="26"/>
        <w:ind w:right="96" w:firstLine="480"/>
        <w:jc w:val="left"/>
      </w:pPr>
      <w:r>
        <w:rPr/>
        <w:t>如果符合资本化条件的资产在购建或生产过程中发生非正常中断、并且中断时间连续超 过</w:t>
      </w:r>
      <w:r>
        <w:rPr>
          <w:rFonts w:ascii="宋体" w:hAnsi="宋体" w:cs="宋体" w:eastAsia="宋体" w:hint="default"/>
        </w:rPr>
        <w:t>3</w:t>
      </w:r>
      <w:r>
        <w:rPr/>
        <w:t>个月的，暂停借款费用的资本化，直至资产的购建或生产活动重新开始。</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239" w:firstLine="480"/>
        <w:jc w:val="both"/>
      </w:pPr>
      <w:r>
        <w:rPr/>
        <w:t>无形资产按成本进行初始计量。与无形资产有关的支出，如果相关的经济利益很可能流 入本公司且其成本能可靠地计量，则计入无形资产成本。除此以外的其他项目的支出，在发</w:t>
      </w:r>
      <w:r>
        <w:rPr>
          <w:spacing w:val="-91"/>
        </w:rPr>
        <w:t> </w:t>
      </w:r>
      <w:r>
        <w:rPr>
          <w:spacing w:val="-91"/>
        </w:rPr>
      </w:r>
      <w:r>
        <w:rPr/>
        <w:t>生时计入当期损益。</w:t>
      </w:r>
    </w:p>
    <w:p>
      <w:pPr>
        <w:pStyle w:val="BodyText"/>
        <w:spacing w:line="357" w:lineRule="auto"/>
        <w:ind w:right="96"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w:t>
      </w:r>
      <w:r>
        <w:rPr>
          <w:spacing w:val="-91"/>
        </w:rPr>
        <w:t> </w:t>
      </w:r>
      <w:r>
        <w:rPr>
          <w:spacing w:val="-91"/>
        </w:rPr>
      </w:r>
      <w:r>
        <w:rPr/>
        <w:t>理。</w:t>
      </w:r>
    </w:p>
    <w:p>
      <w:pPr>
        <w:pStyle w:val="BodyText"/>
        <w:spacing w:line="357" w:lineRule="auto"/>
        <w:ind w:right="235" w:firstLine="480"/>
        <w:jc w:val="both"/>
      </w:pPr>
      <w:r>
        <w:rPr/>
        <w:t>使用寿命有限的无形资产自可供使用时起，对其原值减去预计净残值和已计提的减值准 备累计金额在其预计使用寿命内采用直线法分期平均摊销。使用寿命不确定的无形资产不予</w:t>
      </w:r>
      <w:r>
        <w:rPr>
          <w:spacing w:val="-88"/>
        </w:rPr>
        <w:t> </w:t>
      </w:r>
      <w:r>
        <w:rPr>
          <w:spacing w:val="-88"/>
        </w:rPr>
      </w:r>
      <w:r>
        <w:rPr/>
        <w:t>摊销。</w:t>
      </w:r>
    </w:p>
    <w:p>
      <w:pPr>
        <w:pStyle w:val="BodyText"/>
        <w:spacing w:line="357" w:lineRule="auto"/>
        <w:ind w:right="239" w:firstLine="480"/>
        <w:jc w:val="both"/>
      </w:pPr>
      <w:r>
        <w:rPr/>
        <w:t>期末，对使用寿命有限的无形资产的使用寿命和摊销方法进行复核，如发生变更则作为 会计估计变更处理。此外，还对使用寿命不确定的无形资产的使用寿命进行复核，如果有证</w:t>
      </w:r>
      <w:r>
        <w:rPr>
          <w:spacing w:val="-91"/>
        </w:rPr>
        <w:t> </w:t>
      </w:r>
      <w:r>
        <w:rPr>
          <w:spacing w:val="-91"/>
        </w:rPr>
      </w:r>
      <w:r>
        <w:rPr/>
        <w:t>据表明该无形资产为企业带来经济利益的期限是可预见的，则估计其使用寿命并按照使用寿</w:t>
      </w:r>
      <w:r>
        <w:rPr>
          <w:spacing w:val="-91"/>
        </w:rPr>
        <w:t> </w:t>
      </w:r>
      <w:r>
        <w:rPr>
          <w:spacing w:val="-91"/>
        </w:rPr>
      </w:r>
      <w:r>
        <w:rPr/>
        <w:t>命有限的无形资产的摊销政策进行摊销。</w:t>
      </w:r>
    </w:p>
    <w:p>
      <w:pPr>
        <w:pStyle w:val="BodyText"/>
        <w:spacing w:line="240" w:lineRule="auto"/>
        <w:ind w:left="633" w:right="96"/>
        <w:jc w:val="left"/>
      </w:pPr>
      <w:r>
        <w:rPr/>
        <w:t>无形资产的减值测试方法和减值准备计提方法 “长期资产减值”。</w:t>
      </w:r>
    </w:p>
    <w:p>
      <w:pPr>
        <w:spacing w:line="240" w:lineRule="auto" w:before="11"/>
        <w:rPr>
          <w:rFonts w:ascii="宋体" w:hAnsi="宋体" w:cs="宋体" w:eastAsia="宋体" w:hint="default"/>
          <w:sz w:val="30"/>
          <w:szCs w:val="30"/>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96"/>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240" w:lineRule="auto"/>
        <w:ind w:right="96"/>
        <w:jc w:val="left"/>
      </w:pPr>
      <w:r>
        <w:rPr/>
        <w:t>的支出计入当期损益：</w:t>
      </w:r>
    </w:p>
    <w:p>
      <w:pPr>
        <w:pStyle w:val="BodyText"/>
        <w:spacing w:line="240" w:lineRule="auto" w:before="154"/>
        <w:ind w:left="633" w:right="96"/>
        <w:jc w:val="left"/>
      </w:pPr>
      <w:r>
        <w:rPr/>
        <w:t>①完成该无形资产以使其能够使用或出售在技术上具有可行性；</w:t>
      </w:r>
    </w:p>
    <w:p>
      <w:pPr>
        <w:pStyle w:val="BodyText"/>
        <w:spacing w:line="240" w:lineRule="auto" w:before="154"/>
        <w:ind w:left="633" w:right="96"/>
        <w:jc w:val="left"/>
      </w:pPr>
      <w:r>
        <w:rPr/>
        <w:t>②具有完成该无形资产并使用或出售的意图；</w:t>
      </w:r>
    </w:p>
    <w:p>
      <w:pPr>
        <w:pStyle w:val="BodyText"/>
        <w:spacing w:line="240" w:lineRule="auto" w:before="154"/>
        <w:ind w:left="633" w:right="96"/>
        <w:jc w:val="left"/>
      </w:pPr>
      <w:r>
        <w:rPr/>
        <w:t>③无形资产产生经济利益的方式，包括能够证明运用该无形资产生产的产品存在市场或</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240" w:lineRule="auto" w:before="26"/>
        <w:ind w:right="96"/>
        <w:jc w:val="left"/>
      </w:pPr>
      <w:r>
        <w:rPr/>
        <w:t>无形资产自身存在市场，无形资产将在内部使用的，能够证明其有用性；</w:t>
      </w:r>
    </w:p>
    <w:p>
      <w:pPr>
        <w:pStyle w:val="BodyText"/>
        <w:spacing w:line="357" w:lineRule="auto" w:before="154"/>
        <w:ind w:right="240" w:firstLine="480"/>
        <w:jc w:val="both"/>
      </w:pPr>
      <w:r>
        <w:rPr/>
        <w:t>④有足够的技术、财务资源和其他资源支持，以完成该无形资产的开发，并有能力使用 或出售该无形资产；</w:t>
      </w:r>
    </w:p>
    <w:p>
      <w:pPr>
        <w:pStyle w:val="BodyText"/>
        <w:spacing w:line="357" w:lineRule="auto"/>
        <w:ind w:left="633" w:right="733"/>
        <w:jc w:val="left"/>
      </w:pPr>
      <w:r>
        <w:rPr/>
        <w:t>⑤归属于该无形资产开发阶段的支出能够可靠地计量。 无法区分研究阶段支出和开发阶段支出的，将发生的研发支出全部计入当期损益。</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6" w:firstLine="480"/>
        <w:jc w:val="left"/>
      </w:pPr>
      <w:r>
        <w:rPr/>
        <w:t>对于固定资产、在建工程、使用寿命有限的无形资产、以成本模式计量的投资性房地产 及对子公司、合营企业、联营企业的长期股权投资等非流动非金融资产，本公司于资产负债</w:t>
      </w:r>
      <w:r>
        <w:rPr>
          <w:spacing w:val="-91"/>
        </w:rPr>
        <w:t> </w:t>
      </w:r>
      <w:r>
        <w:rPr>
          <w:spacing w:val="-91"/>
        </w:rPr>
      </w:r>
      <w:r>
        <w:rPr/>
        <w:t>表日判断是否存在减值迹象。如存在减值迹象的，则估计其可收回金额，进行减值测试。商</w:t>
      </w:r>
      <w:r>
        <w:rPr>
          <w:spacing w:val="-91"/>
        </w:rPr>
        <w:t> </w:t>
      </w:r>
      <w:r>
        <w:rPr>
          <w:spacing w:val="-91"/>
        </w:rPr>
      </w:r>
      <w:r>
        <w:rPr>
          <w:spacing w:val="-2"/>
        </w:rPr>
        <w:t>誉、使用寿命不确定的无形资产和尚未达到可使用状态的无形资产，无论是否存在减值迹象，</w:t>
      </w:r>
      <w:r>
        <w:rPr/>
        <w:t> 每年均进行减值测试。</w:t>
      </w:r>
    </w:p>
    <w:p>
      <w:pPr>
        <w:pStyle w:val="BodyText"/>
        <w:spacing w:line="357" w:lineRule="auto"/>
        <w:ind w:right="235"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89"/>
        </w:rPr>
        <w:t> </w:t>
      </w:r>
      <w:r>
        <w:rPr>
          <w:spacing w:val="-89"/>
        </w:rPr>
      </w:r>
      <w:r>
        <w:rPr/>
        <w:t>现值两者之间的较高者。资产的公允价值根据公平交易中销售协议价格确定；不存在销售协</w:t>
      </w:r>
      <w:r>
        <w:rPr>
          <w:spacing w:val="-91"/>
        </w:rPr>
        <w:t> </w:t>
      </w:r>
      <w:r>
        <w:rPr>
          <w:spacing w:val="-91"/>
        </w:rPr>
      </w:r>
      <w:r>
        <w:rPr/>
        <w:t>议但存在资产活跃市场的，公允价值按照该资产的买方出价确定；不存在销售协议和资产活</w:t>
      </w:r>
      <w:r>
        <w:rPr>
          <w:spacing w:val="-91"/>
        </w:rPr>
        <w:t> </w:t>
      </w:r>
      <w:r>
        <w:rPr>
          <w:spacing w:val="-91"/>
        </w:rPr>
      </w:r>
      <w:r>
        <w:rPr/>
        <w:t>跃市场的，则以可获取的最佳信息为基础估计资产的公允价值。处置费用包括与资产处置有</w:t>
      </w:r>
      <w:r>
        <w:rPr>
          <w:spacing w:val="-91"/>
        </w:rPr>
        <w:t> </w:t>
      </w:r>
      <w:r>
        <w:rPr>
          <w:spacing w:val="-91"/>
        </w:rPr>
      </w:r>
      <w:r>
        <w:rPr/>
        <w:t>关的法律费用、相关税费、搬运费以及为使资产达到可销售状态所发生的直接费用。资产预</w:t>
      </w:r>
      <w:r>
        <w:rPr>
          <w:spacing w:val="-91"/>
        </w:rPr>
        <w:t> </w:t>
      </w:r>
      <w:r>
        <w:rPr>
          <w:spacing w:val="-91"/>
        </w:rPr>
      </w:r>
      <w:r>
        <w:rPr/>
        <w:t>计未来现金流量的现值，按照资产在持续使用过程中和最终处置时所产生的预计未来现金流</w:t>
      </w:r>
      <w:r>
        <w:rPr>
          <w:spacing w:val="-91"/>
        </w:rPr>
        <w:t> </w:t>
      </w:r>
      <w:r>
        <w:rPr>
          <w:spacing w:val="-91"/>
        </w:rPr>
      </w:r>
      <w:r>
        <w:rPr/>
        <w:t>量，选择恰当的折现率对其进行折现后的金额加以确定。资产减值准备按单项资产为基础计</w:t>
      </w:r>
      <w:r>
        <w:rPr>
          <w:spacing w:val="-87"/>
        </w:rPr>
        <w:t> </w:t>
      </w:r>
      <w:r>
        <w:rPr>
          <w:spacing w:val="-87"/>
        </w:rPr>
      </w:r>
      <w:r>
        <w:rPr/>
        <w:t>算并确认，如果难以对单项资产的可收回金额进行估计的，以该资产所属的资产组确定资产</w:t>
      </w:r>
      <w:r>
        <w:rPr>
          <w:spacing w:val="-91"/>
        </w:rPr>
        <w:t> </w:t>
      </w:r>
      <w:r>
        <w:rPr>
          <w:spacing w:val="-91"/>
        </w:rPr>
      </w:r>
      <w:r>
        <w:rPr/>
        <w:t>组的可收回金额。资产组是能够独立产生现金流入的最小资产组合。</w:t>
      </w:r>
    </w:p>
    <w:p>
      <w:pPr>
        <w:pStyle w:val="BodyText"/>
        <w:spacing w:line="357" w:lineRule="auto"/>
        <w:ind w:right="239" w:firstLine="480"/>
        <w:jc w:val="both"/>
      </w:pPr>
      <w:r>
        <w:rPr/>
        <w:t>在财务报表中单独列示的商誉，在进行减值测试时，将商誉的账面价值分摊至预期从企 业合并的协同效应中受益的资产组或资产组组合。测试结果表明包含分摊的商誉的资产组或</w:t>
      </w:r>
      <w:r>
        <w:rPr>
          <w:spacing w:val="-91"/>
        </w:rPr>
        <w:t> </w:t>
      </w:r>
      <w:r>
        <w:rPr>
          <w:spacing w:val="-91"/>
        </w:rPr>
      </w:r>
      <w:r>
        <w:rPr/>
        <w:t>资产组组合的可收回金额低于其账面价值的，确认相应的减值损失。减值损失金额先抵减分</w:t>
      </w:r>
      <w:r>
        <w:rPr>
          <w:spacing w:val="-91"/>
        </w:rPr>
        <w:t> </w:t>
      </w:r>
      <w:r>
        <w:rPr>
          <w:spacing w:val="-91"/>
        </w:rPr>
      </w:r>
      <w:r>
        <w:rPr/>
        <w:t>摊至该资产组或资产组组合的商誉的账面价值，再根据资产组或资产组组合中除商誉以外的</w:t>
      </w:r>
      <w:r>
        <w:rPr>
          <w:spacing w:val="-91"/>
        </w:rPr>
        <w:t> </w:t>
      </w:r>
      <w:r>
        <w:rPr>
          <w:spacing w:val="-91"/>
        </w:rPr>
      </w:r>
      <w:r>
        <w:rPr/>
        <w:t>其他各项资产的账面价值所占比重，按比例抵减其他各项资产的账面价值。</w:t>
      </w:r>
    </w:p>
    <w:p>
      <w:pPr>
        <w:pStyle w:val="BodyText"/>
        <w:spacing w:line="240" w:lineRule="auto"/>
        <w:ind w:left="633" w:right="96"/>
        <w:jc w:val="left"/>
      </w:pPr>
      <w:r>
        <w:rPr/>
        <w:t>上述资产减值损失一经确认，以后期间不予转回价值得以恢复的部分。</w:t>
      </w:r>
    </w:p>
    <w:p>
      <w:pPr>
        <w:spacing w:after="0" w:line="240" w:lineRule="auto"/>
        <w:jc w:val="left"/>
        <w:sectPr>
          <w:pgSz w:w="11910" w:h="16840"/>
          <w:pgMar w:header="745" w:footer="979" w:top="1060" w:bottom="1160" w:left="980" w:right="90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9" w:firstLine="480"/>
        <w:jc w:val="both"/>
      </w:pPr>
      <w:r>
        <w:rPr/>
        <w:t>长期待摊费用为已经发生但应由报告期和以后各期负担的分摊期限在一年以上的各项费 用。本公司的长期待摊费用主要包括租赁资产装修。长期待摊费用在预计受益期间按直线法</w:t>
      </w:r>
      <w:r>
        <w:rPr>
          <w:spacing w:val="-91"/>
        </w:rPr>
        <w:t> </w:t>
      </w:r>
      <w:r>
        <w:rPr>
          <w:spacing w:val="-91"/>
        </w:rPr>
      </w:r>
      <w:r>
        <w:rPr/>
        <w:t>摊销。</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153"/>
        <w:jc w:val="left"/>
      </w:pPr>
      <w:r>
        <w:rPr/>
        <w:t>本公司职工薪酬主要包括短期职工薪酬、离职后福利、辞退福利。其中： 短期薪酬主要包括工资、奖金、津贴和补贴、职工福利费、医疗保险费、生育保险费、</w:t>
      </w:r>
    </w:p>
    <w:p>
      <w:pPr>
        <w:pStyle w:val="BodyText"/>
        <w:spacing w:line="357" w:lineRule="auto"/>
        <w:ind w:right="156"/>
        <w:jc w:val="both"/>
      </w:pPr>
      <w:r>
        <w:rPr/>
        <w:t>工伤保险费、住房公积金、工会经费和职工教育经费、非货币性福利等。本公司在职工为本</w:t>
      </w:r>
      <w:r>
        <w:rPr>
          <w:spacing w:val="-88"/>
        </w:rPr>
        <w:t> </w:t>
      </w:r>
      <w:r>
        <w:rPr>
          <w:spacing w:val="-88"/>
        </w:rPr>
      </w:r>
      <w:r>
        <w:rPr/>
        <w:t>公司提供服务的会计期间将实际发生的短期职工薪酬确认为负债，并计入当期损益或相关资</w:t>
      </w:r>
      <w:r>
        <w:rPr>
          <w:spacing w:val="-91"/>
        </w:rPr>
        <w:t> </w:t>
      </w:r>
      <w:r>
        <w:rPr>
          <w:spacing w:val="-91"/>
        </w:rPr>
      </w:r>
      <w:r>
        <w:rPr/>
        <w:t>产成本。其中非货币性福利按公允价值计量。</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160" w:firstLine="480"/>
        <w:jc w:val="both"/>
      </w:pPr>
      <w:r>
        <w:rPr/>
        <w:t>离职后福利主要包括设定提存计划。设定提存计划主要包括基本养老保险、失业保险以 及年金等，相应的应缴存金额于发生时计入相关资产成本或当期损益。</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3" w:firstLine="480"/>
        <w:jc w:val="both"/>
      </w:pPr>
      <w:r>
        <w:rPr/>
        <w:t>在职工劳动合同到期之前解除与职工的劳动关系，或为鼓励职工自愿接受裁减而提出给 予补偿的建议，在本公司不能单方面撤回因解除劳动关系计划或裁减建议所提供的辞退福利</w:t>
      </w:r>
      <w:r>
        <w:rPr>
          <w:spacing w:val="-86"/>
        </w:rPr>
        <w:t> </w:t>
      </w:r>
      <w:r>
        <w:rPr>
          <w:spacing w:val="-86"/>
        </w:rPr>
      </w:r>
      <w:r>
        <w:rPr/>
        <w:t>时，和本公司确认与涉及支付辞退福利的重组相关的成本两者孰早日，确认辞退福利产生的</w:t>
      </w:r>
      <w:r>
        <w:rPr>
          <w:spacing w:val="-91"/>
        </w:rPr>
        <w:t> </w:t>
      </w:r>
      <w:r>
        <w:rPr>
          <w:spacing w:val="-91"/>
        </w:rPr>
      </w:r>
      <w:r>
        <w:rPr/>
        <w:t>职工薪酬负债，并计入当期损益。但辞退福利预期在年度报告期结束后十二个月不能完全支</w:t>
      </w:r>
      <w:r>
        <w:rPr>
          <w:spacing w:val="-91"/>
        </w:rPr>
        <w:t> </w:t>
      </w:r>
      <w:r>
        <w:rPr>
          <w:spacing w:val="-91"/>
        </w:rPr>
      </w:r>
      <w:r>
        <w:rPr/>
        <w:t>付的，按照其他长期职工薪酬处理。</w:t>
      </w:r>
    </w:p>
    <w:p>
      <w:pPr>
        <w:pStyle w:val="BodyText"/>
        <w:spacing w:line="357" w:lineRule="auto"/>
        <w:ind w:right="159" w:firstLine="480"/>
        <w:jc w:val="both"/>
      </w:pPr>
      <w:r>
        <w:rPr/>
        <w:t>职工内部退休计划采用与上述辞退福利相同的原则处理。本公司将自职工停止提供服务 日至正常退休日的期间拟支付的内退人员工资和缴纳的社会保险费等，在符合预计负债确认</w:t>
      </w:r>
      <w:r>
        <w:rPr>
          <w:spacing w:val="-91"/>
        </w:rPr>
        <w:t> </w:t>
      </w:r>
      <w:r>
        <w:rPr>
          <w:spacing w:val="-91"/>
        </w:rPr>
      </w:r>
      <w:r>
        <w:rPr/>
        <w:t>条件时，计入当期损益（辞退福利）。</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745" w:footer="979" w:top="1060" w:bottom="1160" w:left="980" w:right="980"/>
        </w:sectPr>
      </w:pPr>
    </w:p>
    <w:p>
      <w:pPr>
        <w:spacing w:line="240" w:lineRule="auto" w:before="7"/>
        <w:rPr>
          <w:rFonts w:ascii="宋体" w:hAnsi="宋体" w:cs="宋体" w:eastAsia="宋体" w:hint="default"/>
          <w:b/>
          <w:bCs/>
          <w:sz w:val="29"/>
          <w:szCs w:val="29"/>
        </w:rPr>
      </w:pPr>
    </w:p>
    <w:p>
      <w:pPr>
        <w:pStyle w:val="BodyText"/>
        <w:spacing w:line="357" w:lineRule="auto" w:before="26"/>
        <w:ind w:right="96" w:firstLine="480"/>
        <w:jc w:val="left"/>
      </w:pPr>
      <w:r>
        <w:rPr/>
        <w:t>本公司向职工提供的其他长期职工福利，符合设定提存计划的，按照设定提存计划进行 会计处理，除此之外按照设定受益计划进行会计处理。</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1" w:firstLine="480"/>
        <w:jc w:val="both"/>
      </w:pPr>
      <w:r>
        <w:rPr>
          <w:spacing w:val="-3"/>
        </w:rPr>
        <w:t>当与或有事项相关的义务同时符合以下条件，确认为预计负债：（</w:t>
      </w:r>
      <w:r>
        <w:rPr>
          <w:rFonts w:ascii="宋体" w:hAnsi="宋体" w:cs="宋体" w:eastAsia="宋体" w:hint="default"/>
          <w:spacing w:val="-3"/>
        </w:rPr>
        <w:t>1</w:t>
      </w:r>
      <w:r>
        <w:rPr>
          <w:spacing w:val="-3"/>
        </w:rPr>
        <w:t>）该义务是本公司承</w:t>
      </w:r>
      <w:r>
        <w:rPr/>
        <w:t> 担的现时义务；（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w:t>
      </w:r>
      <w:r>
        <w:rPr>
          <w:spacing w:val="-85"/>
        </w:rPr>
        <w:t> </w:t>
      </w:r>
      <w:r>
        <w:rPr>
          <w:spacing w:val="-85"/>
        </w:rPr>
      </w:r>
      <w:r>
        <w:rPr/>
        <w:t>计量。</w:t>
      </w:r>
    </w:p>
    <w:p>
      <w:pPr>
        <w:pStyle w:val="BodyText"/>
        <w:spacing w:line="357" w:lineRule="auto" w:before="37"/>
        <w:ind w:right="96" w:firstLine="480"/>
        <w:jc w:val="left"/>
      </w:pPr>
      <w:r>
        <w:rPr/>
        <w:t>在资产负债表日，考虑与或有事项有关的风险、不确定性和货币时间价值等因素，按照 履行相关现时义务所需支出的最佳估计数对预计负债进行计量。</w:t>
      </w:r>
    </w:p>
    <w:p>
      <w:pPr>
        <w:pStyle w:val="BodyText"/>
        <w:spacing w:line="357" w:lineRule="auto"/>
        <w:ind w:right="96" w:firstLine="480"/>
        <w:jc w:val="left"/>
      </w:pPr>
      <w:r>
        <w:rPr/>
        <w:t>如果清偿预计负债所需支出全部或部分预期由第三方补偿的，补偿金额在基本确定能够 收到时，作为资产单独确认，且确认的补偿金额不超过预计负债的账面价值。</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left="633" w:right="96"/>
        <w:jc w:val="left"/>
      </w:pPr>
      <w:r>
        <w:rPr/>
        <w:t>（</w:t>
      </w:r>
      <w:r>
        <w:rPr>
          <w:rFonts w:ascii="宋体" w:hAnsi="宋体" w:cs="宋体" w:eastAsia="宋体" w:hint="default"/>
        </w:rPr>
        <w:t>1</w:t>
      </w:r>
      <w:r>
        <w:rPr/>
        <w:t>）股份支付的会计处理方法 股份支付是为了获取职工或其他方提供服务而授予权益工具或者承担以权益工具为基础</w:t>
      </w:r>
    </w:p>
    <w:p>
      <w:pPr>
        <w:pStyle w:val="BodyText"/>
        <w:spacing w:line="357" w:lineRule="auto"/>
        <w:ind w:left="633" w:right="3854" w:hanging="481"/>
        <w:jc w:val="left"/>
      </w:pPr>
      <w:r>
        <w:rPr/>
        <w:t>确定的负债的交易。股份支付为以权益结算的股份支付。 以权益结算的股份支付</w:t>
      </w:r>
    </w:p>
    <w:p>
      <w:pPr>
        <w:pStyle w:val="BodyText"/>
        <w:spacing w:line="357" w:lineRule="auto"/>
        <w:ind w:right="96" w:firstLine="480"/>
        <w:jc w:val="left"/>
      </w:pPr>
      <w:r>
        <w:rPr/>
        <w:t>用以换取职工提供的服务的权益结算的股份支付，以授予职工权益工具在授予日的公允 </w:t>
      </w:r>
      <w:r>
        <w:rPr>
          <w:spacing w:val="-2"/>
        </w:rPr>
        <w:t>价值计量。该公允价值的金额在完成等待期内的服务或达到规定业绩条件才可行权的情况下，</w:t>
      </w:r>
      <w:r>
        <w:rPr/>
        <w:t> 在等待期内以对可行权权益工具数量的最佳估计为基础，按直线法计算计入相关成本或费用</w:t>
      </w:r>
      <w:r>
        <w:rPr>
          <w:rFonts w:ascii="宋体" w:hAnsi="宋体" w:cs="宋体" w:eastAsia="宋体" w:hint="default"/>
        </w:rPr>
        <w:t>/ </w:t>
      </w:r>
      <w:r>
        <w:rPr/>
        <w:t>在授予后立即可行权时，在授予日计入相关成本或费用，相应增加资本公积。</w:t>
      </w:r>
    </w:p>
    <w:p>
      <w:pPr>
        <w:pStyle w:val="BodyText"/>
        <w:spacing w:line="357" w:lineRule="auto"/>
        <w:ind w:right="96" w:firstLine="480"/>
        <w:jc w:val="left"/>
      </w:pPr>
      <w:r>
        <w:rPr/>
        <w:t>在等待期内每个资产负债表日，本公司根据最新取得的可行权职工人数变动等后续信息 </w:t>
      </w:r>
      <w:r>
        <w:rPr>
          <w:spacing w:val="-2"/>
        </w:rPr>
        <w:t>做出最佳估计，修正预计可行权的权益工具数量。上述估计的影响计入当期相关成本或费用，</w:t>
      </w:r>
      <w:r>
        <w:rPr/>
        <w:t> 并相应调整资本公积。</w:t>
      </w:r>
    </w:p>
    <w:p>
      <w:pPr>
        <w:pStyle w:val="BodyText"/>
        <w:spacing w:line="357" w:lineRule="auto"/>
        <w:ind w:right="96" w:firstLine="480"/>
        <w:jc w:val="left"/>
      </w:pPr>
      <w:r>
        <w:rPr>
          <w:spacing w:val="-3"/>
        </w:rPr>
        <w:t>用以换取其他方服务的权益结算的股份支付，如果其他方服务的公允价值能够可靠计量，</w:t>
      </w:r>
      <w:r>
        <w:rPr/>
        <w:t> 按照其他方服务在取得日的公允价值计量，如果其他方服务的公允价值不能可靠计量，但权</w:t>
      </w:r>
      <w:r>
        <w:rPr>
          <w:spacing w:val="-91"/>
        </w:rPr>
        <w:t> </w:t>
      </w:r>
      <w:r>
        <w:rPr>
          <w:spacing w:val="-91"/>
        </w:rPr>
      </w:r>
      <w:r>
        <w:rPr/>
        <w:t>益工具的公允价值能够可靠计量的，按照权益工具在服务取得日的公允价值计量，计入相关</w:t>
      </w:r>
      <w:r>
        <w:rPr>
          <w:spacing w:val="-91"/>
        </w:rPr>
        <w:t> </w:t>
      </w:r>
      <w:r>
        <w:rPr>
          <w:spacing w:val="-91"/>
        </w:rPr>
      </w:r>
      <w:r>
        <w:rPr/>
        <w:t>成本或费用，相应增加股东权益。</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3" w:right="153"/>
        <w:jc w:val="left"/>
      </w:pPr>
      <w:r>
        <w:rPr/>
        <w:t>（</w:t>
      </w:r>
      <w:r>
        <w:rPr>
          <w:rFonts w:ascii="宋体" w:hAnsi="宋体" w:cs="宋体" w:eastAsia="宋体" w:hint="default"/>
        </w:rPr>
        <w:t>2</w:t>
      </w:r>
      <w:r>
        <w:rPr/>
        <w:t>）修改、终止股份支付计划的相关会计处理 本公司对股份支付计划进行修改时，若修改增加了所授予权益工具的公允价值，按照权</w:t>
      </w:r>
    </w:p>
    <w:p>
      <w:pPr>
        <w:pStyle w:val="BodyText"/>
        <w:spacing w:line="357" w:lineRule="auto"/>
        <w:ind w:right="159"/>
        <w:jc w:val="both"/>
      </w:pPr>
      <w:r>
        <w:rPr/>
        <w:t>益工具公允价值的增加相应确认取得服务的增加。权益工具公允价值的增加是指修改前后的</w:t>
      </w:r>
      <w:r>
        <w:rPr>
          <w:spacing w:val="-91"/>
        </w:rPr>
        <w:t> </w:t>
      </w:r>
      <w:r>
        <w:rPr>
          <w:spacing w:val="-91"/>
        </w:rPr>
      </w:r>
      <w:r>
        <w:rPr/>
        <w:t>权益工具在修改日的公允价值之间的差额。若修改减少了股份支付公允价值总额或采用了其</w:t>
      </w:r>
      <w:r>
        <w:rPr>
          <w:spacing w:val="-91"/>
        </w:rPr>
        <w:t> </w:t>
      </w:r>
      <w:r>
        <w:rPr>
          <w:spacing w:val="-91"/>
        </w:rPr>
      </w:r>
      <w:r>
        <w:rPr/>
        <w:t>他不利于职工的方式，则仍继续对取得的服务进行会计处理，视同该变更从未发生，除非本</w:t>
      </w:r>
      <w:r>
        <w:rPr>
          <w:spacing w:val="-91"/>
        </w:rPr>
        <w:t> </w:t>
      </w:r>
      <w:r>
        <w:rPr>
          <w:spacing w:val="-91"/>
        </w:rPr>
      </w:r>
      <w:r>
        <w:rPr/>
        <w:t>公司取消了部分或全部已授予的权益工具。</w:t>
      </w:r>
    </w:p>
    <w:p>
      <w:pPr>
        <w:pStyle w:val="BodyText"/>
        <w:spacing w:line="357" w:lineRule="auto"/>
        <w:ind w:right="157" w:firstLine="480"/>
        <w:jc w:val="both"/>
      </w:pPr>
      <w:r>
        <w:rPr/>
        <w:t>在等待期内，如果取消了授予的权益工具，本公司对取消所授予的权益性工具作为加速 行权处理，将剩余等待期内应确认的金额立即计入当期损益，同时确认资本公积。职工或其</w:t>
      </w:r>
      <w:r>
        <w:rPr>
          <w:spacing w:val="-91"/>
        </w:rPr>
        <w:t> </w:t>
      </w:r>
      <w:r>
        <w:rPr>
          <w:spacing w:val="-91"/>
        </w:rPr>
      </w:r>
      <w:r>
        <w:rPr/>
        <w:t>他方能够选择满足非可行权条件但在等待期内未满足的，本公司将其作为授予权益工具的取</w:t>
      </w:r>
      <w:r>
        <w:rPr>
          <w:spacing w:val="-90"/>
        </w:rPr>
        <w:t> </w:t>
      </w:r>
      <w:r>
        <w:rPr>
          <w:spacing w:val="-90"/>
        </w:rPr>
      </w:r>
      <w:r>
        <w:rPr/>
        <w:t>消处理。</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153"/>
        <w:jc w:val="left"/>
      </w:pPr>
      <w:r>
        <w:rPr/>
        <w:t>（</w:t>
      </w:r>
      <w:r>
        <w:rPr>
          <w:rFonts w:ascii="宋体" w:hAnsi="宋体" w:cs="宋体" w:eastAsia="宋体" w:hint="default"/>
        </w:rPr>
        <w:t>1</w:t>
      </w:r>
      <w:r>
        <w:rPr/>
        <w:t>）商品销售收入 在已将商品所有权上的主要风险和报酬转移给买方，既没有保留通常与所有权相联系的</w:t>
      </w:r>
    </w:p>
    <w:p>
      <w:pPr>
        <w:pStyle w:val="BodyText"/>
        <w:spacing w:line="357" w:lineRule="auto"/>
        <w:ind w:right="159"/>
        <w:jc w:val="both"/>
      </w:pPr>
      <w:r>
        <w:rPr/>
        <w:t>继续管理权，也没有对已售商品实施有效控制，收入的金额能够可靠地计量，相关的经济利</w:t>
      </w:r>
      <w:r>
        <w:rPr>
          <w:spacing w:val="-91"/>
        </w:rPr>
        <w:t> </w:t>
      </w:r>
      <w:r>
        <w:rPr>
          <w:spacing w:val="-91"/>
        </w:rPr>
      </w:r>
      <w:r>
        <w:rPr/>
        <w:t>益很可能流入企业，相关的已发生或将发生的成本能够可靠地计量时，确认商品销售收入的</w:t>
      </w:r>
      <w:r>
        <w:rPr>
          <w:spacing w:val="-91"/>
        </w:rPr>
        <w:t> </w:t>
      </w:r>
      <w:r>
        <w:rPr>
          <w:spacing w:val="-91"/>
        </w:rPr>
      </w:r>
      <w:r>
        <w:rPr/>
        <w:t>实现。</w:t>
      </w:r>
    </w:p>
    <w:p>
      <w:pPr>
        <w:pStyle w:val="BodyText"/>
        <w:spacing w:line="357" w:lineRule="auto"/>
        <w:ind w:left="633" w:right="153"/>
        <w:jc w:val="left"/>
      </w:pPr>
      <w:r>
        <w:rPr/>
        <w:t>（</w:t>
      </w:r>
      <w:r>
        <w:rPr>
          <w:rFonts w:ascii="宋体" w:hAnsi="宋体" w:cs="宋体" w:eastAsia="宋体" w:hint="default"/>
        </w:rPr>
        <w:t>2</w:t>
      </w:r>
      <w:r>
        <w:rPr/>
        <w:t>）提供劳务收入 在提供劳务交易的结果能够可靠估计的情况下，于资产负债表日按照完工百分比法确认</w:t>
      </w:r>
    </w:p>
    <w:p>
      <w:pPr>
        <w:pStyle w:val="BodyText"/>
        <w:spacing w:line="357" w:lineRule="auto"/>
        <w:ind w:left="633" w:right="153" w:hanging="481"/>
        <w:jc w:val="left"/>
      </w:pPr>
      <w:r>
        <w:rPr/>
        <w:t>提供的劳务收入。劳务交易的完工进度按已完工作的测量确定。 提供劳务交易的结果能够可靠估计是指同时满足：①收入的金额能够可靠地计量；②相</w:t>
      </w:r>
    </w:p>
    <w:p>
      <w:pPr>
        <w:pStyle w:val="BodyText"/>
        <w:spacing w:line="357" w:lineRule="auto"/>
        <w:ind w:right="159"/>
        <w:jc w:val="both"/>
      </w:pPr>
      <w:r>
        <w:rPr/>
        <w:t>关的经济利益很可能流入企业；③交易的完工程度能够可靠地确定；④交易中已发生和将发</w:t>
      </w:r>
      <w:r>
        <w:rPr>
          <w:spacing w:val="-91"/>
        </w:rPr>
        <w:t> </w:t>
      </w:r>
      <w:r>
        <w:rPr>
          <w:spacing w:val="-91"/>
        </w:rPr>
      </w:r>
      <w:r>
        <w:rPr/>
        <w:t>生的成本能够可靠地计量。</w:t>
      </w:r>
    </w:p>
    <w:p>
      <w:pPr>
        <w:pStyle w:val="BodyText"/>
        <w:spacing w:line="357" w:lineRule="auto"/>
        <w:ind w:right="159" w:firstLine="480"/>
        <w:jc w:val="both"/>
      </w:pPr>
      <w:r>
        <w:rPr/>
        <w:t>如果提供劳务交易的结果不能够可靠估计，则按已经发生并预计能够得到补偿的劳务成 本金额确认提供的劳务收入，并将已发生的劳务成本作为当期费用。已经发生的劳务成本如</w:t>
      </w:r>
      <w:r>
        <w:rPr>
          <w:spacing w:val="-91"/>
        </w:rPr>
        <w:t> </w:t>
      </w:r>
      <w:r>
        <w:rPr>
          <w:spacing w:val="-91"/>
        </w:rPr>
      </w:r>
      <w:r>
        <w:rPr/>
        <w:t>预计不能得到补偿的，则不确认收入。</w:t>
      </w:r>
    </w:p>
    <w:p>
      <w:pPr>
        <w:pStyle w:val="BodyText"/>
        <w:spacing w:line="357" w:lineRule="auto"/>
        <w:ind w:right="153" w:firstLine="480"/>
        <w:jc w:val="both"/>
      </w:pPr>
      <w:r>
        <w:rPr/>
        <w:t>本公司与其他企业签订的合同或协议包括销售商品和提供劳务时，如销售商品部分和提 供劳务部分能够区分并单独计量的，将销售商品部分和提供劳务部分分别处理；如销售商品</w:t>
      </w:r>
      <w:r>
        <w:rPr>
          <w:spacing w:val="-86"/>
        </w:rPr>
        <w:t> </w:t>
      </w:r>
      <w:r>
        <w:rPr>
          <w:spacing w:val="-86"/>
        </w:rPr>
      </w:r>
      <w:r>
        <w:rPr/>
        <w:t>部分和提供劳务部分不能够区分，或虽能区分但不能够单独计量的，将该合同全部作为销售</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153"/>
        <w:jc w:val="left"/>
      </w:pPr>
      <w:r>
        <w:rPr/>
        <w:t>商品处理。</w:t>
      </w:r>
    </w:p>
    <w:p>
      <w:pPr>
        <w:pStyle w:val="BodyText"/>
        <w:spacing w:line="357" w:lineRule="auto" w:before="154"/>
        <w:ind w:left="633" w:right="153"/>
        <w:jc w:val="left"/>
      </w:pPr>
      <w:r>
        <w:rPr/>
        <w:t>（</w:t>
      </w:r>
      <w:r>
        <w:rPr>
          <w:rFonts w:ascii="宋体" w:hAnsi="宋体" w:cs="宋体" w:eastAsia="宋体" w:hint="default"/>
        </w:rPr>
        <w:t>3</w:t>
      </w:r>
      <w:r>
        <w:rPr/>
        <w:t>）分期收款销售商品 按照销售商品的公允价值确定商品销售收入。销售商品应收款项与其公允价值之间的差</w:t>
      </w:r>
    </w:p>
    <w:p>
      <w:pPr>
        <w:pStyle w:val="BodyText"/>
        <w:spacing w:line="240" w:lineRule="auto"/>
        <w:ind w:right="153"/>
        <w:jc w:val="left"/>
      </w:pPr>
      <w:r>
        <w:rPr/>
        <w:t>额，在收款期内采用实际利率法进行摊销，计入财务费用。</w:t>
      </w:r>
    </w:p>
    <w:p>
      <w:pPr>
        <w:spacing w:line="240" w:lineRule="auto" w:before="10"/>
        <w:rPr>
          <w:rFonts w:ascii="宋体" w:hAnsi="宋体" w:cs="宋体" w:eastAsia="宋体" w:hint="default"/>
          <w:sz w:val="30"/>
          <w:szCs w:val="30"/>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153" w:firstLine="480"/>
        <w:jc w:val="left"/>
      </w:pPr>
      <w:r>
        <w:rPr/>
        <w:t>本公司将所取得的用于购建或以其他方式形成长期资产的政府补助界定为与资产相关的 政府补助；</w:t>
      </w:r>
    </w:p>
    <w:p>
      <w:pPr>
        <w:pStyle w:val="BodyText"/>
        <w:spacing w:line="357" w:lineRule="auto"/>
        <w:ind w:right="153" w:firstLine="480"/>
        <w:jc w:val="left"/>
      </w:pPr>
      <w:r>
        <w:rPr/>
        <w:t>与资产相关的政府补助，确认为递延收益，并在相关资产的使用寿命内平均分配计入当 期损益。</w:t>
      </w:r>
    </w:p>
    <w:p>
      <w:pPr>
        <w:spacing w:line="240" w:lineRule="auto" w:before="10"/>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153"/>
        <w:jc w:val="left"/>
      </w:pPr>
      <w:r>
        <w:rPr/>
        <w:t>除去与资产相关的政府补助，其余政府补助界定为与收益相关的政府补助。 与收益相关的政府补助，用于补偿以后期间的相关费用和损失的，确认为递延收益，并</w:t>
      </w:r>
    </w:p>
    <w:p>
      <w:pPr>
        <w:pStyle w:val="BodyText"/>
        <w:spacing w:line="357" w:lineRule="auto"/>
        <w:ind w:right="153"/>
        <w:jc w:val="left"/>
      </w:pPr>
      <w:r>
        <w:rPr/>
        <w:t>在确认相关费用的期间计入当期损益；用于补偿已经发生的相关费用和损失的，直接计入当</w:t>
      </w:r>
      <w:r>
        <w:rPr>
          <w:spacing w:val="-91"/>
        </w:rPr>
        <w:t> </w:t>
      </w:r>
      <w:r>
        <w:rPr>
          <w:spacing w:val="-91"/>
        </w:rPr>
      </w:r>
      <w:r>
        <w:rPr/>
        <w:t>期损益。</w:t>
      </w:r>
    </w:p>
    <w:p>
      <w:pPr>
        <w:spacing w:line="240" w:lineRule="auto" w:before="10"/>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633" w:right="153"/>
        <w:jc w:val="left"/>
      </w:pPr>
      <w:r>
        <w:rPr/>
        <w:t>（</w:t>
      </w:r>
      <w:r>
        <w:rPr>
          <w:rFonts w:ascii="宋体" w:hAnsi="宋体" w:cs="宋体" w:eastAsia="宋体" w:hint="default"/>
        </w:rPr>
        <w:t>1</w:t>
      </w:r>
      <w:r>
        <w:rPr/>
        <w:t>）当期所得税 资产负债表日，对于当期和以前期间形成的当期所得税负债（或资产），以按照税法规</w:t>
      </w:r>
    </w:p>
    <w:p>
      <w:pPr>
        <w:pStyle w:val="BodyText"/>
        <w:spacing w:line="357" w:lineRule="auto" w:before="37"/>
        <w:ind w:right="153"/>
        <w:jc w:val="left"/>
      </w:pPr>
      <w:r>
        <w:rPr/>
        <w:t>定计算的预期应交纳（或返还）的所得税金额计量。计算当期所得税费用所依据的应纳税所</w:t>
      </w:r>
      <w:r>
        <w:rPr>
          <w:spacing w:val="-91"/>
        </w:rPr>
        <w:t> </w:t>
      </w:r>
      <w:r>
        <w:rPr>
          <w:spacing w:val="-91"/>
        </w:rPr>
      </w:r>
      <w:r>
        <w:rPr/>
        <w:t>得额系根据有关税法规定对本年度税前会计利润作相应调整后计算得出。</w:t>
      </w:r>
    </w:p>
    <w:p>
      <w:pPr>
        <w:pStyle w:val="BodyText"/>
        <w:spacing w:line="357" w:lineRule="auto"/>
        <w:ind w:left="633" w:right="153"/>
        <w:jc w:val="left"/>
      </w:pPr>
      <w:r>
        <w:rPr/>
        <w:t>（</w:t>
      </w:r>
      <w:r>
        <w:rPr>
          <w:rFonts w:ascii="宋体" w:hAnsi="宋体" w:cs="宋体" w:eastAsia="宋体" w:hint="default"/>
        </w:rPr>
        <w:t>2</w:t>
      </w:r>
      <w:r>
        <w:rPr/>
        <w:t>）递延所得税资产及递延所得税负债 某些资产、负债项目的账面价值与其计税基础之间的差额，以及未作为资产和负债确认</w:t>
      </w:r>
    </w:p>
    <w:p>
      <w:pPr>
        <w:pStyle w:val="BodyText"/>
        <w:spacing w:line="357" w:lineRule="auto"/>
        <w:ind w:right="153"/>
        <w:jc w:val="left"/>
      </w:pPr>
      <w:r>
        <w:rPr/>
        <w:t>但按照税法规定可以确定其计税基础的项目的账面价值与计税基础之间的差额产生的暂时性</w:t>
      </w:r>
      <w:r>
        <w:rPr>
          <w:spacing w:val="-91"/>
        </w:rPr>
        <w:t> </w:t>
      </w:r>
      <w:r>
        <w:rPr>
          <w:spacing w:val="-91"/>
        </w:rPr>
      </w:r>
      <w:r>
        <w:rPr/>
        <w:t>差异，采用资产负债表债务法确认递延所得税资产及递延所得税负债。</w:t>
      </w:r>
    </w:p>
    <w:p>
      <w:pPr>
        <w:pStyle w:val="BodyText"/>
        <w:spacing w:line="357" w:lineRule="auto"/>
        <w:ind w:right="153" w:firstLine="480"/>
        <w:jc w:val="left"/>
      </w:pPr>
      <w:r>
        <w:rPr/>
        <w:t>与商誉的初始确认有关，以及与既不是企业合并、发生时也不影响会计利润和应纳税所 得额（或可抵扣亏损）的交易中产生的资产或负债的初始确认有关的应纳税暂时性差异，不</w:t>
      </w:r>
    </w:p>
    <w:p>
      <w:pPr>
        <w:spacing w:after="0" w:line="357"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234"/>
        <w:jc w:val="both"/>
      </w:pPr>
      <w:r>
        <w:rPr/>
        <w:t>予确认有关的递延所得税负债。此外，对与子公司、联营企业及合营企业投资相关的应纳税</w:t>
      </w:r>
      <w:r>
        <w:rPr>
          <w:spacing w:val="-86"/>
        </w:rPr>
        <w:t> </w:t>
      </w:r>
      <w:r>
        <w:rPr>
          <w:spacing w:val="-86"/>
        </w:rPr>
      </w:r>
      <w:r>
        <w:rPr/>
        <w:t>暂时性差异，如果本公司能够控制暂时性差异转回的时间，而且该暂时性差异在可预见的未</w:t>
      </w:r>
      <w:r>
        <w:rPr>
          <w:spacing w:val="-91"/>
        </w:rPr>
        <w:t> </w:t>
      </w:r>
      <w:r>
        <w:rPr>
          <w:spacing w:val="-91"/>
        </w:rPr>
      </w:r>
      <w:r>
        <w:rPr/>
        <w:t>来很可能不会转回，也不予确认有关的递延所得税负债。除上述例外情况，本公司确认其他</w:t>
      </w:r>
      <w:r>
        <w:rPr>
          <w:spacing w:val="-91"/>
        </w:rPr>
        <w:t> </w:t>
      </w:r>
      <w:r>
        <w:rPr>
          <w:spacing w:val="-91"/>
        </w:rPr>
      </w:r>
      <w:r>
        <w:rPr/>
        <w:t>所有应纳税暂时性差异产生的递延所得税负债。</w:t>
      </w:r>
    </w:p>
    <w:p>
      <w:pPr>
        <w:pStyle w:val="BodyText"/>
        <w:spacing w:line="357" w:lineRule="auto"/>
        <w:ind w:right="96"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w:t>
      </w:r>
      <w:r>
        <w:rPr>
          <w:spacing w:val="-91"/>
        </w:rPr>
        <w:t> </w:t>
      </w:r>
      <w:r>
        <w:rPr>
          <w:spacing w:val="-91"/>
        </w:rPr>
      </w:r>
      <w:r>
        <w:rPr/>
        <w:t>可预见的未来不是很可能转回，或者未来不是很可能获得用来抵扣可抵扣暂时性差异的应纳</w:t>
      </w:r>
      <w:r>
        <w:rPr>
          <w:spacing w:val="-87"/>
        </w:rPr>
        <w:t> </w:t>
      </w:r>
      <w:r>
        <w:rPr>
          <w:spacing w:val="-87"/>
        </w:rPr>
      </w:r>
      <w:r>
        <w:rPr/>
        <w:t>税所得额，不予确认有关的递延所得税资产。除上述例外情况，本公司以很可能取得用来抵</w:t>
      </w:r>
      <w:r>
        <w:rPr>
          <w:spacing w:val="-91"/>
        </w:rPr>
        <w:t> </w:t>
      </w:r>
      <w:r>
        <w:rPr>
          <w:spacing w:val="-91"/>
        </w:rPr>
      </w:r>
      <w:r>
        <w:rPr/>
        <w:t>扣可抵扣暂时性差异的应纳税所得额为限，确认其他可抵扣暂时性差异产生的递延所得税资</w:t>
      </w:r>
      <w:r>
        <w:rPr>
          <w:spacing w:val="-91"/>
        </w:rPr>
        <w:t> </w:t>
      </w:r>
      <w:r>
        <w:rPr>
          <w:spacing w:val="-91"/>
        </w:rPr>
      </w:r>
      <w:r>
        <w:rPr/>
        <w:t>产。</w:t>
      </w:r>
    </w:p>
    <w:p>
      <w:pPr>
        <w:pStyle w:val="BodyText"/>
        <w:spacing w:line="357" w:lineRule="auto"/>
        <w:ind w:right="240"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357" w:lineRule="auto"/>
        <w:ind w:right="240" w:firstLine="480"/>
        <w:jc w:val="both"/>
      </w:pPr>
      <w:r>
        <w:rPr/>
        <w:t>资产负债表日，对于递延所得税资产和递延所得税负债，根据税法规定，按照预期收回 相关资产或清偿相关负债期间的适用税率计量。</w:t>
      </w:r>
    </w:p>
    <w:p>
      <w:pPr>
        <w:pStyle w:val="BodyText"/>
        <w:spacing w:line="357" w:lineRule="auto"/>
        <w:ind w:right="236" w:firstLine="480"/>
        <w:jc w:val="both"/>
      </w:pPr>
      <w:r>
        <w:rPr/>
        <w:t>于资产负债表日，对递延所得税资产的账面价值进行复核，如果未来很可能无法获得足 够的应纳税所得额用以抵扣递延所得税资产的利益，则减记递延所得税资产的账面价值。在</w:t>
      </w:r>
      <w:r>
        <w:rPr>
          <w:spacing w:val="-91"/>
        </w:rPr>
        <w:t> </w:t>
      </w:r>
      <w:r>
        <w:rPr>
          <w:spacing w:val="-91"/>
        </w:rPr>
      </w:r>
      <w:r>
        <w:rPr/>
        <w:t>很可能获得足够的应纳税所得额时，减记的金额予以转回。</w:t>
      </w:r>
    </w:p>
    <w:p>
      <w:pPr>
        <w:pStyle w:val="BodyText"/>
        <w:spacing w:line="357" w:lineRule="auto"/>
        <w:ind w:left="633" w:right="4813"/>
        <w:jc w:val="left"/>
      </w:pPr>
      <w:r>
        <w:rPr/>
        <w:t>（</w:t>
      </w:r>
      <w:r>
        <w:rPr>
          <w:rFonts w:ascii="宋体" w:hAnsi="宋体" w:cs="宋体" w:eastAsia="宋体" w:hint="default"/>
        </w:rPr>
        <w:t>3</w:t>
      </w:r>
      <w:r>
        <w:rPr/>
        <w:t>）所得税费用 所得税费用包括当期所得税和递延所得税。</w:t>
      </w:r>
    </w:p>
    <w:p>
      <w:pPr>
        <w:pStyle w:val="BodyText"/>
        <w:spacing w:line="357" w:lineRule="auto"/>
        <w:ind w:right="239" w:firstLine="480"/>
        <w:jc w:val="both"/>
      </w:pPr>
      <w:r>
        <w:rPr/>
        <w:t>除确认为其他综合收益或直接计入股东权益的交易和事项相关的当期所得税和递延所得 税计入其他综合收益或股东权益，以及企业合并产生的递延所得税调整商誉的账面价值外，</w:t>
      </w:r>
      <w:r>
        <w:rPr>
          <w:spacing w:val="-91"/>
        </w:rPr>
        <w:t> </w:t>
      </w:r>
      <w:r>
        <w:rPr>
          <w:spacing w:val="-91"/>
        </w:rPr>
      </w:r>
      <w:r>
        <w:rPr/>
        <w:t>其余当期所得税和递延所得税费用或收益计入当期损益。</w:t>
      </w:r>
    </w:p>
    <w:p>
      <w:pPr>
        <w:pStyle w:val="BodyText"/>
        <w:spacing w:line="357" w:lineRule="auto"/>
        <w:ind w:left="633" w:right="96"/>
        <w:jc w:val="left"/>
      </w:pPr>
      <w:r>
        <w:rPr/>
        <w:t>（</w:t>
      </w:r>
      <w:r>
        <w:rPr>
          <w:rFonts w:ascii="宋体" w:hAnsi="宋体" w:cs="宋体" w:eastAsia="宋体" w:hint="default"/>
        </w:rPr>
        <w:t>4</w:t>
      </w:r>
      <w:r>
        <w:rPr/>
        <w:t>）所得税的抵销 当拥有以净额结算的法定权利，且意图以净额结算或取得资产、清偿负债同时进行时，</w:t>
      </w:r>
    </w:p>
    <w:p>
      <w:pPr>
        <w:pStyle w:val="BodyText"/>
        <w:spacing w:line="357" w:lineRule="auto"/>
        <w:ind w:left="633" w:right="96" w:hanging="481"/>
        <w:jc w:val="left"/>
      </w:pPr>
      <w:r>
        <w:rPr/>
        <w:t>本公司当期所得税资产及当期所得税负债以抵销后的净额列报。 当拥有以净额结算当期所得税资产及当期所得税负债的法定权利，且递延所得税资产及</w:t>
      </w:r>
    </w:p>
    <w:p>
      <w:pPr>
        <w:pStyle w:val="BodyText"/>
        <w:spacing w:line="357" w:lineRule="auto"/>
        <w:ind w:right="96"/>
        <w:jc w:val="left"/>
      </w:pPr>
      <w:r>
        <w:rPr/>
        <w:t>递延所得税负债是与同一税收征管部门对同一纳税主体征收的所得税相关或者是对不同的纳</w:t>
      </w:r>
      <w:r>
        <w:rPr>
          <w:spacing w:val="-91"/>
        </w:rPr>
        <w:t> </w:t>
      </w:r>
      <w:r>
        <w:rPr>
          <w:spacing w:val="-91"/>
        </w:rPr>
      </w:r>
      <w:r>
        <w:rPr/>
        <w:t>税主体相关，但在未来每一具有重要性的递延所得税资产及负债转回的期间内，涉及的纳税</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主体意图以净额结算当期所得税资产和负债或是同时取得资产、清偿负债时，本公司递延所</w:t>
      </w:r>
      <w:r>
        <w:rPr>
          <w:spacing w:val="-91"/>
        </w:rPr>
        <w:t> </w:t>
      </w:r>
      <w:r>
        <w:rPr>
          <w:spacing w:val="-91"/>
        </w:rPr>
      </w:r>
      <w:r>
        <w:rPr/>
        <w:t>得税资产及递延所得税负债以抵销后的净额列报。</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633" w:right="153"/>
        <w:jc w:val="left"/>
      </w:pPr>
      <w:r>
        <w:rPr/>
        <w:t>（</w:t>
      </w:r>
      <w:r>
        <w:rPr>
          <w:rFonts w:ascii="宋体" w:hAnsi="宋体" w:cs="宋体" w:eastAsia="宋体" w:hint="default"/>
        </w:rPr>
        <w:t>1</w:t>
      </w:r>
      <w:r>
        <w:rPr/>
        <w:t>）本公司作为承租人记录经营租赁业务 经营租赁的租金支出在租赁期内的各个期间按直线法计入相关资产成本或当期损益。初</w:t>
      </w:r>
    </w:p>
    <w:p>
      <w:pPr>
        <w:pStyle w:val="BodyText"/>
        <w:spacing w:line="240" w:lineRule="auto" w:before="37"/>
        <w:ind w:right="0"/>
        <w:jc w:val="both"/>
      </w:pPr>
      <w:r>
        <w:rPr/>
        <w:t>始直接费用计入当期损益。或有租金于实际发生时计入当期损益。</w:t>
      </w:r>
    </w:p>
    <w:p>
      <w:pPr>
        <w:pStyle w:val="BodyText"/>
        <w:spacing w:line="357" w:lineRule="auto" w:before="154"/>
        <w:ind w:left="633" w:right="153"/>
        <w:jc w:val="left"/>
      </w:pPr>
      <w:r>
        <w:rPr/>
        <w:t>（</w:t>
      </w:r>
      <w:r>
        <w:rPr>
          <w:rFonts w:ascii="宋体" w:hAnsi="宋体" w:cs="宋体" w:eastAsia="宋体" w:hint="default"/>
        </w:rPr>
        <w:t>2</w:t>
      </w:r>
      <w:r>
        <w:rPr/>
        <w:t>）本公司作为出租人记录经营租赁业务 经营租赁的租金收入在租赁期内的各个期间按直线法确认为当期损益。对金额较大的初</w:t>
      </w:r>
    </w:p>
    <w:p>
      <w:pPr>
        <w:pStyle w:val="BodyText"/>
        <w:spacing w:line="357" w:lineRule="auto"/>
        <w:ind w:right="159"/>
        <w:jc w:val="both"/>
      </w:pPr>
      <w:r>
        <w:rPr/>
        <w:t>始直接费用于发生时予以资本化，在整个租赁期间内按照与确认租金收入相同的基础分期计</w:t>
      </w:r>
      <w:r>
        <w:rPr>
          <w:spacing w:val="-91"/>
        </w:rPr>
        <w:t> </w:t>
      </w:r>
      <w:r>
        <w:rPr>
          <w:spacing w:val="-91"/>
        </w:rPr>
      </w:r>
      <w:r>
        <w:rPr/>
        <w:t>入当期损益；其他金额较小的初始直接费用于发生时计入当期损益。或有租金于实际发生时</w:t>
      </w:r>
      <w:r>
        <w:rPr>
          <w:spacing w:val="-91"/>
        </w:rPr>
        <w:t> </w:t>
      </w:r>
      <w:r>
        <w:rPr>
          <w:spacing w:val="-91"/>
        </w:rPr>
      </w:r>
      <w:r>
        <w:rPr/>
        <w:t>计入当期损益。</w:t>
      </w:r>
    </w:p>
    <w:p>
      <w:pPr>
        <w:spacing w:line="240" w:lineRule="auto" w:before="11"/>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153"/>
        <w:jc w:val="left"/>
      </w:pPr>
      <w:r>
        <w:rPr/>
        <w:t>（</w:t>
      </w:r>
      <w:r>
        <w:rPr>
          <w:rFonts w:ascii="宋体" w:hAnsi="宋体" w:cs="宋体" w:eastAsia="宋体" w:hint="default"/>
        </w:rPr>
        <w:t>1</w:t>
      </w:r>
      <w:r>
        <w:rPr/>
        <w:t>）本公司作为承租人记录融资租赁业务 于租赁期开始日，将租赁开始日租赁资产的公允价值与最低租赁付款额现值两者中较低</w:t>
      </w:r>
    </w:p>
    <w:p>
      <w:pPr>
        <w:pStyle w:val="BodyText"/>
        <w:spacing w:line="357" w:lineRule="auto"/>
        <w:ind w:right="159"/>
        <w:jc w:val="both"/>
      </w:pPr>
      <w:r>
        <w:rPr/>
        <w:t>者作为租入资产的入账价值，将最低租赁付款额作为长期应付款的入账价值，其差额作为未</w:t>
      </w:r>
      <w:r>
        <w:rPr>
          <w:spacing w:val="-91"/>
        </w:rPr>
        <w:t> </w:t>
      </w:r>
      <w:r>
        <w:rPr>
          <w:spacing w:val="-91"/>
        </w:rPr>
      </w:r>
      <w:r>
        <w:rPr/>
        <w:t>确认融资费用。此外，在租赁谈判和签订租赁合同过程中发生的，可归属于租赁项目的初始</w:t>
      </w:r>
      <w:r>
        <w:rPr>
          <w:spacing w:val="-91"/>
        </w:rPr>
        <w:t> </w:t>
      </w:r>
      <w:r>
        <w:rPr>
          <w:spacing w:val="-91"/>
        </w:rPr>
      </w:r>
      <w:r>
        <w:rPr/>
        <w:t>直接费用也计入租入资产价值。最低租赁付款额扣除未确认融资费用后的余额分别长期负债</w:t>
      </w:r>
      <w:r>
        <w:rPr>
          <w:spacing w:val="-91"/>
        </w:rPr>
        <w:t> </w:t>
      </w:r>
      <w:r>
        <w:rPr>
          <w:spacing w:val="-91"/>
        </w:rPr>
      </w:r>
      <w:r>
        <w:rPr/>
        <w:t>和一年内到期的长期负债列示。</w:t>
      </w:r>
    </w:p>
    <w:p>
      <w:pPr>
        <w:pStyle w:val="BodyText"/>
        <w:spacing w:line="357" w:lineRule="auto" w:before="37"/>
        <w:ind w:right="153" w:firstLine="480"/>
        <w:jc w:val="left"/>
      </w:pPr>
      <w:r>
        <w:rPr/>
        <w:t>未确认融资费用在租赁期内采用实际利率法计算确认当期的融资费用。或有租金于实际 发生时计入当期损益。</w:t>
      </w:r>
    </w:p>
    <w:p>
      <w:pPr>
        <w:pStyle w:val="BodyText"/>
        <w:spacing w:line="357" w:lineRule="auto"/>
        <w:ind w:left="633" w:right="153"/>
        <w:jc w:val="left"/>
      </w:pPr>
      <w:r>
        <w:rPr/>
        <w:t>（</w:t>
      </w:r>
      <w:r>
        <w:rPr>
          <w:rFonts w:ascii="宋体" w:hAnsi="宋体" w:cs="宋体" w:eastAsia="宋体" w:hint="default"/>
        </w:rPr>
        <w:t>2</w:t>
      </w:r>
      <w:r>
        <w:rPr/>
        <w:t>）本公司作为出租人记录融资租赁业务 于租赁期开始日，将租赁开始日最低租赁收款额与初始直接费用之和作为应收融资租赁</w:t>
      </w:r>
    </w:p>
    <w:p>
      <w:pPr>
        <w:pStyle w:val="BodyText"/>
        <w:spacing w:line="357" w:lineRule="auto"/>
        <w:ind w:right="159"/>
        <w:jc w:val="both"/>
      </w:pPr>
      <w:r>
        <w:rPr/>
        <w:t>款的入账价值，同时记录未担保余值；将最低租赁收款额、初始直接费用及未担保余值之和</w:t>
      </w:r>
      <w:r>
        <w:rPr>
          <w:spacing w:val="-91"/>
        </w:rPr>
        <w:t> </w:t>
      </w:r>
      <w:r>
        <w:rPr>
          <w:spacing w:val="-91"/>
        </w:rPr>
      </w:r>
      <w:r>
        <w:rPr/>
        <w:t>与其现值之和的差额确认为未实现融资收益。应收融资租赁款扣除未实现融资收益后的余额</w:t>
      </w:r>
      <w:r>
        <w:rPr>
          <w:spacing w:val="-91"/>
        </w:rPr>
        <w:t> </w:t>
      </w:r>
      <w:r>
        <w:rPr>
          <w:spacing w:val="-91"/>
        </w:rPr>
      </w:r>
      <w:r>
        <w:rPr/>
        <w:t>分别长期债权和一年内到期的长期债权列示。</w:t>
      </w:r>
    </w:p>
    <w:p>
      <w:pPr>
        <w:pStyle w:val="BodyText"/>
        <w:spacing w:line="240" w:lineRule="auto"/>
        <w:ind w:left="633" w:right="153"/>
        <w:jc w:val="left"/>
      </w:pPr>
      <w:r>
        <w:rPr/>
        <w:t>未实现融资收益在租赁期内采用实际利率法计算确认当期的融资收入。或有租金于实际</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发生时计入当期损益。</w:t>
      </w:r>
    </w:p>
    <w:p>
      <w:pPr>
        <w:spacing w:line="240" w:lineRule="auto" w:before="10"/>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238" w:firstLine="480"/>
        <w:jc w:val="both"/>
      </w:pPr>
      <w:r>
        <w:rPr/>
        <w:t>本公司在运用会计政策过程中，由于经营活动内在的不确定性，本公司需要对无法准确 计量的报表项目的账面价值进行判断、估计和假设。这些判断、估计和假设是基于本公司管</w:t>
      </w:r>
      <w:r>
        <w:rPr>
          <w:spacing w:val="-91"/>
        </w:rPr>
        <w:t> </w:t>
      </w:r>
      <w:r>
        <w:rPr>
          <w:spacing w:val="-91"/>
        </w:rPr>
      </w:r>
      <w:r>
        <w:rPr/>
        <w:t>理层过去的历史经验，并在考虑其他相关因素的基础上做出的。这些判断、估计和假设会影</w:t>
      </w:r>
      <w:r>
        <w:rPr>
          <w:spacing w:val="-91"/>
        </w:rPr>
        <w:t> </w:t>
      </w:r>
      <w:r>
        <w:rPr>
          <w:spacing w:val="-91"/>
        </w:rPr>
      </w:r>
      <w:r>
        <w:rPr/>
        <w:t>响收入、费用、资产和负债的报告金额以及资产负债表日或有负债的披露。然而，这些估计</w:t>
      </w:r>
      <w:r>
        <w:rPr>
          <w:spacing w:val="-91"/>
        </w:rPr>
        <w:t> </w:t>
      </w:r>
      <w:r>
        <w:rPr>
          <w:spacing w:val="-91"/>
        </w:rPr>
      </w:r>
      <w:r>
        <w:rPr/>
        <w:t>的不确定性所导致的实际结果可能与本公司管理层当前的估计存在差异，进而造成对未来受</w:t>
      </w:r>
      <w:r>
        <w:rPr>
          <w:spacing w:val="-91"/>
        </w:rPr>
        <w:t> </w:t>
      </w:r>
      <w:r>
        <w:rPr>
          <w:spacing w:val="-91"/>
        </w:rPr>
      </w:r>
      <w:r>
        <w:rPr/>
        <w:t>影响的资产或负债的账面金额进行重大调整。</w:t>
      </w:r>
    </w:p>
    <w:p>
      <w:pPr>
        <w:pStyle w:val="BodyText"/>
        <w:spacing w:line="357" w:lineRule="auto"/>
        <w:ind w:right="239" w:firstLine="480"/>
        <w:jc w:val="both"/>
      </w:pPr>
      <w:r>
        <w:rPr/>
        <w:t>本公司对前述判断、估计和假设在持续经营的基础上进行定期复核，会计估计的变更仅 影响变更当期的，其影响数在变更当期予以确认；既影响变更当期又影响未来期间的，其影</w:t>
      </w:r>
      <w:r>
        <w:rPr>
          <w:spacing w:val="-91"/>
        </w:rPr>
        <w:t> </w:t>
      </w:r>
      <w:r>
        <w:rPr>
          <w:spacing w:val="-91"/>
        </w:rPr>
      </w:r>
      <w:r>
        <w:rPr/>
        <w:t>响数在变更当期和未来期间予以确认。</w:t>
      </w:r>
    </w:p>
    <w:p>
      <w:pPr>
        <w:pStyle w:val="BodyText"/>
        <w:spacing w:line="240" w:lineRule="auto"/>
        <w:ind w:left="633" w:right="96"/>
        <w:jc w:val="left"/>
      </w:pPr>
      <w:r>
        <w:rPr>
          <w:spacing w:val="-3"/>
        </w:rPr>
        <w:t>于资产负债表日，本公司需对财务报表项目金额进行判断、估计和假设的重要领域如下：</w:t>
      </w:r>
    </w:p>
    <w:p>
      <w:pPr>
        <w:pStyle w:val="BodyText"/>
        <w:spacing w:line="357" w:lineRule="auto" w:before="154"/>
        <w:ind w:left="633" w:right="96"/>
        <w:jc w:val="left"/>
      </w:pPr>
      <w:r>
        <w:rPr/>
        <w:t>（</w:t>
      </w:r>
      <w:r>
        <w:rPr>
          <w:rFonts w:ascii="宋体" w:hAnsi="宋体" w:cs="宋体" w:eastAsia="宋体" w:hint="default"/>
        </w:rPr>
        <w:t>1</w:t>
      </w:r>
      <w:r>
        <w:rPr/>
        <w:t>）租赁的归类 本公司根据《企业会计准则第</w:t>
      </w:r>
      <w:r>
        <w:rPr>
          <w:rFonts w:ascii="宋体" w:hAnsi="宋体" w:cs="宋体" w:eastAsia="宋体" w:hint="default"/>
        </w:rPr>
        <w:t>21</w:t>
      </w:r>
      <w:r>
        <w:rPr/>
        <w:t>号——租赁》的规定，将租赁归类为经营租赁和融资租</w:t>
      </w:r>
    </w:p>
    <w:p>
      <w:pPr>
        <w:pStyle w:val="BodyText"/>
        <w:spacing w:line="357" w:lineRule="auto"/>
        <w:ind w:right="239"/>
        <w:jc w:val="both"/>
      </w:pPr>
      <w:r>
        <w:rPr/>
        <w:t>赁，在进行归类时，管理层需要对是否已将与租出资产所有权有关的全部风险和报酬实质上</w:t>
      </w:r>
      <w:r>
        <w:rPr>
          <w:spacing w:val="-91"/>
        </w:rPr>
        <w:t> </w:t>
      </w:r>
      <w:r>
        <w:rPr>
          <w:spacing w:val="-91"/>
        </w:rPr>
      </w:r>
      <w:r>
        <w:rPr/>
        <w:t>转移给承租人，或者本公司是否已经实质上承担与租入资产所有权有关的全部风险和报酬，</w:t>
      </w:r>
      <w:r>
        <w:rPr>
          <w:spacing w:val="-91"/>
        </w:rPr>
        <w:t> </w:t>
      </w:r>
      <w:r>
        <w:rPr>
          <w:spacing w:val="-91"/>
        </w:rPr>
      </w:r>
      <w:r>
        <w:rPr/>
        <w:t>作出分析和判断。</w:t>
      </w:r>
    </w:p>
    <w:p>
      <w:pPr>
        <w:pStyle w:val="BodyText"/>
        <w:spacing w:line="357" w:lineRule="auto"/>
        <w:ind w:left="633" w:right="96"/>
        <w:jc w:val="left"/>
      </w:pPr>
      <w:r>
        <w:rPr/>
        <w:t>（</w:t>
      </w:r>
      <w:r>
        <w:rPr>
          <w:rFonts w:ascii="宋体" w:hAnsi="宋体" w:cs="宋体" w:eastAsia="宋体" w:hint="default"/>
        </w:rPr>
        <w:t>2</w:t>
      </w:r>
      <w:r>
        <w:rPr/>
        <w:t>）坏账准备计提 本公司根据应收款项的会计政策，采用备抵法核算坏账损失。应收账款减值是基于评估</w:t>
      </w:r>
    </w:p>
    <w:p>
      <w:pPr>
        <w:pStyle w:val="BodyText"/>
        <w:spacing w:line="357" w:lineRule="auto"/>
        <w:ind w:right="239"/>
        <w:jc w:val="both"/>
      </w:pPr>
      <w:r>
        <w:rPr/>
        <w:t>应收账款的可收回性。鉴定应收账款减值要求管理层的判断和估计。实际的结果与原先估计</w:t>
      </w:r>
      <w:r>
        <w:rPr>
          <w:spacing w:val="-91"/>
        </w:rPr>
        <w:t> </w:t>
      </w:r>
      <w:r>
        <w:rPr>
          <w:spacing w:val="-91"/>
        </w:rPr>
      </w:r>
      <w:r>
        <w:rPr/>
        <w:t>的差异将在估计被改变的期间影响应收账款的账面价值及应收账款坏账准备的计提或转回。</w:t>
      </w:r>
    </w:p>
    <w:p>
      <w:pPr>
        <w:pStyle w:val="BodyText"/>
        <w:spacing w:line="357" w:lineRule="auto"/>
        <w:ind w:left="633" w:right="96"/>
        <w:jc w:val="left"/>
      </w:pPr>
      <w:r>
        <w:rPr/>
        <w:t>（</w:t>
      </w:r>
      <w:r>
        <w:rPr>
          <w:rFonts w:ascii="宋体" w:hAnsi="宋体" w:cs="宋体" w:eastAsia="宋体" w:hint="default"/>
        </w:rPr>
        <w:t>3</w:t>
      </w:r>
      <w:r>
        <w:rPr/>
        <w:t>）折旧和摊销 本公司对投资性房地产、固定资产和无形资产在考虑其残值后，在使用寿命内按直线法</w:t>
      </w:r>
    </w:p>
    <w:p>
      <w:pPr>
        <w:pStyle w:val="BodyText"/>
        <w:spacing w:line="357" w:lineRule="auto"/>
        <w:ind w:right="239"/>
        <w:jc w:val="both"/>
      </w:pPr>
      <w:r>
        <w:rPr/>
        <w:t>计提折旧和摊销。本公司定期复核使用寿命，以决定将计入每个报告期的折旧和摊销费用数</w:t>
      </w:r>
      <w:r>
        <w:rPr>
          <w:spacing w:val="-91"/>
        </w:rPr>
        <w:t> </w:t>
      </w:r>
      <w:r>
        <w:rPr>
          <w:spacing w:val="-91"/>
        </w:rPr>
      </w:r>
      <w:r>
        <w:rPr/>
        <w:t>额。使用寿命是本公司根据对同类资产的以往经验并结合预期的技术更新而确定的。如果以</w:t>
      </w:r>
      <w:r>
        <w:rPr>
          <w:spacing w:val="-91"/>
        </w:rPr>
        <w:t> </w:t>
      </w:r>
      <w:r>
        <w:rPr>
          <w:spacing w:val="-91"/>
        </w:rPr>
      </w:r>
      <w:r>
        <w:rPr/>
        <w:t>前的估计发生重大变化，则会在未来期间对折旧和摊销费用进行调整。</w:t>
      </w:r>
    </w:p>
    <w:p>
      <w:pPr>
        <w:pStyle w:val="BodyText"/>
        <w:spacing w:line="357" w:lineRule="auto"/>
        <w:ind w:left="633" w:right="96"/>
        <w:jc w:val="left"/>
      </w:pPr>
      <w:r>
        <w:rPr/>
        <w:t>（</w:t>
      </w:r>
      <w:r>
        <w:rPr>
          <w:rFonts w:ascii="宋体" w:hAnsi="宋体" w:cs="宋体" w:eastAsia="宋体" w:hint="default"/>
        </w:rPr>
        <w:t>4</w:t>
      </w:r>
      <w:r>
        <w:rPr/>
        <w:t>）递延所得税资产 在很有可能有足够的应纳税利润来抵扣亏损的限度内，本公司就所有未利用的税务亏损</w:t>
      </w:r>
    </w:p>
    <w:p>
      <w:pPr>
        <w:pStyle w:val="BodyText"/>
        <w:spacing w:line="240" w:lineRule="auto"/>
        <w:ind w:right="0"/>
        <w:jc w:val="both"/>
      </w:pPr>
      <w:r>
        <w:rPr/>
        <w:t>确认递延所得税资产。这需要本公司管理层运用大量的判断来估计未来应纳税利润发生的时</w:t>
      </w:r>
    </w:p>
    <w:p>
      <w:pPr>
        <w:spacing w:after="0" w:line="240"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240" w:lineRule="auto" w:before="26"/>
        <w:ind w:right="96"/>
        <w:jc w:val="left"/>
      </w:pPr>
      <w:r>
        <w:rPr/>
        <w:t>间和金额，结合纳税筹划策略，以决定应确认的递延所得税资产的金额。</w:t>
      </w:r>
    </w:p>
    <w:p>
      <w:pPr>
        <w:pStyle w:val="BodyText"/>
        <w:spacing w:line="357" w:lineRule="auto" w:before="154"/>
        <w:ind w:left="633" w:right="96"/>
        <w:jc w:val="left"/>
      </w:pPr>
      <w:r>
        <w:rPr/>
        <w:t>（</w:t>
      </w:r>
      <w:r>
        <w:rPr>
          <w:rFonts w:ascii="宋体" w:hAnsi="宋体" w:cs="宋体" w:eastAsia="宋体" w:hint="default"/>
        </w:rPr>
        <w:t>5</w:t>
      </w:r>
      <w:r>
        <w:rPr/>
        <w:t>）所得税 </w:t>
      </w:r>
      <w:r>
        <w:rPr>
          <w:spacing w:val="-3"/>
        </w:rPr>
        <w:t>本公司在正常的经营活动中，有部分交易其最终的税务处理和计算存在一定的不确定性。</w:t>
      </w:r>
    </w:p>
    <w:p>
      <w:pPr>
        <w:pStyle w:val="BodyText"/>
        <w:spacing w:line="357" w:lineRule="auto"/>
        <w:ind w:right="239"/>
        <w:jc w:val="both"/>
      </w:pPr>
      <w:r>
        <w:rPr/>
        <w:t>部分项目是否能够在税前列支需要税收主管机关的审批。如果这些税务事项的最终认定结果</w:t>
      </w:r>
      <w:r>
        <w:rPr>
          <w:spacing w:val="-91"/>
        </w:rPr>
        <w:t> </w:t>
      </w:r>
      <w:r>
        <w:rPr>
          <w:spacing w:val="-91"/>
        </w:rPr>
      </w:r>
      <w:r>
        <w:rPr/>
        <w:t>同最初估计的金额存在差异，则该差异将对其最终认定期间的当期所得税和递延所得税产生</w:t>
      </w:r>
      <w:r>
        <w:rPr>
          <w:spacing w:val="-91"/>
        </w:rPr>
        <w:t> </w:t>
      </w:r>
      <w:r>
        <w:rPr>
          <w:spacing w:val="-91"/>
        </w:rPr>
      </w:r>
      <w:r>
        <w:rPr/>
        <w:t>影响。</w:t>
      </w:r>
    </w:p>
    <w:p>
      <w:pPr>
        <w:pStyle w:val="BodyText"/>
        <w:spacing w:line="357" w:lineRule="auto"/>
        <w:ind w:left="633" w:right="96"/>
        <w:jc w:val="left"/>
      </w:pPr>
      <w:r>
        <w:rPr/>
        <w:t>（</w:t>
      </w:r>
      <w:r>
        <w:rPr>
          <w:rFonts w:ascii="宋体" w:hAnsi="宋体" w:cs="宋体" w:eastAsia="宋体" w:hint="default"/>
        </w:rPr>
        <w:t>6</w:t>
      </w:r>
      <w:r>
        <w:rPr/>
        <w:t>）预计负债 本公司根据合约条款、现有知识及历史经验，对产品质量保证等估计并计提相应准备。</w:t>
      </w:r>
    </w:p>
    <w:p>
      <w:pPr>
        <w:pStyle w:val="BodyText"/>
        <w:spacing w:line="357" w:lineRule="auto"/>
        <w:ind w:right="96"/>
        <w:jc w:val="left"/>
      </w:pPr>
      <w:r>
        <w:rPr/>
        <w:t>在该等或有事项已经形成一项现时义务，且履行该等现时义务很可能导致经济利益流出本公</w:t>
      </w:r>
      <w:r>
        <w:rPr>
          <w:spacing w:val="-88"/>
        </w:rPr>
        <w:t> </w:t>
      </w:r>
      <w:r>
        <w:rPr>
          <w:spacing w:val="-88"/>
        </w:rPr>
      </w:r>
      <w:r>
        <w:rPr>
          <w:spacing w:val="-2"/>
        </w:rPr>
        <w:t>司的情况下，本公司对或有事项按履行相关现时义务所需支出的最佳估计数确认为预计负债。</w:t>
      </w:r>
      <w:r>
        <w:rPr/>
        <w:t> 预计负债的确认和计量在很大程度上依赖于管理层的判断。在进行判断过程中本公司需评估</w:t>
      </w:r>
      <w:r>
        <w:rPr>
          <w:spacing w:val="-91"/>
        </w:rPr>
        <w:t> </w:t>
      </w:r>
      <w:r>
        <w:rPr>
          <w:spacing w:val="-91"/>
        </w:rPr>
      </w:r>
      <w:r>
        <w:rPr/>
        <w:t>该等或有事项相关的风险、不确定性及货币时间价值等因素。</w:t>
      </w:r>
    </w:p>
    <w:p>
      <w:pPr>
        <w:pStyle w:val="BodyText"/>
        <w:spacing w:line="357" w:lineRule="auto"/>
        <w:ind w:right="96" w:firstLine="480"/>
        <w:jc w:val="left"/>
      </w:pPr>
      <w:r>
        <w:rPr>
          <w:spacing w:val="-3"/>
        </w:rPr>
        <w:t>其中，本公司会就出售、维修及改造所售商品向客户提供的售后质量维修承诺预计负债。</w:t>
      </w:r>
      <w:r>
        <w:rPr/>
        <w:t> 预计负债时已考虑本公司近期的维修经验数据，但近期的维修经验可能无法反映将来的维修</w:t>
      </w:r>
      <w:r>
        <w:rPr>
          <w:spacing w:val="-91"/>
        </w:rPr>
        <w:t> </w:t>
      </w:r>
      <w:r>
        <w:rPr>
          <w:spacing w:val="-91"/>
        </w:rPr>
      </w:r>
      <w:r>
        <w:rPr/>
        <w:t>情况。这项准备的任何增加或减少，均可能影响未来年度的损益。</w:t>
      </w:r>
    </w:p>
    <w:p>
      <w:pPr>
        <w:spacing w:line="240" w:lineRule="auto" w:before="10"/>
        <w:rPr>
          <w:rFonts w:ascii="宋体" w:hAnsi="宋体" w:cs="宋体" w:eastAsia="宋体" w:hint="default"/>
          <w:sz w:val="21"/>
          <w:szCs w:val="21"/>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6"/>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按应税收入计算销项税，并按扣除当期 允许抵扣的进项税额后的差额计缴增值 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footerReference w:type="default" r:id="rId19"/>
          <w:pgSz w:w="11910" w:h="16840"/>
          <w:pgMar w:footer="979" w:header="745" w:top="1060" w:bottom="1160" w:left="980" w:right="900"/>
          <w:pgNumType w:start="12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4"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12.50%-25%</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北京汉王智通科技有限公司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北京数字政通智能泊车技术有限公司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上海政通信息技术有限公司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武汉智慧政通科技有限公司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克拉玛依数字政通信息科技有限责任公司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政通智慧城市运营科技有限公司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北京数聚联盟科技有限公司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spacing w:before="36"/>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231" w:firstLine="480"/>
        <w:jc w:val="both"/>
      </w:pPr>
      <w:r>
        <w:rPr/>
        <w:t>根据国务院下发的《关于鼓励软件产业和集成电路产业若干政策的通知》</w:t>
      </w:r>
      <w:r>
        <w:rPr>
          <w:rFonts w:ascii="宋体" w:hAnsi="宋体" w:cs="宋体" w:eastAsia="宋体" w:hint="default"/>
        </w:rPr>
        <w:t>(</w:t>
      </w:r>
      <w:r>
        <w:rPr/>
        <w:t>国发</w:t>
      </w:r>
      <w:r>
        <w:rPr>
          <w:rFonts w:ascii="宋体" w:hAnsi="宋体" w:cs="宋体" w:eastAsia="宋体" w:hint="default"/>
        </w:rPr>
        <w:t>[2011]4 </w:t>
      </w:r>
      <w:r>
        <w:rPr>
          <w:spacing w:val="-2"/>
        </w:rPr>
        <w:t>号</w:t>
      </w:r>
      <w:r>
        <w:rPr>
          <w:rFonts w:ascii="宋体" w:hAnsi="宋体" w:cs="宋体" w:eastAsia="宋体" w:hint="default"/>
          <w:spacing w:val="-2"/>
        </w:rPr>
        <w:t>)</w:t>
      </w:r>
      <w:r>
        <w:rPr>
          <w:spacing w:val="-2"/>
        </w:rPr>
        <w:t>和财政部、国家税务总局和海关总署联合下发的《关于鼓励软件产业和集成电路产业发展</w:t>
      </w:r>
      <w:r>
        <w:rPr/>
        <w:t> </w:t>
      </w:r>
      <w:r>
        <w:rPr>
          <w:spacing w:val="-5"/>
        </w:rPr>
        <w:t>有关税收政策问题的通知》</w:t>
      </w:r>
      <w:r>
        <w:rPr>
          <w:rFonts w:ascii="宋体" w:hAnsi="宋体" w:cs="宋体" w:eastAsia="宋体" w:hint="default"/>
          <w:spacing w:val="-5"/>
        </w:rPr>
        <w:t>(</w:t>
      </w:r>
      <w:r>
        <w:rPr>
          <w:spacing w:val="-5"/>
        </w:rPr>
        <w:t>财税</w:t>
      </w:r>
      <w:r>
        <w:rPr>
          <w:rFonts w:ascii="宋体" w:hAnsi="宋体" w:cs="宋体" w:eastAsia="宋体" w:hint="default"/>
          <w:spacing w:val="-5"/>
        </w:rPr>
        <w:t>[2011]100</w:t>
      </w:r>
      <w:r>
        <w:rPr>
          <w:spacing w:val="-5"/>
        </w:rPr>
        <w:t>号</w:t>
      </w:r>
      <w:r>
        <w:rPr>
          <w:rFonts w:ascii="宋体" w:hAnsi="宋体" w:cs="宋体" w:eastAsia="宋体" w:hint="default"/>
          <w:spacing w:val="-5"/>
        </w:rPr>
        <w:t>)</w:t>
      </w:r>
      <w:r>
        <w:rPr>
          <w:spacing w:val="-5"/>
        </w:rPr>
        <w:t>，本公司销售自行开发生产的软件产品，按</w:t>
      </w:r>
      <w:r>
        <w:rPr>
          <w:rFonts w:ascii="宋体" w:hAnsi="宋体" w:cs="宋体" w:eastAsia="宋体" w:hint="default"/>
          <w:spacing w:val="-5"/>
        </w:rPr>
        <w:t>17%</w:t>
      </w:r>
      <w:r>
        <w:rPr>
          <w:rFonts w:ascii="宋体" w:hAnsi="宋体" w:cs="宋体" w:eastAsia="宋体" w:hint="default"/>
          <w:spacing w:val="-82"/>
        </w:rPr>
        <w:t> </w:t>
      </w:r>
      <w:r>
        <w:rPr/>
        <w:t>的法定税率缴纳增值税后，享受增值税实际税负超过</w:t>
      </w:r>
      <w:r>
        <w:rPr>
          <w:rFonts w:ascii="宋体" w:hAnsi="宋体" w:cs="宋体" w:eastAsia="宋体" w:hint="default"/>
        </w:rPr>
        <w:t>3%</w:t>
      </w:r>
      <w:r>
        <w:rPr/>
        <w:t>的部分即征即退的税收优惠。</w:t>
      </w:r>
    </w:p>
    <w:p>
      <w:pPr>
        <w:pStyle w:val="BodyText"/>
        <w:spacing w:line="357" w:lineRule="auto"/>
        <w:ind w:right="229" w:firstLine="480"/>
        <w:jc w:val="both"/>
      </w:pPr>
      <w:r>
        <w:rPr>
          <w:spacing w:val="-8"/>
        </w:rPr>
        <w:t>本公司根据国科发〔</w:t>
      </w:r>
      <w:r>
        <w:rPr>
          <w:rFonts w:ascii="宋体" w:hAnsi="宋体" w:cs="宋体" w:eastAsia="宋体" w:hint="default"/>
          <w:spacing w:val="-8"/>
        </w:rPr>
        <w:t>2008</w:t>
      </w:r>
      <w:r>
        <w:rPr>
          <w:spacing w:val="-8"/>
        </w:rPr>
        <w:t>〕</w:t>
      </w:r>
      <w:r>
        <w:rPr>
          <w:rFonts w:ascii="宋体" w:hAnsi="宋体" w:cs="宋体" w:eastAsia="宋体" w:hint="default"/>
          <w:spacing w:val="-8"/>
        </w:rPr>
        <w:t>172</w:t>
      </w:r>
      <w:r>
        <w:rPr>
          <w:spacing w:val="-8"/>
        </w:rPr>
        <w:t>号北京市新技术产业开发试验区暂行条例的有关规定，</w:t>
      </w:r>
      <w:r>
        <w:rPr>
          <w:rFonts w:ascii="宋体" w:hAnsi="宋体" w:cs="宋体" w:eastAsia="宋体" w:hint="default"/>
          <w:spacing w:val="-8"/>
        </w:rPr>
        <w:t>2014</w:t>
      </w:r>
      <w:r>
        <w:rPr>
          <w:rFonts w:ascii="宋体" w:hAnsi="宋体" w:cs="宋体" w:eastAsia="宋体" w:hint="default"/>
        </w:rPr>
        <w:t> </w:t>
      </w:r>
      <w:r>
        <w:rPr/>
        <w:t>年</w:t>
      </w:r>
      <w:r>
        <w:rPr>
          <w:rFonts w:ascii="宋体" w:hAnsi="宋体" w:cs="宋体" w:eastAsia="宋体" w:hint="default"/>
        </w:rPr>
        <w:t>10</w:t>
      </w:r>
      <w:r>
        <w:rPr/>
        <w:t>月</w:t>
      </w:r>
      <w:r>
        <w:rPr>
          <w:rFonts w:ascii="宋体" w:hAnsi="宋体" w:cs="宋体" w:eastAsia="宋体" w:hint="default"/>
        </w:rPr>
        <w:t>30</w:t>
      </w:r>
      <w:r>
        <w:rPr/>
        <w:t>日，北京市科学技术委员会向本公司颁发了编号为</w:t>
      </w:r>
      <w:r>
        <w:rPr>
          <w:rFonts w:ascii="宋体" w:hAnsi="宋体" w:cs="宋体" w:eastAsia="宋体" w:hint="default"/>
        </w:rPr>
        <w:t>GR201411002809</w:t>
      </w:r>
      <w:r>
        <w:rPr/>
        <w:t>的《高新技术企</w:t>
      </w:r>
      <w:r>
        <w:rPr>
          <w:spacing w:val="-89"/>
        </w:rPr>
        <w:t> </w:t>
      </w:r>
      <w:r>
        <w:rPr>
          <w:spacing w:val="-89"/>
        </w:rPr>
      </w:r>
      <w:r>
        <w:rPr/>
        <w:t>业证书》，有效期</w:t>
      </w:r>
      <w:r>
        <w:rPr>
          <w:rFonts w:ascii="宋体" w:hAnsi="宋体" w:cs="宋体" w:eastAsia="宋体" w:hint="default"/>
        </w:rPr>
        <w:t>3</w:t>
      </w:r>
      <w:r>
        <w:rPr/>
        <w:t>年。根据国家税务局下发的国税函</w:t>
      </w:r>
      <w:r>
        <w:rPr>
          <w:rFonts w:ascii="宋体" w:hAnsi="宋体" w:cs="宋体" w:eastAsia="宋体" w:hint="default"/>
        </w:rPr>
        <w:t>[2009]203</w:t>
      </w:r>
      <w:r>
        <w:rPr/>
        <w:t>号，本公司</w:t>
      </w:r>
      <w:r>
        <w:rPr>
          <w:rFonts w:ascii="宋体" w:hAnsi="宋体" w:cs="宋体" w:eastAsia="宋体" w:hint="default"/>
        </w:rPr>
        <w:t>2015</w:t>
      </w:r>
      <w:r>
        <w:rPr/>
        <w:t>年适用所得</w:t>
      </w:r>
      <w:r>
        <w:rPr>
          <w:spacing w:val="-83"/>
        </w:rPr>
        <w:t> </w:t>
      </w:r>
      <w:r>
        <w:rPr>
          <w:spacing w:val="-83"/>
        </w:rPr>
      </w:r>
      <w:r>
        <w:rPr/>
        <w:t>税税率为</w:t>
      </w:r>
      <w:r>
        <w:rPr>
          <w:rFonts w:ascii="宋体" w:hAnsi="宋体" w:cs="宋体" w:eastAsia="宋体" w:hint="default"/>
        </w:rPr>
        <w:t>15%</w:t>
      </w:r>
      <w:r>
        <w:rPr/>
        <w:t>。</w:t>
      </w:r>
    </w:p>
    <w:p>
      <w:pPr>
        <w:pStyle w:val="BodyText"/>
        <w:spacing w:line="240" w:lineRule="auto"/>
        <w:ind w:left="0" w:right="149"/>
        <w:jc w:val="right"/>
      </w:pPr>
      <w:r>
        <w:rPr/>
        <w:t>本公司的子公司北京汉王智通科技有限公司于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31</w:t>
      </w:r>
      <w:r>
        <w:rPr/>
        <w:t>日取得《软件企业认定证书》</w:t>
      </w:r>
    </w:p>
    <w:p>
      <w:pPr>
        <w:pStyle w:val="BodyText"/>
        <w:spacing w:line="240" w:lineRule="auto" w:before="154"/>
        <w:ind w:right="96"/>
        <w:jc w:val="left"/>
      </w:pPr>
      <w:r>
        <w:rPr>
          <w:spacing w:val="-5"/>
        </w:rPr>
        <w:t>（证书编号：京</w:t>
      </w:r>
      <w:r>
        <w:rPr>
          <w:rFonts w:ascii="宋体" w:hAnsi="宋体" w:cs="宋体" w:eastAsia="宋体" w:hint="default"/>
          <w:spacing w:val="-5"/>
        </w:rPr>
        <w:t>R-2013-0330</w:t>
      </w:r>
      <w:r>
        <w:rPr>
          <w:spacing w:val="-5"/>
        </w:rPr>
        <w:t>），根据《进一步鼓励软件产业和集成电路产业发展的若干政策》</w:t>
      </w:r>
    </w:p>
    <w:p>
      <w:pPr>
        <w:pStyle w:val="BodyText"/>
        <w:spacing w:line="357" w:lineRule="auto" w:before="154"/>
        <w:ind w:right="96"/>
        <w:jc w:val="left"/>
      </w:pPr>
      <w:r>
        <w:rPr/>
        <w:t>（国发</w:t>
      </w:r>
      <w:r>
        <w:rPr>
          <w:rFonts w:ascii="宋体" w:hAnsi="宋体" w:cs="宋体" w:eastAsia="宋体" w:hint="default"/>
        </w:rPr>
        <w:t>[2012]27</w:t>
      </w:r>
      <w:r>
        <w:rPr/>
        <w:t>号）的规定，软件企业自获利年度起可享受企业所得税“两免三减半”的优</w:t>
      </w:r>
      <w:r>
        <w:rPr>
          <w:spacing w:val="-89"/>
        </w:rPr>
        <w:t> </w:t>
      </w:r>
      <w:r>
        <w:rPr>
          <w:spacing w:val="-89"/>
        </w:rPr>
      </w:r>
      <w:r>
        <w:rPr/>
        <w:t>惠政策。根据政策规定</w:t>
      </w:r>
      <w:r>
        <w:rPr>
          <w:rFonts w:ascii="宋体" w:hAnsi="宋体" w:cs="宋体" w:eastAsia="宋体" w:hint="default"/>
        </w:rPr>
        <w:t>2015</w:t>
      </w:r>
      <w:r>
        <w:rPr/>
        <w:t>年减半征收企业所得税。</w:t>
      </w:r>
    </w:p>
    <w:p>
      <w:pPr>
        <w:spacing w:line="240" w:lineRule="auto" w:before="11"/>
        <w:rPr>
          <w:rFonts w:ascii="宋体" w:hAnsi="宋体" w:cs="宋体" w:eastAsia="宋体" w:hint="default"/>
          <w:sz w:val="19"/>
          <w:szCs w:val="19"/>
        </w:rPr>
      </w:pPr>
    </w:p>
    <w:p>
      <w:pPr>
        <w:pStyle w:val="Heading2"/>
        <w:spacing w:line="240" w:lineRule="auto"/>
        <w:ind w:right="96"/>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spacing w:before="0"/>
        <w:ind w:left="152"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199,751.27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112,305.99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575,137,337.68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542,664,221.89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8,457,419.82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4,748,011.25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583,794,508.77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547,524,539.13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54"/>
        <w:ind w:left="633" w:right="153" w:firstLine="0"/>
        <w:jc w:val="left"/>
        <w:rPr>
          <w:rFonts w:ascii="宋体" w:hAnsi="宋体" w:cs="宋体" w:eastAsia="宋体" w:hint="default"/>
          <w:sz w:val="25"/>
          <w:szCs w:val="25"/>
        </w:rPr>
      </w:pPr>
      <w:r>
        <w:rPr>
          <w:rFonts w:ascii="宋体" w:hAnsi="宋体" w:cs="宋体" w:eastAsia="宋体" w:hint="default"/>
          <w:i/>
          <w:sz w:val="25"/>
          <w:szCs w:val="25"/>
        </w:rPr>
        <w:t>截至</w:t>
      </w:r>
      <w:r>
        <w:rPr>
          <w:rFonts w:ascii="Times New Roman" w:hAnsi="Times New Roman" w:cs="Times New Roman" w:eastAsia="Times New Roman" w:hint="default"/>
          <w:i/>
          <w:sz w:val="24"/>
          <w:szCs w:val="24"/>
        </w:rPr>
        <w:t>2015</w:t>
      </w:r>
      <w:r>
        <w:rPr>
          <w:rFonts w:ascii="宋体" w:hAnsi="宋体" w:cs="宋体" w:eastAsia="宋体" w:hint="default"/>
          <w:i/>
          <w:sz w:val="25"/>
          <w:szCs w:val="25"/>
        </w:rPr>
        <w:t>年</w:t>
      </w:r>
      <w:r>
        <w:rPr>
          <w:rFonts w:ascii="Times New Roman" w:hAnsi="Times New Roman" w:cs="Times New Roman" w:eastAsia="Times New Roman" w:hint="default"/>
          <w:i/>
          <w:sz w:val="24"/>
          <w:szCs w:val="24"/>
        </w:rPr>
        <w:t>12</w:t>
      </w:r>
      <w:r>
        <w:rPr>
          <w:rFonts w:ascii="宋体" w:hAnsi="宋体" w:cs="宋体" w:eastAsia="宋体" w:hint="default"/>
          <w:i/>
          <w:sz w:val="25"/>
          <w:szCs w:val="25"/>
        </w:rPr>
        <w:t>月</w:t>
      </w:r>
      <w:r>
        <w:rPr>
          <w:rFonts w:ascii="Times New Roman" w:hAnsi="Times New Roman" w:cs="Times New Roman" w:eastAsia="Times New Roman" w:hint="default"/>
          <w:i/>
          <w:sz w:val="24"/>
          <w:szCs w:val="24"/>
        </w:rPr>
        <w:t>31</w:t>
      </w:r>
      <w:r>
        <w:rPr>
          <w:rFonts w:ascii="宋体" w:hAnsi="宋体" w:cs="宋体" w:eastAsia="宋体" w:hint="default"/>
          <w:i/>
          <w:sz w:val="25"/>
          <w:szCs w:val="25"/>
        </w:rPr>
        <w:t>日公司开立保函及银行承兑汇票保证金</w:t>
      </w:r>
      <w:r>
        <w:rPr>
          <w:rFonts w:ascii="Times New Roman" w:hAnsi="Times New Roman" w:cs="Times New Roman" w:eastAsia="Times New Roman" w:hint="default"/>
          <w:i/>
          <w:sz w:val="24"/>
          <w:szCs w:val="24"/>
        </w:rPr>
        <w:t>8,457,419.82</w:t>
      </w:r>
      <w:r>
        <w:rPr>
          <w:rFonts w:ascii="宋体" w:hAnsi="宋体" w:cs="宋体" w:eastAsia="宋体" w:hint="default"/>
          <w:i/>
          <w:sz w:val="25"/>
          <w:szCs w:val="25"/>
        </w:rPr>
        <w:t>元尚未到期。</w:t>
      </w:r>
      <w:r>
        <w:rPr>
          <w:rFonts w:ascii="宋体" w:hAnsi="宋体" w:cs="宋体" w:eastAsia="宋体" w:hint="default"/>
          <w:sz w:val="25"/>
          <w:szCs w:val="25"/>
        </w:rPr>
      </w:r>
    </w:p>
    <w:p>
      <w:pPr>
        <w:spacing w:line="240" w:lineRule="auto" w:before="0"/>
        <w:rPr>
          <w:rFonts w:ascii="宋体" w:hAnsi="宋体" w:cs="宋体" w:eastAsia="宋体" w:hint="default"/>
          <w:i/>
          <w:sz w:val="26"/>
          <w:szCs w:val="26"/>
        </w:rPr>
      </w:pPr>
    </w:p>
    <w:p>
      <w:pPr>
        <w:spacing w:line="240" w:lineRule="auto" w:before="5"/>
        <w:rPr>
          <w:rFonts w:ascii="宋体" w:hAnsi="宋体" w:cs="宋体" w:eastAsia="宋体" w:hint="default"/>
          <w:i/>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2,280,000.00</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544,001,</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108.16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55,593,3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28.47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488,407,7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79.69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400,610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,739.82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36,159,57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9.43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364,451,16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0.39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544,001,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108.16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55,593,3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28.47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10.22%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488,407,7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79.69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400,610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,739.82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36,159,57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9.43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9.03%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364,451,16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0.39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341,398,754.93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17,069,937.76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341,398,754.93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17,069,937.76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144,669,383.24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14,466,938.32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38,966,940.96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11,690,082.29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10,223,770.27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5,111,885.14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7,438,869.00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5,951,095.20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1,303,389.76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1,303,389.76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544,001,108.16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55,593,328.47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146"/>
        <w:ind w:left="633" w:right="153"/>
        <w:jc w:val="left"/>
      </w:pPr>
      <w:r>
        <w:rPr/>
        <w:t>本组合为与本公司无关联关系的国内客户的应收款项。</w:t>
      </w:r>
    </w:p>
    <w:p>
      <w:pPr>
        <w:pStyle w:val="BodyText"/>
        <w:spacing w:line="357" w:lineRule="auto" w:before="154"/>
        <w:ind w:left="633" w:right="773"/>
        <w:jc w:val="left"/>
      </w:pPr>
      <w:r>
        <w:rPr/>
        <w:t>（</w:t>
      </w:r>
      <w:r>
        <w:rPr>
          <w:rFonts w:ascii="宋体" w:hAnsi="宋体" w:cs="宋体" w:eastAsia="宋体" w:hint="default"/>
        </w:rPr>
        <w:t>2</w:t>
      </w:r>
      <w:r>
        <w:rPr/>
        <w:t>）本年计提、收回或转回的坏账准备情况 本年计提坏账准备金额</w:t>
      </w:r>
      <w:r>
        <w:rPr>
          <w:rFonts w:ascii="宋体" w:hAnsi="宋体" w:cs="宋体" w:eastAsia="宋体" w:hint="default"/>
        </w:rPr>
        <w:t>19,433,749.04</w:t>
      </w:r>
      <w:r>
        <w:rPr/>
        <w:t>元；本年收回或转回坏账准备金额</w:t>
      </w:r>
      <w:r>
        <w:rPr>
          <w:rFonts w:ascii="宋体" w:hAnsi="宋体" w:cs="宋体" w:eastAsia="宋体" w:hint="default"/>
        </w:rPr>
        <w:t>0.00</w:t>
      </w:r>
      <w:r>
        <w:rPr/>
        <w:t>元。</w:t>
      </w:r>
    </w:p>
    <w:p>
      <w:pPr>
        <w:pStyle w:val="BodyText"/>
        <w:spacing w:line="357" w:lineRule="auto"/>
        <w:ind w:left="633" w:right="143"/>
        <w:jc w:val="left"/>
      </w:pPr>
      <w:r>
        <w:rPr/>
        <w:t>（</w:t>
      </w:r>
      <w:r>
        <w:rPr>
          <w:rFonts w:ascii="宋体" w:hAnsi="宋体" w:cs="宋体" w:eastAsia="宋体" w:hint="default"/>
        </w:rPr>
        <w:t>3</w:t>
      </w:r>
      <w:r>
        <w:rPr/>
        <w:t>）按欠款方归集的年末余额前五名的应收账款情况 </w:t>
      </w:r>
      <w:r>
        <w:rPr>
          <w:spacing w:val="-2"/>
        </w:rPr>
        <w:t>本公司本年按欠款方归集的年末余额前五名应收账款汇总金额为</w:t>
      </w:r>
      <w:r>
        <w:rPr>
          <w:rFonts w:ascii="宋体" w:hAnsi="宋体" w:cs="宋体" w:eastAsia="宋体" w:hint="default"/>
          <w:spacing w:val="-2"/>
        </w:rPr>
        <w:t>84,096,707.82</w:t>
      </w:r>
      <w:r>
        <w:rPr>
          <w:spacing w:val="-2"/>
        </w:rPr>
        <w:t>元，占应</w:t>
      </w:r>
    </w:p>
    <w:p>
      <w:pPr>
        <w:pStyle w:val="BodyText"/>
        <w:spacing w:line="357" w:lineRule="auto"/>
        <w:ind w:right="153"/>
        <w:jc w:val="left"/>
      </w:pPr>
      <w:r>
        <w:rPr/>
        <w:t>收</w:t>
      </w:r>
      <w:r>
        <w:rPr>
          <w:spacing w:val="-90"/>
        </w:rPr>
        <w:t> </w:t>
      </w:r>
      <w:r>
        <w:rPr/>
        <w:t>账</w:t>
      </w:r>
      <w:r>
        <w:rPr>
          <w:spacing w:val="-90"/>
        </w:rPr>
        <w:t> </w:t>
      </w:r>
      <w:r>
        <w:rPr>
          <w:spacing w:val="14"/>
        </w:rPr>
        <w:t>款年</w:t>
      </w:r>
      <w:r>
        <w:rPr>
          <w:spacing w:val="-90"/>
        </w:rPr>
        <w:t> </w:t>
      </w:r>
      <w:r>
        <w:rPr/>
        <w:t>末</w:t>
      </w:r>
      <w:r>
        <w:rPr>
          <w:spacing w:val="-90"/>
        </w:rPr>
        <w:t> </w:t>
      </w:r>
      <w:r>
        <w:rPr>
          <w:spacing w:val="14"/>
        </w:rPr>
        <w:t>余额</w:t>
      </w:r>
      <w:r>
        <w:rPr>
          <w:spacing w:val="-90"/>
        </w:rPr>
        <w:t> </w:t>
      </w:r>
      <w:r>
        <w:rPr>
          <w:spacing w:val="18"/>
        </w:rPr>
        <w:t>合计数</w:t>
      </w:r>
      <w:r>
        <w:rPr>
          <w:spacing w:val="-90"/>
        </w:rPr>
        <w:t> </w:t>
      </w:r>
      <w:r>
        <w:rPr/>
        <w:t>的</w:t>
      </w:r>
      <w:r>
        <w:rPr>
          <w:spacing w:val="-90"/>
        </w:rPr>
        <w:t> </w:t>
      </w:r>
      <w:r>
        <w:rPr>
          <w:spacing w:val="14"/>
        </w:rPr>
        <w:t>比例</w:t>
      </w:r>
      <w:r>
        <w:rPr>
          <w:spacing w:val="-90"/>
        </w:rPr>
        <w:t> </w:t>
      </w:r>
      <w:r>
        <w:rPr/>
        <w:t>为</w:t>
      </w:r>
      <w:r>
        <w:rPr>
          <w:spacing w:val="-85"/>
        </w:rPr>
        <w:t> </w:t>
      </w:r>
      <w:r>
        <w:rPr>
          <w:rFonts w:ascii="宋体" w:hAnsi="宋体" w:cs="宋体" w:eastAsia="宋体" w:hint="default"/>
        </w:rPr>
        <w:t>15.46%</w:t>
      </w:r>
      <w:r>
        <w:rPr>
          <w:rFonts w:ascii="宋体" w:hAnsi="宋体" w:cs="宋体" w:eastAsia="宋体" w:hint="default"/>
          <w:spacing w:val="-92"/>
        </w:rPr>
        <w:t> </w:t>
      </w:r>
      <w:r>
        <w:rPr/>
        <w:t>，</w:t>
      </w:r>
      <w:r>
        <w:rPr>
          <w:spacing w:val="-92"/>
        </w:rPr>
        <w:t> </w:t>
      </w:r>
      <w:r>
        <w:rPr/>
        <w:t>相</w:t>
      </w:r>
      <w:r>
        <w:rPr>
          <w:spacing w:val="-90"/>
        </w:rPr>
        <w:t> </w:t>
      </w:r>
      <w:r>
        <w:rPr/>
        <w:t>应</w:t>
      </w:r>
      <w:r>
        <w:rPr>
          <w:spacing w:val="-90"/>
        </w:rPr>
        <w:t> </w:t>
      </w:r>
      <w:r>
        <w:rPr>
          <w:spacing w:val="14"/>
        </w:rPr>
        <w:t>计提</w:t>
      </w:r>
      <w:r>
        <w:rPr>
          <w:spacing w:val="-90"/>
        </w:rPr>
        <w:t> </w:t>
      </w:r>
      <w:r>
        <w:rPr/>
        <w:t>的</w:t>
      </w:r>
      <w:r>
        <w:rPr>
          <w:spacing w:val="-90"/>
        </w:rPr>
        <w:t> </w:t>
      </w:r>
      <w:r>
        <w:rPr>
          <w:spacing w:val="14"/>
        </w:rPr>
        <w:t>坏账</w:t>
      </w:r>
      <w:r>
        <w:rPr>
          <w:spacing w:val="-90"/>
        </w:rPr>
        <w:t> </w:t>
      </w:r>
      <w:r>
        <w:rPr>
          <w:spacing w:val="18"/>
        </w:rPr>
        <w:t>准备年</w:t>
      </w:r>
      <w:r>
        <w:rPr>
          <w:spacing w:val="-90"/>
        </w:rPr>
        <w:t> </w:t>
      </w:r>
      <w:r>
        <w:rPr/>
        <w:t>末</w:t>
      </w:r>
      <w:r>
        <w:rPr>
          <w:spacing w:val="-90"/>
        </w:rPr>
        <w:t> </w:t>
      </w:r>
      <w:r>
        <w:rPr>
          <w:spacing w:val="14"/>
        </w:rPr>
        <w:t>余额</w:t>
      </w:r>
      <w:r>
        <w:rPr>
          <w:spacing w:val="-90"/>
        </w:rPr>
        <w:t> </w:t>
      </w:r>
      <w:r>
        <w:rPr/>
        <w:t>汇</w:t>
      </w:r>
      <w:r>
        <w:rPr>
          <w:spacing w:val="-90"/>
        </w:rPr>
        <w:t> </w:t>
      </w:r>
      <w:r>
        <w:rPr>
          <w:spacing w:val="14"/>
        </w:rPr>
        <w:t>总金</w:t>
      </w:r>
      <w:r>
        <w:rPr>
          <w:spacing w:val="-90"/>
        </w:rPr>
        <w:t> </w:t>
      </w:r>
      <w:r>
        <w:rPr/>
        <w:t>额</w:t>
      </w:r>
      <w:r>
        <w:rPr>
          <w:spacing w:val="-90"/>
        </w:rPr>
        <w:t> </w:t>
      </w:r>
      <w:r>
        <w:rPr/>
        <w:t>为</w:t>
      </w:r>
      <w:r>
        <w:rPr/>
        <w:t> </w:t>
      </w:r>
      <w:r>
        <w:rPr>
          <w:rFonts w:ascii="宋体" w:hAnsi="宋体" w:cs="宋体" w:eastAsia="宋体" w:hint="default"/>
        </w:rPr>
        <w:t>5,742,237.65</w:t>
      </w:r>
      <w:r>
        <w:rPr/>
        <w:t>元。</w:t>
      </w:r>
    </w:p>
    <w:p>
      <w:pPr>
        <w:spacing w:line="240" w:lineRule="auto" w:before="5"/>
        <w:rPr>
          <w:rFonts w:ascii="宋体" w:hAnsi="宋体" w:cs="宋体" w:eastAsia="宋体" w:hint="default"/>
          <w:sz w:val="27"/>
          <w:szCs w:val="27"/>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1,533,899.37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8,192,868.25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1,578,899.37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8,237,868.25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before="0"/>
        <w:ind w:left="633" w:right="153"/>
        <w:jc w:val="left"/>
      </w:pPr>
      <w:r>
        <w:rPr>
          <w:spacing w:val="2"/>
        </w:rPr>
        <w:t>本公司按预付对象归集的年末余额前五名预付账款汇总金额为</w:t>
      </w:r>
      <w:r>
        <w:rPr>
          <w:rFonts w:ascii="Times New Roman" w:hAnsi="Times New Roman" w:cs="Times New Roman" w:eastAsia="Times New Roman" w:hint="default"/>
          <w:spacing w:val="2"/>
        </w:rPr>
        <w:t>1,578,899.37</w:t>
      </w:r>
      <w:r>
        <w:rPr>
          <w:spacing w:val="2"/>
        </w:rPr>
        <w:t>元，占预</w:t>
      </w:r>
      <w:r>
        <w:rPr/>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3"/>
          <w:szCs w:val="23"/>
        </w:rPr>
      </w:pPr>
    </w:p>
    <w:p>
      <w:pPr>
        <w:pStyle w:val="BodyText"/>
        <w:spacing w:line="240" w:lineRule="auto" w:before="26"/>
        <w:ind w:right="153"/>
        <w:jc w:val="left"/>
      </w:pPr>
      <w:r>
        <w:rPr/>
        <w:t>付账款年末余额合计数的比例为</w:t>
      </w:r>
      <w:r>
        <w:rPr>
          <w:rFonts w:ascii="Times New Roman" w:hAnsi="Times New Roman" w:cs="Times New Roman" w:eastAsia="Times New Roman" w:hint="default"/>
        </w:rPr>
        <w:t>100.00%</w:t>
      </w:r>
      <w:r>
        <w:rPr/>
        <w:t>。</w:t>
      </w:r>
    </w:p>
    <w:p>
      <w:pPr>
        <w:spacing w:line="240" w:lineRule="auto" w:before="2"/>
        <w:rPr>
          <w:rFonts w:ascii="宋体" w:hAnsi="宋体" w:cs="宋体" w:eastAsia="宋体" w:hint="default"/>
          <w:sz w:val="29"/>
          <w:szCs w:val="29"/>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3"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68,619,2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09.17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187,248.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68,431,96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58,573,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954.30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93,624.16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58,480,330.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68,619,2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09.17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0.27%</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68,431,96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0.85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58,573,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954.30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93,624.16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58,480,330.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1,872,483.29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187,248.32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1,872,483.29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187,248.32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6"/>
        <w:ind w:right="153"/>
        <w:jc w:val="left"/>
      </w:pPr>
      <w:r>
        <w:rPr/>
        <w:t>本组合为与本公司无关联关系的应收款项</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087"/>
        <w:gridCol w:w="1985"/>
        <w:gridCol w:w="1985"/>
        <w:gridCol w:w="2158"/>
      </w:tblGrid>
      <w:tr>
        <w:trPr>
          <w:trHeight w:val="353" w:hRule="exact"/>
        </w:trPr>
        <w:tc>
          <w:tcPr>
            <w:tcW w:w="3087" w:type="dxa"/>
            <w:vMerge w:val="restart"/>
            <w:tcBorders>
              <w:top w:val="single" w:sz="6" w:space="0" w:color="000000"/>
              <w:left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28" w:type="dxa"/>
            <w:gridSpan w:val="3"/>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3" w:hRule="exact"/>
        </w:trPr>
        <w:tc>
          <w:tcPr>
            <w:tcW w:w="3087" w:type="dxa"/>
            <w:vMerge/>
            <w:tcBorders>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6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58" w:type="dxa"/>
            <w:tcBorders>
              <w:top w:val="single" w:sz="12" w:space="0" w:color="000000"/>
              <w:left w:val="single" w:sz="6" w:space="0" w:color="000000"/>
              <w:bottom w:val="single" w:sz="12" w:space="0" w:color="000000"/>
              <w:right w:val="nil" w:sz="6" w:space="0" w:color="auto"/>
            </w:tcBorders>
          </w:tcPr>
          <w:p>
            <w:pPr>
              <w:pStyle w:val="TableParagraph"/>
              <w:spacing w:line="281" w:lineRule="exact"/>
              <w:ind w:left="35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308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备用金、押金及保证金组合</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66,746,725.88</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215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08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66,746,725.88</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2158" w:type="dxa"/>
            <w:tcBorders>
              <w:top w:val="single" w:sz="12" w:space="0" w:color="000000"/>
              <w:left w:val="single" w:sz="6" w:space="0" w:color="000000"/>
              <w:bottom w:val="single" w:sz="12" w:space="0" w:color="000000"/>
              <w:right w:val="nil" w:sz="6" w:space="0" w:color="auto"/>
            </w:tcBorders>
          </w:tcPr>
          <w:p>
            <w:pPr/>
          </w:p>
        </w:tc>
      </w:tr>
    </w:tbl>
    <w:p>
      <w:pPr>
        <w:pStyle w:val="BodyText"/>
        <w:spacing w:line="274" w:lineRule="exact" w:before="0"/>
        <w:ind w:right="153"/>
        <w:jc w:val="left"/>
      </w:pPr>
      <w:r>
        <w:rPr/>
        <w:t>本组合为款项性质为备用金、押金及保证金等的应收款项。</w:t>
      </w:r>
    </w:p>
    <w:p>
      <w:pPr>
        <w:spacing w:line="240" w:lineRule="auto" w:before="12"/>
        <w:rPr>
          <w:rFonts w:ascii="宋体" w:hAnsi="宋体" w:cs="宋体" w:eastAsia="宋体" w:hint="default"/>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40" w:lineRule="auto" w:before="44"/>
        <w:ind w:left="15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93,624.16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234" w:space="259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65,055,455.10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41,541,089.92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859,491.78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12,826,569.59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2,333,811.50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1,872,483.29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1,872,483.29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68,619,209.17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58,573,954.30</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鄂尔多斯市东胜区 信息化委员会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3,800,432.00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吉林市公安局交通 管理支队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1,872,483.29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187,248.32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859,491.78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武汉市公安局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796,166.00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10,328,573.07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187,248.32</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859,491.78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年收回</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859,491.78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36,292,862.15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36,292,862.15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38,483,486.56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38,483,486.56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10,880,538.40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10,880,538.40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8,261,800.61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8,261,800.61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47,173,400.55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47,173,400.55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46,745,287.17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46,745,287.17</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37,533,130.26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37,533,130.26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12,297,128.99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8,426,481.29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12,297,128.99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68,426,481.29</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9"/>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重庆小爱 科技有限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pacing w:val="-3"/>
                <w:sz w:val="18"/>
              </w:rPr>
              <w:t>11.11%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6"/>
        <w:gridCol w:w="1167"/>
        <w:gridCol w:w="1166"/>
        <w:gridCol w:w="1169"/>
        <w:gridCol w:w="1166"/>
        <w:gridCol w:w="1167"/>
        <w:gridCol w:w="1164"/>
      </w:tblGrid>
      <w:tr>
        <w:trPr>
          <w:trHeight w:val="204"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2"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66,768,372.82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66,768,372.82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72,400,585.59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72,400,585.59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4.75%-6.00%</w:t>
            </w: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66,768,372.82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66,768,372.82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72,400,585.59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72,400,585.59</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保定金迪 地下管线 探测工程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279,745,2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279,745,2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保定市金 迪科技开 发有限公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26,254,80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26,254,80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湖南好泊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306,600,0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306,600,0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306,600,0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306,600,0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59,403,715.69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59,403,715.69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59,403,715.69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59,403,715.69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59,403,715.69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59,403,715.69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6,410,620.70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6,410,620.70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1,455,018.34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1,455,018.34</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）固定资产转</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4,955,602.36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4,955,602.36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6,410,620.70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6,410,620.70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52,993,094.99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52,993,094.99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78,313,302.61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10,819,856.76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10,796,158.80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4,916,590.33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104,845,908.50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1,236,595.09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2,227,598.04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1,619,532.80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525,416.90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5,609,142.83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1,236,595.09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2,227,598.04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1,619,532.80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525,416.90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5,609,142.83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59,403,715.69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1,134,316.00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6,899.00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60,544,930.69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1,134,316.00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6,899.00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1,141,215.00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7" w:firstLine="634"/>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）转入投</w:t>
            </w:r>
            <w:r>
              <w:rPr>
                <w:rFonts w:ascii="宋体" w:hAnsi="宋体" w:cs="宋体" w:eastAsia="宋体" w:hint="default"/>
                <w:sz w:val="18"/>
                <w:szCs w:val="18"/>
              </w:rPr>
              <w:t> 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59,403,715.69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59,403,715.69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20,146,182.01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11,913,138.80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12,408,792.60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5,442,007.23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49,910,120.64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6,762,037.38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3,777,455.63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6,907,547.01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3,689,474.89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21,136,514.91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547,173.91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1,968,382.88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1,864,076.15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510,591.41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4,890,224.35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547,173.91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1,968,382.88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1,864,076.15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510,591.41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4,890,224.35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4,955,602.36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128,631.44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1,457.04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5,085,690.84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128,631.44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1,457.04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130,088.48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24"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 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4,955,602.36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4,955,602.36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2,353,608.93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5,617,207.07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8,770,166.12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4,200,066.30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20,941,048.42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17,792,573.08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6,295,931.73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3,638,626.48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1,241,940.93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28,969,072.22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71,551,265.23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7,042,401.13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3,888,611.79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1,227,115.44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83,709,393.59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12,823,814.82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132,149,273.35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486,276.55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145,459,364.72</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31,951,634.83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31,951,634.83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31,951,634.83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31,951,634.83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12,823,814.82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164,100,908.18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486,276.55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177,410,999.55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4,149,437.95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56,243,363.79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203,460.70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60,596,262.44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1,949,708.55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25,682,491.77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52,330.50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27,684,530.82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1,949,708.55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25,682,491.77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52,330.50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27,684,530.82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6,099,146.50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81,925,855.56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255,791.20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88,280,793.26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6,724,668.32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82,175,052.62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230,485.35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89,130,206.29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8,674,376.87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75,905,909.56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282,815.85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84,863,102.28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42.23%</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49"/>
              <w:ind w:left="22" w:right="33"/>
              <w:jc w:val="left"/>
              <w:rPr>
                <w:rFonts w:ascii="宋体" w:hAnsi="宋体" w:cs="宋体" w:eastAsia="宋体" w:hint="default"/>
                <w:sz w:val="18"/>
                <w:szCs w:val="18"/>
              </w:rPr>
            </w:pPr>
            <w:r>
              <w:rPr>
                <w:rFonts w:ascii="宋体" w:hAnsi="宋体" w:cs="宋体" w:eastAsia="宋体" w:hint="default"/>
                <w:sz w:val="18"/>
                <w:szCs w:val="18"/>
              </w:rPr>
              <w:t>智信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3,928,958.00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3,928,958.00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信息采集全 国监管系统 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3,811,528.36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3,811,528.36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33"/>
              <w:jc w:val="left"/>
              <w:rPr>
                <w:rFonts w:ascii="宋体" w:hAnsi="宋体" w:cs="宋体" w:eastAsia="宋体" w:hint="default"/>
                <w:sz w:val="18"/>
                <w:szCs w:val="18"/>
              </w:rPr>
            </w:pPr>
            <w:r>
              <w:rPr>
                <w:rFonts w:ascii="宋体" w:hAnsi="宋体" w:cs="宋体" w:eastAsia="宋体" w:hint="default"/>
                <w:sz w:val="18"/>
                <w:szCs w:val="18"/>
              </w:rPr>
              <w:t>数字执法系 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3,772,216.61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3,772,216.61</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49"/>
              <w:ind w:left="22" w:right="33"/>
              <w:jc w:val="left"/>
              <w:rPr>
                <w:rFonts w:ascii="宋体" w:hAnsi="宋体" w:cs="宋体" w:eastAsia="宋体" w:hint="default"/>
                <w:sz w:val="18"/>
                <w:szCs w:val="18"/>
              </w:rPr>
            </w:pPr>
            <w:r>
              <w:rPr>
                <w:rFonts w:ascii="宋体" w:hAnsi="宋体" w:cs="宋体" w:eastAsia="宋体" w:hint="default"/>
                <w:sz w:val="18"/>
                <w:szCs w:val="18"/>
              </w:rPr>
              <w:t>智慧城管智 云版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3,466,618.88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3,466,618.88</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智通盒子</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ZTBOX</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1,964,188.91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1,964,188.91</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ZTHY-HD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清智通慧眼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779,980.76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1,158,854.88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1,938,835.64</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智通云隼</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pacing w:val="-3"/>
                <w:sz w:val="18"/>
              </w:rPr>
              <w:t>ZT-PCIA</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1,784,057.05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1,784,057.05</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TC200BP1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1,656,001.66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1,656,001.66</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公安指挥调 度平台项目 支出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1,423,078.61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1,423,078.61</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1"/>
              <w:ind w:left="22" w:right="77"/>
              <w:jc w:val="left"/>
              <w:rPr>
                <w:rFonts w:ascii="Times New Roman" w:hAnsi="Times New Roman" w:cs="Times New Roman" w:eastAsia="Times New Roman" w:hint="default"/>
                <w:sz w:val="18"/>
                <w:szCs w:val="18"/>
              </w:rPr>
            </w:pPr>
            <w:r>
              <w:rPr>
                <w:rFonts w:ascii="Times New Roman"/>
                <w:sz w:val="18"/>
              </w:rPr>
              <w:t>TC200BT1V</w:t>
            </w:r>
            <w:r>
              <w:rPr>
                <w:rFonts w:ascii="Times New Roman"/>
                <w:w w:val="99"/>
                <w:sz w:val="18"/>
              </w:rPr>
              <w:t> </w:t>
            </w: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990,740.82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990,740.82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32,335,271.4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34,735,775.8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31,951,634.8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32,551,955.4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2,567,457.00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34,538,330.8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57,268,941.0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31,951,634.8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32,551,955.4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27,303,681.5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北京汉王智通科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27,283,004.88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27,283,004.88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27,283,004.88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27,283,004.88</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2,764,778.57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1,030,435.86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1,966,842.71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2,764,778.57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1,030,435.86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1,966,842.71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55,780,576.79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7,837,433.89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36,253,203.59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3,947,334.23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22,379.05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5,594.76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35,134,646.65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6,377,725.58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24,453,800.00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3,685,130.00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12,524,898.13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1,954,866.25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9,321,590.00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1,214,544.60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3,567,259.48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535,088.92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5,072,024.40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507,202.44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112,939,760.10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17,597,209.40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78,910,617.99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0"/>
              <w:jc w:val="left"/>
              <w:rPr>
                <w:rFonts w:ascii="Times New Roman" w:hAnsi="Times New Roman" w:cs="Times New Roman" w:eastAsia="Times New Roman" w:hint="default"/>
                <w:sz w:val="18"/>
                <w:szCs w:val="18"/>
              </w:rPr>
            </w:pPr>
            <w:r>
              <w:rPr>
                <w:rFonts w:ascii="Times New Roman"/>
                <w:sz w:val="18"/>
              </w:rPr>
              <w:t>9,735,211.27</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39,498,182.92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9,874,545.73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45,126,895.32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11,281,723.83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39,498,182.92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9,874,545.73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45,126,895.32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11,281,723.83</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2,827,049.22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2,827,049.22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2,827,049.22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2,827,049.22</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145,105,044.90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125,139,030.75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145,105,044.90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125,139,030.75</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15,360,635.48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6,819,724.28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15,360,635.48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6,819,724.28</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60,848,059.66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27,792,325.99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应付服务费及数据款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35,585,413.03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25,688,857.90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96,433,472.69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53,481,183.89</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河南济源视频监控项目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4,663,890.00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江苏淮安数字化城管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1,811,100.00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浙江大华技术股份有限公司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宁夏石嘴山城管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1,172,630.00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9,250,840.00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预收销售款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41,202,320.06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8,093,084.72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41,202,320.06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8,093,084.72</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河北众汉商贸有限公司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334,529.94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徐州市城市管理局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192,342.98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天津市城市园林市场管理中心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183,101.11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湖北省楚天视讯网络有限公司沙洋支公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141,880.34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河北金思达电子科技有限公司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951,854.37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6,508,463.87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145,524,462.97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138,037,121.25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13,995,805.59</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1,173,265.66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20,582,391.73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17,977,460.42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3,778,196.97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7,681,729.53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166,106,854.70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156,014,581.67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17,774,002.56</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5,232,233.85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123,632,303.85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117,680,350.28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11,184,187.42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71,839.56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4,605,714.35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4,605,714.35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71,839.56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883,841.02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10,158,131.92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8,954,187.05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2,087,785.89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766,576.79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8,878,625.13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7,829,799.39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1,815,402.53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520,859.62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449,316.09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124,107.37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64,700.39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758,647.17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675,071.57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148,275.99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-56,670.98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7,065,916.09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6,736,187.54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273,057.57</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330,318.02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59,463.26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18,003.19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371,778.09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2,933.50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7,157.06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6,508,463.87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145,524,462.97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138,037,121.25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13,995,805.59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1,046,502.89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19,260,483.90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16,880,908.56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3,426,078.23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126,762.77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1,321,907.83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1,096,551.86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352,118.74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1,173,265.66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20,582,391.73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17,977,460.42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3,778,196.97</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8"/>
        <w:ind w:right="148" w:firstLine="480"/>
        <w:jc w:val="both"/>
      </w:pPr>
      <w:r>
        <w:rPr/>
        <w:t>本公司按规定参加由政府机构设立的养老保险、失业保险计划，根据该等计划，本公司 </w:t>
      </w:r>
      <w:r>
        <w:rPr>
          <w:spacing w:val="-2"/>
        </w:rPr>
        <w:t>分别按工资总额的</w:t>
      </w:r>
      <w:r>
        <w:rPr>
          <w:rFonts w:ascii="宋体" w:hAnsi="宋体" w:cs="宋体" w:eastAsia="宋体" w:hint="default"/>
          <w:spacing w:val="-2"/>
        </w:rPr>
        <w:t>20.00%</w:t>
      </w:r>
      <w:r>
        <w:rPr>
          <w:spacing w:val="-2"/>
        </w:rPr>
        <w:t>、</w:t>
      </w:r>
      <w:r>
        <w:rPr>
          <w:rFonts w:ascii="宋体" w:hAnsi="宋体" w:cs="宋体" w:eastAsia="宋体" w:hint="default"/>
          <w:spacing w:val="-2"/>
        </w:rPr>
        <w:t>1.00%</w:t>
      </w:r>
      <w:r>
        <w:rPr>
          <w:spacing w:val="-2"/>
        </w:rPr>
        <w:t>每月向该等计划缴存费用。除上述每月缴存费用外，本公司</w:t>
      </w:r>
      <w:r>
        <w:rPr>
          <w:spacing w:val="-107"/>
        </w:rPr>
        <w:t> </w:t>
      </w:r>
      <w:r>
        <w:rPr>
          <w:spacing w:val="-107"/>
        </w:rPr>
      </w:r>
      <w:r>
        <w:rPr/>
        <w:t>不再承担进一步支付义务。相应的支出于发生时计入当期损益或相关资产的成本。</w:t>
      </w:r>
    </w:p>
    <w:p>
      <w:pPr>
        <w:spacing w:line="240" w:lineRule="auto" w:before="10"/>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20,233,237.34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6,570,293.15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67,196.77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17,737.11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21,298,510.19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9,476,201.13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210,877.23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164,920.42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1,295,832.89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450,637.51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934,788.75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331,077.77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44,040,443.17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17,010,867.09</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应付房屋租赁费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5,466,172.54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备用金、押金及保证金等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5,056,880.22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4,870,163.94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2,492,073.14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628,035.36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65,964.10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13,081,090.00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5,498,199.30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采集器押金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651,546.40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唐山市惠泽智能化工程有限公司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851,546.40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9,804,659.75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193,404,659.75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761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6"/>
        <w:rPr>
          <w:rFonts w:ascii="宋体" w:hAnsi="宋体" w:cs="宋体" w:eastAsia="宋体" w:hint="default"/>
          <w:sz w:val="20"/>
          <w:szCs w:val="20"/>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20,736,225.29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19,111,959.12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9,804,659.75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10,931,565.54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19,111,959.12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7"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5,910,000.00</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3,810,000.00</w:t>
            </w:r>
          </w:p>
        </w:tc>
        <w:tc>
          <w:tcPr>
            <w:tcW w:w="239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本公司与部分客户签订的不 可撤销的销售软件产品合同， 合同存在质保期。</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7"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5,910,000.00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3,810,000.00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2,847,622.49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2,057,285.67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1,090,336.82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2,847,622.49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2,057,285.67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1,090,336.82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基于卫星导航技 术的网格化城市 管理综合应用服 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1,141,063.71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658,936.29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北京科委</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年度科技创新基 地培育与发展专 项款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123,523.40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176,476.60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城镇体系规划监 测关键技术研究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城市数字化关键 技术研究与示范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基于大数据技术 的城市公共管理 服务平台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308,022.49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274,298.56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33,723.93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2,847,622.49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2,057,285.67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1,090,336.82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190,142,800.00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2,193,055.00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190,157,455.00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192,350,510.00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382,493,310.00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598,850,214.29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11,432,632.80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190,157,455.00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420,125,392.09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5,072,024.43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893,633.00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2,398,397.96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3,567,259.47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603,922,238.72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12,326,265.80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192,555,852.96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423,692,651.56</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357" w:lineRule="auto" w:before="145"/>
        <w:ind w:right="153" w:firstLine="480"/>
        <w:jc w:val="right"/>
      </w:pPr>
      <w:r>
        <w:rPr>
          <w:spacing w:val="13"/>
        </w:rPr>
        <w:t>注：</w:t>
      </w:r>
      <w:r>
        <w:rPr>
          <w:spacing w:val="-93"/>
        </w:rPr>
        <w:t> </w:t>
      </w:r>
      <w:r>
        <w:rPr>
          <w:rFonts w:ascii="宋体" w:hAnsi="宋体" w:cs="宋体" w:eastAsia="宋体" w:hint="default"/>
        </w:rPr>
        <w:t>2015</w:t>
      </w:r>
      <w:r>
        <w:rPr>
          <w:rFonts w:ascii="宋体" w:hAnsi="宋体" w:cs="宋体" w:eastAsia="宋体" w:hint="default"/>
          <w:spacing w:val="-91"/>
        </w:rPr>
        <w:t> </w:t>
      </w:r>
      <w:r>
        <w:rPr/>
        <w:t>年</w:t>
      </w:r>
      <w:r>
        <w:rPr>
          <w:spacing w:val="-93"/>
        </w:rPr>
        <w:t> </w:t>
      </w:r>
      <w:r>
        <w:rPr>
          <w:rFonts w:ascii="宋体" w:hAnsi="宋体" w:cs="宋体" w:eastAsia="宋体" w:hint="default"/>
        </w:rPr>
        <w:t>5</w:t>
      </w:r>
      <w:r>
        <w:rPr>
          <w:rFonts w:ascii="宋体" w:hAnsi="宋体" w:cs="宋体" w:eastAsia="宋体" w:hint="default"/>
          <w:spacing w:val="-91"/>
        </w:rPr>
        <w:t> </w:t>
      </w:r>
      <w:r>
        <w:rPr/>
        <w:t>月</w:t>
      </w:r>
      <w:r>
        <w:rPr>
          <w:spacing w:val="-93"/>
        </w:rPr>
        <w:t> </w:t>
      </w:r>
      <w:r>
        <w:rPr>
          <w:rFonts w:ascii="宋体" w:hAnsi="宋体" w:cs="宋体" w:eastAsia="宋体" w:hint="default"/>
        </w:rPr>
        <w:t>12</w:t>
      </w:r>
      <w:r>
        <w:rPr>
          <w:rFonts w:ascii="宋体" w:hAnsi="宋体" w:cs="宋体" w:eastAsia="宋体" w:hint="default"/>
          <w:spacing w:val="-91"/>
        </w:rPr>
        <w:t> </w:t>
      </w:r>
      <w:r>
        <w:rPr>
          <w:spacing w:val="24"/>
        </w:rPr>
        <w:t>日股东大会决议通过了《</w:t>
      </w:r>
      <w:r>
        <w:rPr>
          <w:spacing w:val="-90"/>
        </w:rPr>
        <w:t> </w:t>
      </w:r>
      <w:r>
        <w:rPr>
          <w:rFonts w:ascii="宋体" w:hAnsi="宋体" w:cs="宋体" w:eastAsia="宋体" w:hint="default"/>
        </w:rPr>
        <w:t>2014</w:t>
      </w:r>
      <w:r>
        <w:rPr>
          <w:rFonts w:ascii="宋体" w:hAnsi="宋体" w:cs="宋体" w:eastAsia="宋体" w:hint="default"/>
          <w:spacing w:val="-93"/>
        </w:rPr>
        <w:t> </w:t>
      </w:r>
      <w:r>
        <w:rPr>
          <w:spacing w:val="24"/>
        </w:rPr>
        <w:t>年度利润分配预案》，</w:t>
      </w:r>
      <w:r>
        <w:rPr>
          <w:spacing w:val="-93"/>
        </w:rPr>
        <w:t> </w:t>
      </w:r>
      <w:r>
        <w:rPr>
          <w:spacing w:val="20"/>
        </w:rPr>
        <w:t>以总股本</w:t>
      </w:r>
      <w:r>
        <w:rPr/>
        <w:t> </w:t>
      </w:r>
      <w:r>
        <w:rPr>
          <w:rFonts w:ascii="宋体" w:hAnsi="宋体" w:cs="宋体" w:eastAsia="宋体" w:hint="default"/>
        </w:rPr>
        <w:t>190,157,455.00</w:t>
      </w:r>
      <w:r>
        <w:rPr>
          <w:rFonts w:ascii="宋体" w:hAnsi="宋体" w:cs="宋体" w:eastAsia="宋体" w:hint="default"/>
          <w:spacing w:val="-86"/>
        </w:rPr>
        <w:t> </w:t>
      </w:r>
      <w:r>
        <w:rPr/>
        <w:t>元</w:t>
      </w:r>
      <w:r>
        <w:rPr>
          <w:spacing w:val="-87"/>
        </w:rPr>
        <w:t> </w:t>
      </w:r>
      <w:r>
        <w:rPr/>
        <w:t>为</w:t>
      </w:r>
      <w:r>
        <w:rPr>
          <w:spacing w:val="-85"/>
        </w:rPr>
        <w:t> </w:t>
      </w:r>
      <w:r>
        <w:rPr/>
        <w:t>基</w:t>
      </w:r>
      <w:r>
        <w:rPr>
          <w:spacing w:val="-87"/>
        </w:rPr>
        <w:t> </w:t>
      </w:r>
      <w:r>
        <w:rPr/>
        <w:t>数</w:t>
      </w:r>
      <w:r>
        <w:rPr>
          <w:spacing w:val="-87"/>
        </w:rPr>
        <w:t> </w:t>
      </w:r>
      <w:r>
        <w:rPr/>
        <w:t>，</w:t>
      </w:r>
      <w:r>
        <w:rPr>
          <w:spacing w:val="-87"/>
        </w:rPr>
        <w:t> </w:t>
      </w:r>
      <w:r>
        <w:rPr/>
        <w:t>以</w:t>
      </w:r>
      <w:r>
        <w:rPr>
          <w:spacing w:val="-85"/>
        </w:rPr>
        <w:t> </w:t>
      </w:r>
      <w:r>
        <w:rPr/>
        <w:t>资</w:t>
      </w:r>
      <w:r>
        <w:rPr>
          <w:spacing w:val="-87"/>
        </w:rPr>
        <w:t> </w:t>
      </w:r>
      <w:r>
        <w:rPr/>
        <w:t>本</w:t>
      </w:r>
      <w:r>
        <w:rPr>
          <w:spacing w:val="-87"/>
        </w:rPr>
        <w:t> </w:t>
      </w:r>
      <w:r>
        <w:rPr/>
        <w:t>公</w:t>
      </w:r>
      <w:r>
        <w:rPr>
          <w:spacing w:val="-85"/>
        </w:rPr>
        <w:t> </w:t>
      </w:r>
      <w:r>
        <w:rPr/>
        <w:t>积</w:t>
      </w:r>
      <w:r>
        <w:rPr>
          <w:spacing w:val="-85"/>
        </w:rPr>
        <w:t> </w:t>
      </w:r>
      <w:r>
        <w:rPr/>
        <w:t>向</w:t>
      </w:r>
      <w:r>
        <w:rPr>
          <w:spacing w:val="-87"/>
        </w:rPr>
        <w:t> </w:t>
      </w:r>
      <w:r>
        <w:rPr/>
        <w:t>全</w:t>
      </w:r>
      <w:r>
        <w:rPr>
          <w:spacing w:val="-87"/>
        </w:rPr>
        <w:t> </w:t>
      </w:r>
      <w:r>
        <w:rPr/>
        <w:t>体</w:t>
      </w:r>
      <w:r>
        <w:rPr>
          <w:spacing w:val="-87"/>
        </w:rPr>
        <w:t> </w:t>
      </w:r>
      <w:r>
        <w:rPr/>
        <w:t>股</w:t>
      </w:r>
      <w:r>
        <w:rPr>
          <w:spacing w:val="-85"/>
        </w:rPr>
        <w:t> </w:t>
      </w:r>
      <w:r>
        <w:rPr/>
        <w:t>东</w:t>
      </w:r>
      <w:r>
        <w:rPr>
          <w:spacing w:val="-87"/>
        </w:rPr>
        <w:t> </w:t>
      </w:r>
      <w:r>
        <w:rPr/>
        <w:t>每</w:t>
      </w:r>
      <w:r>
        <w:rPr>
          <w:spacing w:val="-82"/>
        </w:rPr>
        <w:t> </w:t>
      </w:r>
      <w:r>
        <w:rPr>
          <w:rFonts w:ascii="宋体" w:hAnsi="宋体" w:cs="宋体" w:eastAsia="宋体" w:hint="default"/>
        </w:rPr>
        <w:t>10</w:t>
      </w:r>
      <w:r>
        <w:rPr>
          <w:rFonts w:ascii="宋体" w:hAnsi="宋体" w:cs="宋体" w:eastAsia="宋体" w:hint="default"/>
          <w:spacing w:val="-84"/>
        </w:rPr>
        <w:t> </w:t>
      </w:r>
      <w:r>
        <w:rPr/>
        <w:t>股</w:t>
      </w:r>
      <w:r>
        <w:rPr>
          <w:spacing w:val="-85"/>
        </w:rPr>
        <w:t> </w:t>
      </w:r>
      <w:r>
        <w:rPr/>
        <w:t>转</w:t>
      </w:r>
      <w:r>
        <w:rPr>
          <w:spacing w:val="-87"/>
        </w:rPr>
        <w:t> </w:t>
      </w:r>
      <w:r>
        <w:rPr/>
        <w:t>增</w:t>
      </w:r>
      <w:r>
        <w:rPr>
          <w:spacing w:val="-86"/>
        </w:rPr>
        <w:t> </w:t>
      </w:r>
      <w:r>
        <w:rPr>
          <w:rFonts w:ascii="宋体" w:hAnsi="宋体" w:cs="宋体" w:eastAsia="宋体" w:hint="default"/>
        </w:rPr>
        <w:t>10</w:t>
      </w:r>
      <w:r>
        <w:rPr>
          <w:rFonts w:ascii="宋体" w:hAnsi="宋体" w:cs="宋体" w:eastAsia="宋体" w:hint="default"/>
          <w:spacing w:val="-87"/>
        </w:rPr>
        <w:t> </w:t>
      </w:r>
      <w:r>
        <w:rPr/>
        <w:t>股</w:t>
      </w:r>
      <w:r>
        <w:rPr>
          <w:spacing w:val="-85"/>
        </w:rPr>
        <w:t> </w:t>
      </w:r>
      <w:r>
        <w:rPr/>
        <w:t>，</w:t>
      </w:r>
      <w:r>
        <w:rPr>
          <w:spacing w:val="-87"/>
        </w:rPr>
        <w:t> </w:t>
      </w:r>
      <w:r>
        <w:rPr/>
        <w:t>合</w:t>
      </w:r>
      <w:r>
        <w:rPr>
          <w:spacing w:val="-87"/>
        </w:rPr>
        <w:t> </w:t>
      </w:r>
      <w:r>
        <w:rPr/>
        <w:t>计</w:t>
      </w:r>
      <w:r>
        <w:rPr>
          <w:spacing w:val="-85"/>
        </w:rPr>
        <w:t> </w:t>
      </w:r>
      <w:r>
        <w:rPr/>
        <w:t>转</w:t>
      </w:r>
      <w:r>
        <w:rPr>
          <w:spacing w:val="-85"/>
        </w:rPr>
        <w:t> </w:t>
      </w:r>
      <w:r>
        <w:rPr/>
        <w:t>增</w:t>
      </w:r>
      <w:r>
        <w:rPr>
          <w:spacing w:val="-87"/>
        </w:rPr>
        <w:t> </w:t>
      </w:r>
      <w:r>
        <w:rPr/>
        <w:t>股</w:t>
      </w:r>
      <w:r>
        <w:rPr>
          <w:spacing w:val="-87"/>
        </w:rPr>
        <w:t> </w:t>
      </w:r>
      <w:r>
        <w:rPr/>
        <w:t>本</w:t>
      </w:r>
    </w:p>
    <w:p>
      <w:pPr>
        <w:pStyle w:val="BodyText"/>
        <w:spacing w:line="357" w:lineRule="auto"/>
        <w:ind w:right="153"/>
        <w:jc w:val="left"/>
      </w:pPr>
      <w:r>
        <w:rPr>
          <w:rFonts w:ascii="宋体" w:hAnsi="宋体" w:cs="宋体" w:eastAsia="宋体" w:hint="default"/>
        </w:rPr>
        <w:t>190,157,455.00</w:t>
      </w:r>
      <w:r>
        <w:rPr/>
        <w:t>股；</w:t>
      </w:r>
      <w:r>
        <w:rPr>
          <w:rFonts w:ascii="宋体" w:hAnsi="宋体" w:cs="宋体" w:eastAsia="宋体" w:hint="default"/>
        </w:rPr>
        <w:t>2015</w:t>
      </w:r>
      <w:r>
        <w:rPr/>
        <w:t>年度股票期权确认费用</w:t>
      </w:r>
      <w:r>
        <w:rPr>
          <w:rFonts w:ascii="宋体" w:hAnsi="宋体" w:cs="宋体" w:eastAsia="宋体" w:hint="default"/>
        </w:rPr>
        <w:t>893,633.00</w:t>
      </w:r>
      <w:r>
        <w:rPr/>
        <w:t>元，期权行权结算其他资本公积</w:t>
      </w:r>
      <w:r>
        <w:rPr>
          <w:spacing w:val="-86"/>
        </w:rPr>
        <w:t> </w:t>
      </w:r>
      <w:r>
        <w:rPr>
          <w:spacing w:val="-86"/>
        </w:rPr>
      </w:r>
      <w:r>
        <w:rPr/>
        <w:t>转资本溢价</w:t>
      </w:r>
      <w:r>
        <w:rPr>
          <w:rFonts w:ascii="宋体" w:hAnsi="宋体" w:cs="宋体" w:eastAsia="宋体" w:hint="default"/>
        </w:rPr>
        <w:t>2,398,397.96</w:t>
      </w:r>
      <w:r>
        <w:rPr/>
        <w:t>元，行权的股本溢价</w:t>
      </w:r>
      <w:r>
        <w:rPr>
          <w:rFonts w:ascii="宋体" w:hAnsi="宋体" w:cs="宋体" w:eastAsia="宋体" w:hint="default"/>
        </w:rPr>
        <w:t>9,034,234.84</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41,233,227.07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12,062,600.43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53,295,827.50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41,233,227.07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12,062,600.43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53,295,827.50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57" w:lineRule="auto" w:before="145"/>
        <w:ind w:right="153" w:firstLine="480"/>
        <w:jc w:val="left"/>
      </w:pPr>
      <w:r>
        <w:rPr>
          <w:spacing w:val="-3"/>
        </w:rPr>
        <w:t>根据公司法、章程的规定，本公司按净利润的</w:t>
      </w:r>
      <w:r>
        <w:rPr>
          <w:rFonts w:ascii="宋体" w:hAnsi="宋体" w:cs="宋体" w:eastAsia="宋体" w:hint="default"/>
          <w:spacing w:val="-3"/>
        </w:rPr>
        <w:t>10%</w:t>
      </w:r>
      <w:r>
        <w:rPr>
          <w:spacing w:val="-3"/>
        </w:rPr>
        <w:t>提取法定盈余公积金。法定盈余公积累</w:t>
      </w:r>
      <w:r>
        <w:rPr/>
        <w:t> 计额为本公司注册资本</w:t>
      </w:r>
      <w:r>
        <w:rPr>
          <w:rFonts w:ascii="宋体" w:hAnsi="宋体" w:cs="宋体" w:eastAsia="宋体" w:hint="default"/>
        </w:rPr>
        <w:t>50%</w:t>
      </w:r>
      <w:r>
        <w:rPr/>
        <w:t>以上的，可不再提取。</w:t>
      </w:r>
    </w:p>
    <w:p>
      <w:pPr>
        <w:spacing w:line="240" w:lineRule="auto" w:before="10"/>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305,655,963.73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221,827,556.50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305,655,963.73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221,827,556.50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121,333,706.22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119,057,772.04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12,062,600.43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10,029,364.81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19,015,745.50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25,200,000.00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395,911,324.02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305,655,963.73</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648,403,372.93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392,880,936.47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545,917,338.04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303,910,169.09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2,731,966.05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1,455,018.34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169,416.28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651,135,338.98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394,335,954.81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546,086,754.32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303,910,169.09</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538,613.17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517,217.10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3,832,177.16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2,442,997.51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1,643,139.21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1,067,404.90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1,095,426.18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676,586.49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619,099.99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64,339.20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7,728,455.71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4,768,545.20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18,612,740.80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16,915,960.23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14,313,925.40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10,522,120.38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5,175,305.95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3,296,242.62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4,569,848.49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3,939,420.72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1,209,771.76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1,358,913.54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验收费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867,460.00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501,647.00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307,359.24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421,660.54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292,698.23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276,319.21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1,879,571.71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917,070.63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49,830,328.58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39,959,907.87</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13,919,946.14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11,927,406.18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32,551,955.49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30,361,528.19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27,684,530.82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21,878,679.16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办公厂租物业费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10,619,162.47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4,623,804.85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产权交易服务费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2,605,057.95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1,954,187.62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2,200,934.17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4,224,106.54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1,335,719.32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470,587.00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1,030,435.86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893,633.00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973,780.00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5,207,904.46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6,444,189.38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101,109,279.68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82,935,768.92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9,564,708.75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7,856,298.94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15,439,194.33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15,774,526.37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-4,103,783.29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-1,524,547.47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-9,978,268.87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-9,442,774.90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19,527,373.20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17,161,122.45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19,527,373.20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17,161,122.45</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2,149,369.87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收购子公司盈利补偿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149,369.87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873.71</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873.71</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48,782,150.42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26,786,690.45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18,636,807.12</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9,490.13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48,783,024.13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26,881,634.33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18,637,680.83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增值税退税</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30,145,343.3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25,504,812.9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数字化城市 管理公共信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7,740,000.00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息服务平台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国家卫星专 项课题</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基于卫星导 航技术的网 格化城市管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1,141,063.71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理综合应用 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社保返还</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752,321.45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北京科委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 服务业补贴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中关村管委 会专利成果 化补贴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城市数字化 关键技术研 究与示范项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378,000.00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378,000.00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基于大数据 技术的城市 公共服务平 台的开发和 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274,298.56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91,977.51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住房和城乡 建设部研究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49"/>
              <w:ind w:left="24" w:right="130"/>
              <w:jc w:val="both"/>
              <w:rPr>
                <w:rFonts w:ascii="宋体" w:hAnsi="宋体" w:cs="宋体" w:eastAsia="宋体" w:hint="default"/>
                <w:sz w:val="18"/>
                <w:szCs w:val="18"/>
              </w:rPr>
            </w:pPr>
            <w:r>
              <w:rPr>
                <w:rFonts w:ascii="宋体" w:hAnsi="宋体" w:cs="宋体" w:eastAsia="宋体" w:hint="default"/>
                <w:sz w:val="18"/>
                <w:szCs w:val="18"/>
              </w:rPr>
              <w:t>城镇体系规 划监测关键 技术研究项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140,400.00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74"/>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0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both"/>
              <w:rPr>
                <w:rFonts w:ascii="宋体" w:hAnsi="宋体" w:cs="宋体" w:eastAsia="宋体" w:hint="default"/>
                <w:sz w:val="18"/>
                <w:szCs w:val="18"/>
              </w:rPr>
            </w:pPr>
            <w:r>
              <w:rPr>
                <w:rFonts w:ascii="宋体" w:hAnsi="宋体" w:cs="宋体" w:eastAsia="宋体" w:hint="default"/>
                <w:sz w:val="18"/>
                <w:szCs w:val="18"/>
              </w:rPr>
              <w:t>北京科委</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both"/>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年度</w:t>
            </w:r>
          </w:p>
          <w:p>
            <w:pPr>
              <w:pStyle w:val="TableParagraph"/>
              <w:spacing w:line="408" w:lineRule="auto" w:before="152"/>
              <w:ind w:left="24" w:right="130"/>
              <w:jc w:val="both"/>
              <w:rPr>
                <w:rFonts w:ascii="宋体" w:hAnsi="宋体" w:cs="宋体" w:eastAsia="宋体" w:hint="default"/>
                <w:sz w:val="18"/>
                <w:szCs w:val="18"/>
              </w:rPr>
            </w:pPr>
            <w:r>
              <w:rPr>
                <w:rFonts w:ascii="宋体" w:hAnsi="宋体" w:cs="宋体" w:eastAsia="宋体" w:hint="default"/>
                <w:sz w:val="18"/>
                <w:szCs w:val="18"/>
              </w:rPr>
              <w:t>科技创新基 地培育与发 展专项款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123,523.40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637,200.00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671,500.00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62"/>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48,782,150.4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26,786,690.4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Times New Roman" w:hAnsi="Times New Roman" w:cs="Times New Roman" w:eastAsia="Times New Roman" w:hint="default"/>
          <w:sz w:val="21"/>
          <w:szCs w:val="21"/>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375,684.56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375,684.56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375,684.56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375,684.56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375,689.54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375,689.54</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25,775,767.06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12,338,080.10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-9,269,176.23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-5,668,621.67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16,506,590.83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6,669,458.43</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137,138,920.33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20,570,838.05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-1,030,819.97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-35,269.52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567,000.73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
        </w:tc>
      </w:tr>
      <w:tr>
        <w:trPr>
          <w:trHeight w:val="716"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706,762.31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-3,221,920.77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16,506,590.83</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27,568,404.88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12,970,840.24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投标保证金、押金及个人备用金等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24,641,389.00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26,515,698.66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18,439,194.33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16,774,526.37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除税费返还外的其他政府补助收入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16,879,521.45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2,669,490.13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297,554.83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183,640.61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87,826,064.49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59,114,196.01</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投标保证金、押金及个人备用金等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43,324,914.24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30,344,519.03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18,752,013.44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11,455,889.68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14,146,499.63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13,372,034.65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7,771,924.56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5,311,026.71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5,877,065.40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4,636,704.85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4,792,934.56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4,144,377.83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1,703,179.33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1,863,213.77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1,643,078.56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892,247.54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审计评估费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698,076.03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946,612.08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26,032,218.87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5,119,737.88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6,164,820.81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103,829,423.63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105,163,665.82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311,256,403.63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取得子公司收到的现金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498,686.53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371,755,090.16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311,256,403.63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支付收购子公司盈利补偿款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产权交易服务费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371,256,403.63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支付汉王科技股份有限公司购买股权款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23,700,000.00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120,632,329.50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127,005,439.10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19,527,373.20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17,161,122.45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6,345,242.69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6,975,946.64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27,684,530.82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21,878,679.16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167.959976pt;width:151.25pt;height:40.8pt;mso-position-horizontal-relative:page;mso-position-vertical-relative:page;z-index:-814960" coordorigin="4467,3359" coordsize="3025,816">
            <v:group style="position:absolute;left:4478;top:3370;width:2;height:392" coordorigin="4478,3370" coordsize="2,392">
              <v:shape style="position:absolute;left:4478;top:3370;width:2;height:392" coordorigin="4478,3370" coordsize="0,392" path="m4478,3370l4478,3761e" filled="false" stroked="true" strokeweight="1.08pt" strokecolor="#ffffff">
                <v:path arrowok="t"/>
              </v:shape>
            </v:group>
            <v:group style="position:absolute;left:4489;top:3370;width:3003;height:392" coordorigin="4489,3370" coordsize="3003,392">
              <v:shape style="position:absolute;left:4489;top:3370;width:3003;height:392" coordorigin="4489,3370" coordsize="3003,392" path="m4489,3761l7492,3761,7492,3370,4489,3370,4489,3761xe" filled="true" fillcolor="#ffffff" stroked="false">
                <v:path arrowok="t"/>
                <v:fill type="solid"/>
              </v:shape>
            </v:group>
            <v:group style="position:absolute;left:4478;top:3773;width:2;height:392" coordorigin="4478,3773" coordsize="2,392">
              <v:shape style="position:absolute;left:4478;top:3773;width:2;height:392" coordorigin="4478,3773" coordsize="0,392" path="m4478,3773l4478,4164e" filled="false" stroked="true" strokeweight="1.08pt" strokecolor="#ffffff">
                <v:path arrowok="t"/>
              </v:shape>
            </v:group>
            <v:group style="position:absolute;left:4489;top:3773;width:3003;height:392" coordorigin="4489,3773" coordsize="3003,392">
              <v:shape style="position:absolute;left:4489;top:3773;width:3003;height:392" coordorigin="4489,3773" coordsize="3003,392" path="m4489,4164l7492,4164,7492,3773,4489,3773,4489,416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1,030,435.86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77,500.00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374,810.85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-84,801.26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5,372,917.73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4,856,298.94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-149,369.87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-7,861,998.13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-4,265,614.48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-1,407,178.10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-1,403,007.19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-428,113.38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-5,656,262.57</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-144,496,654.33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-191,219,993.61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97,880,876.29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-34,602,017.65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124,505,203.13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-59,276,710.47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575,337,088.95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231,520,124.25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902" w:right="0"/>
              <w:jc w:val="left"/>
              <w:rPr>
                <w:rFonts w:ascii="Times New Roman" w:hAnsi="Times New Roman" w:cs="Times New Roman" w:eastAsia="Times New Roman" w:hint="default"/>
                <w:sz w:val="18"/>
                <w:szCs w:val="18"/>
              </w:rPr>
            </w:pPr>
            <w:r>
              <w:rPr>
                <w:rFonts w:ascii="Times New Roman"/>
                <w:sz w:val="18"/>
              </w:rPr>
              <w:t>231,520,124.25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682,623,859.66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343,816,964.70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-451,103,735.41</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498,686.53</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北京数聚联盟科技有限公司</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498,686.53</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-498,686.53</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311"/>
        <w:gridCol w:w="3057"/>
        <w:gridCol w:w="3185"/>
      </w:tblGrid>
      <w:tr>
        <w:trPr>
          <w:trHeight w:val="404"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90" w:right="0"/>
              <w:jc w:val="left"/>
              <w:rPr>
                <w:rFonts w:ascii="Times New Roman" w:hAnsi="Times New Roman" w:cs="Times New Roman" w:eastAsia="Times New Roman" w:hint="default"/>
                <w:sz w:val="18"/>
                <w:szCs w:val="18"/>
              </w:rPr>
            </w:pPr>
            <w:r>
              <w:rPr>
                <w:rFonts w:ascii="Times New Roman"/>
                <w:sz w:val="18"/>
              </w:rPr>
              <w:t>575,337,088.95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231,520,124.25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199,751.27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112,305.99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575,137,337.68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542,664,221.89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575,337,088.95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231,520,124.25</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153"/>
        <w:jc w:val="left"/>
      </w:pPr>
      <w:r>
        <w:rPr/>
        <w:t>现金和现金等价物不含母公司或集团内子公司使用受限制的现金和现金等价物。</w:t>
      </w:r>
    </w:p>
    <w:p>
      <w:pPr>
        <w:spacing w:line="240" w:lineRule="auto" w:before="12"/>
        <w:rPr>
          <w:rFonts w:ascii="宋体" w:hAnsi="宋体" w:cs="宋体" w:eastAsia="宋体" w:hint="default"/>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8,457,419.82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开立保函及银行承兑汇票保证金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8,457,419.82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北京数聚联 盟科技有限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7,398.39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-2,824,327.76</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3,250,000.00</w:t>
            </w:r>
          </w:p>
        </w:tc>
      </w:tr>
    </w:tbl>
    <w:p>
      <w:pPr>
        <w:spacing w:line="357" w:lineRule="auto" w:before="49"/>
        <w:ind w:left="152" w:right="509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3,998,686.53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3,998,686.53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3,250,000.00</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4" w:firstLine="480"/>
        <w:jc w:val="right"/>
      </w:pPr>
      <w:r>
        <w:rPr/>
        <w:t>说明其他原因导致的合并范围变动（如，新设子公司、清算子公司等）及其相关情况： 本公司新设子公司政通智慧城市运营科技有限公司，注册资本</w:t>
      </w:r>
      <w:r>
        <w:rPr>
          <w:rFonts w:ascii="宋体" w:hAnsi="宋体" w:cs="宋体" w:eastAsia="宋体" w:hint="default"/>
        </w:rPr>
        <w:t>5,000.00</w:t>
      </w:r>
      <w:r>
        <w:rPr/>
        <w:t>万元，已认缴出 </w:t>
      </w:r>
      <w:r>
        <w:rPr>
          <w:spacing w:val="-2"/>
        </w:rPr>
        <w:t>资额</w:t>
      </w:r>
      <w:r>
        <w:rPr>
          <w:rFonts w:ascii="宋体" w:hAnsi="宋体" w:cs="宋体" w:eastAsia="宋体" w:hint="default"/>
          <w:spacing w:val="-2"/>
        </w:rPr>
        <w:t>21,000,000.00</w:t>
      </w:r>
      <w:r>
        <w:rPr>
          <w:spacing w:val="-2"/>
        </w:rPr>
        <w:t>万元。注册号</w:t>
      </w:r>
      <w:r>
        <w:rPr>
          <w:rFonts w:ascii="宋体" w:hAnsi="宋体" w:cs="宋体" w:eastAsia="宋体" w:hint="default"/>
          <w:spacing w:val="-2"/>
        </w:rPr>
        <w:t>91120116328521416K</w:t>
      </w:r>
      <w:r>
        <w:rPr>
          <w:spacing w:val="-2"/>
        </w:rPr>
        <w:t>，注册地：天津自贸区；业务范围：基</w:t>
      </w:r>
    </w:p>
    <w:p>
      <w:pPr>
        <w:pStyle w:val="BodyText"/>
        <w:spacing w:line="240" w:lineRule="auto"/>
        <w:ind w:right="153"/>
        <w:jc w:val="left"/>
      </w:pPr>
      <w:r>
        <w:rPr/>
        <w:t>础软件、应用软件的技术开发、技术转让、技术服务、技术咨询、技术推广等。</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8"/>
          <w:szCs w:val="28"/>
        </w:rPr>
      </w:pPr>
    </w:p>
    <w:p>
      <w:pPr>
        <w:pStyle w:val="Heading2"/>
        <w:spacing w:line="240" w:lineRule="auto"/>
        <w:ind w:right="153"/>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北京汉王智通科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上海政通信息科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北京数字政通信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武汉智慧政通科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克拉玛依数字政 通信息科技有限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安徽数字政通科 技有限责任公司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北京数聚联盟科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政通智慧城市运 营科技有限公司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spacing w:before="36"/>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北京汉王智通科技有限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286,612.69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10,465,052.96</w:t>
            </w:r>
          </w:p>
        </w:tc>
      </w:tr>
    </w:tbl>
    <w:p>
      <w:pPr>
        <w:spacing w:line="240" w:lineRule="auto" w:before="3"/>
        <w:rPr>
          <w:rFonts w:ascii="宋体" w:hAnsi="宋体" w:cs="宋体" w:eastAsia="宋体" w:hint="default"/>
          <w:sz w:val="19"/>
          <w:szCs w:val="19"/>
        </w:rPr>
      </w:pPr>
    </w:p>
    <w:p>
      <w:pPr>
        <w:spacing w:before="36"/>
        <w:ind w:left="152" w:right="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北京汉 王智通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312,432,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444.31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125,856,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527.01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438,288,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971.32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312,655,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853.98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20,982,5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333,638,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441.85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204,246,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475.33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127,643,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964.52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331,890,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439.85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199,712,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354.25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30,393,6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230,106,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037.20</w:t>
            </w:r>
          </w:p>
        </w:tc>
      </w:tr>
    </w:tbl>
    <w:p>
      <w:pPr>
        <w:spacing w:before="49"/>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北京汉王智 通科技有限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174,280,190.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2,866,126.85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2,866,126.85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25,080,060.0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175,805,139.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26,492,223.5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26,492,223.5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-73,384,307.2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9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692" w:lineRule="exact" w:before="54"/>
        <w:ind w:left="633" w:right="96" w:hanging="481"/>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本公司的主要金融工具包括股权投资、借款、应收账款、长期应收款、应付账款、长期</w:t>
      </w:r>
    </w:p>
    <w:p>
      <w:pPr>
        <w:pStyle w:val="BodyText"/>
        <w:spacing w:line="240" w:lineRule="auto" w:before="49"/>
        <w:ind w:right="0"/>
        <w:jc w:val="left"/>
      </w:pPr>
      <w:r>
        <w:rPr>
          <w:spacing w:val="-2"/>
        </w:rPr>
        <w:t>应付款等，各项金融工具的详细情况说明见本附注六相关项目。与这些金融工具有关的风险，</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以及本公司为降低这些风险所采取的风险管理政策如下所述。本公司管理层对这些风险敞口</w:t>
      </w:r>
      <w:r>
        <w:rPr>
          <w:spacing w:val="-91"/>
        </w:rPr>
        <w:t> </w:t>
      </w:r>
      <w:r>
        <w:rPr>
          <w:spacing w:val="-91"/>
        </w:rPr>
      </w:r>
      <w:r>
        <w:rPr/>
        <w:t>进行管理和监控以确保将上述风险控制在限定的范围之内。</w:t>
      </w:r>
    </w:p>
    <w:p>
      <w:pPr>
        <w:spacing w:line="357" w:lineRule="auto" w:before="36"/>
        <w:ind w:left="633" w:right="153" w:firstLine="2"/>
        <w:jc w:val="left"/>
        <w:rPr>
          <w:rFonts w:ascii="宋体" w:hAnsi="宋体" w:cs="宋体" w:eastAsia="宋体" w:hint="default"/>
          <w:sz w:val="24"/>
          <w:szCs w:val="24"/>
        </w:rPr>
      </w:pPr>
      <w:r>
        <w:rPr>
          <w:rFonts w:ascii="宋体" w:hAnsi="宋体" w:cs="宋体" w:eastAsia="宋体" w:hint="default"/>
          <w:b/>
          <w:bCs/>
          <w:sz w:val="24"/>
          <w:szCs w:val="24"/>
        </w:rPr>
        <w:t>风险管理目标和政策</w:t>
      </w:r>
      <w:r>
        <w:rPr>
          <w:rFonts w:ascii="宋体" w:hAnsi="宋体" w:cs="宋体" w:eastAsia="宋体" w:hint="default"/>
          <w:b/>
          <w:bCs/>
          <w:w w:val="99"/>
          <w:sz w:val="24"/>
          <w:szCs w:val="24"/>
        </w:rPr>
        <w:t> </w:t>
      </w:r>
      <w:r>
        <w:rPr>
          <w:rFonts w:ascii="宋体" w:hAnsi="宋体" w:cs="宋体" w:eastAsia="宋体" w:hint="default"/>
          <w:sz w:val="24"/>
          <w:szCs w:val="24"/>
        </w:rPr>
        <w:t>本公司从事风险管理的目标是在风险和收益之间取得适当的平衡，将风险对本公司经营</w:t>
      </w:r>
    </w:p>
    <w:p>
      <w:pPr>
        <w:pStyle w:val="BodyText"/>
        <w:spacing w:line="357" w:lineRule="auto"/>
        <w:ind w:right="155"/>
        <w:jc w:val="both"/>
      </w:pPr>
      <w:r>
        <w:rPr/>
        <w:t>业绩的负面影响降低到最低水平，使股东及其其他权益投资者的利益最大化。基于该风险管</w:t>
      </w:r>
      <w:r>
        <w:rPr>
          <w:spacing w:val="-91"/>
        </w:rPr>
        <w:t> </w:t>
      </w:r>
      <w:r>
        <w:rPr>
          <w:spacing w:val="-91"/>
        </w:rPr>
      </w:r>
      <w:r>
        <w:rPr/>
        <w:t>理目标，本公司风险管理的基本策略是确定和分析本公司所面临的各种风险，建立适当的风</w:t>
      </w:r>
      <w:r>
        <w:rPr>
          <w:spacing w:val="-91"/>
        </w:rPr>
        <w:t> </w:t>
      </w:r>
      <w:r>
        <w:rPr>
          <w:spacing w:val="-91"/>
        </w:rPr>
      </w:r>
      <w:r>
        <w:rPr/>
        <w:t>险承受底线和进行风险管理，并及时可靠地对各种风险进行监督，将风险控制在限定的范围</w:t>
      </w:r>
      <w:r>
        <w:rPr>
          <w:spacing w:val="-87"/>
        </w:rPr>
        <w:t> </w:t>
      </w:r>
      <w:r>
        <w:rPr>
          <w:spacing w:val="-87"/>
        </w:rPr>
      </w:r>
      <w:r>
        <w:rPr/>
        <w:t>之内。</w:t>
      </w:r>
    </w:p>
    <w:p>
      <w:pPr>
        <w:spacing w:line="357" w:lineRule="auto" w:before="36"/>
        <w:ind w:left="633" w:right="617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、市场风险</w:t>
      </w:r>
      <w:r>
        <w:rPr>
          <w:rFonts w:ascii="宋体" w:hAnsi="宋体" w:cs="宋体" w:eastAsia="宋体" w:hint="default"/>
          <w:b/>
          <w:bCs/>
          <w:w w:val="99"/>
          <w:sz w:val="24"/>
          <w:szCs w:val="24"/>
        </w:rPr>
        <w:t> </w:t>
      </w:r>
      <w:r>
        <w:rPr>
          <w:rFonts w:ascii="宋体" w:hAnsi="宋体" w:cs="宋体" w:eastAsia="宋体" w:hint="default"/>
          <w:sz w:val="24"/>
          <w:szCs w:val="24"/>
        </w:rPr>
        <w:t>利率风险－现金流量变动风险</w:t>
      </w:r>
    </w:p>
    <w:p>
      <w:pPr>
        <w:pStyle w:val="BodyText"/>
        <w:spacing w:line="357" w:lineRule="auto"/>
        <w:ind w:right="160" w:firstLine="480"/>
        <w:jc w:val="both"/>
      </w:pPr>
      <w:r>
        <w:rPr/>
        <w:t>本公司因利率变动引起金融工具现金流量变动的风险主要与浮动利率银行借款有关。本 公司的政策是保持这些借款的固定利率。</w:t>
      </w:r>
    </w:p>
    <w:p>
      <w:pPr>
        <w:pStyle w:val="Heading2"/>
        <w:spacing w:line="240" w:lineRule="auto" w:before="36"/>
        <w:ind w:left="635" w:right="153"/>
        <w:jc w:val="left"/>
        <w:rPr>
          <w:b w:val="0"/>
          <w:bCs w:val="0"/>
        </w:rPr>
      </w:pPr>
      <w:r>
        <w:rPr>
          <w:rFonts w:ascii="宋体" w:hAnsi="宋体" w:cs="宋体" w:eastAsia="宋体" w:hint="default"/>
        </w:rPr>
        <w:t>2</w:t>
      </w:r>
      <w:r>
        <w:rPr/>
        <w:t>、信用风险</w:t>
      </w:r>
      <w:r>
        <w:rPr>
          <w:b w:val="0"/>
          <w:bCs w:val="0"/>
        </w:rPr>
      </w:r>
    </w:p>
    <w:p>
      <w:pPr>
        <w:pStyle w:val="BodyText"/>
        <w:spacing w:line="357" w:lineRule="auto" w:before="154"/>
        <w:ind w:right="159" w:firstLine="480"/>
        <w:jc w:val="both"/>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日，可能引起本公司财务损失的最大信用风险敞口主要来自于合同另一方 未能履行义务而导致本公司金融资产产生的损失具体包括：合并资产负债表中已确认的金融</w:t>
      </w:r>
      <w:r>
        <w:rPr>
          <w:spacing w:val="-91"/>
        </w:rPr>
        <w:t> </w:t>
      </w:r>
      <w:r>
        <w:rPr>
          <w:spacing w:val="-91"/>
        </w:rPr>
      </w:r>
      <w:r>
        <w:rPr/>
        <w:t>资产的账面金额。</w:t>
      </w:r>
    </w:p>
    <w:p>
      <w:pPr>
        <w:pStyle w:val="BodyText"/>
        <w:spacing w:line="357" w:lineRule="auto"/>
        <w:ind w:right="155" w:firstLine="480"/>
        <w:jc w:val="both"/>
      </w:pPr>
      <w:r>
        <w:rPr/>
        <w:t>为降低信用风险，本公司严控信用审批，并执行其他监控程序以确保采取必要的措施回 收过期债权。此外，本公司于每个资产负债表日审核每一单项应收款的回收情况，以确保就</w:t>
      </w:r>
      <w:r>
        <w:rPr>
          <w:spacing w:val="-88"/>
        </w:rPr>
        <w:t> </w:t>
      </w:r>
      <w:r>
        <w:rPr>
          <w:spacing w:val="-88"/>
        </w:rPr>
      </w:r>
      <w:r>
        <w:rPr/>
        <w:t>无法回收的款项计提充分的坏账准备。因此，本公司管理层认为本公司所承担的信用风险已</w:t>
      </w:r>
      <w:r>
        <w:rPr>
          <w:spacing w:val="-91"/>
        </w:rPr>
        <w:t> </w:t>
      </w:r>
      <w:r>
        <w:rPr>
          <w:spacing w:val="-91"/>
        </w:rPr>
      </w:r>
      <w:r>
        <w:rPr/>
        <w:t>经大为降低。</w:t>
      </w:r>
    </w:p>
    <w:p>
      <w:pPr>
        <w:pStyle w:val="BodyText"/>
        <w:spacing w:line="357" w:lineRule="auto"/>
        <w:ind w:left="633" w:right="153"/>
        <w:jc w:val="left"/>
      </w:pPr>
      <w:r>
        <w:rPr/>
        <w:t>本公司的流动资金存放在信用评级较高的银行，故流动资金的信用风险较低。 </w:t>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99"/>
        </w:rPr>
        <w:t> </w:t>
      </w:r>
      <w:r>
        <w:rPr/>
        <w:t>管理流动风险时，本公司保持管理层认为充分的现金及现金等价物并对其进行监控，以</w:t>
      </w:r>
    </w:p>
    <w:p>
      <w:pPr>
        <w:pStyle w:val="BodyText"/>
        <w:spacing w:line="357" w:lineRule="auto"/>
        <w:ind w:right="159"/>
        <w:jc w:val="both"/>
      </w:pPr>
      <w:r>
        <w:rPr/>
        <w:t>满足本公司经营需要，并降低现金流量波动的影响。本公司管理层对银行借款的使用情况进</w:t>
      </w:r>
      <w:r>
        <w:rPr>
          <w:spacing w:val="-91"/>
        </w:rPr>
        <w:t> </w:t>
      </w:r>
      <w:r>
        <w:rPr>
          <w:spacing w:val="-91"/>
        </w:rPr>
      </w:r>
      <w:r>
        <w:rPr/>
        <w:t>行监控并确保遵守借款协议。</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十一、关联方及关联交易</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4"/>
        <w:gridCol w:w="1595"/>
        <w:gridCol w:w="1595"/>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2" w:right="0"/>
              <w:jc w:val="left"/>
              <w:rPr>
                <w:rFonts w:ascii="宋体" w:hAnsi="宋体" w:cs="宋体" w:eastAsia="宋体" w:hint="default"/>
                <w:sz w:val="18"/>
                <w:szCs w:val="18"/>
              </w:rPr>
            </w:pPr>
            <w:r>
              <w:rPr>
                <w:rFonts w:ascii="宋体" w:hAnsi="宋体" w:cs="宋体" w:eastAsia="宋体" w:hint="default"/>
                <w:sz w:val="18"/>
                <w:szCs w:val="18"/>
              </w:rPr>
              <w:t>母公司对本企业的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0" w:right="0"/>
              <w:jc w:val="left"/>
              <w:rPr>
                <w:rFonts w:ascii="宋体" w:hAnsi="宋体" w:cs="宋体" w:eastAsia="宋体" w:hint="default"/>
                <w:sz w:val="18"/>
                <w:szCs w:val="18"/>
              </w:rPr>
            </w:pPr>
            <w:r>
              <w:rPr>
                <w:rFonts w:ascii="宋体" w:hAnsi="宋体" w:cs="宋体" w:eastAsia="宋体" w:hint="default"/>
                <w:sz w:val="18"/>
                <w:szCs w:val="18"/>
              </w:rPr>
              <w:t>母公司对本企业的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北京数字政通科技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382493310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100.00%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322" w:lineRule="exact" w:before="68"/>
        <w:ind w:left="633" w:right="0"/>
        <w:jc w:val="left"/>
      </w:pPr>
      <w:r>
        <w:rPr>
          <w:spacing w:val="6"/>
        </w:rPr>
        <w:t>本公司股东吴强华为实际控制人，持有公司</w:t>
      </w:r>
      <w:r>
        <w:rPr>
          <w:rFonts w:ascii="Times New Roman" w:hAnsi="Times New Roman" w:cs="Times New Roman" w:eastAsia="Times New Roman" w:hint="default"/>
          <w:spacing w:val="6"/>
        </w:rPr>
        <w:t>31.45%</w:t>
      </w:r>
      <w:r>
        <w:rPr>
          <w:spacing w:val="6"/>
        </w:rPr>
        <w:t>的股权，对本公司的表决权比例为</w:t>
      </w:r>
    </w:p>
    <w:p>
      <w:pPr>
        <w:pStyle w:val="BodyText"/>
        <w:spacing w:line="322" w:lineRule="exact" w:before="0"/>
        <w:ind w:right="153"/>
        <w:jc w:val="left"/>
      </w:pPr>
      <w:r>
        <w:rPr>
          <w:rFonts w:ascii="Times New Roman" w:hAnsi="Times New Roman" w:cs="Times New Roman" w:eastAsia="Times New Roman" w:hint="default"/>
        </w:rPr>
        <w:t>31.45%</w:t>
      </w:r>
      <w:r>
        <w:rPr/>
        <w:t>。</w:t>
      </w:r>
    </w:p>
    <w:p>
      <w:pPr>
        <w:spacing w:line="240" w:lineRule="auto" w:before="2"/>
        <w:rPr>
          <w:rFonts w:ascii="宋体" w:hAnsi="宋体" w:cs="宋体" w:eastAsia="宋体" w:hint="default"/>
          <w:sz w:val="29"/>
          <w:szCs w:val="29"/>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本企业最终控制方是吴强华。 其他说明：</w:t>
      </w:r>
    </w:p>
    <w:p>
      <w:pPr>
        <w:spacing w:line="240" w:lineRule="auto" w:before="6"/>
        <w:rPr>
          <w:rFonts w:ascii="宋体" w:hAnsi="宋体" w:cs="宋体" w:eastAsia="宋体" w:hint="default"/>
          <w:sz w:val="20"/>
          <w:szCs w:val="20"/>
        </w:rPr>
      </w:pPr>
    </w:p>
    <w:p>
      <w:pPr>
        <w:spacing w:line="544" w:lineRule="auto" w:before="0"/>
        <w:ind w:left="152" w:right="51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2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北京汉王智通科技有限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北京汉王智通科技有限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北京汉王智通科技有限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北京汉王智通科技有限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183,600,000.00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十二、股份支付</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2,193,055.00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首次授予期权的行权价为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 </w:t>
            </w:r>
            <w:r>
              <w:rPr>
                <w:rFonts w:ascii="宋体" w:hAnsi="宋体" w:cs="宋体" w:eastAsia="宋体" w:hint="default"/>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剩余合同期限为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日第二次授予期权的行权价为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元，剩余合同期限为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年。</w:t>
            </w:r>
            <w:r>
              <w:rPr>
                <w:rFonts w:ascii="宋体" w:hAnsi="宋体" w:cs="宋体" w:eastAsia="宋体" w:hint="default"/>
                <w:sz w:val="18"/>
                <w:szCs w:val="18"/>
              </w:rPr>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38" w:lineRule="auto" w:before="145"/>
        <w:ind w:right="148" w:firstLine="482"/>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日第二届董事会第三十四次会议审议通过了《关于调整股票期权数量及行权</w:t>
      </w:r>
      <w:r>
        <w:rPr/>
        <w:t> </w:t>
      </w:r>
      <w:r>
        <w:rPr>
          <w:spacing w:val="-2"/>
        </w:rPr>
        <w:t>价格的议案》对首次授予股票期权价格调整为</w:t>
      </w:r>
      <w:r>
        <w:rPr>
          <w:rFonts w:ascii="Times New Roman" w:hAnsi="Times New Roman" w:cs="Times New Roman" w:eastAsia="Times New Roman" w:hint="default"/>
          <w:spacing w:val="-2"/>
        </w:rPr>
        <w:t>5.06</w:t>
      </w:r>
      <w:r>
        <w:rPr>
          <w:spacing w:val="-2"/>
        </w:rPr>
        <w:t>元，预留部分的行权价格调整为</w:t>
      </w:r>
      <w:r>
        <w:rPr>
          <w:rFonts w:ascii="Times New Roman" w:hAnsi="Times New Roman" w:cs="Times New Roman" w:eastAsia="Times New Roman" w:hint="default"/>
          <w:spacing w:val="-2"/>
        </w:rPr>
        <w:t>5.49</w:t>
      </w:r>
      <w:r>
        <w:rPr>
          <w:spacing w:val="-2"/>
        </w:rPr>
        <w:t>元，经</w:t>
      </w:r>
      <w:r>
        <w:rPr>
          <w:spacing w:val="-109"/>
        </w:rPr>
        <w:t> </w:t>
      </w:r>
      <w:r>
        <w:rPr>
          <w:spacing w:val="-109"/>
        </w:rPr>
      </w:r>
      <w:r>
        <w:rPr/>
        <w:t>过本次调整，《股票期权激励计划》所涉股票期权数量变更为</w:t>
      </w:r>
      <w:r>
        <w:rPr>
          <w:rFonts w:ascii="Times New Roman" w:hAnsi="Times New Roman" w:cs="Times New Roman" w:eastAsia="Times New Roman" w:hint="default"/>
        </w:rPr>
        <w:t>783.00</w:t>
      </w:r>
      <w:r>
        <w:rPr/>
        <w:t>万份，其中首次授予股</w:t>
      </w:r>
      <w:r>
        <w:rPr>
          <w:spacing w:val="-37"/>
        </w:rPr>
        <w:t> </w:t>
      </w:r>
      <w:r>
        <w:rPr/>
        <w:t>票期权的数量变更为</w:t>
      </w:r>
      <w:r>
        <w:rPr>
          <w:rFonts w:ascii="Times New Roman" w:hAnsi="Times New Roman" w:cs="Times New Roman" w:eastAsia="Times New Roman" w:hint="default"/>
        </w:rPr>
        <w:t>706.50</w:t>
      </w:r>
      <w:r>
        <w:rPr/>
        <w:t>万份，预留部分数量变更为</w:t>
      </w:r>
      <w:r>
        <w:rPr>
          <w:rFonts w:ascii="Times New Roman" w:hAnsi="Times New Roman" w:cs="Times New Roman" w:eastAsia="Times New Roman" w:hint="default"/>
        </w:rPr>
        <w:t>76.50</w:t>
      </w:r>
      <w:r>
        <w:rPr/>
        <w:t>万份。</w:t>
      </w:r>
    </w:p>
    <w:p>
      <w:pPr>
        <w:spacing w:line="240" w:lineRule="auto" w:before="1"/>
        <w:rPr>
          <w:rFonts w:ascii="宋体" w:hAnsi="宋体" w:cs="宋体" w:eastAsia="宋体" w:hint="default"/>
          <w:sz w:val="21"/>
          <w:szCs w:val="21"/>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公司选择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模型来计算期权的公允价值。</w:t>
            </w:r>
          </w:p>
        </w:tc>
      </w:tr>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根据最新取得的可行权人数变动、业绩指标完成情况等后 续信息，修正预计可行权的股票期权数量。</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8,468,473.00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893,633.00</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十三、承诺及或有事项</w:t>
      </w:r>
      <w:r>
        <w:rPr>
          <w:b w:val="0"/>
          <w:bCs w:val="0"/>
        </w:rPr>
      </w:r>
    </w:p>
    <w:p>
      <w:pPr>
        <w:spacing w:line="240" w:lineRule="auto" w:before="12"/>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66"/>
        <w:ind w:left="633" w:right="153"/>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日，本公司无需要披露的重大承诺事项。</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1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93" w:firstLine="480"/>
        <w:jc w:val="both"/>
      </w:pPr>
      <w:r>
        <w:rPr/>
        <w:t>本公司的控股子公司北京汉王智通科技有限公司在北京银行股份有限公司中关村支行取 得综合授信</w:t>
      </w:r>
      <w:r>
        <w:rPr>
          <w:rFonts w:ascii="宋体" w:hAnsi="宋体" w:cs="宋体" w:eastAsia="宋体" w:hint="default"/>
        </w:rPr>
        <w:t>5000</w:t>
      </w:r>
      <w:r>
        <w:rPr/>
        <w:t>万元人民币，其中，流动资金贷款授信额度</w:t>
      </w:r>
      <w:r>
        <w:rPr>
          <w:rFonts w:ascii="宋体" w:hAnsi="宋体" w:cs="宋体" w:eastAsia="宋体" w:hint="default"/>
        </w:rPr>
        <w:t>3000</w:t>
      </w:r>
      <w:r>
        <w:rPr/>
        <w:t>万元，银行承兑汇票</w:t>
      </w:r>
      <w:r>
        <w:rPr>
          <w:rFonts w:ascii="宋体" w:hAnsi="宋体" w:cs="宋体" w:eastAsia="宋体" w:hint="default"/>
        </w:rPr>
        <w:t>2000</w:t>
      </w:r>
      <w:r>
        <w:rPr/>
        <w:t>万</w:t>
      </w:r>
      <w:r>
        <w:rPr>
          <w:spacing w:val="-88"/>
        </w:rPr>
        <w:t> </w:t>
      </w:r>
      <w:r>
        <w:rPr/>
        <w:t>元，本公司为该笔综合授信提供</w:t>
      </w:r>
      <w:r>
        <w:rPr>
          <w:rFonts w:ascii="宋体" w:hAnsi="宋体" w:cs="宋体" w:eastAsia="宋体" w:hint="default"/>
        </w:rPr>
        <w:t>5000</w:t>
      </w:r>
      <w:r>
        <w:rPr/>
        <w:t>万元连带责任担保。</w:t>
      </w:r>
    </w:p>
    <w:p>
      <w:pPr>
        <w:pStyle w:val="BodyText"/>
        <w:spacing w:line="357" w:lineRule="auto"/>
        <w:ind w:right="109" w:firstLine="480"/>
        <w:jc w:val="both"/>
      </w:pPr>
      <w:r>
        <w:rPr/>
        <w:t>本公司的控股子公司北京汉王智通科技有限公司在民生银行取得综合授信</w:t>
      </w:r>
      <w:r>
        <w:rPr>
          <w:rFonts w:ascii="宋体" w:hAnsi="宋体" w:cs="宋体" w:eastAsia="宋体" w:hint="default"/>
        </w:rPr>
        <w:t>1</w:t>
      </w:r>
      <w:r>
        <w:rPr/>
        <w:t>亿元人民币， 本公司为该笔授信提供</w:t>
      </w:r>
      <w:r>
        <w:rPr>
          <w:rFonts w:ascii="宋体" w:hAnsi="宋体" w:cs="宋体" w:eastAsia="宋体" w:hint="default"/>
        </w:rPr>
        <w:t>1</w:t>
      </w:r>
      <w:r>
        <w:rPr/>
        <w:t>亿元高额连带责任担保。</w:t>
      </w:r>
    </w:p>
    <w:p>
      <w:pPr>
        <w:pStyle w:val="BodyText"/>
        <w:spacing w:line="357" w:lineRule="auto" w:before="37"/>
        <w:ind w:right="198" w:firstLine="480"/>
        <w:jc w:val="both"/>
      </w:pPr>
      <w:r>
        <w:rPr/>
        <w:t>本公司的控股子公司北京汉王智通科技有限公司在招商银行股份有限公司北京大运村支 行取得综合授信</w:t>
      </w:r>
      <w:r>
        <w:rPr>
          <w:rFonts w:ascii="宋体" w:hAnsi="宋体" w:cs="宋体" w:eastAsia="宋体" w:hint="default"/>
        </w:rPr>
        <w:t>2000</w:t>
      </w:r>
      <w:r>
        <w:rPr/>
        <w:t>万元，北京汉王智通科技有限公司法定代表人张开春及本公司为该笔授</w:t>
      </w:r>
      <w:r>
        <w:rPr>
          <w:spacing w:val="-91"/>
        </w:rPr>
        <w:t> </w:t>
      </w:r>
      <w:r>
        <w:rPr>
          <w:spacing w:val="-91"/>
        </w:rPr>
      </w:r>
      <w:r>
        <w:rPr/>
        <w:t>信承担高额连带责任担保。</w:t>
      </w:r>
    </w:p>
    <w:p>
      <w:pPr>
        <w:pStyle w:val="BodyText"/>
        <w:spacing w:line="357" w:lineRule="auto"/>
        <w:ind w:right="187" w:firstLine="480"/>
        <w:jc w:val="both"/>
      </w:pPr>
      <w:r>
        <w:rPr/>
        <w:t>本公司及北京汉王智通科技有限公司法定代表人张开春为本公司的控股子公司北京汉王 </w:t>
      </w:r>
      <w:r>
        <w:rPr>
          <w:spacing w:val="6"/>
        </w:rPr>
        <w:t>智通科技有限公司与远东国际租赁有限公司签署的全部合同在</w:t>
      </w:r>
      <w:r>
        <w:rPr>
          <w:rFonts w:ascii="宋体" w:hAnsi="宋体" w:cs="宋体" w:eastAsia="宋体" w:hint="default"/>
          <w:spacing w:val="6"/>
        </w:rPr>
        <w:t>3000</w:t>
      </w:r>
      <w:r>
        <w:rPr>
          <w:spacing w:val="6"/>
        </w:rPr>
        <w:t>万元内提供连带责任担</w:t>
      </w:r>
      <w:r>
        <w:rPr>
          <w:spacing w:val="-91"/>
        </w:rPr>
        <w:t> </w:t>
      </w:r>
      <w:r>
        <w:rPr>
          <w:spacing w:val="-91"/>
        </w:rPr>
      </w:r>
      <w:r>
        <w:rPr/>
        <w:t>保。</w:t>
      </w:r>
    </w:p>
    <w:p>
      <w:pPr>
        <w:spacing w:line="240" w:lineRule="auto" w:before="11"/>
        <w:rPr>
          <w:rFonts w:ascii="宋体" w:hAnsi="宋体" w:cs="宋体" w:eastAsia="宋体" w:hint="default"/>
          <w:sz w:val="19"/>
          <w:szCs w:val="19"/>
        </w:rPr>
      </w:pPr>
    </w:p>
    <w:p>
      <w:pPr>
        <w:pStyle w:val="Heading2"/>
        <w:spacing w:line="240" w:lineRule="auto"/>
        <w:ind w:right="184"/>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spacing w:before="0"/>
        <w:ind w:left="152" w:right="1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15,305,348.40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15,305,348.40</w:t>
            </w:r>
          </w:p>
        </w:tc>
      </w:tr>
    </w:tbl>
    <w:p>
      <w:pPr>
        <w:spacing w:line="240" w:lineRule="auto" w:before="3"/>
        <w:rPr>
          <w:rFonts w:ascii="宋体" w:hAnsi="宋体" w:cs="宋体" w:eastAsia="宋体" w:hint="default"/>
          <w:sz w:val="19"/>
          <w:szCs w:val="19"/>
        </w:rPr>
      </w:pPr>
    </w:p>
    <w:p>
      <w:pPr>
        <w:spacing w:before="36"/>
        <w:ind w:left="152" w:right="1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240" w:lineRule="auto" w:before="0"/>
        <w:ind w:left="633" w:right="184"/>
        <w:jc w:val="left"/>
      </w:pPr>
      <w:r>
        <w:rPr>
          <w:rFonts w:ascii="宋体" w:hAnsi="宋体" w:cs="宋体" w:eastAsia="宋体" w:hint="default"/>
        </w:rPr>
        <w:t>1</w:t>
      </w:r>
      <w:r>
        <w:rPr/>
        <w:t>、利润分配</w:t>
      </w:r>
    </w:p>
    <w:p>
      <w:pPr>
        <w:pStyle w:val="BodyText"/>
        <w:spacing w:line="357" w:lineRule="auto" w:before="154"/>
        <w:ind w:right="94" w:firstLine="480"/>
        <w:jc w:val="left"/>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日，公司召开第三届董事会第十一次会议，审议通过</w:t>
      </w:r>
      <w:r>
        <w:rPr>
          <w:rFonts w:ascii="宋体" w:hAnsi="宋体" w:cs="宋体" w:eastAsia="宋体" w:hint="default"/>
        </w:rPr>
        <w:t>2015</w:t>
      </w:r>
      <w:r>
        <w:rPr/>
        <w:t>年利润分配方案， 公司拟以总股本</w:t>
      </w:r>
      <w:r>
        <w:rPr>
          <w:rFonts w:ascii="宋体" w:hAnsi="宋体" w:cs="宋体" w:eastAsia="宋体" w:hint="default"/>
        </w:rPr>
        <w:t>382,633,710</w:t>
      </w:r>
      <w:r>
        <w:rPr/>
        <w:t>股为基数，向全体股东每</w:t>
      </w:r>
      <w:r>
        <w:rPr>
          <w:rFonts w:ascii="宋体" w:hAnsi="宋体" w:cs="宋体" w:eastAsia="宋体" w:hint="default"/>
        </w:rPr>
        <w:t>10</w:t>
      </w:r>
      <w:r>
        <w:rPr/>
        <w:t>股派发现金红利</w:t>
      </w:r>
      <w:r>
        <w:rPr>
          <w:rFonts w:ascii="宋体" w:hAnsi="宋体" w:cs="宋体" w:eastAsia="宋体" w:hint="default"/>
        </w:rPr>
        <w:t>0.4</w:t>
      </w:r>
      <w:r>
        <w:rPr/>
        <w:t>元（含税），共</w:t>
      </w:r>
      <w:r>
        <w:rPr>
          <w:spacing w:val="-87"/>
        </w:rPr>
        <w:t> </w:t>
      </w:r>
      <w:r>
        <w:rPr>
          <w:spacing w:val="-87"/>
        </w:rPr>
      </w:r>
      <w:r>
        <w:rPr>
          <w:spacing w:val="-2"/>
        </w:rPr>
        <w:t>计派发现金红利</w:t>
      </w:r>
      <w:r>
        <w:rPr>
          <w:rFonts w:ascii="宋体" w:hAnsi="宋体" w:cs="宋体" w:eastAsia="宋体" w:hint="default"/>
          <w:spacing w:val="-2"/>
        </w:rPr>
        <w:t>15,305,348.40</w:t>
      </w:r>
      <w:r>
        <w:rPr>
          <w:spacing w:val="-2"/>
        </w:rPr>
        <w:t>元，剩余未分配利润结转以后年度分配。本年度不进行资本公</w:t>
      </w:r>
      <w:r>
        <w:rPr>
          <w:spacing w:val="-108"/>
        </w:rPr>
        <w:t> </w:t>
      </w:r>
      <w:r>
        <w:rPr>
          <w:spacing w:val="-108"/>
        </w:rPr>
      </w:r>
      <w:r>
        <w:rPr/>
        <w:t>积金转增股本。</w:t>
      </w:r>
    </w:p>
    <w:p>
      <w:pPr>
        <w:pStyle w:val="BodyText"/>
        <w:spacing w:line="357" w:lineRule="auto"/>
        <w:ind w:right="184" w:firstLine="480"/>
        <w:jc w:val="left"/>
      </w:pPr>
      <w:r>
        <w:rPr>
          <w:rFonts w:ascii="宋体" w:hAnsi="宋体" w:cs="宋体" w:eastAsia="宋体" w:hint="default"/>
          <w:spacing w:val="-3"/>
        </w:rPr>
        <w:t>2</w:t>
      </w:r>
      <w:r>
        <w:rPr>
          <w:spacing w:val="-3"/>
        </w:rPr>
        <w:t>、关于收购保定金迪地下管线探测工程有限公司、保定市金迪科技开发有限公司及保定</w:t>
      </w:r>
      <w:r>
        <w:rPr/>
        <w:t> 金迪科学仪器有限公司部分股权</w:t>
      </w:r>
    </w:p>
    <w:p>
      <w:pPr>
        <w:pStyle w:val="BodyText"/>
        <w:spacing w:line="240" w:lineRule="auto"/>
        <w:ind w:left="633" w:right="0"/>
        <w:jc w:val="left"/>
      </w:pPr>
      <w:r>
        <w:rPr/>
        <w:t>公司于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29</w:t>
      </w:r>
      <w:r>
        <w:rPr/>
        <w:t>日召开第三届董事会第十次会议，审议通过了《关于收购保定金迪地</w:t>
      </w:r>
    </w:p>
    <w:p>
      <w:pPr>
        <w:spacing w:after="0" w:line="240" w:lineRule="auto"/>
        <w:jc w:val="left"/>
        <w:sectPr>
          <w:pgSz w:w="11910" w:h="16840"/>
          <w:pgMar w:header="745" w:footer="979" w:top="1060" w:bottom="1160" w:left="980" w:right="940"/>
        </w:sectPr>
      </w:pPr>
    </w:p>
    <w:p>
      <w:pPr>
        <w:spacing w:line="240" w:lineRule="auto" w:before="7"/>
        <w:rPr>
          <w:rFonts w:ascii="宋体" w:hAnsi="宋体" w:cs="宋体" w:eastAsia="宋体" w:hint="default"/>
          <w:sz w:val="29"/>
          <w:szCs w:val="29"/>
        </w:rPr>
      </w:pPr>
    </w:p>
    <w:p>
      <w:pPr>
        <w:pStyle w:val="BodyText"/>
        <w:spacing w:line="357" w:lineRule="auto" w:before="26"/>
        <w:ind w:right="151"/>
        <w:jc w:val="both"/>
      </w:pPr>
      <w:r>
        <w:rPr/>
        <w:t>下管线探测工程有限公司、保定市金迪科技开发有限公司及保定金迪科学仪器有限公司部分</w:t>
      </w:r>
      <w:r>
        <w:rPr>
          <w:spacing w:val="-91"/>
        </w:rPr>
        <w:t> </w:t>
      </w:r>
      <w:r>
        <w:rPr>
          <w:spacing w:val="-91"/>
        </w:rPr>
      </w:r>
      <w:r>
        <w:rPr>
          <w:spacing w:val="-2"/>
        </w:rPr>
        <w:t>股权的议案》，本次公司拟以自有资金继续收购金迪管线、金迪科技各</w:t>
      </w:r>
      <w:r>
        <w:rPr>
          <w:rFonts w:ascii="宋体" w:hAnsi="宋体" w:cs="宋体" w:eastAsia="宋体" w:hint="default"/>
          <w:spacing w:val="-2"/>
        </w:rPr>
        <w:t>35%</w:t>
      </w:r>
      <w:r>
        <w:rPr>
          <w:spacing w:val="-2"/>
        </w:rPr>
        <w:t>的股权和保定金迪</w:t>
      </w:r>
      <w:r>
        <w:rPr/>
        <w:t> </w:t>
      </w:r>
      <w:r>
        <w:rPr>
          <w:spacing w:val="-2"/>
        </w:rPr>
        <w:t>科学仪器有限公司</w:t>
      </w:r>
      <w:r>
        <w:rPr>
          <w:rFonts w:ascii="宋体" w:hAnsi="宋体" w:cs="宋体" w:eastAsia="宋体" w:hint="default"/>
          <w:spacing w:val="-2"/>
        </w:rPr>
        <w:t>75%</w:t>
      </w:r>
      <w:r>
        <w:rPr>
          <w:spacing w:val="-2"/>
        </w:rPr>
        <w:t>的股权，收购完成后，公司持有金迪管线、金迪科技及金迪科仪的股权</w:t>
      </w:r>
      <w:r>
        <w:rPr/>
        <w:t> 分别为</w:t>
      </w:r>
      <w:r>
        <w:rPr>
          <w:rFonts w:ascii="宋体" w:hAnsi="宋体" w:cs="宋体" w:eastAsia="宋体" w:hint="default"/>
        </w:rPr>
        <w:t>75%</w:t>
      </w:r>
      <w:r>
        <w:rPr/>
        <w:t>、</w:t>
      </w:r>
      <w:r>
        <w:rPr>
          <w:rFonts w:ascii="宋体" w:hAnsi="宋体" w:cs="宋体" w:eastAsia="宋体" w:hint="default"/>
        </w:rPr>
        <w:t>75%</w:t>
      </w:r>
      <w:r>
        <w:rPr/>
        <w:t>、</w:t>
      </w:r>
      <w:r>
        <w:rPr>
          <w:rFonts w:ascii="宋体" w:hAnsi="宋体" w:cs="宋体" w:eastAsia="宋体" w:hint="default"/>
        </w:rPr>
        <w:t>75%</w:t>
      </w:r>
      <w:r>
        <w:rPr/>
        <w:t>。</w:t>
      </w:r>
    </w:p>
    <w:p>
      <w:pPr>
        <w:pStyle w:val="BodyText"/>
        <w:spacing w:line="357" w:lineRule="auto"/>
        <w:ind w:left="633" w:right="153"/>
        <w:jc w:val="left"/>
      </w:pPr>
      <w:r>
        <w:rPr>
          <w:rFonts w:ascii="宋体" w:hAnsi="宋体" w:cs="宋体" w:eastAsia="宋体" w:hint="default"/>
        </w:rPr>
        <w:t>3</w:t>
      </w:r>
      <w:r>
        <w:rPr/>
        <w:t>、控股子公司完成名称变更 根据公司未来经营发展需要，北京汉王智通科技有限公司现更名为北京数字智通科技有</w:t>
      </w:r>
    </w:p>
    <w:p>
      <w:pPr>
        <w:pStyle w:val="BodyText"/>
        <w:spacing w:line="357" w:lineRule="auto"/>
        <w:ind w:right="153"/>
        <w:jc w:val="left"/>
      </w:pPr>
      <w:r>
        <w:rPr/>
        <w:t>限公司，截止本财务报告报出日，北京数字智通科技有限公司已取得北京市工商行政管理局</w:t>
      </w:r>
      <w:r>
        <w:rPr>
          <w:spacing w:val="-87"/>
        </w:rPr>
        <w:t> </w:t>
      </w:r>
      <w:r>
        <w:rPr>
          <w:spacing w:val="-87"/>
        </w:rPr>
      </w:r>
      <w:r>
        <w:rPr/>
        <w:t>海淀分局换发的《企业法人营业执照》，相关工商变更登记手续已办理完毕。</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53" w:firstLine="480"/>
        <w:jc w:val="left"/>
      </w:pPr>
      <w:r>
        <w:rPr/>
        <w:t>本公司及子公司从事智慧城市管理领域、国土资源管理与城市规划领域软件应用服务， 经营业务、评价体系不进行分部管理，因此，本公司不单独进行分部报告信息披露。</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348,556,</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271.28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34,160,2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43.00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9.81%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314,396,0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28.28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270,593</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,369.40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25,542,57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7.10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245,050,79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2.30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348,556,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271.28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34,160,2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43.00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9.81%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314,396,0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28.28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270,593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,369.40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25,542,57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7.10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9.44%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245,050,79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2.30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236,539,004.18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11,826,950.22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236,539,004.18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11,826,950.22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75,896,188.62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7,589,618.86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24,161,207.22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7,248,362.17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6,664,533.58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3,332,266.79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3,574,569.00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2,859,655.20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1,303,389.76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1,303,389.76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348,138,892.36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34,160,243.00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w:t>
            </w:r>
          </w:p>
        </w:tc>
      </w:tr>
    </w:tbl>
    <w:p>
      <w:pPr>
        <w:spacing w:before="49"/>
        <w:ind w:left="152" w:right="18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8"/>
        <w:ind w:right="184"/>
        <w:jc w:val="left"/>
      </w:pPr>
      <w:r>
        <w:rPr/>
        <w:t>本组合为与本公司无关联关系的国内客户的应收款项。</w:t>
      </w:r>
    </w:p>
    <w:p>
      <w:pPr>
        <w:spacing w:before="87"/>
        <w:ind w:left="152" w:right="18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141"/>
        <w:gridCol w:w="2393"/>
        <w:gridCol w:w="2391"/>
        <w:gridCol w:w="2290"/>
      </w:tblGrid>
      <w:tr>
        <w:trPr>
          <w:trHeight w:val="356" w:hRule="exact"/>
        </w:trPr>
        <w:tc>
          <w:tcPr>
            <w:tcW w:w="2141" w:type="dxa"/>
            <w:vMerge w:val="restart"/>
            <w:tcBorders>
              <w:top w:val="single" w:sz="6" w:space="0" w:color="000000"/>
              <w:left w:val="single" w:sz="6" w:space="0" w:color="000000"/>
              <w:right w:val="single" w:sz="6" w:space="0" w:color="000000"/>
            </w:tcBorders>
          </w:tcPr>
          <w:p>
            <w:pPr>
              <w:pStyle w:val="TableParagraph"/>
              <w:spacing w:line="240" w:lineRule="auto"/>
              <w:ind w:left="646"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707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3" w:hRule="exact"/>
        </w:trPr>
        <w:tc>
          <w:tcPr>
            <w:tcW w:w="2141" w:type="dxa"/>
            <w:vMerge/>
            <w:tcBorders>
              <w:left w:val="single" w:sz="6" w:space="0" w:color="000000"/>
              <w:bottom w:val="single" w:sz="12" w:space="0" w:color="000000"/>
              <w:right w:val="single" w:sz="6" w:space="0" w:color="000000"/>
            </w:tcBorders>
          </w:tcPr>
          <w:p>
            <w:pPr/>
          </w:p>
        </w:tc>
        <w:tc>
          <w:tcPr>
            <w:tcW w:w="239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77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71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50" w:hRule="exact"/>
        </w:trPr>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2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417,378.92</w:t>
            </w:r>
          </w:p>
        </w:tc>
        <w:tc>
          <w:tcPr>
            <w:tcW w:w="2391" w:type="dxa"/>
            <w:tcBorders>
              <w:top w:val="single" w:sz="12" w:space="0" w:color="000000"/>
              <w:left w:val="single" w:sz="6" w:space="0" w:color="000000"/>
              <w:bottom w:val="single" w:sz="12" w:space="0" w:color="000000"/>
              <w:right w:val="single" w:sz="6" w:space="0" w:color="000000"/>
            </w:tcBorders>
          </w:tcPr>
          <w:p>
            <w:pPr/>
          </w:p>
        </w:tc>
        <w:tc>
          <w:tcPr>
            <w:tcW w:w="229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417,378.92</w:t>
            </w:r>
          </w:p>
        </w:tc>
        <w:tc>
          <w:tcPr>
            <w:tcW w:w="2391" w:type="dxa"/>
            <w:tcBorders>
              <w:top w:val="single" w:sz="12" w:space="0" w:color="000000"/>
              <w:left w:val="single" w:sz="6" w:space="0" w:color="000000"/>
              <w:bottom w:val="single" w:sz="12" w:space="0" w:color="000000"/>
              <w:right w:val="single" w:sz="6" w:space="0" w:color="000000"/>
            </w:tcBorders>
          </w:tcPr>
          <w:p>
            <w:pPr/>
          </w:p>
        </w:tc>
        <w:tc>
          <w:tcPr>
            <w:tcW w:w="229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1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8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8,617,665.90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3"/>
        <w:rPr>
          <w:rFonts w:ascii="宋体" w:hAnsi="宋体" w:cs="宋体" w:eastAsia="宋体" w:hint="default"/>
          <w:sz w:val="26"/>
          <w:szCs w:val="26"/>
        </w:rPr>
      </w:pPr>
    </w:p>
    <w:p>
      <w:pPr>
        <w:spacing w:before="0"/>
        <w:ind w:left="152" w:right="1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00" w:lineRule="auto" w:before="0"/>
        <w:ind w:left="152" w:right="97" w:firstLine="0"/>
        <w:jc w:val="left"/>
        <w:rPr>
          <w:rFonts w:ascii="宋体" w:hAnsi="宋体" w:cs="宋体" w:eastAsia="宋体" w:hint="default"/>
          <w:sz w:val="18"/>
          <w:szCs w:val="18"/>
        </w:rPr>
      </w:pPr>
      <w:r>
        <w:rPr>
          <w:rFonts w:ascii="宋体" w:hAnsi="宋体" w:cs="宋体" w:eastAsia="宋体" w:hint="default"/>
          <w:sz w:val="18"/>
          <w:szCs w:val="18"/>
        </w:rPr>
        <w:t>本公司本年按欠款方归集的年末余额前五名应收账款汇总金额</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55,440,368.37</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元，占应收账款年末余额合计数的比例</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15.91%</w:t>
      </w:r>
      <w:r>
        <w:rPr>
          <w:rFonts w:ascii="宋体" w:hAnsi="宋体" w:cs="宋体" w:eastAsia="宋体" w:hint="default"/>
          <w:spacing w:val="-1"/>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相应计提的坏账准备年末余额汇总金额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3,078,247.48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22"/>
          <w:szCs w:val="22"/>
        </w:rPr>
      </w:pPr>
    </w:p>
    <w:p>
      <w:pPr>
        <w:spacing w:before="0"/>
        <w:ind w:left="152" w:right="1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6"/>
        <w:gridCol w:w="788"/>
        <w:gridCol w:w="1416"/>
        <w:gridCol w:w="1748"/>
        <w:gridCol w:w="931"/>
      </w:tblGrid>
      <w:tr>
        <w:trPr>
          <w:trHeight w:val="404"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2" w:type="dxa"/>
            <w:vMerge/>
            <w:tcBorders>
              <w:left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104,186,</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192.82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104,186,1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92.82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78,943,</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393.92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78,943,393.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104,186,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192.82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104,186,1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92.82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78,943,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393.92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78,943,393.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line="340" w:lineRule="auto" w:before="40"/>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组合中，采用余额百分比法计提坏账准备的其他应收款：</w:t>
      </w:r>
    </w:p>
    <w:p>
      <w:pPr>
        <w:spacing w:line="338" w:lineRule="auto" w:before="41"/>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946"/>
        <w:gridCol w:w="2410"/>
        <w:gridCol w:w="1843"/>
        <w:gridCol w:w="2017"/>
      </w:tblGrid>
      <w:tr>
        <w:trPr>
          <w:trHeight w:val="353" w:hRule="exact"/>
        </w:trPr>
        <w:tc>
          <w:tcPr>
            <w:tcW w:w="2946"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270" w:type="dxa"/>
            <w:gridSpan w:val="3"/>
            <w:tcBorders>
              <w:top w:val="single" w:sz="6" w:space="0" w:color="000000"/>
              <w:left w:val="single" w:sz="6" w:space="0" w:color="000000"/>
              <w:bottom w:val="single" w:sz="12"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3" w:hRule="exact"/>
        </w:trPr>
        <w:tc>
          <w:tcPr>
            <w:tcW w:w="2946" w:type="dxa"/>
            <w:vMerge/>
            <w:tcBorders>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77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17"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58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53" w:hRule="exact"/>
        </w:trPr>
        <w:tc>
          <w:tcPr>
            <w:tcW w:w="29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50,259,290.42</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2017"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294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备用金、押金及保证金组合</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53,926,902.40</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201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4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104,186,192.82</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2017"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50,259,290.42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37,111,096.06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备用金、押金及保证金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53,095,123.40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31,052,559.73</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8,445,926.63</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831,779.00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2,333,811.50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104,186,192.82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78,943,393.92</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北京汉王智通科技有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49,887,873.17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47.88%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鄂尔多斯市东胜区信 息化委员会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3,800,432.00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袁迟珊</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2,584,285.48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杨林赐</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2,319,687.05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黄晨钧</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2,206,064.92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60,798,342.62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58.36%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139,900,000.00</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139,900,000.00</w:t>
            </w: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北京汉王智通科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北京数字政通智 能泊车技术有限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政通智慧城市运 营科技有限公司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武汉智慧政通科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北京数聚联盟科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克拉玛依数字政 通科技有限责任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上海政通信息科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安徽数字政通科</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技有限责任公司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139,900,000.00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23,250,000.00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163,150,000.00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保定金迪 地下管线 探测工程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279,745,2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279,745,2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保定市金 迪科技开 发有限公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26,254,80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26,254,80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306,000,0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306,000,0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306,000,0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3"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466,024,969.82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258,055,730.61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366,420,347.08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197,682,793.22</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2,731,966.05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1,455,018.34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169,416.28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468,756,935.87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259,510,748.95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366,589,763.36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197,682,793.22</w:t>
            </w:r>
          </w:p>
        </w:tc>
      </w:tr>
    </w:tbl>
    <w:p>
      <w:pPr>
        <w:spacing w:before="49"/>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2,149,369.87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收购子公司盈利补偿</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149,369.87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-374,810.85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18,636,807.12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2,784,357.91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105,603.32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15,372,030.06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96"/>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0"/>
        <w:rPr>
          <w:rFonts w:ascii="宋体" w:hAnsi="宋体" w:cs="宋体" w:eastAsia="宋体" w:hint="default"/>
          <w:b/>
          <w:bCs/>
          <w:sz w:val="45"/>
          <w:szCs w:val="45"/>
        </w:rPr>
      </w:pPr>
    </w:p>
    <w:p>
      <w:pPr>
        <w:pStyle w:val="BodyText"/>
        <w:spacing w:line="357" w:lineRule="auto" w:before="0"/>
        <w:ind w:right="96" w:firstLine="482"/>
        <w:jc w:val="left"/>
      </w:pPr>
      <w:r>
        <w:rPr>
          <w:spacing w:val="-3"/>
        </w:rPr>
        <w:t>一、载有公司法定代表人、主管会计工作负责人、公司会计机构负责人（会计主管人员）</w:t>
      </w:r>
      <w:r>
        <w:rPr/>
        <w:t> 签名并盖章的财务报表。</w:t>
      </w:r>
    </w:p>
    <w:p>
      <w:pPr>
        <w:pStyle w:val="BodyText"/>
        <w:spacing w:line="357" w:lineRule="auto"/>
        <w:ind w:left="635" w:right="96"/>
        <w:jc w:val="left"/>
      </w:pPr>
      <w:r>
        <w:rPr/>
        <w:t>二、载有会计师事务所盖章、注册会计师签名并盖章的审计报告原件。 </w:t>
      </w:r>
      <w:r>
        <w:rPr>
          <w:spacing w:val="-3"/>
        </w:rPr>
        <w:t>三、报告期内在中国证监会指定网站上公开披露过的所有公司文件的正本及公告的原稿。</w:t>
      </w:r>
      <w:r>
        <w:rPr>
          <w:spacing w:val="-87"/>
        </w:rPr>
        <w:t> </w:t>
      </w:r>
      <w:r>
        <w:rPr>
          <w:spacing w:val="-87"/>
        </w:rPr>
      </w:r>
      <w:r>
        <w:rPr/>
        <w:t>四、经公司法定代表人签名的</w:t>
      </w:r>
      <w:r>
        <w:rPr>
          <w:rFonts w:ascii="宋体" w:hAnsi="宋体" w:cs="宋体" w:eastAsia="宋体" w:hint="default"/>
        </w:rPr>
        <w:t>2015</w:t>
      </w:r>
      <w:r>
        <w:rPr/>
        <w:t>年度报告文件原件。</w:t>
      </w:r>
    </w:p>
    <w:p>
      <w:pPr>
        <w:pStyle w:val="BodyText"/>
        <w:spacing w:line="357" w:lineRule="auto"/>
        <w:ind w:left="635" w:right="3371"/>
        <w:jc w:val="left"/>
      </w:pPr>
      <w:r>
        <w:rPr/>
        <w:t>五、其他相关资料。 六、以上备查文件的备置地点：公司董事会秘书办公室。</w:t>
      </w:r>
    </w:p>
    <w:p>
      <w:pPr>
        <w:spacing w:line="240" w:lineRule="auto" w:before="0"/>
        <w:rPr>
          <w:rFonts w:ascii="宋体" w:hAnsi="宋体" w:cs="宋体" w:eastAsia="宋体" w:hint="default"/>
          <w:sz w:val="24"/>
          <w:szCs w:val="24"/>
        </w:rPr>
      </w:pPr>
    </w:p>
    <w:p>
      <w:pPr>
        <w:pStyle w:val="BodyText"/>
        <w:spacing w:line="715" w:lineRule="auto" w:before="190"/>
        <w:ind w:left="6754" w:right="214" w:hanging="322"/>
        <w:jc w:val="left"/>
      </w:pPr>
      <w:r>
        <w:rPr/>
        <w:t>北京数字政通科技股份有限公司 法定代表人</w:t>
      </w:r>
      <w:r>
        <w:rPr>
          <w:rFonts w:ascii="宋体" w:hAnsi="宋体" w:cs="宋体" w:eastAsia="宋体" w:hint="default"/>
        </w:rPr>
        <w:t>:</w:t>
      </w:r>
      <w:r>
        <w:rPr/>
        <w:t>吴强华</w:t>
      </w:r>
    </w:p>
    <w:p>
      <w:pPr>
        <w:pStyle w:val="BodyText"/>
        <w:spacing w:line="240" w:lineRule="auto" w:before="147"/>
        <w:ind w:left="0" w:right="1349"/>
        <w:jc w:val="right"/>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w:t>
      </w:r>
    </w:p>
    <w:sectPr>
      <w:pgSz w:w="11910" w:h="16840"/>
      <w:pgMar w:header="745" w:footer="979" w:top="1060" w:bottom="116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15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5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15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8154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15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15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15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815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36"/>
      <w:ind w:left="152"/>
    </w:pPr>
    <w:rPr>
      <w:rFonts w:ascii="宋体" w:hAnsi="宋体" w:eastAsia="宋体"/>
      <w:sz w:val="24"/>
      <w:szCs w:val="24"/>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egova.com.cn/" TargetMode="External"/><Relationship Id="rId10" Type="http://schemas.openxmlformats.org/officeDocument/2006/relationships/hyperlink" Target="mailto:egova@egova.com.cn"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image" Target="media/image2.jpeg"/><Relationship Id="rId14" Type="http://schemas.openxmlformats.org/officeDocument/2006/relationships/hyperlink" Target="http://www.cninfo.com/"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北京数字政通科技股份有限公司</dc:creator>
  <dc:title>北京数字政通科技股份有限公司2015年年度报告全文</dc:title>
  <dcterms:created xsi:type="dcterms:W3CDTF">2020-05-04T15:45:13Z</dcterms:created>
  <dcterms:modified xsi:type="dcterms:W3CDTF">2020-05-04T15:45:13Z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Microsoft® Word 2010</vt:lpwstr>
  </property>
  <property fmtid="{D5CDD505-2E9C-101B-9397-08002B2CF9AE}" pid="4" name="LastSaved">
    <vt:filetime>2020-05-04T00:00:00Z</vt:filetime>
  </property>
</Properties>
</file>